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jpeg" ContentType="image/jpe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460" w:lineRule="exact" w:before="0"/>
        <w:ind w:left="2601" w:right="2607" w:firstLine="0"/>
        <w:jc w:val="center"/>
        <w:rPr>
          <w:rFonts w:ascii="宋体" w:hAnsi="宋体" w:cs="宋体" w:eastAsia="宋体" w:hint="default"/>
          <w:sz w:val="36"/>
          <w:szCs w:val="36"/>
        </w:rPr>
      </w:pPr>
      <w:r>
        <w:rPr/>
        <w:pict>
          <v:group style="position:absolute;margin-left:55.200001pt;margin-top:-90.431252pt;width:484.9pt;height:.1pt;mso-position-horizontal-relative:page;mso-position-vertical-relative:paragraph;z-index:0" coordorigin="1104,-1809" coordsize="9698,2">
            <v:shape style="position:absolute;left:1104;top:-1809;width:9698;height:2" coordorigin="1104,-1809" coordsize="9698,0" path="m1104,-1809l10802,-1809e" filled="false" stroked="true" strokeweight=".72pt" strokecolor="#000000">
              <v:path arrowok="t"/>
            </v:shape>
            <w10:wrap type="none"/>
          </v:group>
        </w:pict>
      </w:r>
      <w:r>
        <w:rPr>
          <w:rFonts w:ascii="宋体" w:hAnsi="宋体" w:cs="宋体" w:eastAsia="宋体" w:hint="default"/>
          <w:b/>
          <w:bCs/>
          <w:sz w:val="36"/>
          <w:szCs w:val="36"/>
        </w:rPr>
        <w:t>深圳市麦达数字股份有限公司</w:t>
      </w:r>
      <w:r>
        <w:rPr>
          <w:rFonts w:ascii="宋体" w:hAnsi="宋体" w:cs="宋体" w:eastAsia="宋体" w:hint="default"/>
          <w:sz w:val="36"/>
          <w:szCs w:val="36"/>
        </w:rPr>
      </w:r>
    </w:p>
    <w:p>
      <w:pPr>
        <w:spacing w:line="240" w:lineRule="auto" w:before="5"/>
        <w:rPr>
          <w:rFonts w:ascii="宋体" w:hAnsi="宋体" w:cs="宋体" w:eastAsia="宋体" w:hint="default"/>
          <w:b/>
          <w:bCs/>
          <w:sz w:val="30"/>
          <w:szCs w:val="30"/>
        </w:rPr>
      </w:pPr>
    </w:p>
    <w:p>
      <w:pPr>
        <w:spacing w:before="0"/>
        <w:ind w:left="2601" w:right="2604" w:firstLine="0"/>
        <w:jc w:val="center"/>
        <w:rPr>
          <w:rFonts w:ascii="宋体" w:hAnsi="宋体" w:cs="宋体" w:eastAsia="宋体" w:hint="default"/>
          <w:sz w:val="36"/>
          <w:szCs w:val="36"/>
        </w:rPr>
      </w:pPr>
      <w:r>
        <w:rPr>
          <w:rFonts w:ascii="Times New Roman" w:hAnsi="Times New Roman" w:cs="Times New Roman" w:eastAsia="Times New Roman" w:hint="default"/>
          <w:b/>
          <w:bCs/>
          <w:sz w:val="36"/>
          <w:szCs w:val="36"/>
        </w:rPr>
        <w:t>2017</w:t>
      </w:r>
      <w:r>
        <w:rPr>
          <w:rFonts w:ascii="Times New Roman" w:hAnsi="Times New Roman" w:cs="Times New Roman" w:eastAsia="Times New Roman" w:hint="default"/>
          <w:b/>
          <w:bCs/>
          <w:spacing w:val="-3"/>
          <w:sz w:val="36"/>
          <w:szCs w:val="36"/>
        </w:rPr>
        <w:t> </w:t>
      </w:r>
      <w:r>
        <w:rPr>
          <w:rFonts w:ascii="宋体" w:hAnsi="宋体" w:cs="宋体" w:eastAsia="宋体" w:hint="default"/>
          <w:b/>
          <w:bCs/>
          <w:sz w:val="36"/>
          <w:szCs w:val="36"/>
        </w:rPr>
        <w:t>年年度报告</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spacing w:line="1663" w:lineRule="exact"/>
        <w:ind w:left="3076"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2424433" cy="105613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2424433" cy="1056131"/>
                    </a:xfrm>
                    <a:prstGeom prst="rect">
                      <a:avLst/>
                    </a:prstGeom>
                  </pic:spPr>
                </pic:pic>
              </a:graphicData>
            </a:graphic>
          </wp:inline>
        </w:drawing>
      </w:r>
      <w:r>
        <w:rPr>
          <w:rFonts w:ascii="宋体" w:hAnsi="宋体" w:cs="宋体" w:eastAsia="宋体" w:hint="default"/>
          <w:position w:val="-32"/>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spacing w:before="0"/>
        <w:ind w:left="2601" w:right="260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53"/>
        <w:jc w:val="left"/>
        <w:rPr>
          <w:b w:val="0"/>
          <w:bCs w:val="0"/>
        </w:rPr>
      </w:pP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公司负责人陈亚妹、主管会计工作负责人廖建中及会计机构负责人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袁素华声明：保证年度报告中财务报告的真实、准确、完整。</w:t>
      </w:r>
      <w:r>
        <w:rPr>
          <w:rFonts w:ascii="宋体" w:hAnsi="宋体" w:cs="宋体" w:eastAsia="宋体" w:hint="default"/>
          <w:sz w:val="28"/>
          <w:szCs w:val="28"/>
        </w:rPr>
      </w:r>
    </w:p>
    <w:p>
      <w:pPr>
        <w:spacing w:line="472" w:lineRule="auto" w:before="148"/>
        <w:ind w:left="714" w:right="15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本年度报告涉及的未来计划等前瞻性陈述，不构成公司对投资者的实质承</w:t>
      </w:r>
      <w:r>
        <w:rPr>
          <w:rFonts w:ascii="宋体" w:hAnsi="宋体" w:cs="宋体" w:eastAsia="宋体" w:hint="default"/>
          <w:spacing w:val="2"/>
          <w:sz w:val="28"/>
          <w:szCs w:val="28"/>
        </w:rPr>
      </w:r>
    </w:p>
    <w:p>
      <w:pPr>
        <w:spacing w:line="475" w:lineRule="auto" w:before="0"/>
        <w:ind w:left="714" w:right="153" w:hanging="563"/>
        <w:jc w:val="left"/>
        <w:rPr>
          <w:rFonts w:ascii="宋体" w:hAnsi="宋体" w:cs="宋体" w:eastAsia="宋体" w:hint="default"/>
          <w:sz w:val="28"/>
          <w:szCs w:val="28"/>
        </w:rPr>
      </w:pPr>
      <w:r>
        <w:rPr>
          <w:rFonts w:ascii="宋体" w:hAnsi="宋体" w:cs="宋体" w:eastAsia="宋体" w:hint="default"/>
          <w:b/>
          <w:bCs/>
          <w:sz w:val="28"/>
          <w:szCs w:val="28"/>
        </w:rPr>
        <w:t>诺，请投资者注意投资风险。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公司处于外部产业环境变动、内部产业升级调整时期，若公司未来未能充</w:t>
      </w:r>
      <w:r>
        <w:rPr>
          <w:rFonts w:ascii="宋体" w:hAnsi="宋体" w:cs="宋体" w:eastAsia="宋体" w:hint="default"/>
          <w:spacing w:val="2"/>
          <w:sz w:val="28"/>
          <w:szCs w:val="28"/>
        </w:rPr>
      </w:r>
    </w:p>
    <w:p>
      <w:pPr>
        <w:spacing w:line="350" w:lineRule="exact" w:before="0"/>
        <w:ind w:left="152" w:right="0" w:firstLine="0"/>
        <w:jc w:val="both"/>
        <w:rPr>
          <w:rFonts w:ascii="宋体" w:hAnsi="宋体" w:cs="宋体" w:eastAsia="宋体" w:hint="default"/>
          <w:sz w:val="28"/>
          <w:szCs w:val="28"/>
        </w:rPr>
      </w:pPr>
      <w:r>
        <w:rPr>
          <w:rFonts w:ascii="宋体" w:hAnsi="宋体" w:cs="宋体" w:eastAsia="宋体" w:hint="default"/>
          <w:b/>
          <w:bCs/>
          <w:spacing w:val="2"/>
          <w:sz w:val="28"/>
          <w:szCs w:val="28"/>
        </w:rPr>
        <w:t>分把握公司所处产业新的发展趋势、公司管理不能快速适应新的业务领域、并</w:t>
      </w:r>
      <w:r>
        <w:rPr>
          <w:rFonts w:ascii="宋体" w:hAnsi="宋体" w:cs="宋体" w:eastAsia="宋体" w:hint="default"/>
          <w:spacing w:val="2"/>
          <w:sz w:val="28"/>
          <w:szCs w:val="28"/>
        </w:rPr>
      </w:r>
    </w:p>
    <w:p>
      <w:pPr>
        <w:spacing w:line="240" w:lineRule="auto" w:before="9"/>
        <w:rPr>
          <w:rFonts w:ascii="宋体" w:hAnsi="宋体" w:cs="宋体" w:eastAsia="宋体" w:hint="default"/>
          <w:b/>
          <w:bCs/>
          <w:sz w:val="19"/>
          <w:szCs w:val="19"/>
        </w:rPr>
      </w:pPr>
    </w:p>
    <w:p>
      <w:pPr>
        <w:spacing w:line="393" w:lineRule="auto" w:before="0"/>
        <w:ind w:left="152" w:right="151" w:firstLine="0"/>
        <w:jc w:val="both"/>
        <w:rPr>
          <w:rFonts w:ascii="宋体" w:hAnsi="宋体" w:cs="宋体" w:eastAsia="宋体" w:hint="default"/>
          <w:sz w:val="28"/>
          <w:szCs w:val="28"/>
        </w:rPr>
      </w:pPr>
      <w:r>
        <w:rPr>
          <w:rFonts w:ascii="宋体" w:hAnsi="宋体" w:cs="宋体" w:eastAsia="宋体" w:hint="default"/>
          <w:b/>
          <w:bCs/>
          <w:spacing w:val="2"/>
          <w:sz w:val="28"/>
          <w:szCs w:val="28"/>
        </w:rPr>
        <w:t>购整合不达预期或者发生商誉减值事项，公司的持续盈利能力和财务状况将面</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临重大不确定性，敬请投资者注意投资风险。详见本报告第四节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经营情况讨论</w:t>
      </w:r>
      <w:r>
        <w:rPr>
          <w:rFonts w:ascii="宋体" w:hAnsi="宋体" w:cs="宋体" w:eastAsia="宋体" w:hint="default"/>
          <w:b/>
          <w:bCs/>
          <w:spacing w:val="-131"/>
          <w:sz w:val="28"/>
          <w:szCs w:val="28"/>
        </w:rPr>
        <w:t> </w:t>
      </w:r>
      <w:r>
        <w:rPr>
          <w:rFonts w:ascii="宋体" w:hAnsi="宋体" w:cs="宋体" w:eastAsia="宋体" w:hint="default"/>
          <w:b/>
          <w:bCs/>
          <w:spacing w:val="-2"/>
          <w:sz w:val="28"/>
          <w:szCs w:val="28"/>
        </w:rPr>
        <w:t>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之</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九、公司未来发展的展望</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中对公司可能面临风险的相关描述，敬请</w:t>
      </w:r>
      <w:r>
        <w:rPr>
          <w:rFonts w:ascii="宋体" w:hAnsi="宋体" w:cs="宋体" w:eastAsia="宋体" w:hint="default"/>
          <w:b/>
          <w:bCs/>
          <w:spacing w:val="-134"/>
          <w:sz w:val="28"/>
          <w:szCs w:val="28"/>
        </w:rPr>
        <w:t> </w:t>
      </w:r>
      <w:r>
        <w:rPr>
          <w:rFonts w:ascii="宋体" w:hAnsi="宋体" w:cs="宋体" w:eastAsia="宋体" w:hint="default"/>
          <w:b/>
          <w:bCs/>
          <w:spacing w:val="-134"/>
          <w:sz w:val="28"/>
          <w:szCs w:val="28"/>
        </w:rPr>
      </w:r>
      <w:r>
        <w:rPr>
          <w:rFonts w:ascii="宋体" w:hAnsi="宋体" w:cs="宋体" w:eastAsia="宋体" w:hint="default"/>
          <w:b/>
          <w:bCs/>
          <w:sz w:val="28"/>
          <w:szCs w:val="28"/>
        </w:rPr>
        <w:t>投资者注意投资风险。</w:t>
      </w:r>
      <w:r>
        <w:rPr>
          <w:rFonts w:ascii="宋体" w:hAnsi="宋体" w:cs="宋体" w:eastAsia="宋体" w:hint="default"/>
          <w:sz w:val="28"/>
          <w:szCs w:val="28"/>
        </w:rPr>
      </w:r>
    </w:p>
    <w:p>
      <w:pPr>
        <w:spacing w:before="179"/>
        <w:ind w:left="714" w:right="153"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0"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601" w:right="260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8"/>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8"/>
              </w:rPr>
              <w:t> </w:t>
            </w:r>
            <w:r>
              <w:rPr/>
              <w:t>公司简介和主要财务指标</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2">
            <w:r>
              <w:rPr/>
              <w:t>第三节</w:t>
            </w:r>
            <w:r>
              <w:rPr>
                <w:spacing w:val="-18"/>
              </w:rPr>
              <w:t> </w:t>
            </w:r>
            <w:r>
              <w:rPr/>
              <w:t>公司业务概要</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8"/>
              </w:rPr>
              <w:t> </w:t>
            </w:r>
            <w:r>
              <w:rPr/>
              <w:t>经营情况讨论与分析</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8"/>
              </w:rPr>
              <w:t> </w:t>
            </w:r>
            <w:r>
              <w:rPr/>
              <w:t>重要事项</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8"/>
              </w:rPr>
              <w:t> </w:t>
            </w:r>
            <w:r>
              <w:rPr/>
              <w:t>股份变动及股东情况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8"/>
              </w:rPr>
              <w:t> </w:t>
            </w:r>
            <w:r>
              <w:rPr/>
              <w:t>优先股相关情况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18"/>
              </w:rPr>
              <w:t> </w:t>
            </w:r>
            <w:r>
              <w:rPr/>
              <w:t>董事、监事、高级管理人员和员工情况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8"/>
              </w:rPr>
              <w:t> </w:t>
            </w:r>
            <w:r>
              <w:rPr/>
              <w:t>公司治理</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8">
            <w:r>
              <w:rPr/>
              <w:t>第十节</w:t>
            </w:r>
            <w:r>
              <w:rPr>
                <w:spacing w:val="-18"/>
              </w:rPr>
              <w:t> </w:t>
            </w:r>
            <w:r>
              <w:rPr/>
              <w:t>公司债券相关情况</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7"/>
              </w:rPr>
              <w:t> </w:t>
            </w:r>
            <w:r>
              <w:rPr/>
              <w:t>财务报告</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18"/>
              </w:rPr>
              <w:t> </w:t>
            </w:r>
            <w:r>
              <w:rPr/>
              <w:t>备查文件目录</w:t>
            </w:r>
            <w:r>
              <w:rPr>
                <w:rFonts w:ascii="Times New Roman" w:hAnsi="Times New Roman" w:cs="Times New Roman" w:eastAsia="Times New Roman" w:hint="default"/>
              </w:rPr>
              <w:tab/>
              <w:t>198</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80" w:top="1060" w:bottom="1160" w:left="980" w:right="980"/>
        </w:sectPr>
      </w:pPr>
    </w:p>
    <w:p>
      <w:pPr>
        <w:spacing w:before="945"/>
        <w:ind w:left="2601" w:right="260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上市公司、麦达数字、本公司、公司</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9"/>
              <w:jc w:val="left"/>
              <w:rPr>
                <w:rFonts w:ascii="宋体" w:hAnsi="宋体" w:cs="宋体" w:eastAsia="宋体" w:hint="default"/>
                <w:sz w:val="18"/>
                <w:szCs w:val="18"/>
              </w:rPr>
            </w:pPr>
            <w:r>
              <w:rPr>
                <w:rFonts w:ascii="宋体" w:hAnsi="宋体" w:cs="宋体" w:eastAsia="宋体" w:hint="default"/>
                <w:sz w:val="18"/>
                <w:szCs w:val="18"/>
              </w:rPr>
              <w:t>深圳市麦达数字股份有限公司（原深圳市实益达科技股份有限公司， 本报告中提到的</w:t>
            </w:r>
            <w:r>
              <w:rPr>
                <w:rFonts w:ascii="Times New Roman" w:hAnsi="Times New Roman" w:cs="Times New Roman" w:eastAsia="Times New Roman" w:hint="default"/>
                <w:sz w:val="18"/>
                <w:szCs w:val="18"/>
              </w:rPr>
              <w:t>"</w:t>
            </w:r>
            <w:r>
              <w:rPr>
                <w:rFonts w:ascii="宋体" w:hAnsi="宋体" w:cs="宋体" w:eastAsia="宋体" w:hint="default"/>
                <w:sz w:val="18"/>
                <w:szCs w:val="18"/>
              </w:rPr>
              <w:t>实益达</w:t>
            </w:r>
            <w:r>
              <w:rPr>
                <w:rFonts w:ascii="Times New Roman" w:hAnsi="Times New Roman" w:cs="Times New Roman" w:eastAsia="Times New Roman" w:hint="default"/>
                <w:sz w:val="18"/>
                <w:szCs w:val="18"/>
              </w:rPr>
              <w:t>"</w:t>
            </w:r>
            <w:r>
              <w:rPr>
                <w:rFonts w:ascii="宋体" w:hAnsi="宋体" w:cs="宋体" w:eastAsia="宋体" w:hint="default"/>
                <w:sz w:val="18"/>
                <w:szCs w:val="18"/>
              </w:rPr>
              <w:t>同指公司）</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陈亚妹、乔昕夫妇</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无锡实益达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无锡实益达电子有限公司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汇大光电</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33"/>
              <w:jc w:val="left"/>
              <w:rPr>
                <w:rFonts w:ascii="宋体" w:hAnsi="宋体" w:cs="宋体" w:eastAsia="宋体" w:hint="default"/>
                <w:sz w:val="18"/>
                <w:szCs w:val="18"/>
              </w:rPr>
            </w:pPr>
            <w:r>
              <w:rPr>
                <w:rFonts w:ascii="宋体" w:hAnsi="宋体" w:cs="宋体" w:eastAsia="宋体" w:hint="default"/>
                <w:sz w:val="18"/>
                <w:szCs w:val="18"/>
              </w:rPr>
              <w:t>深圳市汇大光电科技股份有限公司（</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日，由深圳市汇 大光电有限公司经整体变更设立）</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电明科技</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34"/>
              <w:jc w:val="left"/>
              <w:rPr>
                <w:rFonts w:ascii="宋体" w:hAnsi="宋体" w:cs="宋体" w:eastAsia="宋体" w:hint="default"/>
                <w:sz w:val="18"/>
                <w:szCs w:val="18"/>
              </w:rPr>
            </w:pPr>
            <w:r>
              <w:rPr>
                <w:rFonts w:ascii="宋体" w:hAnsi="宋体" w:cs="宋体" w:eastAsia="宋体" w:hint="default"/>
                <w:sz w:val="18"/>
                <w:szCs w:val="18"/>
              </w:rPr>
              <w:t>深圳市电明科技股份有限公司（</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日，由深圳市电明科 技有限责任公司整体变更设立）</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实益达技术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深圳市实益达技术股份有限公司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实益达工业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深圳市实益达工业有限公司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凯扬商贸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凯扬商贸（香港）有限公司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惠赢天下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北京惠赢天下网络科技有限公司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赢销通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北京赢销通软件技术有限公司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六度人和</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深圳市六度人和科技有限公司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顺为广告</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上海顺为广告传播有限公司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利宣广告</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上海利宣广告有限公司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奇思广告</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奇思国际广告（北京）有限公司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前海麦达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深圳市前海麦达数字有限公司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北京麦达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9"/>
              <w:jc w:val="left"/>
              <w:rPr>
                <w:rFonts w:ascii="宋体" w:hAnsi="宋体" w:cs="宋体" w:eastAsia="宋体" w:hint="default"/>
                <w:sz w:val="18"/>
                <w:szCs w:val="18"/>
              </w:rPr>
            </w:pPr>
            <w:r>
              <w:rPr>
                <w:rFonts w:ascii="宋体" w:hAnsi="宋体" w:cs="宋体" w:eastAsia="宋体" w:hint="default"/>
                <w:sz w:val="18"/>
                <w:szCs w:val="18"/>
              </w:rPr>
              <w:t>北京麦达数字技术服务有限公司（原北京微联达网络技术有限公司）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海和投资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新余海和投资管理中心（有限合伙）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季子投资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上海季子投资管理有限公司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益瑞投资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新余益瑞投资合伙企业（有限合伙）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元通孵化</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深圳市元通孵化有限公司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前海实益达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深圳前海实益达投资发展有限公司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富数科技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上海富数科技有限公司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实益达智能</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深圳市实益达智能技术有限公司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奇异果互动</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33"/>
              <w:jc w:val="left"/>
              <w:rPr>
                <w:rFonts w:ascii="宋体" w:hAnsi="宋体" w:cs="宋体" w:eastAsia="宋体" w:hint="default"/>
                <w:sz w:val="18"/>
                <w:szCs w:val="18"/>
              </w:rPr>
            </w:pPr>
            <w:r>
              <w:rPr>
                <w:rFonts w:ascii="宋体" w:hAnsi="宋体" w:cs="宋体" w:eastAsia="宋体" w:hint="default"/>
                <w:sz w:val="18"/>
                <w:szCs w:val="18"/>
              </w:rPr>
              <w:t>广州奇异果互动科技股份有限公司（</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日由广州讯友数 码科技有限公司整体变更设立）</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登记结算公司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中国证券登记结算有限责任公司深圳分公司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ind w:left="0" w:right="156"/>
        <w:jc w:val="right"/>
      </w:pPr>
      <w:r>
        <w:rPr/>
        <w:pict>
          <v:shape style="position:absolute;margin-left:56.400002pt;margin-top:-161.348282pt;width:479.3pt;height:384.3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164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both"/>
                          <w:rPr>
                            <w:rFonts w:ascii="宋体" w:hAnsi="宋体" w:cs="宋体" w:eastAsia="宋体" w:hint="default"/>
                            <w:sz w:val="18"/>
                            <w:szCs w:val="18"/>
                          </w:rPr>
                        </w:pPr>
                        <w:r>
                          <w:rPr>
                            <w:rFonts w:ascii="Times New Roman" w:hAnsi="Times New Roman" w:cs="Times New Roman" w:eastAsia="Times New Roman" w:hint="default"/>
                            <w:spacing w:val="-4"/>
                            <w:w w:val="99"/>
                            <w:sz w:val="18"/>
                            <w:szCs w:val="18"/>
                          </w:rPr>
                          <w:t>Software-as-a-Service</w:t>
                        </w:r>
                        <w:r>
                          <w:rPr>
                            <w:rFonts w:ascii="宋体" w:hAnsi="宋体" w:cs="宋体" w:eastAsia="宋体" w:hint="default"/>
                            <w:spacing w:val="-4"/>
                            <w:w w:val="99"/>
                            <w:sz w:val="18"/>
                            <w:szCs w:val="18"/>
                          </w:rPr>
                          <w:t>（软件即服务），是一种通过</w:t>
                        </w:r>
                        <w:r>
                          <w:rPr>
                            <w:rFonts w:ascii="宋体" w:hAnsi="宋体" w:cs="宋体" w:eastAsia="宋体" w:hint="default"/>
                            <w:spacing w:val="-42"/>
                            <w:w w:val="99"/>
                            <w:sz w:val="18"/>
                            <w:szCs w:val="18"/>
                          </w:rPr>
                          <w:t> </w:t>
                        </w:r>
                        <w:r>
                          <w:rPr>
                            <w:rFonts w:ascii="Times New Roman" w:hAnsi="Times New Roman" w:cs="Times New Roman" w:eastAsia="Times New Roman" w:hint="default"/>
                            <w:sz w:val="18"/>
                            <w:szCs w:val="18"/>
                          </w:rPr>
                          <w:t>Internet</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提供软件的</w:t>
                        </w:r>
                        <w:r>
                          <w:rPr>
                            <w:rFonts w:ascii="宋体" w:hAnsi="宋体" w:cs="宋体" w:eastAsia="宋体" w:hint="default"/>
                            <w:sz w:val="18"/>
                            <w:szCs w:val="18"/>
                          </w:rPr>
                          <w:t> </w:t>
                        </w:r>
                        <w:r>
                          <w:rPr>
                            <w:rFonts w:ascii="宋体" w:hAnsi="宋体" w:cs="宋体" w:eastAsia="宋体" w:hint="default"/>
                            <w:spacing w:val="-2"/>
                            <w:sz w:val="18"/>
                            <w:szCs w:val="18"/>
                          </w:rPr>
                          <w:t>模式，厂商将应用软件统一部署在自己的服务器上，客户可以根据自</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己实际需求，通过互联网向厂商定购所需的应用软件服务，按定购的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服务多少和时间长短向厂商支付费用，并通过互联网获得厂商提供的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服务。</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Platform-as-a-Service</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的缩写，即平台即服务，将应用服务的运行和开 发环境作为一种服务提供的商业模式。</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CRM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9"/>
                          <w:jc w:val="left"/>
                          <w:rPr>
                            <w:rFonts w:ascii="宋体" w:hAnsi="宋体" w:cs="宋体" w:eastAsia="宋体" w:hint="default"/>
                            <w:sz w:val="18"/>
                            <w:szCs w:val="18"/>
                          </w:rPr>
                        </w:pPr>
                        <w:r>
                          <w:rPr>
                            <w:rFonts w:ascii="Times New Roman" w:hAnsi="Times New Roman" w:cs="Times New Roman" w:eastAsia="Times New Roman" w:hint="default"/>
                            <w:sz w:val="18"/>
                            <w:szCs w:val="18"/>
                          </w:rPr>
                          <w:t>CRM </w:t>
                        </w:r>
                        <w:r>
                          <w:rPr>
                            <w:rFonts w:ascii="宋体" w:hAnsi="宋体" w:cs="宋体" w:eastAsia="宋体" w:hint="default"/>
                            <w:sz w:val="18"/>
                            <w:szCs w:val="18"/>
                          </w:rPr>
                          <w:t>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Customer</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Relationship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Management</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的简称，即客户关系管理</w:t>
                        </w:r>
                        <w:r>
                          <w:rPr>
                            <w:rFonts w:ascii="宋体" w:hAnsi="宋体" w:cs="宋体" w:eastAsia="宋体" w:hint="default"/>
                            <w:sz w:val="18"/>
                            <w:szCs w:val="18"/>
                          </w:rPr>
                          <w:t> 本文中提到的</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CRM</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系指以</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形式提供</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CRM</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软件服务的一种形式</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SCRM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SCRM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Social</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Customer</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Relationship</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Management</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的简称，即社会化</w:t>
                        </w:r>
                        <w:r>
                          <w:rPr>
                            <w:rFonts w:ascii="宋体" w:hAnsi="宋体" w:cs="宋体" w:eastAsia="宋体" w:hint="default"/>
                            <w:sz w:val="18"/>
                            <w:szCs w:val="18"/>
                          </w:rPr>
                          <w:t> </w:t>
                        </w:r>
                        <w:r>
                          <w:rPr>
                            <w:rFonts w:ascii="宋体" w:hAnsi="宋体" w:cs="宋体" w:eastAsia="宋体" w:hint="default"/>
                            <w:spacing w:val="-4"/>
                            <w:sz w:val="18"/>
                            <w:szCs w:val="18"/>
                          </w:rPr>
                          <w:t>客户关系管理，本文中提到的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SCRM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系指以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形式提供</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SCRM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 件服务的一种形式。</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LED</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发光二极管（</w:t>
                        </w:r>
                        <w:r>
                          <w:rPr>
                            <w:rFonts w:ascii="Times New Roman" w:hAnsi="Times New Roman" w:cs="Times New Roman" w:eastAsia="Times New Roman" w:hint="default"/>
                            <w:spacing w:val="-2"/>
                            <w:sz w:val="18"/>
                            <w:szCs w:val="18"/>
                          </w:rPr>
                          <w:t>Light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Emitting</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pacing w:val="-6"/>
                            <w:w w:val="99"/>
                            <w:sz w:val="18"/>
                            <w:szCs w:val="18"/>
                          </w:rPr>
                          <w:t>Diode</w:t>
                        </w:r>
                        <w:r>
                          <w:rPr>
                            <w:rFonts w:ascii="宋体" w:hAnsi="宋体" w:cs="宋体" w:eastAsia="宋体" w:hint="default"/>
                            <w:spacing w:val="-6"/>
                            <w:w w:val="99"/>
                            <w:sz w:val="18"/>
                            <w:szCs w:val="18"/>
                          </w:rPr>
                          <w:t>），可以通过控制其发光方式，组成</w:t>
                        </w:r>
                        <w:r>
                          <w:rPr>
                            <w:rFonts w:ascii="宋体" w:hAnsi="宋体" w:cs="宋体" w:eastAsia="宋体" w:hint="default"/>
                            <w:sz w:val="18"/>
                            <w:szCs w:val="18"/>
                          </w:rPr>
                          <w:t> </w:t>
                        </w:r>
                        <w:r>
                          <w:rPr>
                            <w:rFonts w:ascii="宋体" w:hAnsi="宋体" w:cs="宋体" w:eastAsia="宋体" w:hint="default"/>
                            <w:spacing w:val="-2"/>
                            <w:sz w:val="18"/>
                            <w:szCs w:val="18"/>
                          </w:rPr>
                          <w:t>用来显示文字、图形、图像、动画、行情、视频、录像信号等各种信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息的显示屏幕。</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EMS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Electronic </w:t>
                        </w:r>
                        <w:r>
                          <w:rPr>
                            <w:rFonts w:ascii="Times New Roman" w:hAnsi="Times New Roman" w:cs="Times New Roman" w:eastAsia="Times New Roman" w:hint="default"/>
                            <w:spacing w:val="-1"/>
                            <w:w w:val="99"/>
                            <w:sz w:val="18"/>
                            <w:szCs w:val="18"/>
                          </w:rPr>
                          <w:t>Manufacturing</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5"/>
                            <w:w w:val="99"/>
                            <w:sz w:val="18"/>
                            <w:szCs w:val="18"/>
                          </w:rPr>
                          <w:t>Services</w:t>
                        </w:r>
                        <w:r>
                          <w:rPr>
                            <w:rFonts w:ascii="宋体" w:hAnsi="宋体" w:cs="宋体" w:eastAsia="宋体" w:hint="default"/>
                            <w:spacing w:val="-5"/>
                            <w:w w:val="99"/>
                            <w:sz w:val="18"/>
                            <w:szCs w:val="18"/>
                          </w:rPr>
                          <w:t>（电子制造服务），</w:t>
                        </w:r>
                        <w:r>
                          <w:rPr>
                            <w:rFonts w:ascii="Times New Roman" w:hAnsi="Times New Roman" w:cs="Times New Roman" w:eastAsia="Times New Roman" w:hint="default"/>
                            <w:spacing w:val="-5"/>
                            <w:w w:val="99"/>
                            <w:sz w:val="18"/>
                            <w:szCs w:val="18"/>
                          </w:rPr>
                          <w:t>EMS</w:t>
                        </w:r>
                        <w:r>
                          <w:rPr>
                            <w:rFonts w:ascii="Times New Roman" w:hAnsi="Times New Roman" w:cs="Times New Roman" w:eastAsia="Times New Roman" w:hint="default"/>
                            <w:spacing w:val="12"/>
                            <w:w w:val="99"/>
                            <w:sz w:val="18"/>
                            <w:szCs w:val="18"/>
                          </w:rPr>
                          <w:t> </w:t>
                        </w:r>
                        <w:r>
                          <w:rPr>
                            <w:rFonts w:ascii="宋体" w:hAnsi="宋体" w:cs="宋体" w:eastAsia="宋体" w:hint="default"/>
                            <w:sz w:val="18"/>
                            <w:szCs w:val="18"/>
                          </w:rPr>
                          <w:t>公司为品牌 生产商提供设计、工程、制造、测试以及物流管理等一系列服务</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PCBA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9"/>
                          <w:jc w:val="both"/>
                          <w:rPr>
                            <w:rFonts w:ascii="宋体" w:hAnsi="宋体" w:cs="宋体" w:eastAsia="宋体" w:hint="default"/>
                            <w:sz w:val="18"/>
                            <w:szCs w:val="18"/>
                          </w:rPr>
                        </w:pPr>
                        <w:r>
                          <w:rPr>
                            <w:rFonts w:ascii="Times New Roman" w:hAnsi="Times New Roman" w:cs="Times New Roman" w:eastAsia="Times New Roman" w:hint="default"/>
                            <w:sz w:val="18"/>
                            <w:szCs w:val="18"/>
                          </w:rPr>
                          <w:t>Printed</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Circuit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Board</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Assemble</w:t>
                        </w:r>
                        <w:r>
                          <w:rPr>
                            <w:rFonts w:ascii="宋体" w:hAnsi="宋体" w:cs="宋体" w:eastAsia="宋体" w:hint="default"/>
                            <w:sz w:val="18"/>
                            <w:szCs w:val="18"/>
                          </w:rPr>
                          <w:t>，即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PCB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空板经过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SMT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上件，再经过 </w:t>
                        </w:r>
                        <w:r>
                          <w:rPr>
                            <w:rFonts w:ascii="Times New Roman" w:hAnsi="Times New Roman" w:cs="Times New Roman" w:eastAsia="Times New Roman" w:hint="default"/>
                            <w:sz w:val="18"/>
                            <w:szCs w:val="18"/>
                          </w:rPr>
                          <w:t>DIP </w:t>
                        </w:r>
                        <w:r>
                          <w:rPr>
                            <w:rFonts w:ascii="宋体" w:hAnsi="宋体" w:cs="宋体" w:eastAsia="宋体" w:hint="default"/>
                            <w:sz w:val="18"/>
                            <w:szCs w:val="18"/>
                          </w:rPr>
                          <w:t>插件的整个制程，简称</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PCBA</w:t>
                        </w:r>
                        <w:r>
                          <w:rPr>
                            <w:rFonts w:ascii="宋体" w:hAnsi="宋体" w:cs="宋体" w:eastAsia="宋体" w:hint="default"/>
                            <w:sz w:val="18"/>
                            <w:szCs w:val="18"/>
                          </w:rPr>
                          <w:t>。此外，有贴装元件的板子也称为 </w:t>
                        </w:r>
                        <w:r>
                          <w:rPr>
                            <w:rFonts w:ascii="Times New Roman" w:hAnsi="Times New Roman" w:cs="Times New Roman" w:eastAsia="Times New Roman" w:hint="default"/>
                            <w:sz w:val="18"/>
                            <w:szCs w:val="18"/>
                          </w:rPr>
                          <w:t>PCBA</w:t>
                        </w:r>
                        <w:r>
                          <w:rPr>
                            <w:rFonts w:ascii="宋体" w:hAnsi="宋体" w:cs="宋体" w:eastAsia="宋体" w:hint="default"/>
                            <w:sz w:val="18"/>
                            <w:szCs w:val="18"/>
                          </w:rPr>
                          <w:t>。</w:t>
                        </w:r>
                      </w:p>
                    </w:tc>
                  </w:tr>
                </w:tbl>
                <w:p>
                  <w:pPr/>
                </w:p>
              </w:txbxContent>
            </v:textbox>
            <w10:wrap type="none"/>
          </v:shape>
        </w:pict>
      </w:r>
      <w:r>
        <w:rPr/>
        <w:t>。</w:t>
      </w:r>
    </w:p>
    <w:p>
      <w:pPr>
        <w:pStyle w:val="BodyText"/>
        <w:spacing w:line="240" w:lineRule="auto" w:before="76"/>
        <w:ind w:left="0" w:right="158"/>
        <w:jc w:val="right"/>
      </w:pPr>
      <w:r>
        <w:rPr/>
        <w:t>。</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4"/>
          <w:szCs w:val="24"/>
        </w:rPr>
      </w:pPr>
    </w:p>
    <w:p>
      <w:pPr>
        <w:spacing w:before="0"/>
        <w:ind w:left="4150" w:right="4051" w:firstLine="0"/>
        <w:jc w:val="center"/>
        <w:rPr>
          <w:rFonts w:ascii="宋体" w:hAnsi="宋体" w:cs="宋体" w:eastAsia="宋体" w:hint="default"/>
          <w:sz w:val="32"/>
          <w:szCs w:val="32"/>
        </w:rPr>
      </w:pPr>
      <w:bookmarkStart w:name="_bookmark0" w:id="1"/>
      <w:bookmarkEnd w:id="1"/>
      <w:r>
        <w:rPr/>
      </w:r>
      <w:r>
        <w:rPr>
          <w:rFonts w:ascii="宋体" w:hAnsi="宋体" w:cs="宋体" w:eastAsia="宋体" w:hint="default"/>
          <w:b/>
          <w:bCs/>
          <w:sz w:val="32"/>
          <w:szCs w:val="32"/>
        </w:rPr>
        <w:t>致 </w:t>
      </w:r>
      <w:r>
        <w:rPr>
          <w:rFonts w:ascii="宋体" w:hAnsi="宋体" w:cs="宋体" w:eastAsia="宋体" w:hint="default"/>
          <w:b/>
          <w:bCs/>
          <w:sz w:val="32"/>
          <w:szCs w:val="32"/>
        </w:rPr>
      </w:r>
      <w:r>
        <w:rPr>
          <w:rFonts w:ascii="宋体" w:hAnsi="宋体" w:cs="宋体" w:eastAsia="宋体" w:hint="default"/>
          <w:b/>
          <w:bCs/>
          <w:sz w:val="32"/>
          <w:szCs w:val="32"/>
        </w:rPr>
        <w:t>股 </w:t>
      </w:r>
      <w:r>
        <w:rPr>
          <w:rFonts w:ascii="宋体" w:hAnsi="宋体" w:cs="宋体" w:eastAsia="宋体" w:hint="default"/>
          <w:b/>
          <w:bCs/>
          <w:sz w:val="32"/>
          <w:szCs w:val="32"/>
        </w:rPr>
      </w:r>
      <w:r>
        <w:rPr>
          <w:rFonts w:ascii="宋体" w:hAnsi="宋体" w:cs="宋体" w:eastAsia="宋体" w:hint="default"/>
          <w:b/>
          <w:bCs/>
          <w:sz w:val="32"/>
          <w:szCs w:val="32"/>
        </w:rPr>
        <w:t>东</w:t>
      </w:r>
      <w:r>
        <w:rPr>
          <w:rFonts w:ascii="宋体" w:hAnsi="宋体" w:cs="宋体" w:eastAsia="宋体" w:hint="default"/>
          <w:b/>
          <w:bCs/>
          <w:spacing w:val="-5"/>
          <w:sz w:val="32"/>
          <w:szCs w:val="32"/>
        </w:rPr>
        <w:t> </w:t>
      </w:r>
      <w:r>
        <w:rPr>
          <w:rFonts w:ascii="宋体" w:hAnsi="宋体" w:cs="宋体" w:eastAsia="宋体" w:hint="default"/>
          <w:b/>
          <w:bCs/>
          <w:spacing w:val="-5"/>
          <w:sz w:val="32"/>
          <w:szCs w:val="32"/>
        </w:rPr>
      </w:r>
      <w:r>
        <w:rPr>
          <w:rFonts w:ascii="宋体" w:hAnsi="宋体" w:cs="宋体" w:eastAsia="宋体" w:hint="default"/>
          <w:b/>
          <w:bCs/>
          <w:sz w:val="32"/>
          <w:szCs w:val="32"/>
        </w:rPr>
        <w:t>书</w:t>
      </w:r>
      <w:r>
        <w:rPr>
          <w:rFonts w:ascii="宋体" w:hAnsi="宋体" w:cs="宋体" w:eastAsia="宋体" w:hint="default"/>
          <w:b/>
          <w:bCs/>
          <w:w w:val="98"/>
          <w:sz w:val="32"/>
          <w:szCs w:val="32"/>
        </w:rPr>
        <w:t> </w:t>
      </w:r>
      <w:r>
        <w:rPr>
          <w:rFonts w:ascii="宋体" w:hAnsi="宋体" w:cs="宋体" w:eastAsia="宋体" w:hint="default"/>
          <w:sz w:val="32"/>
          <w:szCs w:val="32"/>
        </w:rPr>
      </w:r>
    </w:p>
    <w:p>
      <w:pPr>
        <w:pStyle w:val="Heading4"/>
        <w:spacing w:line="240" w:lineRule="auto" w:before="221"/>
        <w:ind w:right="0"/>
        <w:jc w:val="left"/>
        <w:rPr>
          <w:rFonts w:ascii="宋体" w:hAnsi="宋体" w:cs="宋体" w:eastAsia="宋体" w:hint="default"/>
        </w:rPr>
      </w:pPr>
      <w:r>
        <w:rPr/>
        <w:t>尊敬的麦达数字各位股东：</w:t>
      </w:r>
      <w:r>
        <w:rPr>
          <w:rFonts w:ascii="宋体" w:hAnsi="宋体" w:cs="宋体" w:eastAsia="宋体" w:hint="default"/>
        </w:rPr>
        <w:t> </w:t>
      </w:r>
    </w:p>
    <w:p>
      <w:pPr>
        <w:pStyle w:val="Heading4"/>
        <w:spacing w:line="355" w:lineRule="auto" w:before="135"/>
        <w:ind w:right="0" w:firstLine="420"/>
        <w:jc w:val="lef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57"/>
        </w:rPr>
        <w:t> </w:t>
      </w:r>
      <w:r>
        <w:rPr/>
        <w:t>年是公司的关键之年，面对纷繁复杂的行业形势，公司坚持“智慧营销</w:t>
      </w:r>
      <w:r>
        <w:rPr>
          <w:rFonts w:ascii="宋体" w:hAnsi="宋体" w:cs="宋体" w:eastAsia="宋体" w:hint="default"/>
        </w:rPr>
        <w:t>+</w:t>
      </w:r>
      <w:r>
        <w:rPr/>
        <w:t>智能硬件”双轮驱动的</w:t>
      </w:r>
      <w:r>
        <w:rPr>
          <w:w w:val="100"/>
        </w:rPr>
        <w:t> </w:t>
      </w:r>
      <w:r>
        <w:rPr>
          <w:spacing w:val="-2"/>
        </w:rPr>
        <w:t>既定战略，以产、投、研结合作为实施路径，注重管理机制创新，稳步推进战略落地。公司在过去一年中</w:t>
      </w:r>
      <w:r>
        <w:rPr>
          <w:spacing w:val="-45"/>
        </w:rPr>
        <w:t> </w:t>
      </w:r>
      <w:r>
        <w:rPr>
          <w:spacing w:val="-45"/>
        </w:rPr>
      </w:r>
      <w:r>
        <w:rPr>
          <w:spacing w:val="-4"/>
        </w:rPr>
        <w:t>聚焦智慧营销与智能硬件双主业，加大科研投入，布局优质标的，构建核心能力。全年实现销售收入 </w:t>
      </w:r>
      <w:r>
        <w:rPr>
          <w:rFonts w:ascii="宋体" w:hAnsi="宋体" w:cs="宋体" w:eastAsia="宋体" w:hint="default"/>
        </w:rPr>
        <w:t>9.36</w:t>
      </w:r>
      <w:r>
        <w:rPr>
          <w:rFonts w:ascii="宋体" w:hAnsi="宋体" w:cs="宋体" w:eastAsia="宋体" w:hint="default"/>
          <w:spacing w:val="-64"/>
        </w:rPr>
        <w:t> </w:t>
      </w:r>
      <w:r>
        <w:rPr/>
        <w:t>亿元，同比增长</w:t>
      </w:r>
      <w:r>
        <w:rPr>
          <w:spacing w:val="-55"/>
        </w:rPr>
        <w:t> </w:t>
      </w:r>
      <w:r>
        <w:rPr>
          <w:rFonts w:ascii="宋体" w:hAnsi="宋体" w:cs="宋体" w:eastAsia="宋体" w:hint="default"/>
        </w:rPr>
        <w:t>17.16%</w:t>
      </w:r>
      <w:r>
        <w:rPr/>
        <w:t>。研发费用大幅增长</w:t>
      </w:r>
      <w:r>
        <w:rPr>
          <w:spacing w:val="-56"/>
        </w:rPr>
        <w:t> </w:t>
      </w:r>
      <w:r>
        <w:rPr>
          <w:rFonts w:ascii="宋体" w:hAnsi="宋体" w:cs="宋体" w:eastAsia="宋体" w:hint="default"/>
        </w:rPr>
        <w:t>801.87</w:t>
      </w:r>
      <w:r>
        <w:rPr>
          <w:rFonts w:ascii="宋体" w:hAnsi="宋体" w:cs="宋体" w:eastAsia="宋体" w:hint="default"/>
          <w:spacing w:val="-58"/>
        </w:rPr>
        <w:t> </w:t>
      </w:r>
      <w:r>
        <w:rPr>
          <w:spacing w:val="-3"/>
        </w:rPr>
        <w:t>万元，增幅</w:t>
      </w:r>
      <w:r>
        <w:rPr>
          <w:spacing w:val="-55"/>
        </w:rPr>
        <w:t> </w:t>
      </w:r>
      <w:r>
        <w:rPr>
          <w:rFonts w:ascii="宋体" w:hAnsi="宋体" w:cs="宋体" w:eastAsia="宋体" w:hint="default"/>
        </w:rPr>
        <w:t>80.29%</w:t>
      </w:r>
      <w:r>
        <w:rPr/>
        <w:t>，为公司的持续发展奠定了坚实基</w:t>
      </w:r>
      <w:r>
        <w:rPr>
          <w:w w:val="100"/>
        </w:rPr>
        <w:t> </w:t>
      </w:r>
      <w:r>
        <w:rPr/>
        <w:t>础。</w:t>
      </w:r>
      <w:r>
        <w:rPr>
          <w:rFonts w:ascii="宋体" w:hAnsi="宋体" w:cs="宋体" w:eastAsia="宋体" w:hint="default"/>
        </w:rPr>
        <w:t> </w:t>
      </w:r>
    </w:p>
    <w:p>
      <w:pPr>
        <w:pStyle w:val="Heading3"/>
        <w:spacing w:line="240" w:lineRule="auto" w:before="34"/>
        <w:ind w:left="575" w:right="0"/>
        <w:jc w:val="left"/>
        <w:rPr>
          <w:rFonts w:ascii="宋体" w:hAnsi="宋体" w:cs="宋体" w:eastAsia="宋体" w:hint="default"/>
          <w:b w:val="0"/>
          <w:bCs w:val="0"/>
        </w:rPr>
      </w:pPr>
      <w:r>
        <w:rPr>
          <w:rFonts w:ascii="宋体" w:hAnsi="宋体" w:cs="宋体" w:eastAsia="宋体" w:hint="default"/>
        </w:rPr>
        <w:t>1</w:t>
      </w:r>
      <w:r>
        <w:rPr/>
        <w:t>、聚焦智慧营销与智能硬件</w:t>
      </w:r>
      <w:r>
        <w:rPr>
          <w:rFonts w:ascii="宋体" w:hAnsi="宋体" w:cs="宋体" w:eastAsia="宋体" w:hint="default"/>
          <w:w w:val="99"/>
        </w:rPr>
        <w:t> </w:t>
      </w:r>
      <w:r>
        <w:rPr>
          <w:rFonts w:ascii="宋体" w:hAnsi="宋体" w:cs="宋体" w:eastAsia="宋体" w:hint="default"/>
          <w:b w:val="0"/>
          <w:bCs w:val="0"/>
        </w:rPr>
      </w:r>
    </w:p>
    <w:p>
      <w:pPr>
        <w:pStyle w:val="Heading4"/>
        <w:spacing w:line="357" w:lineRule="auto"/>
        <w:ind w:right="0" w:firstLine="211"/>
        <w:jc w:val="left"/>
        <w:rPr>
          <w:rFonts w:ascii="宋体" w:hAnsi="宋体" w:cs="宋体" w:eastAsia="宋体" w:hint="default"/>
        </w:rPr>
      </w:pPr>
      <w:r>
        <w:rPr/>
        <w:t>“智慧营销与智能硬件”双轮驱动是麦达数字</w:t>
      </w:r>
      <w:r>
        <w:rPr>
          <w:spacing w:val="-54"/>
        </w:rPr>
        <w:t> </w:t>
      </w:r>
      <w:r>
        <w:rPr>
          <w:rFonts w:ascii="宋体" w:hAnsi="宋体" w:cs="宋体" w:eastAsia="宋体" w:hint="default"/>
        </w:rPr>
        <w:t>2017</w:t>
      </w:r>
      <w:r>
        <w:rPr>
          <w:rFonts w:ascii="宋体" w:hAnsi="宋体" w:cs="宋体" w:eastAsia="宋体" w:hint="default"/>
          <w:spacing w:val="-56"/>
        </w:rPr>
        <w:t> </w:t>
      </w:r>
      <w:r>
        <w:rPr/>
        <w:t>年的核心经营策略。集团将资源向双主业聚焦，集</w:t>
      </w:r>
      <w:r>
        <w:rPr>
          <w:w w:val="100"/>
        </w:rPr>
        <w:t> </w:t>
      </w:r>
      <w:r>
        <w:rPr>
          <w:spacing w:val="-2"/>
        </w:rPr>
        <w:t>中优势资源向智慧营销与智能硬件主要细分领域拓展。在智慧营销领域，加大研发，鼓励内部孵化，内外</w:t>
      </w:r>
      <w:r>
        <w:rPr>
          <w:spacing w:val="-44"/>
        </w:rPr>
        <w:t> </w:t>
      </w:r>
      <w:r>
        <w:rPr>
          <w:spacing w:val="-44"/>
        </w:rPr>
      </w:r>
      <w:r>
        <w:rPr/>
        <w:t>兼修，成效卓著。在智能硬件领域，抓标杆客户、标志工程的攻关，抓重大项目的突破。</w:t>
      </w:r>
      <w:r>
        <w:rPr>
          <w:rFonts w:ascii="宋体" w:hAnsi="宋体" w:cs="宋体" w:eastAsia="宋体" w:hint="default"/>
        </w:rPr>
        <w:t> </w:t>
      </w:r>
    </w:p>
    <w:p>
      <w:pPr>
        <w:pStyle w:val="Heading4"/>
        <w:spacing w:line="357" w:lineRule="auto" w:before="32"/>
        <w:ind w:right="206" w:firstLine="420"/>
        <w:jc w:val="left"/>
      </w:pPr>
      <w:r>
        <w:rPr/>
        <w:t>在智慧营销领域，公司于</w:t>
      </w:r>
      <w:r>
        <w:rPr>
          <w:spacing w:val="-58"/>
        </w:rPr>
        <w:t> </w:t>
      </w:r>
      <w:r>
        <w:rPr>
          <w:rFonts w:ascii="宋体" w:hAnsi="宋体" w:cs="宋体" w:eastAsia="宋体" w:hint="default"/>
        </w:rPr>
        <w:t>2015</w:t>
      </w:r>
      <w:r>
        <w:rPr>
          <w:rFonts w:ascii="宋体" w:hAnsi="宋体" w:cs="宋体" w:eastAsia="宋体" w:hint="default"/>
          <w:spacing w:val="-56"/>
        </w:rPr>
        <w:t> </w:t>
      </w:r>
      <w:r>
        <w:rPr/>
        <w:t>年收购顺为广告、奇思广告、上海利宣三家数字营销公司均超额完成</w:t>
      </w:r>
      <w:r>
        <w:rPr>
          <w:w w:val="100"/>
        </w:rPr>
        <w:t> </w:t>
      </w:r>
      <w:r>
        <w:rPr/>
        <w:t>累计业绩承诺，三家公司</w:t>
      </w:r>
      <w:r>
        <w:rPr>
          <w:spacing w:val="-56"/>
        </w:rPr>
        <w:t> </w:t>
      </w:r>
      <w:r>
        <w:rPr>
          <w:rFonts w:ascii="宋体" w:hAnsi="宋体" w:cs="宋体" w:eastAsia="宋体" w:hint="default"/>
        </w:rPr>
        <w:t>2015-2017</w:t>
      </w:r>
      <w:r>
        <w:rPr>
          <w:rFonts w:ascii="宋体" w:hAnsi="宋体" w:cs="宋体" w:eastAsia="宋体" w:hint="default"/>
          <w:spacing w:val="-56"/>
        </w:rPr>
        <w:t> </w:t>
      </w:r>
      <w:r>
        <w:rPr/>
        <w:t>年度合计业绩复合增长率超过</w:t>
      </w:r>
      <w:r>
        <w:rPr>
          <w:spacing w:val="-54"/>
        </w:rPr>
        <w:t> </w:t>
      </w:r>
      <w:r>
        <w:rPr>
          <w:rFonts w:ascii="宋体" w:hAnsi="宋体" w:cs="宋体" w:eastAsia="宋体" w:hint="default"/>
        </w:rPr>
        <w:t>70%</w:t>
      </w:r>
      <w:r>
        <w:rPr/>
        <w:t>，</w:t>
      </w:r>
      <w:r>
        <w:rPr>
          <w:rFonts w:ascii="宋体" w:hAnsi="宋体" w:cs="宋体" w:eastAsia="宋体" w:hint="default"/>
        </w:rPr>
        <w:t>2017</w:t>
      </w:r>
      <w:r>
        <w:rPr>
          <w:rFonts w:ascii="宋体" w:hAnsi="宋体" w:cs="宋体" w:eastAsia="宋体" w:hint="default"/>
          <w:spacing w:val="-54"/>
        </w:rPr>
        <w:t> </w:t>
      </w:r>
      <w:r>
        <w:rPr/>
        <w:t>年实现营业收入</w:t>
      </w:r>
      <w:r>
        <w:rPr>
          <w:spacing w:val="-53"/>
        </w:rPr>
        <w:t> </w:t>
      </w:r>
      <w:r>
        <w:rPr>
          <w:rFonts w:ascii="宋体" w:hAnsi="宋体" w:cs="宋体" w:eastAsia="宋体" w:hint="default"/>
        </w:rPr>
        <w:t>5.68</w:t>
      </w:r>
      <w:r>
        <w:rPr>
          <w:rFonts w:ascii="宋体" w:hAnsi="宋体" w:cs="宋体" w:eastAsia="宋体" w:hint="default"/>
          <w:spacing w:val="-56"/>
        </w:rPr>
        <w:t> </w:t>
      </w:r>
      <w:r>
        <w:rPr>
          <w:spacing w:val="-3"/>
        </w:rPr>
        <w:t>亿，</w:t>
      </w:r>
      <w:r>
        <w:rPr>
          <w:spacing w:val="-3"/>
          <w:w w:val="100"/>
        </w:rPr>
        <w:t> </w:t>
      </w:r>
      <w:r>
        <w:rPr/>
        <w:t>报告期内切入梅赛德斯</w:t>
      </w:r>
      <w:r>
        <w:rPr>
          <w:rFonts w:ascii="宋体" w:hAnsi="宋体" w:cs="宋体" w:eastAsia="宋体" w:hint="default"/>
        </w:rPr>
        <w:t>-</w:t>
      </w:r>
      <w:r>
        <w:rPr/>
        <w:t>奔驰售后服务、招商银行等大客户的营销体系。同时，公司于</w:t>
      </w:r>
      <w:r>
        <w:rPr>
          <w:spacing w:val="-66"/>
        </w:rPr>
        <w:t> </w:t>
      </w:r>
      <w:r>
        <w:rPr>
          <w:rFonts w:ascii="宋体" w:hAnsi="宋体" w:cs="宋体" w:eastAsia="宋体" w:hint="default"/>
        </w:rPr>
        <w:t>2017</w:t>
      </w:r>
      <w:r>
        <w:rPr>
          <w:rFonts w:ascii="宋体" w:hAnsi="宋体" w:cs="宋体" w:eastAsia="宋体" w:hint="default"/>
          <w:spacing w:val="-67"/>
        </w:rPr>
        <w:t> </w:t>
      </w:r>
      <w:r>
        <w:rPr/>
        <w:t>年引入甲骨文</w:t>
      </w:r>
      <w:r>
        <w:rPr>
          <w:w w:val="100"/>
        </w:rPr>
        <w:t> </w:t>
      </w:r>
      <w:r>
        <w:rPr>
          <w:spacing w:val="-2"/>
        </w:rPr>
        <w:t>全球副总裁高礼强等互联网领域富有管理和技术经验的行业专家，深度围绕智慧营销这一主题，不断加大</w:t>
      </w:r>
      <w:r>
        <w:rPr>
          <w:spacing w:val="-42"/>
        </w:rPr>
        <w:t> </w:t>
      </w:r>
      <w:r>
        <w:rPr>
          <w:spacing w:val="-42"/>
        </w:rPr>
      </w:r>
      <w:r>
        <w:rPr>
          <w:spacing w:val="-2"/>
        </w:rPr>
        <w:t>研发投入，内部孵化多项大数据营销技术项目。公司旨在以技术驱动营销能力，整合企业营销产业链各服</w:t>
      </w:r>
      <w:r>
        <w:rPr>
          <w:spacing w:val="-44"/>
        </w:rPr>
        <w:t> </w:t>
      </w:r>
      <w:r>
        <w:rPr>
          <w:spacing w:val="-44"/>
        </w:rPr>
      </w:r>
      <w:r>
        <w:rPr/>
        <w:t>务商，联合众多</w:t>
      </w:r>
      <w:r>
        <w:rPr>
          <w:spacing w:val="-55"/>
        </w:rPr>
        <w:t> </w:t>
      </w:r>
      <w:r>
        <w:rPr>
          <w:rFonts w:ascii="宋体" w:hAnsi="宋体" w:cs="宋体" w:eastAsia="宋体" w:hint="default"/>
        </w:rPr>
        <w:t>CRM</w:t>
      </w:r>
      <w:r>
        <w:rPr>
          <w:rFonts w:ascii="宋体" w:hAnsi="宋体" w:cs="宋体" w:eastAsia="宋体" w:hint="default"/>
          <w:spacing w:val="-56"/>
        </w:rPr>
        <w:t> </w:t>
      </w:r>
      <w:r>
        <w:rPr/>
        <w:t>细分行业的</w:t>
      </w:r>
      <w:r>
        <w:rPr>
          <w:spacing w:val="-54"/>
        </w:rPr>
        <w:t> </w:t>
      </w:r>
      <w:r>
        <w:rPr>
          <w:rFonts w:ascii="宋体" w:hAnsi="宋体" w:cs="宋体" w:eastAsia="宋体" w:hint="default"/>
        </w:rPr>
        <w:t>SaaS</w:t>
      </w:r>
      <w:r>
        <w:rPr>
          <w:rFonts w:ascii="宋体" w:hAnsi="宋体" w:cs="宋体" w:eastAsia="宋体" w:hint="default"/>
          <w:spacing w:val="-55"/>
        </w:rPr>
        <w:t> </w:t>
      </w:r>
      <w:r>
        <w:rPr/>
        <w:t>公司与大数据公司，致力于以技术为桥梁、以数据为驱动力、以品</w:t>
      </w:r>
      <w:r>
        <w:rPr>
          <w:w w:val="100"/>
        </w:rPr>
        <w:t> </w:t>
      </w:r>
      <w:r>
        <w:rPr/>
        <w:t>效合一为目的的一站式营销数字化转型服务，构建企业营销生态链。此外，公司于</w:t>
      </w:r>
      <w:r>
        <w:rPr>
          <w:spacing w:val="-57"/>
        </w:rPr>
        <w:t> </w:t>
      </w:r>
      <w:r>
        <w:rPr>
          <w:rFonts w:ascii="宋体" w:hAnsi="宋体" w:cs="宋体" w:eastAsia="宋体" w:hint="default"/>
        </w:rPr>
        <w:t>2017</w:t>
      </w:r>
      <w:r>
        <w:rPr>
          <w:rFonts w:ascii="宋体" w:hAnsi="宋体" w:cs="宋体" w:eastAsia="宋体" w:hint="default"/>
          <w:spacing w:val="-57"/>
        </w:rPr>
        <w:t> </w:t>
      </w:r>
      <w:r>
        <w:rPr/>
        <w:t>年发布限制性股</w:t>
      </w:r>
    </w:p>
    <w:p>
      <w:pPr>
        <w:pStyle w:val="Heading4"/>
        <w:spacing w:line="240" w:lineRule="auto" w:before="30"/>
        <w:ind w:right="0"/>
        <w:jc w:val="left"/>
        <w:rPr>
          <w:rFonts w:ascii="宋体" w:hAnsi="宋体" w:cs="宋体" w:eastAsia="宋体" w:hint="default"/>
        </w:rPr>
      </w:pPr>
      <w:r>
        <w:rPr/>
        <w:t>票股权激励计划，涉及</w:t>
      </w:r>
      <w:r>
        <w:rPr>
          <w:spacing w:val="-57"/>
        </w:rPr>
        <w:t> </w:t>
      </w:r>
      <w:r>
        <w:rPr>
          <w:rFonts w:ascii="宋体" w:hAnsi="宋体" w:cs="宋体" w:eastAsia="宋体" w:hint="default"/>
        </w:rPr>
        <w:t>31</w:t>
      </w:r>
      <w:r>
        <w:rPr>
          <w:rFonts w:ascii="宋体" w:hAnsi="宋体" w:cs="宋体" w:eastAsia="宋体" w:hint="default"/>
          <w:spacing w:val="-58"/>
        </w:rPr>
        <w:t> </w:t>
      </w:r>
      <w:r>
        <w:rPr/>
        <w:t>名智慧营销板块主要骨干，为智慧营销板块后续增长奠定基础。</w:t>
      </w:r>
      <w:r>
        <w:rPr>
          <w:rFonts w:ascii="宋体" w:hAnsi="宋体" w:cs="宋体" w:eastAsia="宋体" w:hint="default"/>
        </w:rPr>
        <w:t> </w:t>
      </w:r>
    </w:p>
    <w:p>
      <w:pPr>
        <w:pStyle w:val="Heading4"/>
        <w:spacing w:line="357" w:lineRule="auto"/>
        <w:ind w:right="208" w:firstLine="420"/>
        <w:jc w:val="both"/>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58"/>
        </w:rPr>
        <w:t> </w:t>
      </w:r>
      <w:r>
        <w:rPr/>
        <w:t>年，公司智能硬件板块实现高速增长，营业收入突破</w:t>
      </w:r>
      <w:r>
        <w:rPr>
          <w:spacing w:val="-55"/>
        </w:rPr>
        <w:t> </w:t>
      </w:r>
      <w:r>
        <w:rPr>
          <w:rFonts w:ascii="宋体" w:hAnsi="宋体" w:cs="宋体" w:eastAsia="宋体" w:hint="default"/>
        </w:rPr>
        <w:t>3.46</w:t>
      </w:r>
      <w:r>
        <w:rPr>
          <w:rFonts w:ascii="宋体" w:hAnsi="宋体" w:cs="宋体" w:eastAsia="宋体" w:hint="default"/>
          <w:spacing w:val="-56"/>
        </w:rPr>
        <w:t> </w:t>
      </w:r>
      <w:r>
        <w:rPr>
          <w:spacing w:val="-3"/>
        </w:rPr>
        <w:t>亿，同比增长</w:t>
      </w:r>
      <w:r>
        <w:rPr>
          <w:spacing w:val="-56"/>
        </w:rPr>
        <w:t> </w:t>
      </w:r>
      <w:r>
        <w:rPr>
          <w:rFonts w:ascii="宋体" w:hAnsi="宋体" w:cs="宋体" w:eastAsia="宋体" w:hint="default"/>
        </w:rPr>
        <w:t>37.44%</w:t>
      </w:r>
      <w:r>
        <w:rPr/>
        <w:t>；同时公司自有</w:t>
      </w:r>
      <w:r>
        <w:rPr>
          <w:w w:val="100"/>
        </w:rPr>
        <w:t> </w:t>
      </w:r>
      <w:r>
        <w:rPr>
          <w:spacing w:val="-3"/>
        </w:rPr>
        <w:t>品牌工程类产品进入全家、华为、京东等项目，带来营业收入的大幅提升。此外公司与包括 </w:t>
      </w:r>
      <w:r>
        <w:rPr>
          <w:rFonts w:ascii="宋体" w:hAnsi="宋体" w:cs="宋体" w:eastAsia="宋体" w:hint="default"/>
          <w:spacing w:val="-4"/>
        </w:rPr>
        <w:t>GE</w:t>
      </w:r>
      <w:r>
        <w:rPr>
          <w:spacing w:val="-4"/>
        </w:rPr>
        <w:t>、飞利浦等</w:t>
      </w:r>
      <w:r>
        <w:rPr>
          <w:spacing w:val="-93"/>
        </w:rPr>
        <w:t> </w:t>
      </w:r>
      <w:r>
        <w:rPr>
          <w:spacing w:val="-93"/>
        </w:rPr>
      </w:r>
      <w:r>
        <w:rPr/>
        <w:t>国际硬件品牌商建立了多年业务合作关系，公司智能硬件板块在细分领域竞争优势凸显。</w:t>
      </w:r>
      <w:r>
        <w:rPr>
          <w:rFonts w:ascii="宋体" w:hAnsi="宋体" w:cs="宋体" w:eastAsia="宋体" w:hint="default"/>
        </w:rPr>
        <w:t> </w:t>
      </w:r>
    </w:p>
    <w:p>
      <w:pPr>
        <w:pStyle w:val="Heading4"/>
        <w:spacing w:line="357" w:lineRule="auto" w:before="30"/>
        <w:ind w:right="0" w:firstLine="420"/>
        <w:jc w:val="left"/>
        <w:rPr>
          <w:rFonts w:ascii="宋体" w:hAnsi="宋体" w:cs="宋体" w:eastAsia="宋体" w:hint="default"/>
        </w:rPr>
      </w:pPr>
      <w:r>
        <w:rPr/>
        <w:t>未来，在智慧营销领域，麦达数字在维持原有业务增长的基础上，将持续加大研发投入与产业投资，</w:t>
      </w:r>
      <w:r>
        <w:rPr>
          <w:w w:val="100"/>
        </w:rPr>
        <w:t> </w:t>
      </w:r>
      <w:r>
        <w:rPr>
          <w:spacing w:val="-2"/>
        </w:rPr>
        <w:t>整合资源，构建生态链，捕捉前瞻性行业需求，提供一站式营销服务。并致力于探索能够契合不同业务场</w:t>
      </w:r>
      <w:r>
        <w:rPr>
          <w:spacing w:val="-46"/>
        </w:rPr>
        <w:t> </w:t>
      </w:r>
      <w:r>
        <w:rPr>
          <w:spacing w:val="-46"/>
        </w:rPr>
      </w:r>
      <w:r>
        <w:rPr>
          <w:spacing w:val="-5"/>
        </w:rPr>
        <w:t>景的优秀产品，满足消费者多样化获取信息的需求，覆盖到更广泛的目标人群，实现更多维度的营销功能。 </w:t>
      </w:r>
      <w:r>
        <w:rPr>
          <w:spacing w:val="-5"/>
        </w:rPr>
      </w:r>
      <w:r>
        <w:rPr>
          <w:spacing w:val="-2"/>
        </w:rPr>
        <w:t>在智能硬件领域，麦达数字将积极寻求合作伙伴，加大产品推广力度，寻求切入优质大单品的产业链，同</w:t>
      </w:r>
      <w:r>
        <w:rPr>
          <w:spacing w:val="-48"/>
        </w:rPr>
        <w:t> </w:t>
      </w:r>
      <w:r>
        <w:rPr>
          <w:spacing w:val="-48"/>
        </w:rPr>
      </w:r>
      <w:r>
        <w:rPr>
          <w:spacing w:val="-2"/>
        </w:rPr>
        <w:t>时提高研发能力，紧跟物联网新潮流。公司亦将建立与业务发展路径相匹配的创新管理机制，与员工共享</w:t>
      </w:r>
      <w:r>
        <w:rPr>
          <w:spacing w:val="-44"/>
        </w:rPr>
        <w:t> </w:t>
      </w:r>
      <w:r>
        <w:rPr>
          <w:spacing w:val="-44"/>
        </w:rPr>
      </w:r>
      <w:r>
        <w:rPr/>
        <w:t>公司成长。</w:t>
      </w:r>
      <w:r>
        <w:rPr>
          <w:rFonts w:ascii="宋体" w:hAnsi="宋体" w:cs="宋体" w:eastAsia="宋体" w:hint="default"/>
        </w:rPr>
        <w:t> </w:t>
      </w:r>
    </w:p>
    <w:p>
      <w:pPr>
        <w:pStyle w:val="Heading3"/>
        <w:spacing w:line="240" w:lineRule="auto" w:before="31"/>
        <w:ind w:left="575" w:right="0"/>
        <w:jc w:val="left"/>
        <w:rPr>
          <w:rFonts w:ascii="宋体" w:hAnsi="宋体" w:cs="宋体" w:eastAsia="宋体" w:hint="default"/>
          <w:b w:val="0"/>
          <w:bCs w:val="0"/>
        </w:rPr>
      </w:pPr>
      <w:r>
        <w:rPr>
          <w:rFonts w:ascii="宋体" w:hAnsi="宋体" w:cs="宋体" w:eastAsia="宋体" w:hint="default"/>
        </w:rPr>
        <w:t>2</w:t>
      </w:r>
      <w:r>
        <w:rPr/>
        <w:t>、立足战略目标，产业投资破局开花</w:t>
      </w:r>
      <w:r>
        <w:rPr>
          <w:rFonts w:ascii="宋体" w:hAnsi="宋体" w:cs="宋体" w:eastAsia="宋体" w:hint="default"/>
          <w:w w:val="99"/>
        </w:rPr>
        <w:t> </w:t>
      </w:r>
      <w:r>
        <w:rPr>
          <w:rFonts w:ascii="宋体" w:hAnsi="宋体" w:cs="宋体" w:eastAsia="宋体" w:hint="default"/>
          <w:b w:val="0"/>
          <w:bCs w:val="0"/>
        </w:rPr>
      </w:r>
    </w:p>
    <w:p>
      <w:pPr>
        <w:pStyle w:val="Heading4"/>
        <w:spacing w:line="357" w:lineRule="auto"/>
        <w:ind w:right="183" w:firstLine="420"/>
        <w:jc w:val="left"/>
      </w:pPr>
      <w:r>
        <w:rPr/>
        <w:t>公司自</w:t>
      </w:r>
      <w:r>
        <w:rPr>
          <w:spacing w:val="-55"/>
        </w:rPr>
        <w:t> </w:t>
      </w:r>
      <w:r>
        <w:rPr>
          <w:rFonts w:ascii="宋体" w:hAnsi="宋体" w:cs="宋体" w:eastAsia="宋体" w:hint="default"/>
        </w:rPr>
        <w:t>2015</w:t>
      </w:r>
      <w:r>
        <w:rPr>
          <w:rFonts w:ascii="宋体" w:hAnsi="宋体" w:cs="宋体" w:eastAsia="宋体" w:hint="default"/>
          <w:spacing w:val="-55"/>
        </w:rPr>
        <w:t> </w:t>
      </w:r>
      <w:r>
        <w:rPr/>
        <w:t>年向互联网产业转型开始，逐步明确智慧营销与智能硬件双轮驱动的战略，先后收购顺</w:t>
      </w:r>
      <w:r>
        <w:rPr>
          <w:w w:val="100"/>
        </w:rPr>
        <w:t> </w:t>
      </w:r>
      <w:r>
        <w:rPr/>
        <w:t>为广告等三家数字营销公司，分别投资消费品行业和</w:t>
      </w:r>
      <w:r>
        <w:rPr>
          <w:spacing w:val="-53"/>
        </w:rPr>
        <w:t> </w:t>
      </w:r>
      <w:r>
        <w:rPr>
          <w:rFonts w:ascii="宋体" w:hAnsi="宋体" w:cs="宋体" w:eastAsia="宋体" w:hint="default"/>
        </w:rPr>
        <w:t>SCRM</w:t>
      </w:r>
      <w:r>
        <w:rPr>
          <w:rFonts w:ascii="宋体" w:hAnsi="宋体" w:cs="宋体" w:eastAsia="宋体" w:hint="default"/>
          <w:spacing w:val="-54"/>
        </w:rPr>
        <w:t> </w:t>
      </w:r>
      <w:r>
        <w:rPr/>
        <w:t>细分行业的</w:t>
      </w:r>
      <w:r>
        <w:rPr>
          <w:spacing w:val="-56"/>
        </w:rPr>
        <w:t> </w:t>
      </w:r>
      <w:r>
        <w:rPr>
          <w:rFonts w:ascii="宋体" w:hAnsi="宋体" w:cs="宋体" w:eastAsia="宋体" w:hint="default"/>
        </w:rPr>
        <w:t>SaaS</w:t>
      </w:r>
      <w:r>
        <w:rPr>
          <w:rFonts w:ascii="宋体" w:hAnsi="宋体" w:cs="宋体" w:eastAsia="宋体" w:hint="default"/>
          <w:spacing w:val="-56"/>
        </w:rPr>
        <w:t> </w:t>
      </w:r>
      <w:r>
        <w:rPr/>
        <w:t>优质企业赢销通和六度人和，</w:t>
      </w:r>
      <w:r>
        <w:rPr>
          <w:w w:val="100"/>
        </w:rPr>
        <w:t> </w:t>
      </w:r>
      <w:r>
        <w:rPr>
          <w:spacing w:val="-4"/>
        </w:rPr>
        <w:t>此后在大数据、云计算、企业互联网服务等领域先后投资奇异果互动、富数科技等。</w:t>
      </w:r>
      <w:r>
        <w:rPr>
          <w:rFonts w:ascii="宋体" w:hAnsi="宋体" w:cs="宋体" w:eastAsia="宋体" w:hint="default"/>
          <w:spacing w:val="-4"/>
        </w:rPr>
        <w:t>2017</w:t>
      </w:r>
      <w:r>
        <w:rPr>
          <w:rFonts w:ascii="宋体" w:hAnsi="宋体" w:cs="宋体" w:eastAsia="宋体" w:hint="default"/>
          <w:spacing w:val="30"/>
        </w:rPr>
        <w:t> </w:t>
      </w:r>
      <w:r>
        <w:rPr/>
        <w:t>年收购北京麦达</w:t>
      </w:r>
    </w:p>
    <w:p>
      <w:pPr>
        <w:pStyle w:val="Heading4"/>
        <w:spacing w:line="240" w:lineRule="auto" w:before="30"/>
        <w:ind w:right="0"/>
        <w:jc w:val="left"/>
      </w:pPr>
      <w:r>
        <w:rPr>
          <w:w w:val="100"/>
        </w:rPr>
        <w:t>（</w:t>
      </w:r>
      <w:r>
        <w:rPr>
          <w:spacing w:val="-5"/>
          <w:w w:val="100"/>
        </w:rPr>
        <w:t>原</w:t>
      </w:r>
      <w:r>
        <w:rPr>
          <w:spacing w:val="-3"/>
          <w:w w:val="100"/>
        </w:rPr>
        <w:t>“</w:t>
      </w:r>
      <w:r>
        <w:rPr>
          <w:w w:val="100"/>
        </w:rPr>
        <w:t>微</w:t>
      </w:r>
      <w:r>
        <w:rPr>
          <w:spacing w:val="-3"/>
          <w:w w:val="100"/>
        </w:rPr>
        <w:t>联</w:t>
      </w:r>
      <w:r>
        <w:rPr>
          <w:w w:val="100"/>
        </w:rPr>
        <w:t>达</w:t>
      </w:r>
      <w:r>
        <w:rPr>
          <w:spacing w:val="-106"/>
          <w:w w:val="100"/>
        </w:rPr>
        <w:t>”</w:t>
      </w:r>
      <w:r>
        <w:rPr>
          <w:spacing w:val="-108"/>
          <w:w w:val="100"/>
        </w:rPr>
        <w:t>）</w:t>
      </w:r>
      <w:r>
        <w:rPr>
          <w:spacing w:val="-5"/>
          <w:w w:val="100"/>
        </w:rPr>
        <w:t>。</w:t>
      </w:r>
      <w:r>
        <w:rPr>
          <w:spacing w:val="-3"/>
          <w:w w:val="100"/>
        </w:rPr>
        <w:t>进</w:t>
      </w:r>
      <w:r>
        <w:rPr>
          <w:w w:val="100"/>
        </w:rPr>
        <w:t>入</w:t>
      </w:r>
      <w:r>
        <w:rPr>
          <w:spacing w:val="-52"/>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r>
        <w:rPr>
          <w:rFonts w:ascii="宋体" w:hAnsi="宋体" w:cs="宋体" w:eastAsia="宋体" w:hint="default"/>
          <w:spacing w:val="-53"/>
        </w:rPr>
        <w:t> </w:t>
      </w:r>
      <w:r>
        <w:rPr>
          <w:w w:val="100"/>
        </w:rPr>
        <w:t>年</w:t>
      </w:r>
      <w:r>
        <w:rPr>
          <w:spacing w:val="-8"/>
          <w:w w:val="100"/>
        </w:rPr>
        <w:t>，</w:t>
      </w:r>
      <w:r>
        <w:rPr>
          <w:w w:val="100"/>
        </w:rPr>
        <w:t>前</w:t>
      </w:r>
      <w:r>
        <w:rPr>
          <w:spacing w:val="-3"/>
          <w:w w:val="100"/>
        </w:rPr>
        <w:t>期</w:t>
      </w:r>
      <w:r>
        <w:rPr>
          <w:w w:val="100"/>
        </w:rPr>
        <w:t>投</w:t>
      </w:r>
      <w:r>
        <w:rPr>
          <w:spacing w:val="-3"/>
          <w:w w:val="100"/>
        </w:rPr>
        <w:t>资</w:t>
      </w:r>
      <w:r>
        <w:rPr>
          <w:w w:val="100"/>
        </w:rPr>
        <w:t>部</w:t>
      </w:r>
      <w:r>
        <w:rPr>
          <w:spacing w:val="-3"/>
          <w:w w:val="100"/>
        </w:rPr>
        <w:t>分</w:t>
      </w:r>
      <w:r>
        <w:rPr>
          <w:w w:val="100"/>
        </w:rPr>
        <w:t>标</w:t>
      </w:r>
      <w:r>
        <w:rPr>
          <w:spacing w:val="-3"/>
          <w:w w:val="100"/>
        </w:rPr>
        <w:t>的</w:t>
      </w:r>
      <w:r>
        <w:rPr>
          <w:w w:val="100"/>
        </w:rPr>
        <w:t>实现</w:t>
      </w:r>
      <w:r>
        <w:rPr>
          <w:spacing w:val="-3"/>
          <w:w w:val="100"/>
        </w:rPr>
        <w:t>收</w:t>
      </w:r>
      <w:r>
        <w:rPr>
          <w:w w:val="100"/>
        </w:rPr>
        <w:t>益</w:t>
      </w:r>
      <w:r>
        <w:rPr>
          <w:spacing w:val="-8"/>
          <w:w w:val="100"/>
        </w:rPr>
        <w:t>，</w:t>
      </w:r>
      <w:r>
        <w:rPr>
          <w:w w:val="100"/>
        </w:rPr>
        <w:t>促使</w:t>
      </w:r>
      <w:r>
        <w:rPr>
          <w:spacing w:val="-55"/>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spacing w:val="-3"/>
          <w:w w:val="100"/>
        </w:rPr>
        <w:t>年一</w:t>
      </w:r>
      <w:r>
        <w:rPr>
          <w:w w:val="100"/>
        </w:rPr>
        <w:t>季</w:t>
      </w:r>
      <w:r>
        <w:rPr>
          <w:spacing w:val="-1"/>
          <w:w w:val="100"/>
        </w:rPr>
        <w:t>度</w:t>
      </w:r>
      <w:r>
        <w:rPr>
          <w:spacing w:val="-3"/>
          <w:w w:val="100"/>
        </w:rPr>
        <w:t>净</w:t>
      </w:r>
      <w:r>
        <w:rPr>
          <w:w w:val="100"/>
        </w:rPr>
        <w:t>利</w:t>
      </w:r>
      <w:r>
        <w:rPr>
          <w:spacing w:val="-3"/>
          <w:w w:val="100"/>
        </w:rPr>
        <w:t>润</w:t>
      </w:r>
      <w:r>
        <w:rPr>
          <w:w w:val="100"/>
        </w:rPr>
        <w:t>快</w:t>
      </w:r>
      <w:r>
        <w:rPr>
          <w:spacing w:val="-3"/>
          <w:w w:val="100"/>
        </w:rPr>
        <w:t>速</w:t>
      </w:r>
      <w:r>
        <w:rPr>
          <w:w w:val="100"/>
        </w:rPr>
        <w:t>增</w:t>
      </w:r>
      <w:r>
        <w:rPr>
          <w:spacing w:val="-3"/>
          <w:w w:val="100"/>
        </w:rPr>
        <w:t>长</w:t>
      </w:r>
      <w:r>
        <w:rPr>
          <w:spacing w:val="-5"/>
          <w:w w:val="100"/>
        </w:rPr>
        <w:t>。</w:t>
      </w:r>
      <w:r>
        <w:rPr>
          <w:spacing w:val="-3"/>
          <w:w w:val="100"/>
        </w:rPr>
        <w:t>在</w:t>
      </w:r>
      <w:r>
        <w:rPr>
          <w:w w:val="100"/>
        </w:rPr>
        <w:t>投</w:t>
      </w:r>
    </w:p>
    <w:p>
      <w:pPr>
        <w:spacing w:after="0" w:line="240" w:lineRule="auto"/>
        <w:jc w:val="left"/>
        <w:sectPr>
          <w:pgSz w:w="11910" w:h="16840"/>
          <w:pgMar w:header="745" w:footer="980" w:top="1060" w:bottom="1160" w:left="980" w:right="920"/>
        </w:sectPr>
      </w:pPr>
    </w:p>
    <w:p>
      <w:pPr>
        <w:spacing w:line="240" w:lineRule="auto" w:before="2"/>
        <w:rPr>
          <w:rFonts w:ascii="宋体" w:hAnsi="宋体" w:cs="宋体" w:eastAsia="宋体" w:hint="default"/>
          <w:sz w:val="23"/>
          <w:szCs w:val="23"/>
        </w:rPr>
      </w:pPr>
    </w:p>
    <w:p>
      <w:pPr>
        <w:pStyle w:val="Heading4"/>
        <w:spacing w:line="357" w:lineRule="auto" w:before="36"/>
        <w:ind w:right="0"/>
        <w:jc w:val="left"/>
        <w:rPr>
          <w:rFonts w:ascii="宋体" w:hAnsi="宋体" w:cs="宋体" w:eastAsia="宋体" w:hint="default"/>
        </w:rPr>
      </w:pPr>
      <w:r>
        <w:rPr>
          <w:spacing w:val="-2"/>
        </w:rPr>
        <w:t>资业务带来可观财务收益的同时，也为公司在智慧营销领域构建了强大生态链，投资标的能够与上市公司</w:t>
      </w:r>
      <w:r>
        <w:rPr>
          <w:spacing w:val="-44"/>
        </w:rPr>
        <w:t> </w:t>
      </w:r>
      <w:r>
        <w:rPr>
          <w:spacing w:val="-44"/>
        </w:rPr>
      </w:r>
      <w:r>
        <w:rPr/>
        <w:t>协同成长，实现共赢。</w:t>
      </w:r>
      <w:r>
        <w:rPr>
          <w:rFonts w:ascii="宋体" w:hAnsi="宋体" w:cs="宋体" w:eastAsia="宋体" w:hint="default"/>
        </w:rPr>
        <w:t> </w:t>
      </w:r>
    </w:p>
    <w:p>
      <w:pPr>
        <w:pStyle w:val="Heading4"/>
        <w:spacing w:line="240" w:lineRule="auto" w:before="30"/>
        <w:ind w:left="573" w:right="0"/>
        <w:jc w:val="left"/>
      </w:pPr>
      <w:r>
        <w:rPr/>
        <w:t>截止</w:t>
      </w:r>
      <w:r>
        <w:rPr>
          <w:spacing w:val="-50"/>
        </w:rPr>
        <w:t> </w:t>
      </w:r>
      <w:r>
        <w:rPr>
          <w:rFonts w:ascii="宋体" w:hAnsi="宋体" w:cs="宋体" w:eastAsia="宋体" w:hint="default"/>
        </w:rPr>
        <w:t>2017</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spacing w:val="-3"/>
        </w:rPr>
        <w:t>日，公司可使用资金约</w:t>
      </w:r>
      <w:r>
        <w:rPr>
          <w:spacing w:val="-49"/>
        </w:rPr>
        <w:t> </w:t>
      </w:r>
      <w:r>
        <w:rPr>
          <w:rFonts w:ascii="宋体" w:hAnsi="宋体" w:cs="宋体" w:eastAsia="宋体" w:hint="default"/>
        </w:rPr>
        <w:t>7.22</w:t>
      </w:r>
      <w:r>
        <w:rPr>
          <w:rFonts w:ascii="宋体" w:hAnsi="宋体" w:cs="宋体" w:eastAsia="宋体" w:hint="default"/>
          <w:spacing w:val="-52"/>
        </w:rPr>
        <w:t> </w:t>
      </w:r>
      <w:r>
        <w:rPr>
          <w:spacing w:val="-3"/>
        </w:rPr>
        <w:t>亿元，资产负债率仅为</w:t>
      </w:r>
      <w:r>
        <w:rPr>
          <w:spacing w:val="-50"/>
        </w:rPr>
        <w:t> </w:t>
      </w:r>
      <w:r>
        <w:rPr>
          <w:rFonts w:ascii="宋体" w:hAnsi="宋体" w:cs="宋体" w:eastAsia="宋体" w:hint="default"/>
        </w:rPr>
        <w:t>17%</w:t>
      </w:r>
      <w:r>
        <w:rPr/>
        <w:t>，</w:t>
      </w:r>
      <w:r>
        <w:rPr>
          <w:rFonts w:ascii="宋体" w:hAnsi="宋体" w:cs="宋体" w:eastAsia="宋体" w:hint="default"/>
        </w:rPr>
        <w:t>2017</w:t>
      </w:r>
      <w:r>
        <w:rPr>
          <w:rFonts w:ascii="宋体" w:hAnsi="宋体" w:cs="宋体" w:eastAsia="宋体" w:hint="default"/>
          <w:spacing w:val="-52"/>
        </w:rPr>
        <w:t> </w:t>
      </w:r>
      <w:r>
        <w:rPr/>
        <w:t>年经营现金流净</w:t>
      </w:r>
    </w:p>
    <w:p>
      <w:pPr>
        <w:pStyle w:val="Heading4"/>
        <w:spacing w:line="240" w:lineRule="auto" w:before="135"/>
        <w:ind w:right="0"/>
        <w:jc w:val="left"/>
      </w:pPr>
      <w:r>
        <w:rPr/>
        <w:t>额约</w:t>
      </w:r>
      <w:r>
        <w:rPr>
          <w:spacing w:val="-40"/>
        </w:rPr>
        <w:t> </w:t>
      </w:r>
      <w:r>
        <w:rPr>
          <w:rFonts w:ascii="宋体" w:hAnsi="宋体" w:cs="宋体" w:eastAsia="宋体" w:hint="default"/>
        </w:rPr>
        <w:t>1.05</w:t>
      </w:r>
      <w:r>
        <w:rPr>
          <w:rFonts w:ascii="宋体" w:hAnsi="宋体" w:cs="宋体" w:eastAsia="宋体" w:hint="default"/>
          <w:spacing w:val="-44"/>
        </w:rPr>
        <w:t> </w:t>
      </w:r>
      <w:r>
        <w:rPr>
          <w:spacing w:val="-3"/>
        </w:rPr>
        <w:t>亿元，公司现金储备非常充裕，有足够资金推进战略落地。公司</w:t>
      </w:r>
      <w:r>
        <w:rPr>
          <w:spacing w:val="-41"/>
        </w:rPr>
        <w:t> </w:t>
      </w:r>
      <w:r>
        <w:rPr>
          <w:rFonts w:ascii="宋体" w:hAnsi="宋体" w:cs="宋体" w:eastAsia="宋体" w:hint="default"/>
        </w:rPr>
        <w:t>2018</w:t>
      </w:r>
      <w:r>
        <w:rPr>
          <w:rFonts w:ascii="宋体" w:hAnsi="宋体" w:cs="宋体" w:eastAsia="宋体" w:hint="default"/>
          <w:spacing w:val="-41"/>
        </w:rPr>
        <w:t> </w:t>
      </w:r>
      <w:r>
        <w:rPr/>
        <w:t>年将联合沣源资本共同募</w:t>
      </w:r>
    </w:p>
    <w:p>
      <w:pPr>
        <w:pStyle w:val="Heading4"/>
        <w:spacing w:line="355" w:lineRule="auto"/>
        <w:ind w:right="287"/>
        <w:jc w:val="left"/>
        <w:rPr>
          <w:rFonts w:ascii="宋体" w:hAnsi="宋体" w:cs="宋体" w:eastAsia="宋体" w:hint="default"/>
        </w:rPr>
      </w:pPr>
      <w:r>
        <w:rPr/>
        <w:t>集总额超过</w:t>
      </w:r>
      <w:r>
        <w:rPr>
          <w:spacing w:val="-56"/>
        </w:rPr>
        <w:t> </w:t>
      </w:r>
      <w:r>
        <w:rPr>
          <w:rFonts w:ascii="宋体" w:hAnsi="宋体" w:cs="宋体" w:eastAsia="宋体" w:hint="default"/>
        </w:rPr>
        <w:t>6</w:t>
      </w:r>
      <w:r>
        <w:rPr>
          <w:rFonts w:ascii="宋体" w:hAnsi="宋体" w:cs="宋体" w:eastAsia="宋体" w:hint="default"/>
          <w:spacing w:val="-57"/>
        </w:rPr>
        <w:t> </w:t>
      </w:r>
      <w:r>
        <w:rPr/>
        <w:t>亿元的专项产业基金，围绕公司主业积极布局互联网</w:t>
      </w:r>
      <w:r>
        <w:rPr>
          <w:rFonts w:ascii="宋体" w:hAnsi="宋体" w:cs="宋体" w:eastAsia="宋体" w:hint="default"/>
        </w:rPr>
        <w:t>+</w:t>
      </w:r>
      <w:r>
        <w:rPr/>
        <w:t>、大数据、人工智能、企业服务、金</w:t>
      </w:r>
      <w:r>
        <w:rPr>
          <w:w w:val="100"/>
        </w:rPr>
        <w:t> </w:t>
      </w:r>
      <w:r>
        <w:rPr/>
        <w:t>融科技、物联网等领域的优质标的，充实生态圈，赋能优秀团队。</w:t>
      </w:r>
      <w:r>
        <w:rPr>
          <w:rFonts w:ascii="宋体" w:hAnsi="宋体" w:cs="宋体" w:eastAsia="宋体" w:hint="default"/>
        </w:rPr>
        <w:t> </w:t>
      </w:r>
    </w:p>
    <w:p>
      <w:pPr>
        <w:pStyle w:val="Heading3"/>
        <w:spacing w:line="240" w:lineRule="auto" w:before="32"/>
        <w:ind w:left="575" w:right="0"/>
        <w:jc w:val="left"/>
        <w:rPr>
          <w:rFonts w:ascii="宋体" w:hAnsi="宋体" w:cs="宋体" w:eastAsia="宋体" w:hint="default"/>
          <w:b w:val="0"/>
          <w:bCs w:val="0"/>
        </w:rPr>
      </w:pPr>
      <w:r>
        <w:rPr>
          <w:rFonts w:ascii="宋体" w:hAnsi="宋体" w:cs="宋体" w:eastAsia="宋体" w:hint="default"/>
        </w:rPr>
        <w:t>3</w:t>
      </w:r>
      <w:r>
        <w:rPr/>
        <w:t>、加大研发投入，内优外拓构筑核心能力</w:t>
      </w:r>
      <w:r>
        <w:rPr>
          <w:rFonts w:ascii="宋体" w:hAnsi="宋体" w:cs="宋体" w:eastAsia="宋体" w:hint="default"/>
          <w:w w:val="99"/>
        </w:rPr>
        <w:t> </w:t>
      </w:r>
      <w:r>
        <w:rPr>
          <w:rFonts w:ascii="宋体" w:hAnsi="宋体" w:cs="宋体" w:eastAsia="宋体" w:hint="default"/>
          <w:b w:val="0"/>
          <w:bCs w:val="0"/>
        </w:rPr>
      </w:r>
    </w:p>
    <w:p>
      <w:pPr>
        <w:pStyle w:val="Heading4"/>
        <w:spacing w:line="357" w:lineRule="auto" w:before="135"/>
        <w:ind w:right="0" w:firstLine="420"/>
        <w:jc w:val="left"/>
        <w:rPr>
          <w:rFonts w:ascii="宋体" w:hAnsi="宋体" w:cs="宋体" w:eastAsia="宋体" w:hint="default"/>
        </w:rPr>
      </w:pPr>
      <w:r>
        <w:rPr>
          <w:rFonts w:ascii="宋体" w:hAnsi="宋体" w:cs="宋体" w:eastAsia="宋体" w:hint="default"/>
        </w:rPr>
        <w:t>20l7</w:t>
      </w:r>
      <w:r>
        <w:rPr>
          <w:rFonts w:ascii="宋体" w:hAnsi="宋体" w:cs="宋体" w:eastAsia="宋体" w:hint="default"/>
          <w:spacing w:val="-56"/>
        </w:rPr>
        <w:t> </w:t>
      </w:r>
      <w:r>
        <w:rPr/>
        <w:t>年</w:t>
      </w:r>
      <w:r>
        <w:rPr>
          <w:rFonts w:ascii="宋体" w:hAnsi="宋体" w:cs="宋体" w:eastAsia="宋体" w:hint="default"/>
        </w:rPr>
        <w:t>,</w:t>
      </w:r>
      <w:r>
        <w:rPr/>
        <w:t>麦达数字启动数个研发及内部孵化项目，包括智慧营销板块的智慧营销“雷达”等项目，智</w:t>
      </w:r>
      <w:r>
        <w:rPr>
          <w:w w:val="100"/>
        </w:rPr>
        <w:t> </w:t>
      </w:r>
      <w:r>
        <w:rPr>
          <w:spacing w:val="-2"/>
        </w:rPr>
        <w:t>能硬件板块的智能照明等项目。未来公司将积极拥抱新经济时代的前端技术，围绕云计算、大数据、人工</w:t>
      </w:r>
      <w:r>
        <w:rPr>
          <w:spacing w:val="-44"/>
        </w:rPr>
        <w:t> </w:t>
      </w:r>
      <w:r>
        <w:rPr>
          <w:spacing w:val="-44"/>
        </w:rPr>
      </w:r>
      <w:r>
        <w:rPr>
          <w:spacing w:val="-5"/>
        </w:rPr>
        <w:t>智能、物联网这四大方向继续加大研发投入，内外并举，对内加强激励，推进合伙人及其他创新机制建设，</w:t>
      </w:r>
      <w:r>
        <w:rPr>
          <w:spacing w:val="-10"/>
        </w:rPr>
        <w:t> </w:t>
      </w:r>
      <w:r>
        <w:rPr>
          <w:spacing w:val="-10"/>
        </w:rPr>
      </w:r>
      <w:r>
        <w:rPr>
          <w:spacing w:val="-2"/>
        </w:rPr>
        <w:t>激发员工主动性，加大研发设备投入；对外招贤纳士，通过引入优秀人才以及投资具有卓越技术能力的科</w:t>
      </w:r>
      <w:r>
        <w:rPr>
          <w:spacing w:val="-43"/>
        </w:rPr>
        <w:t> </w:t>
      </w:r>
      <w:r>
        <w:rPr>
          <w:spacing w:val="-43"/>
        </w:rPr>
      </w:r>
      <w:r>
        <w:rPr/>
        <w:t>技公司，实现技术能力的飞跃。</w:t>
      </w:r>
      <w:r>
        <w:rPr>
          <w:rFonts w:ascii="宋体" w:hAnsi="宋体" w:cs="宋体" w:eastAsia="宋体" w:hint="default"/>
        </w:rPr>
        <w:t> </w:t>
      </w:r>
    </w:p>
    <w:p>
      <w:pPr>
        <w:pStyle w:val="Heading3"/>
        <w:spacing w:line="240" w:lineRule="auto" w:before="32"/>
        <w:ind w:left="575" w:right="0"/>
        <w:jc w:val="left"/>
        <w:rPr>
          <w:rFonts w:ascii="宋体" w:hAnsi="宋体" w:cs="宋体" w:eastAsia="宋体" w:hint="default"/>
          <w:b w:val="0"/>
          <w:bCs w:val="0"/>
        </w:rPr>
      </w:pPr>
      <w:r>
        <w:rPr>
          <w:rFonts w:ascii="宋体" w:hAnsi="宋体" w:cs="宋体" w:eastAsia="宋体" w:hint="default"/>
        </w:rPr>
        <w:t>4</w:t>
      </w:r>
      <w:r>
        <w:rPr/>
        <w:t>、创新机制推进变革，提升公司竞争软实力</w:t>
      </w:r>
      <w:r>
        <w:rPr>
          <w:rFonts w:ascii="宋体" w:hAnsi="宋体" w:cs="宋体" w:eastAsia="宋体" w:hint="default"/>
          <w:w w:val="99"/>
        </w:rPr>
        <w:t> </w:t>
      </w:r>
      <w:r>
        <w:rPr>
          <w:rFonts w:ascii="宋体" w:hAnsi="宋体" w:cs="宋体" w:eastAsia="宋体" w:hint="default"/>
          <w:b w:val="0"/>
          <w:bCs w:val="0"/>
        </w:rPr>
      </w:r>
    </w:p>
    <w:p>
      <w:pPr>
        <w:pStyle w:val="Heading4"/>
        <w:spacing w:line="355" w:lineRule="auto"/>
        <w:ind w:right="0" w:firstLine="420"/>
        <w:jc w:val="left"/>
        <w:rPr>
          <w:rFonts w:ascii="宋体" w:hAnsi="宋体" w:cs="宋体" w:eastAsia="宋体" w:hint="default"/>
        </w:rPr>
      </w:pPr>
      <w:r>
        <w:rPr/>
        <w:t>公司于</w:t>
      </w:r>
      <w:r>
        <w:rPr>
          <w:spacing w:val="-55"/>
        </w:rPr>
        <w:t> </w:t>
      </w:r>
      <w:r>
        <w:rPr>
          <w:rFonts w:ascii="宋体" w:hAnsi="宋体" w:cs="宋体" w:eastAsia="宋体" w:hint="default"/>
        </w:rPr>
        <w:t>2016</w:t>
      </w:r>
      <w:r>
        <w:rPr>
          <w:rFonts w:ascii="宋体" w:hAnsi="宋体" w:cs="宋体" w:eastAsia="宋体" w:hint="default"/>
          <w:spacing w:val="-55"/>
        </w:rPr>
        <w:t> </w:t>
      </w:r>
      <w:r>
        <w:rPr/>
        <w:t>年启动机制创新，开始引入合伙人机制，并成为公司重要的人力战略举措。在有利于公</w:t>
      </w:r>
      <w:r>
        <w:rPr>
          <w:w w:val="100"/>
        </w:rPr>
        <w:t> </w:t>
      </w:r>
      <w:r>
        <w:rPr>
          <w:spacing w:val="-2"/>
        </w:rPr>
        <w:t>司发展的前提下，公司会根据各业务板块的实际情况，持续引入符合公司战略规划的合伙人，通过合伙人</w:t>
      </w:r>
      <w:r>
        <w:rPr>
          <w:spacing w:val="-44"/>
        </w:rPr>
        <w:t> </w:t>
      </w:r>
      <w:r>
        <w:rPr>
          <w:spacing w:val="-44"/>
        </w:rPr>
      </w:r>
      <w:r>
        <w:rPr/>
        <w:t>团队建设，推进公司战略布局顺利落地的同时，也为公司战略实施储备充足的人才。</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32"/>
        <w:ind w:left="575" w:right="0"/>
        <w:jc w:val="left"/>
        <w:rPr>
          <w:rFonts w:ascii="宋体" w:hAnsi="宋体" w:cs="宋体" w:eastAsia="宋体" w:hint="default"/>
          <w:b w:val="0"/>
          <w:bCs w:val="0"/>
        </w:rPr>
      </w:pPr>
      <w:r>
        <w:rPr/>
        <w:t>结语</w:t>
      </w:r>
      <w:r>
        <w:rPr>
          <w:rFonts w:ascii="宋体" w:hAnsi="宋体" w:cs="宋体" w:eastAsia="宋体" w:hint="default"/>
          <w:w w:val="99"/>
        </w:rPr>
        <w:t> </w:t>
      </w:r>
      <w:r>
        <w:rPr>
          <w:rFonts w:ascii="宋体" w:hAnsi="宋体" w:cs="宋体" w:eastAsia="宋体" w:hint="default"/>
          <w:b w:val="0"/>
          <w:bCs w:val="0"/>
        </w:rPr>
      </w:r>
    </w:p>
    <w:p>
      <w:pPr>
        <w:pStyle w:val="Heading4"/>
        <w:spacing w:line="357" w:lineRule="auto" w:before="135"/>
        <w:ind w:right="201" w:firstLine="420"/>
        <w:jc w:val="left"/>
        <w:rPr>
          <w:rFonts w:ascii="宋体" w:hAnsi="宋体" w:cs="宋体" w:eastAsia="宋体" w:hint="default"/>
        </w:rPr>
      </w:pPr>
      <w:r>
        <w:rPr/>
        <w:t>在过去的</w:t>
      </w:r>
      <w:r>
        <w:rPr>
          <w:spacing w:val="-65"/>
        </w:rPr>
        <w:t> </w:t>
      </w:r>
      <w:r>
        <w:rPr>
          <w:rFonts w:ascii="宋体" w:hAnsi="宋体" w:cs="宋体" w:eastAsia="宋体" w:hint="default"/>
        </w:rPr>
        <w:t>5</w:t>
      </w:r>
      <w:r>
        <w:rPr>
          <w:rFonts w:ascii="宋体" w:hAnsi="宋体" w:cs="宋体" w:eastAsia="宋体" w:hint="default"/>
          <w:spacing w:val="-67"/>
        </w:rPr>
        <w:t> </w:t>
      </w:r>
      <w:r>
        <w:rPr/>
        <w:t>年中，新经济的蓬勃活力让千千万万人感受着生活的便利和美好。重塑创新体系、激发创</w:t>
      </w:r>
      <w:r>
        <w:rPr>
          <w:w w:val="100"/>
        </w:rPr>
        <w:t> </w:t>
      </w:r>
      <w:r>
        <w:rPr>
          <w:spacing w:val="-4"/>
          <w:w w:val="100"/>
        </w:rPr>
        <w:t>新活力、培育新兴业态，新经济不仅提升着人们的“获得感”，也在为经济社会各领域转型升级注入新能</w:t>
      </w:r>
      <w:r>
        <w:rPr>
          <w:spacing w:val="-90"/>
          <w:w w:val="100"/>
        </w:rPr>
        <w:t> </w:t>
      </w:r>
      <w:r>
        <w:rPr>
          <w:spacing w:val="-90"/>
          <w:w w:val="100"/>
        </w:rPr>
      </w:r>
      <w:r>
        <w:rPr>
          <w:spacing w:val="-2"/>
        </w:rPr>
        <w:t>量。新经济与传统产业不断加速融合，推动产业链、供应链与价值链重塑，为新旧动能接续转换注入强劲</w:t>
      </w:r>
      <w:r>
        <w:rPr>
          <w:spacing w:val="-47"/>
        </w:rPr>
        <w:t> </w:t>
      </w:r>
      <w:r>
        <w:rPr>
          <w:spacing w:val="-47"/>
        </w:rPr>
      </w:r>
      <w:r>
        <w:rPr/>
        <w:t>动力。麦达数字自</w:t>
      </w:r>
      <w:r>
        <w:rPr>
          <w:spacing w:val="-55"/>
        </w:rPr>
        <w:t> </w:t>
      </w:r>
      <w:r>
        <w:rPr>
          <w:rFonts w:ascii="宋体" w:hAnsi="宋体" w:cs="宋体" w:eastAsia="宋体" w:hint="default"/>
        </w:rPr>
        <w:t>2014</w:t>
      </w:r>
      <w:r>
        <w:rPr>
          <w:rFonts w:ascii="宋体" w:hAnsi="宋体" w:cs="宋体" w:eastAsia="宋体" w:hint="default"/>
          <w:spacing w:val="-57"/>
        </w:rPr>
        <w:t> </w:t>
      </w:r>
      <w:r>
        <w:rPr/>
        <w:t>年开始在新经济的道路中上下求索，大胆创新，最终确定结合自身优势，以智慧</w:t>
      </w:r>
      <w:r>
        <w:rPr>
          <w:w w:val="100"/>
        </w:rPr>
        <w:t> </w:t>
      </w:r>
      <w:r>
        <w:rPr>
          <w:spacing w:val="-2"/>
        </w:rPr>
        <w:t>营销与智能硬件为核心，寻求业务场景与智慧营销、智能硬件结合的解决方案，跻身时代潮流，抓住发展</w:t>
      </w:r>
      <w:r>
        <w:rPr>
          <w:spacing w:val="-47"/>
        </w:rPr>
        <w:t> </w:t>
      </w:r>
      <w:r>
        <w:rPr>
          <w:spacing w:val="-47"/>
        </w:rPr>
      </w:r>
      <w:r>
        <w:rPr/>
        <w:t>机遇。过去</w:t>
      </w:r>
      <w:r>
        <w:rPr>
          <w:spacing w:val="-54"/>
        </w:rPr>
        <w:t> </w:t>
      </w:r>
      <w:r>
        <w:rPr>
          <w:rFonts w:ascii="宋体" w:hAnsi="宋体" w:cs="宋体" w:eastAsia="宋体" w:hint="default"/>
        </w:rPr>
        <w:t>20</w:t>
      </w:r>
      <w:r>
        <w:rPr>
          <w:rFonts w:ascii="宋体" w:hAnsi="宋体" w:cs="宋体" w:eastAsia="宋体" w:hint="default"/>
          <w:spacing w:val="-57"/>
        </w:rPr>
        <w:t> </w:t>
      </w:r>
      <w:r>
        <w:rPr/>
        <w:t>年来，麦达数字一步一个脚印，经历着先发展、后转型、外扩张、内整合，正式组建了自</w:t>
      </w:r>
      <w:r>
        <w:rPr>
          <w:w w:val="100"/>
        </w:rPr>
        <w:t> </w:t>
      </w:r>
      <w:r>
        <w:rPr/>
        <w:t>己的业务航母，必将在未来的岁月中，乘风破浪，再创辉煌。</w:t>
      </w:r>
      <w:r>
        <w:rPr>
          <w:rFonts w:ascii="宋体" w:hAnsi="宋体" w:cs="宋体" w:eastAsia="宋体" w:hint="default"/>
        </w:rPr>
        <w:t> </w:t>
      </w:r>
    </w:p>
    <w:p>
      <w:pPr>
        <w:pStyle w:val="Heading4"/>
        <w:spacing w:line="240" w:lineRule="auto" w:before="30"/>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rPr>
      </w:pPr>
      <w:r>
        <w:rPr>
          <w:rFonts w:ascii="宋体"/>
          <w:w w:val="100"/>
        </w:rPr>
        <w:t> </w:t>
      </w:r>
    </w:p>
    <w:p>
      <w:pPr>
        <w:pStyle w:val="Heading4"/>
        <w:spacing w:line="240" w:lineRule="auto" w:before="135"/>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rPr>
      </w:pPr>
      <w:r>
        <w:rPr>
          <w:rFonts w:ascii="宋体"/>
          <w:w w:val="100"/>
        </w:rPr>
        <w:t> </w:t>
      </w:r>
    </w:p>
    <w:p>
      <w:pPr>
        <w:pStyle w:val="Heading4"/>
        <w:spacing w:line="357" w:lineRule="auto"/>
        <w:ind w:left="7294" w:right="527" w:hanging="840"/>
        <w:jc w:val="left"/>
        <w:rPr>
          <w:rFonts w:ascii="宋体" w:hAnsi="宋体" w:cs="宋体" w:eastAsia="宋体" w:hint="default"/>
        </w:rPr>
      </w:pPr>
      <w:r>
        <w:rPr/>
        <w:t>深圳市麦达数字股份有限公司</w:t>
      </w:r>
      <w:r>
        <w:rPr>
          <w:rFonts w:ascii="宋体" w:hAnsi="宋体" w:cs="宋体" w:eastAsia="宋体" w:hint="default"/>
          <w:w w:val="100"/>
        </w:rPr>
        <w:t> </w:t>
      </w:r>
      <w:r>
        <w:rPr>
          <w:rFonts w:ascii="宋体" w:hAnsi="宋体" w:cs="宋体" w:eastAsia="宋体" w:hint="default"/>
        </w:rPr>
        <w:t>CEO</w:t>
      </w:r>
      <w:r>
        <w:rPr>
          <w:rFonts w:ascii="宋体" w:hAnsi="宋体" w:cs="宋体" w:eastAsia="宋体" w:hint="default"/>
          <w:spacing w:val="104"/>
        </w:rPr>
        <w:t> </w:t>
      </w:r>
      <w:r>
        <w:rPr/>
        <w:t>乔昕</w:t>
      </w:r>
      <w:r>
        <w:rPr>
          <w:rFonts w:ascii="宋体" w:hAnsi="宋体" w:cs="宋体" w:eastAsia="宋体" w:hint="default"/>
        </w:rPr>
        <w:t> </w:t>
      </w:r>
    </w:p>
    <w:p>
      <w:pPr>
        <w:spacing w:after="0" w:line="357" w:lineRule="auto"/>
        <w:jc w:val="left"/>
        <w:rPr>
          <w:rFonts w:ascii="宋体" w:hAnsi="宋体" w:cs="宋体" w:eastAsia="宋体" w:hint="default"/>
        </w:rPr>
        <w:sectPr>
          <w:pgSz w:w="11910" w:h="16840"/>
          <w:pgMar w:header="745" w:footer="980" w:top="1060" w:bottom="1160" w:left="980" w:right="920"/>
        </w:sectPr>
      </w:pPr>
    </w:p>
    <w:p>
      <w:pPr>
        <w:spacing w:line="240" w:lineRule="auto" w:before="0"/>
        <w:rPr>
          <w:rFonts w:ascii="宋体" w:hAnsi="宋体" w:cs="宋体" w:eastAsia="宋体" w:hint="default"/>
          <w:sz w:val="20"/>
          <w:szCs w:val="20"/>
        </w:rPr>
      </w:pPr>
      <w:r>
        <w:rPr/>
        <w:pict>
          <v:group style="position:absolute;margin-left:172.339996pt;margin-top:274.705994pt;width:361.55pt;height:19.75pt;mso-position-horizontal-relative:page;mso-position-vertical-relative:page;z-index:-1102408" coordorigin="3447,5494" coordsize="7231,395">
            <v:shape style="position:absolute;left:3447;top:5494;width:7231;height:395" coordorigin="3447,5494" coordsize="7231,395" path="m3447,5888l10677,5888,10677,5494,3447,5494,3447,5888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642" w:right="153"/>
        <w:jc w:val="left"/>
        <w:rPr>
          <w:b w:val="0"/>
          <w:bCs w:val="0"/>
        </w:rPr>
      </w:pP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53"/>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3"/>
        <w:gridCol w:w="2188"/>
      </w:tblGrid>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麦达数字</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002137</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深圳市麦达数字股份有限公司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麦达数字</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SHEN ZHEN </w:t>
            </w:r>
            <w:r>
              <w:rPr>
                <w:rFonts w:ascii="Times New Roman"/>
                <w:spacing w:val="-6"/>
                <w:sz w:val="18"/>
              </w:rPr>
              <w:t>MINDATA </w:t>
            </w:r>
            <w:r>
              <w:rPr>
                <w:rFonts w:ascii="Times New Roman"/>
                <w:sz w:val="18"/>
              </w:rPr>
              <w:t>HOLDING CO.,</w:t>
            </w:r>
            <w:r>
              <w:rPr>
                <w:rFonts w:ascii="Times New Roman"/>
                <w:spacing w:val="-3"/>
                <w:sz w:val="18"/>
              </w:rPr>
              <w:t> </w:t>
            </w:r>
            <w:r>
              <w:rPr>
                <w:rFonts w:ascii="Times New Roman"/>
                <w:spacing w:val="-7"/>
                <w:sz w:val="18"/>
              </w:rPr>
              <w:t>LTD</w:t>
            </w:r>
          </w:p>
        </w:tc>
      </w:tr>
      <w:tr>
        <w:trPr>
          <w:trHeight w:val="404"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pacing w:val="-5"/>
                <w:sz w:val="18"/>
              </w:rPr>
              <w:t>MINDATA</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陈亚妹</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深圳市龙岗区宝龙工业城宝龙六路实益达科技园</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518116</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深圳市福田区彩田路新浩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2801</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518000</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www.mindatagroup.com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dmb@mindatagroup.com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朱蕾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陈世蓉</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深圳市福田区彩田路新浩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深圳市福田区彩田路新浩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2801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0755-29672878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0755-29672878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0755-29672878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0755-29672878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0">
              <w:r>
                <w:rPr>
                  <w:rFonts w:ascii="Times New Roman"/>
                  <w:sz w:val="18"/>
                </w:rPr>
                <w:t>dmb@mindatagroup.com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1">
              <w:r>
                <w:rPr>
                  <w:rFonts w:ascii="Times New Roman"/>
                  <w:sz w:val="18"/>
                </w:rPr>
                <w:t>Shirong.Chen@mindatagroup.com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6"/>
                <w:sz w:val="18"/>
                <w:szCs w:val="18"/>
              </w:rPr>
              <w:t> </w:t>
            </w:r>
            <w:hyperlink r:id="rId12">
              <w:r>
                <w:rPr>
                  <w:rFonts w:ascii="Times New Roman" w:hAnsi="Times New Roman" w:cs="Times New Roman" w:eastAsia="Times New Roman" w:hint="default"/>
                  <w:sz w:val="18"/>
                  <w:szCs w:val="18"/>
                </w:rPr>
                <w:t>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公司董事会秘书办公室</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153"/>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914403007084140579</w:t>
            </w:r>
          </w:p>
        </w:tc>
      </w:tr>
      <w:tr>
        <w:trPr>
          <w:trHeight w:val="165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年公司启动战略转型，并于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年通过并购重组进入数字营销领域，并成 为公司的主要业绩构成。新的产业理念不断升级现有两个业务板块，传统制造行 业定位于智能硬件产品解决方案提供商，数字营销行业逐步纳入技术、数据驱动 等新的营销</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产品元素，进而向智慧营销转变。未来公司的业务将由智慧营销</w:t>
            </w:r>
            <w:r>
              <w:rPr>
                <w:rFonts w:ascii="宋体" w:hAnsi="宋体" w:cs="宋体" w:eastAsia="宋体" w:hint="default"/>
                <w:sz w:val="18"/>
                <w:szCs w:val="18"/>
              </w:rPr>
              <w:t> 和智能硬件双轮驱动。</w:t>
            </w:r>
          </w:p>
        </w:tc>
      </w:tr>
      <w:tr>
        <w:trPr>
          <w:trHeight w:val="196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日，公司实际控制人陈亚妹女士与新余天道酬勤投资发展有限公 </w:t>
            </w:r>
            <w:r>
              <w:rPr>
                <w:rFonts w:ascii="宋体" w:hAnsi="宋体" w:cs="宋体" w:eastAsia="宋体" w:hint="default"/>
                <w:spacing w:val="-5"/>
                <w:sz w:val="18"/>
                <w:szCs w:val="18"/>
              </w:rPr>
              <w:t>司签署了《股份转让协议书》，新余天道酬勤投资发展有限公司将其持有的公司全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部股份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217,741,121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股协议转让给陈亚妹女士，该部分股份于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日完</w:t>
            </w:r>
          </w:p>
          <w:p>
            <w:pPr>
              <w:pStyle w:val="TableParagraph"/>
              <w:spacing w:line="240" w:lineRule="auto" w:before="7"/>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成股份过户登记手续，中国证券登记结算有限责任公司深圳分公司于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300" w:lineRule="auto" w:before="63"/>
              <w:ind w:left="23" w:right="42"/>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日出具了《证券过户登记确认书》，本次股份转让过户事项全部完成，由此</w:t>
            </w:r>
            <w:r>
              <w:rPr>
                <w:rFonts w:ascii="宋体" w:hAnsi="宋体" w:cs="宋体" w:eastAsia="宋体" w:hint="default"/>
                <w:sz w:val="18"/>
                <w:szCs w:val="18"/>
              </w:rPr>
              <w:t> 公司控股股东由新余天道酬勤投资发展有限公司变更为陈亚妹女士。</w:t>
            </w:r>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1101</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张兴、吴金娥</w:t>
            </w:r>
          </w:p>
        </w:tc>
      </w:tr>
    </w:tbl>
    <w:p>
      <w:pPr>
        <w:pStyle w:val="BodyText"/>
        <w:spacing w:line="240" w:lineRule="auto" w:before="49"/>
        <w:ind w:right="153"/>
        <w:jc w:val="left"/>
      </w:pPr>
      <w:r>
        <w:rPr/>
        <w:t>公司聘请的报告期内履行持续督导职责的保荐机构</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1"/>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公司是否需追溯调整或重述以前年度会计数据</w:t>
      </w:r>
    </w:p>
    <w:p>
      <w:pPr>
        <w:pStyle w:val="BodyText"/>
        <w:spacing w:line="240" w:lineRule="auto" w:before="117"/>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6"/>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935,965,359.52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798,906,480.91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418,136,133.60</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75,327,297.44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149,987,651.76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-49.78%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18,172,467.25</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52,124,287.07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16,689,969.07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212.31%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11,212,585.49</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105,311,586.05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34,836,526.01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53,946,600.81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0.1308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0.2630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0.0392</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0.1304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0.2625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0.0391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6"/>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2,077,610,091.38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1,903,730,202.94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1,333,032,517.44</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1,697,491,328.94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1,609,240,897.39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898,091,989.51</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6"/>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53"/>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1"/>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184,906,939.53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220,920,830.59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220,868,491.00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309,269,098.40</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16,372,940.93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19,331,493.85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25,387,036.26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14,235,826.40</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74" w:right="33" w:hanging="54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9,228,195.81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15,712,283.05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18,421,169.78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8,762,638.43</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42,543,421.16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-27,839,512.72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21,605,729.51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69,001,948.10</w:t>
            </w:r>
          </w:p>
        </w:tc>
      </w:tr>
    </w:tbl>
    <w:p>
      <w:pPr>
        <w:pStyle w:val="BodyText"/>
        <w:spacing w:line="240" w:lineRule="auto" w:before="49"/>
        <w:ind w:right="153"/>
        <w:jc w:val="left"/>
      </w:pPr>
      <w:r>
        <w:rPr/>
        <w:t>上述财务指标或其加总数是否与公司已披露季度报告、半年度报告相关财务指标存在重大差异</w:t>
      </w:r>
    </w:p>
    <w:p>
      <w:pPr>
        <w:pStyle w:val="BodyText"/>
        <w:spacing w:line="240" w:lineRule="auto" w:before="115"/>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2"/>
      </w:tblGrid>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-5,230,285.75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116,525,131.06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1,857,783.03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6"/>
              <w:jc w:val="left"/>
              <w:rPr>
                <w:rFonts w:ascii="宋体" w:hAnsi="宋体" w:cs="宋体" w:eastAsia="宋体" w:hint="default"/>
                <w:sz w:val="18"/>
                <w:szCs w:val="18"/>
              </w:rPr>
            </w:pPr>
            <w:r>
              <w:rPr>
                <w:rFonts w:ascii="宋体" w:hAnsi="宋体" w:cs="宋体" w:eastAsia="宋体" w:hint="default"/>
                <w:sz w:val="18"/>
                <w:szCs w:val="18"/>
              </w:rPr>
              <w:t>主要系无锡实益达土 地政府收回</w:t>
            </w: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8,392,632.56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3,497,492.04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1,304,879.96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6"/>
              <w:jc w:val="both"/>
              <w:rPr>
                <w:rFonts w:ascii="宋体" w:hAnsi="宋体" w:cs="宋体" w:eastAsia="宋体" w:hint="default"/>
                <w:sz w:val="18"/>
                <w:szCs w:val="18"/>
              </w:rPr>
            </w:pPr>
            <w:r>
              <w:rPr>
                <w:rFonts w:ascii="宋体" w:hAnsi="宋体" w:cs="宋体" w:eastAsia="宋体" w:hint="default"/>
                <w:sz w:val="18"/>
                <w:szCs w:val="18"/>
              </w:rPr>
              <w:t>主要系因符合地方性 扶持政策而获得的补 助</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2"/>
      </w:tblGrid>
      <w:tr>
        <w:trPr>
          <w:trHeight w:val="102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2,749.10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20,054,567.97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13,554,093.06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4,093,600.17</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6"/>
              <w:jc w:val="both"/>
              <w:rPr>
                <w:rFonts w:ascii="宋体" w:hAnsi="宋体" w:cs="宋体" w:eastAsia="宋体" w:hint="default"/>
                <w:sz w:val="18"/>
                <w:szCs w:val="18"/>
              </w:rPr>
            </w:pPr>
            <w:r>
              <w:rPr>
                <w:rFonts w:ascii="宋体" w:hAnsi="宋体" w:cs="宋体" w:eastAsia="宋体" w:hint="default"/>
                <w:sz w:val="18"/>
                <w:szCs w:val="18"/>
              </w:rPr>
              <w:t>主要系购买金融机构 现金管理类产品所获 取的收益</w:t>
            </w: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6"/>
              <w:jc w:val="left"/>
              <w:rPr>
                <w:rFonts w:ascii="宋体" w:hAnsi="宋体" w:cs="宋体" w:eastAsia="宋体" w:hint="default"/>
                <w:sz w:val="18"/>
                <w:szCs w:val="18"/>
              </w:rPr>
            </w:pPr>
            <w:r>
              <w:rPr>
                <w:rFonts w:ascii="宋体" w:hAnsi="宋体" w:cs="宋体" w:eastAsia="宋体" w:hint="default"/>
                <w:sz w:val="18"/>
                <w:szCs w:val="18"/>
              </w:rPr>
              <w:t>政府回收土地后归还 原保证金</w:t>
            </w: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1,955,206.10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948,233.33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-277,551.26</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3,460,629.86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946,734.95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16,499.74</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1,511,229.75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280,531.85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2,330.40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23,203,010.37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133,297,682.69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6,959,881.76</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3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1"/>
        <w:spacing w:line="240" w:lineRule="auto"/>
        <w:ind w:right="355"/>
        <w:jc w:val="center"/>
        <w:rPr>
          <w:b w:val="0"/>
          <w:bCs w:val="0"/>
        </w:rPr>
      </w:pPr>
      <w:bookmarkStart w:name="_bookmark1" w:id="2"/>
      <w:bookmarkEnd w:id="2"/>
      <w:r>
        <w:rPr>
          <w:b w:val="0"/>
          <w:bCs w:val="0"/>
        </w:rPr>
      </w:r>
      <w:r>
        <w:rPr/>
        <w:t>第三节</w:t>
      </w:r>
      <w:r>
        <w:rPr>
          <w:spacing w:val="-6"/>
        </w:rPr>
        <w:t> </w:t>
      </w:r>
      <w:r>
        <w:rPr/>
        <w:t>公司业务概要</w:t>
      </w:r>
      <w:r>
        <w:rPr>
          <w:b w:val="0"/>
          <w:bCs w:val="0"/>
        </w:rPr>
      </w:r>
    </w:p>
    <w:p>
      <w:pPr>
        <w:spacing w:line="240" w:lineRule="auto" w:before="13"/>
        <w:rPr>
          <w:rFonts w:ascii="宋体" w:hAnsi="宋体" w:cs="宋体" w:eastAsia="宋体" w:hint="default"/>
          <w:b/>
          <w:bCs/>
          <w:sz w:val="38"/>
          <w:szCs w:val="38"/>
        </w:rPr>
      </w:pPr>
    </w:p>
    <w:p>
      <w:pPr>
        <w:pStyle w:val="Heading2"/>
        <w:spacing w:line="240" w:lineRule="auto"/>
        <w:ind w:right="254"/>
        <w:jc w:val="left"/>
        <w:rPr>
          <w:b w:val="0"/>
          <w:bCs w:val="0"/>
        </w:rPr>
      </w:pP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6754"/>
        <w:jc w:val="left"/>
      </w:pPr>
      <w:r>
        <w:rPr/>
        <w:t>公司是否需要遵守特殊行业的披露要求 否</w:t>
      </w:r>
    </w:p>
    <w:p>
      <w:pPr>
        <w:pStyle w:val="Heading5"/>
        <w:spacing w:line="237" w:lineRule="exact"/>
        <w:ind w:left="590" w:right="254"/>
        <w:jc w:val="left"/>
        <w:rPr>
          <w:b w:val="0"/>
          <w:bCs w:val="0"/>
        </w:rPr>
      </w:pPr>
      <w:r>
        <w:rPr>
          <w:rFonts w:ascii="Times New Roman" w:hAnsi="Times New Roman" w:cs="Times New Roman" w:eastAsia="Times New Roman" w:hint="default"/>
        </w:rPr>
        <w:t>1</w:t>
      </w:r>
      <w:r>
        <w:rPr/>
        <w:t>、公司从事的主要业务类型</w:t>
      </w:r>
      <w:r>
        <w:rPr>
          <w:b w:val="0"/>
          <w:bCs w:val="0"/>
        </w:rPr>
      </w:r>
    </w:p>
    <w:p>
      <w:pPr>
        <w:pStyle w:val="BodyText"/>
        <w:spacing w:line="357" w:lineRule="auto" w:before="101"/>
        <w:ind w:left="532" w:right="254" w:firstLine="19"/>
        <w:jc w:val="left"/>
      </w:pPr>
      <w:r>
        <w:rPr/>
        <w:t>公司业务目前主要包括智慧营销和智能硬件两个业务板块。 在智慧营销板块，公司旗下现有多家数字营销公司，涵盖创意、策略、媒体投放、社会化媒体营销等细分业务，搭建</w:t>
      </w:r>
    </w:p>
    <w:p>
      <w:pPr>
        <w:pStyle w:val="BodyText"/>
        <w:spacing w:line="348" w:lineRule="auto" w:before="26"/>
        <w:ind w:right="188"/>
        <w:jc w:val="both"/>
      </w:pPr>
      <w:r>
        <w:rPr>
          <w:spacing w:val="-2"/>
        </w:rPr>
        <w:t>了全产业链、全媒体一站式整合数字营销平台。数字营销业务是公司当前收入和利润的重要组成部分，</w:t>
      </w:r>
      <w:r>
        <w:rPr>
          <w:rFonts w:ascii="Times New Roman" w:hAnsi="Times New Roman" w:cs="Times New Roman" w:eastAsia="Times New Roman" w:hint="default"/>
          <w:spacing w:val="-2"/>
        </w:rPr>
        <w:t>2017</w:t>
      </w:r>
      <w:r>
        <w:rPr>
          <w:spacing w:val="-2"/>
        </w:rPr>
        <w:t>年度数字营销板</w:t>
      </w:r>
      <w:r>
        <w:rPr>
          <w:spacing w:val="-58"/>
        </w:rPr>
        <w:t> </w:t>
      </w:r>
      <w:r>
        <w:rPr>
          <w:spacing w:val="-58"/>
        </w:rPr>
      </w:r>
      <w:r>
        <w:rPr>
          <w:spacing w:val="-2"/>
        </w:rPr>
        <w:t>块的收入占比为</w:t>
      </w:r>
      <w:r>
        <w:rPr>
          <w:rFonts w:ascii="Times New Roman" w:hAnsi="Times New Roman" w:cs="Times New Roman" w:eastAsia="Times New Roman" w:hint="default"/>
          <w:spacing w:val="-2"/>
        </w:rPr>
        <w:t>60.65%</w:t>
      </w:r>
      <w:r>
        <w:rPr>
          <w:spacing w:val="-2"/>
        </w:rPr>
        <w:t>，净利润占比为</w:t>
      </w:r>
      <w:r>
        <w:rPr>
          <w:rFonts w:ascii="Times New Roman" w:hAnsi="Times New Roman" w:cs="Times New Roman" w:eastAsia="Times New Roman" w:hint="default"/>
          <w:spacing w:val="-2"/>
        </w:rPr>
        <w:t>121.37%</w:t>
      </w:r>
      <w:r>
        <w:rPr>
          <w:spacing w:val="-2"/>
        </w:rPr>
        <w:t>；报告期内，公司收购了六度人和</w:t>
      </w:r>
      <w:r>
        <w:rPr>
          <w:rFonts w:ascii="Times New Roman" w:hAnsi="Times New Roman" w:cs="Times New Roman" w:eastAsia="Times New Roman" w:hint="default"/>
          <w:spacing w:val="-2"/>
        </w:rPr>
        <w:t>SaaS</w:t>
      </w:r>
      <w:r>
        <w:rPr>
          <w:spacing w:val="-2"/>
        </w:rPr>
        <w:t>产品的增值分销商</w:t>
      </w:r>
      <w:r>
        <w:rPr>
          <w:rFonts w:ascii="Times New Roman" w:hAnsi="Times New Roman" w:cs="Times New Roman" w:eastAsia="Times New Roman" w:hint="default"/>
          <w:spacing w:val="-2"/>
        </w:rPr>
        <w:t>-</w:t>
      </w:r>
      <w:r>
        <w:rPr>
          <w:spacing w:val="-2"/>
        </w:rPr>
        <w:t>北京麦达，投资大</w:t>
      </w:r>
      <w:r>
        <w:rPr>
          <w:spacing w:val="-52"/>
        </w:rPr>
        <w:t> </w:t>
      </w:r>
      <w:r>
        <w:rPr>
          <w:spacing w:val="-52"/>
        </w:rPr>
      </w:r>
      <w:r>
        <w:rPr/>
        <w:t>数据风控技术服务提供商</w:t>
      </w:r>
      <w:r>
        <w:rPr>
          <w:rFonts w:ascii="Times New Roman" w:hAnsi="Times New Roman" w:cs="Times New Roman" w:eastAsia="Times New Roman" w:hint="default"/>
        </w:rPr>
        <w:t>-</w:t>
      </w:r>
      <w:r>
        <w:rPr/>
        <w:t>富数科技，并引入甲骨文全球副总裁高礼强等互联网领域富有管理和技术经验的行业专家加盟公 </w:t>
      </w:r>
      <w:r>
        <w:rPr>
          <w:spacing w:val="-2"/>
        </w:rPr>
        <w:t>司。公司基于现有的数字营销业务，结合新的技术、产品和数据，正致力于研发和孵化营销技术项目。未来公司将以技术为</w:t>
      </w:r>
      <w:r>
        <w:rPr>
          <w:spacing w:val="-67"/>
        </w:rPr>
        <w:t> </w:t>
      </w:r>
      <w:r>
        <w:rPr>
          <w:spacing w:val="-67"/>
        </w:rPr>
      </w:r>
      <w:r>
        <w:rPr>
          <w:spacing w:val="-2"/>
        </w:rPr>
        <w:t>基础，持续加大企业营销产业链各服务商整合力度，致力于为企业客户提供以技术为桥梁、数据为驱动的一站式营销数字化</w:t>
      </w:r>
      <w:r>
        <w:rPr>
          <w:spacing w:val="-63"/>
        </w:rPr>
        <w:t> </w:t>
      </w:r>
      <w:r>
        <w:rPr>
          <w:spacing w:val="-63"/>
        </w:rPr>
      </w:r>
      <w:r>
        <w:rPr>
          <w:spacing w:val="-2"/>
        </w:rPr>
        <w:t>转型服务，助力企业客户实现全链路数据打通，获得用户精准画像和洞察、产生创意，精准触达；同时不断沉淀数据，推进</w:t>
      </w:r>
      <w:r>
        <w:rPr>
          <w:spacing w:val="-68"/>
        </w:rPr>
        <w:t> </w:t>
      </w:r>
      <w:r>
        <w:rPr>
          <w:spacing w:val="-68"/>
        </w:rPr>
      </w:r>
      <w:r>
        <w:rPr/>
        <w:t>业务创新与优化。</w:t>
      </w:r>
    </w:p>
    <w:p>
      <w:pPr>
        <w:pStyle w:val="BodyText"/>
        <w:spacing w:line="350" w:lineRule="auto" w:before="34"/>
        <w:ind w:right="94" w:firstLine="360"/>
        <w:jc w:val="left"/>
      </w:pPr>
      <w:r>
        <w:rPr>
          <w:spacing w:val="-2"/>
        </w:rPr>
        <w:t>在智能硬件板块，作为公司的成熟业务板块，在经历了国内制造业的寒冬之后，经过公司近年调整，智能硬件业务板块</w:t>
      </w:r>
      <w:r>
        <w:rPr/>
        <w:t> </w:t>
      </w:r>
      <w:r>
        <w:rPr>
          <w:spacing w:val="-2"/>
        </w:rPr>
        <w:t>的经营业绩得以大幅改善，报告期内，公司智能硬件板块的经营情况更是好于预期，收入和利润均同比大幅提升，营业收入</w:t>
      </w:r>
      <w:r>
        <w:rPr>
          <w:spacing w:val="-65"/>
        </w:rPr>
        <w:t> </w:t>
      </w:r>
      <w:r>
        <w:rPr>
          <w:spacing w:val="-65"/>
        </w:rPr>
      </w:r>
      <w:r>
        <w:rPr>
          <w:spacing w:val="-1"/>
        </w:rPr>
        <w:t>同比增加</w:t>
      </w:r>
      <w:r>
        <w:rPr>
          <w:rFonts w:ascii="宋体" w:hAnsi="宋体" w:cs="宋体" w:eastAsia="宋体" w:hint="default"/>
          <w:spacing w:val="-1"/>
        </w:rPr>
        <w:t>37.44</w:t>
      </w:r>
      <w:r>
        <w:rPr>
          <w:rFonts w:ascii="Times New Roman" w:hAnsi="Times New Roman" w:cs="Times New Roman" w:eastAsia="Times New Roman" w:hint="default"/>
          <w:spacing w:val="-1"/>
        </w:rPr>
        <w:t>%</w:t>
      </w:r>
      <w:r>
        <w:rPr>
          <w:spacing w:val="-1"/>
        </w:rPr>
        <w:t>、净利润同比增加</w:t>
      </w:r>
      <w:r>
        <w:rPr>
          <w:rFonts w:ascii="Times New Roman" w:hAnsi="Times New Roman" w:cs="Times New Roman" w:eastAsia="Times New Roman" w:hint="default"/>
          <w:spacing w:val="-1"/>
        </w:rPr>
        <w:t>28.35%</w:t>
      </w:r>
      <w:r>
        <w:rPr>
          <w:spacing w:val="-1"/>
        </w:rPr>
        <w:t>。目前公司智能硬件板块正围绕</w:t>
      </w:r>
      <w:r>
        <w:rPr>
          <w:rFonts w:ascii="Times New Roman" w:hAnsi="Times New Roman" w:cs="Times New Roman" w:eastAsia="Times New Roman" w:hint="default"/>
          <w:spacing w:val="-1"/>
        </w:rPr>
        <w:t>“</w:t>
      </w:r>
      <w:r>
        <w:rPr>
          <w:spacing w:val="-1"/>
        </w:rPr>
        <w:t>智能硬件孵化平台</w:t>
      </w:r>
      <w:r>
        <w:rPr>
          <w:rFonts w:ascii="Times New Roman" w:hAnsi="Times New Roman" w:cs="Times New Roman" w:eastAsia="Times New Roman" w:hint="default"/>
          <w:spacing w:val="-1"/>
        </w:rPr>
        <w:t>”</w:t>
      </w:r>
      <w:r>
        <w:rPr>
          <w:spacing w:val="-1"/>
        </w:rPr>
        <w:t>，通过内生发展及外延投资，</w:t>
      </w:r>
      <w:r>
        <w:rPr>
          <w:spacing w:val="-82"/>
        </w:rPr>
        <w:t> </w:t>
      </w:r>
      <w:r>
        <w:rPr>
          <w:spacing w:val="-82"/>
        </w:rPr>
      </w:r>
      <w:r>
        <w:rPr/>
        <w:t>产融结合，打造以物联网技术为基础的多元化智能硬件孵化平台。</w:t>
      </w:r>
    </w:p>
    <w:p>
      <w:pPr>
        <w:pStyle w:val="BodyText"/>
        <w:spacing w:line="357" w:lineRule="auto" w:before="32"/>
        <w:ind w:right="94" w:firstLine="360"/>
        <w:jc w:val="left"/>
      </w:pPr>
      <w:r>
        <w:rPr>
          <w:spacing w:val="-4"/>
        </w:rPr>
        <w:t>公司自并购伊始始终在寻找各业务板块的业务协同点，若能实现各业务板块良性协同，不仅有利于促进公司长远、持续、</w:t>
      </w:r>
      <w:r>
        <w:rPr/>
        <w:t> </w:t>
      </w:r>
      <w:r>
        <w:rPr>
          <w:spacing w:val="-2"/>
        </w:rPr>
        <w:t>健康发展，也将助力公司战略落地。报告期内，公司采取多项措施推进智慧营销板块内部以及智慧营销板块与智能硬件板块</w:t>
      </w:r>
      <w:r>
        <w:rPr>
          <w:spacing w:val="-64"/>
        </w:rPr>
        <w:t> </w:t>
      </w:r>
      <w:r>
        <w:rPr>
          <w:spacing w:val="-64"/>
        </w:rPr>
      </w:r>
      <w:r>
        <w:rPr>
          <w:spacing w:val="-2"/>
        </w:rPr>
        <w:t>的业务协同，为实现公司在各业务板块设定的协同战略能得以快速、高效执行，公司采取并不断完善不定期联席会议、董事</w:t>
      </w:r>
      <w:r>
        <w:rPr>
          <w:spacing w:val="-64"/>
        </w:rPr>
        <w:t> </w:t>
      </w:r>
      <w:r>
        <w:rPr>
          <w:spacing w:val="-64"/>
        </w:rPr>
      </w:r>
      <w:r>
        <w:rPr>
          <w:spacing w:val="-2"/>
        </w:rPr>
        <w:t>负责制等措施，并设立数字营销管委会，着力推进协同战略的可执行性，报告期内公司数字营销所属的各子公司进一步加强</w:t>
      </w:r>
      <w:r>
        <w:rPr>
          <w:spacing w:val="-63"/>
        </w:rPr>
        <w:t> </w:t>
      </w:r>
      <w:r>
        <w:rPr>
          <w:spacing w:val="-63"/>
        </w:rPr>
      </w:r>
      <w:r>
        <w:rPr>
          <w:spacing w:val="-2"/>
        </w:rPr>
        <w:t>合作，采取联合比稿等方式，已在多个项目完成协作，未来一段时期公司将继续深挖板块内的可协同点，确保各板块业务持</w:t>
      </w:r>
      <w:r>
        <w:rPr>
          <w:spacing w:val="-64"/>
        </w:rPr>
        <w:t> </w:t>
      </w:r>
      <w:r>
        <w:rPr>
          <w:spacing w:val="-64"/>
        </w:rPr>
      </w:r>
      <w:r>
        <w:rPr/>
        <w:t>续、健康发展。</w:t>
      </w:r>
    </w:p>
    <w:p>
      <w:pPr>
        <w:pStyle w:val="BodyText"/>
        <w:spacing w:line="357" w:lineRule="auto" w:before="26"/>
        <w:ind w:right="192" w:firstLine="360"/>
        <w:jc w:val="both"/>
      </w:pPr>
      <w:r>
        <w:rPr>
          <w:spacing w:val="-2"/>
        </w:rPr>
        <w:t>目前公司处于战略转型的重要阶段，为吸引和保留专业管理人才及业务骨干，充分调动其积极性、主动性和创造性，确</w:t>
      </w:r>
      <w:r>
        <w:rPr/>
        <w:t> </w:t>
      </w:r>
      <w:r>
        <w:rPr>
          <w:spacing w:val="-2"/>
        </w:rPr>
        <w:t>保公司战略目标的稳步实现，公司于报告期内推出主要针对数字营销板块的股权激励计划，未来公司也将继续探讨多项长效</w:t>
      </w:r>
      <w:r>
        <w:rPr>
          <w:spacing w:val="-63"/>
        </w:rPr>
        <w:t> </w:t>
      </w:r>
      <w:r>
        <w:rPr>
          <w:spacing w:val="-63"/>
        </w:rPr>
      </w:r>
      <w:r>
        <w:rPr/>
        <w:t>措施，促进各板块的业务平稳、健康发展。</w:t>
      </w:r>
    </w:p>
    <w:p>
      <w:pPr>
        <w:spacing w:line="240" w:lineRule="auto" w:before="9"/>
        <w:rPr>
          <w:rFonts w:ascii="宋体" w:hAnsi="宋体" w:cs="宋体" w:eastAsia="宋体" w:hint="default"/>
          <w:sz w:val="25"/>
          <w:szCs w:val="25"/>
        </w:rPr>
      </w:pPr>
    </w:p>
    <w:p>
      <w:pPr>
        <w:spacing w:line="338" w:lineRule="auto" w:before="0"/>
        <w:ind w:left="513" w:right="4593" w:firstLine="76"/>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、公司的主要产品类型和经营模式</w:t>
      </w:r>
      <w:r>
        <w:rPr>
          <w:rFonts w:ascii="宋体" w:hAnsi="宋体" w:cs="宋体" w:eastAsia="宋体" w:hint="default"/>
          <w:b/>
          <w:bCs/>
          <w:w w:val="99"/>
          <w:sz w:val="18"/>
          <w:szCs w:val="18"/>
        </w:rPr>
        <w:t> </w:t>
      </w:r>
      <w:r>
        <w:rPr>
          <w:rFonts w:ascii="宋体" w:hAnsi="宋体" w:cs="宋体" w:eastAsia="宋体" w:hint="default"/>
          <w:sz w:val="18"/>
          <w:szCs w:val="18"/>
        </w:rPr>
        <w:t>公司两个业务板块目前主要包括下表所列的各类产品和服务：</w:t>
      </w:r>
    </w:p>
    <w:p>
      <w:pPr>
        <w:spacing w:line="240" w:lineRule="auto" w:before="11"/>
        <w:rPr>
          <w:rFonts w:ascii="宋体" w:hAnsi="宋体" w:cs="宋体" w:eastAsia="宋体" w:hint="default"/>
          <w:sz w:val="26"/>
          <w:szCs w:val="26"/>
        </w:rPr>
      </w:pPr>
    </w:p>
    <w:p>
      <w:pPr>
        <w:pStyle w:val="BodyText"/>
        <w:tabs>
          <w:tab w:pos="5921" w:val="left" w:leader="none"/>
        </w:tabs>
        <w:spacing w:line="240" w:lineRule="auto"/>
        <w:ind w:left="729" w:right="254"/>
        <w:jc w:val="left"/>
      </w:pPr>
      <w:r>
        <w:rPr/>
        <w:t>智慧营销业务</w:t>
        <w:tab/>
        <w:t>智能硬件业务</w:t>
      </w:r>
    </w:p>
    <w:p>
      <w:pPr>
        <w:pStyle w:val="BodyText"/>
        <w:spacing w:line="240" w:lineRule="auto" w:before="142"/>
        <w:ind w:right="0"/>
        <w:jc w:val="both"/>
        <w:rPr>
          <w:rFonts w:ascii="Times New Roman" w:hAnsi="Times New Roman" w:cs="Times New Roman" w:eastAsia="Times New Roman" w:hint="default"/>
        </w:rPr>
      </w:pPr>
      <w:r>
        <w:rPr>
          <w:rFonts w:ascii="Times New Roman"/>
        </w:rPr>
        <w:t>-----------------------------------------------------------------------------------------------------------------------------------</w:t>
      </w:r>
    </w:p>
    <w:p>
      <w:pPr>
        <w:pStyle w:val="BodyText"/>
        <w:tabs>
          <w:tab w:pos="5779" w:val="left" w:leader="none"/>
        </w:tabs>
        <w:spacing w:line="240" w:lineRule="auto" w:before="77"/>
        <w:ind w:left="729" w:right="254"/>
        <w:jc w:val="left"/>
      </w:pPr>
      <w:r>
        <w:rPr>
          <w:rFonts w:ascii="Times New Roman" w:hAnsi="Times New Roman" w:cs="Times New Roman" w:eastAsia="Times New Roman" w:hint="default"/>
        </w:rPr>
        <w:t>●</w:t>
      </w:r>
      <w:r>
        <w:rPr/>
        <w:t>互联网媒体全案营销（</w:t>
      </w:r>
      <w:r>
        <w:rPr>
          <w:rFonts w:ascii="Times New Roman" w:hAnsi="Times New Roman" w:cs="Times New Roman" w:eastAsia="Times New Roman" w:hint="default"/>
        </w:rPr>
        <w:t>PC</w:t>
      </w:r>
      <w:r>
        <w:rPr/>
        <w:t>和移动端媒体）</w:t>
        <w:tab/>
        <w:t>◆</w:t>
      </w:r>
      <w:r>
        <w:rPr>
          <w:rFonts w:ascii="Times New Roman" w:hAnsi="Times New Roman" w:cs="Times New Roman" w:eastAsia="Times New Roman" w:hint="default"/>
        </w:rPr>
        <w:t>LED</w:t>
      </w:r>
      <w:r>
        <w:rPr/>
        <w:t>照明业务</w:t>
      </w:r>
    </w:p>
    <w:p>
      <w:pPr>
        <w:pStyle w:val="BodyText"/>
        <w:tabs>
          <w:tab w:pos="6228" w:val="left" w:leader="none"/>
        </w:tabs>
        <w:spacing w:line="240" w:lineRule="auto" w:before="99"/>
        <w:ind w:left="729" w:right="254"/>
        <w:jc w:val="left"/>
      </w:pPr>
      <w:r>
        <w:rPr>
          <w:rFonts w:ascii="Times New Roman" w:hAnsi="Times New Roman" w:cs="Times New Roman" w:eastAsia="Times New Roman" w:hint="default"/>
        </w:rPr>
        <w:t>●</w:t>
      </w:r>
      <w:r>
        <w:rPr/>
        <w:t>创意策略服务</w:t>
        <w:tab/>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rFonts w:ascii="Times New Roman" w:hAnsi="Times New Roman" w:cs="Times New Roman" w:eastAsia="Times New Roman" w:hint="default"/>
        </w:rPr>
        <w:t>LED</w:t>
      </w:r>
      <w:r>
        <w:rPr/>
        <w:t>智能照明产品</w:t>
      </w:r>
    </w:p>
    <w:p>
      <w:pPr>
        <w:pStyle w:val="BodyText"/>
        <w:tabs>
          <w:tab w:pos="6240" w:val="left" w:leader="none"/>
        </w:tabs>
        <w:spacing w:line="240" w:lineRule="auto" w:before="101"/>
        <w:ind w:left="729" w:right="254"/>
        <w:jc w:val="left"/>
      </w:pPr>
      <w:r>
        <w:rPr>
          <w:rFonts w:ascii="Times New Roman" w:hAnsi="Times New Roman" w:cs="Times New Roman" w:eastAsia="Times New Roman" w:hint="default"/>
        </w:rPr>
        <w:t>●</w:t>
      </w:r>
      <w:r>
        <w:rPr/>
        <w:t>互联网整合营销服务</w:t>
        <w:tab/>
      </w:r>
      <w:r>
        <w:rPr>
          <w:rFonts w:ascii="Times New Roman" w:hAnsi="Times New Roman" w:cs="Times New Roman" w:eastAsia="Times New Roman" w:hint="default"/>
        </w:rPr>
        <w:t>●</w:t>
      </w:r>
      <w:r>
        <w:rPr>
          <w:rFonts w:ascii="Times New Roman" w:hAnsi="Times New Roman" w:cs="Times New Roman" w:eastAsia="Times New Roman" w:hint="default"/>
        </w:rPr>
        <w:t>LED</w:t>
      </w:r>
      <w:r>
        <w:rPr/>
        <w:t>非智能照明产品</w:t>
      </w:r>
    </w:p>
    <w:p>
      <w:pPr>
        <w:pStyle w:val="BodyText"/>
        <w:tabs>
          <w:tab w:pos="5777" w:val="left" w:leader="none"/>
        </w:tabs>
        <w:spacing w:line="240" w:lineRule="auto" w:before="101"/>
        <w:ind w:left="729" w:right="254"/>
        <w:jc w:val="left"/>
      </w:pPr>
      <w:r>
        <w:rPr>
          <w:rFonts w:ascii="Times New Roman" w:hAnsi="Times New Roman" w:cs="Times New Roman" w:eastAsia="Times New Roman" w:hint="default"/>
        </w:rPr>
        <w:t>●</w:t>
      </w:r>
      <w:r>
        <w:rPr/>
        <w:t>社会化媒体营销服务</w:t>
        <w:tab/>
        <w:t>◆智能硬件制造</w:t>
      </w:r>
    </w:p>
    <w:p>
      <w:pPr>
        <w:spacing w:after="0" w:line="240" w:lineRule="auto"/>
        <w:jc w:val="left"/>
        <w:sectPr>
          <w:pgSz w:w="11910" w:h="16840"/>
          <w:pgMar w:header="745" w:footer="980" w:top="1060" w:bottom="1160" w:left="980" w:right="940"/>
        </w:sectPr>
      </w:pPr>
    </w:p>
    <w:p>
      <w:pPr>
        <w:spacing w:line="240" w:lineRule="auto" w:before="2"/>
        <w:rPr>
          <w:rFonts w:ascii="宋体" w:hAnsi="宋体" w:cs="宋体" w:eastAsia="宋体" w:hint="default"/>
          <w:sz w:val="10"/>
          <w:szCs w:val="10"/>
        </w:rPr>
      </w:pPr>
    </w:p>
    <w:p>
      <w:pPr>
        <w:pStyle w:val="BodyText"/>
        <w:tabs>
          <w:tab w:pos="6120" w:val="left" w:leader="none"/>
        </w:tabs>
        <w:spacing w:line="240" w:lineRule="auto" w:before="44"/>
        <w:ind w:left="729" w:right="254"/>
        <w:jc w:val="left"/>
      </w:pPr>
      <w:r>
        <w:rPr>
          <w:rFonts w:ascii="Times New Roman" w:hAnsi="Times New Roman" w:cs="Times New Roman" w:eastAsia="Times New Roman" w:hint="default"/>
        </w:rPr>
        <w:t>●</w:t>
      </w:r>
      <w:r>
        <w:rPr/>
        <w:t>广告制作服务</w:t>
        <w:tab/>
      </w:r>
      <w:r>
        <w:rPr>
          <w:rFonts w:ascii="Times New Roman" w:hAnsi="Times New Roman" w:cs="Times New Roman" w:eastAsia="Times New Roman" w:hint="default"/>
        </w:rPr>
        <w:t>●</w:t>
      </w:r>
      <w:r>
        <w:rPr/>
        <w:t>智能设备制造</w:t>
      </w:r>
    </w:p>
    <w:p>
      <w:pPr>
        <w:pStyle w:val="BodyText"/>
        <w:tabs>
          <w:tab w:pos="6120" w:val="left" w:leader="none"/>
        </w:tabs>
        <w:spacing w:line="240" w:lineRule="auto" w:before="101"/>
        <w:ind w:left="729" w:right="254"/>
        <w:jc w:val="left"/>
      </w:pPr>
      <w:r>
        <w:rPr>
          <w:rFonts w:ascii="Times New Roman" w:hAnsi="Times New Roman" w:cs="Times New Roman" w:eastAsia="Times New Roman" w:hint="default"/>
        </w:rPr>
        <w:t>●</w:t>
      </w:r>
      <w:r>
        <w:rPr/>
        <w:t>营销</w:t>
      </w:r>
      <w:r>
        <w:rPr>
          <w:rFonts w:ascii="Times New Roman" w:hAnsi="Times New Roman" w:cs="Times New Roman" w:eastAsia="Times New Roman" w:hint="default"/>
        </w:rPr>
        <w:t>SaaS</w:t>
      </w:r>
      <w:r>
        <w:rPr/>
        <w:t>产品</w:t>
        <w:tab/>
      </w:r>
      <w:r>
        <w:rPr>
          <w:rFonts w:ascii="Times New Roman" w:hAnsi="Times New Roman" w:cs="Times New Roman" w:eastAsia="Times New Roman" w:hint="default"/>
        </w:rPr>
        <w:t>●</w:t>
      </w:r>
      <w:r>
        <w:rPr/>
        <w:t>其他智能硬件制造</w:t>
      </w:r>
    </w:p>
    <w:p>
      <w:pPr>
        <w:pStyle w:val="BodyText"/>
        <w:spacing w:line="240" w:lineRule="auto" w:before="127"/>
        <w:ind w:right="254"/>
        <w:jc w:val="left"/>
        <w:rPr>
          <w:rFonts w:ascii="Times New Roman" w:hAnsi="Times New Roman" w:cs="Times New Roman" w:eastAsia="Times New Roman" w:hint="default"/>
        </w:rPr>
      </w:pPr>
      <w:r>
        <w:rPr>
          <w:rFonts w:ascii="Times New Roman"/>
        </w:rPr>
        <w:t>---------------------------------------------------------------------------------------------------------------------------------------------------</w:t>
      </w:r>
    </w:p>
    <w:p>
      <w:pPr>
        <w:pStyle w:val="BodyText"/>
        <w:spacing w:line="338" w:lineRule="auto" w:before="77"/>
        <w:ind w:left="441" w:right="94" w:hanging="109"/>
        <w:jc w:val="left"/>
      </w:pPr>
      <w:r>
        <w:rPr/>
        <w:t>（</w:t>
      </w:r>
      <w:r>
        <w:rPr>
          <w:rFonts w:ascii="Times New Roman" w:hAnsi="Times New Roman" w:cs="Times New Roman" w:eastAsia="Times New Roman" w:hint="default"/>
        </w:rPr>
        <w:t>1</w:t>
      </w:r>
      <w:r>
        <w:rPr/>
        <w:t>）智慧营销业务 </w:t>
      </w:r>
      <w:r>
        <w:rPr>
          <w:spacing w:val="-1"/>
        </w:rPr>
        <w:t>公司智慧营销业务是基于现有的数字营销业务，结合新的技术、产品和数据，致力于为企业客户提供以技术为桥梁、数</w:t>
      </w:r>
    </w:p>
    <w:p>
      <w:pPr>
        <w:pStyle w:val="BodyText"/>
        <w:spacing w:line="240" w:lineRule="auto" w:before="41"/>
        <w:ind w:right="254"/>
        <w:jc w:val="left"/>
      </w:pPr>
      <w:r>
        <w:rPr/>
        <w:t>据为驱动的一站式营销数字化转型服务。具体包括以下服务：</w:t>
      </w:r>
    </w:p>
    <w:p>
      <w:pPr>
        <w:pStyle w:val="BodyText"/>
        <w:spacing w:line="336" w:lineRule="auto" w:before="115"/>
        <w:ind w:right="94" w:firstLine="379"/>
        <w:jc w:val="left"/>
      </w:pPr>
      <w:r>
        <w:rPr>
          <w:rFonts w:ascii="Times New Roman" w:hAnsi="Times New Roman" w:cs="Times New Roman" w:eastAsia="Times New Roman" w:hint="default"/>
          <w:spacing w:val="-1"/>
        </w:rPr>
        <w:t>1</w:t>
      </w:r>
      <w:r>
        <w:rPr>
          <w:spacing w:val="-1"/>
        </w:rPr>
        <w:t>）营销</w:t>
      </w:r>
      <w:r>
        <w:rPr>
          <w:rFonts w:ascii="Times New Roman" w:hAnsi="Times New Roman" w:cs="Times New Roman" w:eastAsia="Times New Roman" w:hint="default"/>
          <w:spacing w:val="-1"/>
        </w:rPr>
        <w:t>SaaS</w:t>
      </w:r>
      <w:r>
        <w:rPr>
          <w:spacing w:val="-1"/>
        </w:rPr>
        <w:t>产品：公司在报告期内专注于探索大数据、人工智能、物联网等新技术在公司业务场景中的应用落地，如</w:t>
      </w:r>
      <w:r>
        <w:rPr/>
        <w:t> 营销自动化、会员忠诚度、</w:t>
      </w:r>
      <w:r>
        <w:rPr>
          <w:rFonts w:ascii="Times New Roman" w:hAnsi="Times New Roman" w:cs="Times New Roman" w:eastAsia="Times New Roman" w:hint="default"/>
        </w:rPr>
        <w:t>CRM</w:t>
      </w:r>
      <w:r>
        <w:rPr/>
        <w:t>、</w:t>
      </w:r>
      <w:r>
        <w:rPr>
          <w:rFonts w:ascii="Times New Roman" w:hAnsi="Times New Roman" w:cs="Times New Roman" w:eastAsia="Times New Roman" w:hint="default"/>
        </w:rPr>
        <w:t>SCRM</w:t>
      </w:r>
      <w:r>
        <w:rPr/>
        <w:t>、</w:t>
      </w:r>
      <w:r>
        <w:rPr>
          <w:rFonts w:ascii="Times New Roman" w:hAnsi="Times New Roman" w:cs="Times New Roman" w:eastAsia="Times New Roman" w:hint="default"/>
        </w:rPr>
        <w:t>DMP</w:t>
      </w:r>
      <w:r>
        <w:rPr/>
        <w:t>、</w:t>
      </w:r>
      <w:r>
        <w:rPr>
          <w:rFonts w:ascii="Times New Roman" w:hAnsi="Times New Roman" w:cs="Times New Roman" w:eastAsia="Times New Roman" w:hint="default"/>
        </w:rPr>
        <w:t>DSP</w:t>
      </w:r>
      <w:r>
        <w:rPr/>
        <w:t>、小程序应用、数据挖掘、微信客服系统、</w:t>
      </w:r>
      <w:r>
        <w:rPr>
          <w:rFonts w:ascii="Times New Roman" w:hAnsi="Times New Roman" w:cs="Times New Roman" w:eastAsia="Times New Roman" w:hint="default"/>
        </w:rPr>
        <w:t>AI</w:t>
      </w:r>
      <w:r>
        <w:rPr/>
        <w:t>智能营销等营销</w:t>
      </w:r>
      <w:r>
        <w:rPr>
          <w:rFonts w:ascii="Times New Roman" w:hAnsi="Times New Roman" w:cs="Times New Roman" w:eastAsia="Times New Roman" w:hint="default"/>
        </w:rPr>
        <w:t>SaaS</w:t>
      </w:r>
      <w:r>
        <w:rPr>
          <w:rFonts w:ascii="Times New Roman" w:hAnsi="Times New Roman" w:cs="Times New Roman" w:eastAsia="Times New Roman" w:hint="default"/>
          <w:w w:val="99"/>
        </w:rPr>
        <w:t> </w:t>
      </w:r>
      <w:r>
        <w:rPr>
          <w:spacing w:val="-2"/>
        </w:rPr>
        <w:t>产品。截至目前，公司平台聚集了一批如</w:t>
      </w:r>
      <w:r>
        <w:rPr>
          <w:rFonts w:ascii="Times New Roman" w:hAnsi="Times New Roman" w:cs="Times New Roman" w:eastAsia="Times New Roman" w:hint="default"/>
          <w:spacing w:val="-2"/>
        </w:rPr>
        <w:t>EC</w:t>
      </w:r>
      <w:r>
        <w:rPr>
          <w:spacing w:val="-2"/>
        </w:rPr>
        <w:t>、硅基等优秀的营销</w:t>
      </w:r>
      <w:r>
        <w:rPr>
          <w:rFonts w:ascii="Times New Roman" w:hAnsi="Times New Roman" w:cs="Times New Roman" w:eastAsia="Times New Roman" w:hint="default"/>
          <w:spacing w:val="-2"/>
        </w:rPr>
        <w:t>SaaS</w:t>
      </w:r>
      <w:r>
        <w:rPr>
          <w:spacing w:val="-2"/>
        </w:rPr>
        <w:t>产品，与此同时，公司基于业务研发出了</w:t>
      </w:r>
      <w:r>
        <w:rPr>
          <w:rFonts w:ascii="Times New Roman" w:hAnsi="Times New Roman" w:cs="Times New Roman" w:eastAsia="Times New Roman" w:hint="default"/>
          <w:spacing w:val="-2"/>
        </w:rPr>
        <w:t>“</w:t>
      </w:r>
      <w:r>
        <w:rPr>
          <w:spacing w:val="-2"/>
        </w:rPr>
        <w:t>移动</w:t>
      </w:r>
      <w:r>
        <w:rPr>
          <w:rFonts w:ascii="Times New Roman" w:hAnsi="Times New Roman" w:cs="Times New Roman" w:eastAsia="Times New Roman" w:hint="default"/>
          <w:spacing w:val="-2"/>
        </w:rPr>
        <w:t>CRM</w:t>
      </w:r>
      <w:r>
        <w:rPr>
          <w:spacing w:val="-2"/>
        </w:rPr>
        <w:t>系</w:t>
      </w:r>
      <w:r>
        <w:rPr>
          <w:spacing w:val="-53"/>
        </w:rPr>
        <w:t> </w:t>
      </w:r>
      <w:r>
        <w:rPr>
          <w:spacing w:val="-1"/>
        </w:rPr>
        <w:t>统</w:t>
      </w:r>
      <w:r>
        <w:rPr>
          <w:rFonts w:ascii="Times New Roman" w:hAnsi="Times New Roman" w:cs="Times New Roman" w:eastAsia="Times New Roman" w:hint="default"/>
          <w:spacing w:val="-1"/>
        </w:rPr>
        <w:t>”</w:t>
      </w:r>
      <w:r>
        <w:rPr>
          <w:spacing w:val="-1"/>
        </w:rPr>
        <w:t>智慧营销解决方案，将人工智能</w:t>
      </w:r>
      <w:r>
        <w:rPr>
          <w:rFonts w:ascii="Times New Roman" w:hAnsi="Times New Roman" w:cs="Times New Roman" w:eastAsia="Times New Roman" w:hint="default"/>
          <w:spacing w:val="-1"/>
        </w:rPr>
        <w:t>&amp;</w:t>
      </w:r>
      <w:r>
        <w:rPr>
          <w:spacing w:val="-1"/>
        </w:rPr>
        <w:t>大数据融入企业营销领域，成功打造出了智慧营销</w:t>
      </w:r>
      <w:r>
        <w:rPr>
          <w:rFonts w:ascii="Times New Roman" w:hAnsi="Times New Roman" w:cs="Times New Roman" w:eastAsia="Times New Roman" w:hint="default"/>
          <w:spacing w:val="-1"/>
        </w:rPr>
        <w:t>“</w:t>
      </w:r>
      <w:r>
        <w:rPr>
          <w:spacing w:val="-1"/>
        </w:rPr>
        <w:t>雷达</w:t>
      </w:r>
      <w:r>
        <w:rPr>
          <w:rFonts w:ascii="Times New Roman" w:hAnsi="Times New Roman" w:cs="Times New Roman" w:eastAsia="Times New Roman" w:hint="default"/>
          <w:spacing w:val="-1"/>
        </w:rPr>
        <w:t>”</w:t>
      </w:r>
      <w:r>
        <w:rPr>
          <w:spacing w:val="-1"/>
        </w:rPr>
        <w:t>平台，让企业在互联网</w:t>
      </w:r>
      <w:r>
        <w:rPr>
          <w:rFonts w:ascii="Times New Roman" w:hAnsi="Times New Roman" w:cs="Times New Roman" w:eastAsia="Times New Roman" w:hint="default"/>
          <w:spacing w:val="-1"/>
        </w:rPr>
        <w:t>+</w:t>
      </w:r>
      <w:r>
        <w:rPr>
          <w:spacing w:val="-1"/>
        </w:rPr>
        <w:t>时代</w:t>
      </w:r>
      <w:r>
        <w:rPr>
          <w:spacing w:val="-64"/>
        </w:rPr>
        <w:t> </w:t>
      </w:r>
      <w:r>
        <w:rPr/>
        <w:t>市场营销中做得越来越精准和高效。</w:t>
      </w:r>
    </w:p>
    <w:p>
      <w:pPr>
        <w:pStyle w:val="BodyText"/>
        <w:spacing w:line="338" w:lineRule="auto" w:before="43"/>
        <w:ind w:right="94" w:firstLine="360"/>
        <w:jc w:val="left"/>
      </w:pPr>
      <w:r>
        <w:rPr>
          <w:rFonts w:ascii="Times New Roman" w:hAnsi="Times New Roman" w:cs="Times New Roman" w:eastAsia="Times New Roman" w:hint="default"/>
        </w:rPr>
        <w:t>2</w:t>
      </w:r>
      <w:r>
        <w:rPr/>
        <w:t>）互联网媒体全案营销服务是指通过为广告主定位目标受众群体，利用门户、视频、电商、垂直、搜索引擎网站等互 </w:t>
      </w:r>
      <w:r>
        <w:rPr>
          <w:spacing w:val="-1"/>
        </w:rPr>
        <w:t>联网媒体（包括</w:t>
      </w:r>
      <w:r>
        <w:rPr>
          <w:rFonts w:ascii="Times New Roman" w:hAnsi="Times New Roman" w:cs="Times New Roman" w:eastAsia="Times New Roman" w:hint="default"/>
          <w:spacing w:val="-1"/>
        </w:rPr>
        <w:t>PC</w:t>
      </w:r>
      <w:r>
        <w:rPr>
          <w:spacing w:val="-1"/>
        </w:rPr>
        <w:t>端与移动端媒体）信息展示、互动等营销模式，帮助广告主获取理想的广告传播效果，并提供广告制作、</w:t>
      </w:r>
      <w:r>
        <w:rPr>
          <w:spacing w:val="-74"/>
        </w:rPr>
        <w:t> </w:t>
      </w:r>
      <w:r>
        <w:rPr>
          <w:spacing w:val="-74"/>
        </w:rPr>
      </w:r>
      <w:r>
        <w:rPr/>
        <w:t>投放时期的创意策略服务和广告投放后的效果监测服务，赚取代理服务费用与和媒介返点费用。</w:t>
      </w:r>
    </w:p>
    <w:p>
      <w:pPr>
        <w:pStyle w:val="BodyText"/>
        <w:spacing w:line="338" w:lineRule="auto" w:before="41"/>
        <w:ind w:right="94" w:firstLine="360"/>
        <w:jc w:val="left"/>
      </w:pPr>
      <w:r>
        <w:rPr>
          <w:rFonts w:ascii="Times New Roman" w:hAnsi="Times New Roman" w:cs="Times New Roman" w:eastAsia="Times New Roman" w:hint="default"/>
        </w:rPr>
        <w:t>3</w:t>
      </w:r>
      <w:r>
        <w:rPr/>
        <w:t>）创意策略服务是指通过为广告主提供全套市场营销创意策略服务方案，即品牌或产品营销策略服务、创意服务、区 </w:t>
      </w:r>
      <w:r>
        <w:rPr>
          <w:spacing w:val="-4"/>
        </w:rPr>
        <w:t>域营销策略规划，并协助广告主对接平面、电视、互联网等全媒体渠道，指导广告主进行营销推广，赚取创意策略服务费用。</w:t>
      </w:r>
    </w:p>
    <w:p>
      <w:pPr>
        <w:pStyle w:val="BodyText"/>
        <w:spacing w:line="336" w:lineRule="auto" w:before="41"/>
        <w:ind w:right="184" w:firstLine="360"/>
        <w:jc w:val="left"/>
      </w:pPr>
      <w:r>
        <w:rPr>
          <w:rFonts w:ascii="Times New Roman" w:hAnsi="Times New Roman" w:cs="Times New Roman" w:eastAsia="Times New Roman" w:hint="default"/>
        </w:rPr>
        <w:t>4</w:t>
      </w:r>
      <w:r>
        <w:rPr/>
        <w:t>）互联网整合营销服务是指通过向广告主提供结合广告创意设计及制作、线上投放与线下推广活动于一体的互联网整 合营销服务，赚取创意设计制作费用、线上推广及媒体采购费用、线下活动执行费用等整合营销服务费。</w:t>
      </w:r>
    </w:p>
    <w:p>
      <w:pPr>
        <w:pStyle w:val="BodyText"/>
        <w:spacing w:line="350" w:lineRule="auto" w:before="43"/>
        <w:ind w:right="94" w:firstLine="360"/>
        <w:jc w:val="left"/>
      </w:pPr>
      <w:r>
        <w:rPr>
          <w:rFonts w:ascii="Times New Roman" w:hAnsi="Times New Roman" w:cs="Times New Roman" w:eastAsia="Times New Roman" w:hint="default"/>
        </w:rPr>
        <w:t>5</w:t>
      </w:r>
      <w:r>
        <w:rPr/>
        <w:t>）社会化媒体营销业务服务是指通过利用具有社交属性的社会化媒体（如社交论坛、自媒体），向广告主提供包含品 牌社交策略策划、品牌活动策划及执行、品牌自媒体管理、网络意见领袖策略及执行、社交媒体会员管理、社交电子商务、 </w:t>
      </w:r>
      <w:r>
        <w:rPr>
          <w:spacing w:val="-2"/>
        </w:rPr>
        <w:t>网络交互活动的设计与技术搭建、舆情监测等、社会化媒体账号的代运营在内的社会化媒体营销服务，赚取营销服务、媒介</w:t>
      </w:r>
      <w:r>
        <w:rPr>
          <w:spacing w:val="-66"/>
        </w:rPr>
        <w:t> </w:t>
      </w:r>
      <w:r>
        <w:rPr>
          <w:spacing w:val="-66"/>
        </w:rPr>
      </w:r>
      <w:r>
        <w:rPr/>
        <w:t>采购等费用。</w:t>
      </w:r>
    </w:p>
    <w:p>
      <w:pPr>
        <w:pStyle w:val="BodyText"/>
        <w:spacing w:line="240" w:lineRule="auto" w:before="32"/>
        <w:ind w:left="513" w:right="254"/>
        <w:jc w:val="left"/>
      </w:pPr>
      <w:r>
        <w:rPr>
          <w:rFonts w:ascii="Times New Roman" w:hAnsi="Times New Roman" w:cs="Times New Roman" w:eastAsia="Times New Roman" w:hint="default"/>
        </w:rPr>
        <w:t>6</w:t>
      </w:r>
      <w:r>
        <w:rPr/>
        <w:t>）广告制作服务是指通过为广告主提供平面、视频等广告的制作、监制服务，赚取广告制作费用或广告监制费用。</w:t>
      </w:r>
    </w:p>
    <w:p>
      <w:pPr>
        <w:pStyle w:val="BodyText"/>
        <w:spacing w:line="240" w:lineRule="auto" w:before="101"/>
        <w:ind w:left="369" w:right="254"/>
        <w:jc w:val="left"/>
      </w:pPr>
      <w:r>
        <w:rPr/>
        <w:t>（</w:t>
      </w:r>
      <w:r>
        <w:rPr>
          <w:rFonts w:ascii="Times New Roman" w:hAnsi="Times New Roman" w:cs="Times New Roman" w:eastAsia="Times New Roman" w:hint="default"/>
        </w:rPr>
        <w:t>2</w:t>
      </w:r>
      <w:r>
        <w:rPr/>
        <w:t>）智能硬件业务</w:t>
      </w:r>
    </w:p>
    <w:p>
      <w:pPr>
        <w:pStyle w:val="BodyText"/>
        <w:spacing w:line="338" w:lineRule="auto" w:before="101"/>
        <w:ind w:left="513" w:right="178"/>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LED</w:t>
      </w:r>
      <w:r>
        <w:rPr/>
        <w:t>照明业务 </w:t>
      </w:r>
      <w:r>
        <w:rPr>
          <w:spacing w:val="-1"/>
        </w:rPr>
        <w:t>公司</w:t>
      </w:r>
      <w:r>
        <w:rPr>
          <w:rFonts w:ascii="Times New Roman" w:hAnsi="Times New Roman" w:cs="Times New Roman" w:eastAsia="Times New Roman" w:hint="default"/>
          <w:spacing w:val="-1"/>
        </w:rPr>
        <w:t>LED</w:t>
      </w:r>
      <w:r>
        <w:rPr>
          <w:spacing w:val="-1"/>
        </w:rPr>
        <w:t>照明业务主要包括</w:t>
      </w:r>
      <w:r>
        <w:rPr>
          <w:rFonts w:ascii="Times New Roman" w:hAnsi="Times New Roman" w:cs="Times New Roman" w:eastAsia="Times New Roman" w:hint="default"/>
          <w:spacing w:val="-1"/>
        </w:rPr>
        <w:t>LED</w:t>
      </w:r>
      <w:r>
        <w:rPr>
          <w:spacing w:val="-1"/>
        </w:rPr>
        <w:t>智能照明产品和</w:t>
      </w:r>
      <w:r>
        <w:rPr>
          <w:rFonts w:ascii="Times New Roman" w:hAnsi="Times New Roman" w:cs="Times New Roman" w:eastAsia="Times New Roman" w:hint="default"/>
          <w:spacing w:val="-1"/>
        </w:rPr>
        <w:t>LED</w:t>
      </w:r>
      <w:r>
        <w:rPr>
          <w:spacing w:val="-1"/>
        </w:rPr>
        <w:t>非智能照明产品的设计、研发、生产和销售，为用户提供照明解决</w:t>
      </w:r>
    </w:p>
    <w:p>
      <w:pPr>
        <w:pStyle w:val="BodyText"/>
        <w:spacing w:line="338" w:lineRule="auto" w:before="17"/>
        <w:ind w:right="214"/>
        <w:jc w:val="left"/>
      </w:pPr>
      <w:r>
        <w:rPr/>
        <w:t>方案；销售模式分为经销商模式和</w:t>
      </w:r>
      <w:r>
        <w:rPr>
          <w:rFonts w:ascii="Times New Roman" w:hAnsi="Times New Roman" w:cs="Times New Roman" w:eastAsia="Times New Roman" w:hint="default"/>
        </w:rPr>
        <w:t>ODM</w:t>
      </w:r>
      <w:r>
        <w:rPr/>
        <w:t>模式；经营模式主要是按客户订单组织生产和销售，并按合同或订单约定收取销售 款。</w:t>
      </w:r>
    </w:p>
    <w:p>
      <w:pPr>
        <w:pStyle w:val="BodyText"/>
        <w:spacing w:line="338" w:lineRule="auto" w:before="41"/>
        <w:ind w:left="513" w:right="94"/>
        <w:jc w:val="left"/>
      </w:pPr>
      <w:r>
        <w:rPr>
          <w:rFonts w:ascii="Times New Roman" w:hAnsi="Times New Roman" w:cs="Times New Roman" w:eastAsia="Times New Roman" w:hint="default"/>
        </w:rPr>
        <w:t>2</w:t>
      </w:r>
      <w:r>
        <w:rPr/>
        <w:t>）智能硬件制造 </w:t>
      </w:r>
      <w:r>
        <w:rPr>
          <w:spacing w:val="-2"/>
        </w:rPr>
        <w:t>公司为品牌商提供智能工业设备及其他智能硬件产品的工程测试、制造、供应链管理等一系列服务，经营模式主要是按</w:t>
      </w:r>
    </w:p>
    <w:p>
      <w:pPr>
        <w:pStyle w:val="BodyText"/>
        <w:spacing w:line="240" w:lineRule="auto" w:before="41"/>
        <w:ind w:right="0"/>
        <w:jc w:val="both"/>
        <w:rPr>
          <w:rFonts w:ascii="宋体" w:hAnsi="宋体" w:cs="宋体" w:eastAsia="宋体" w:hint="default"/>
        </w:rPr>
      </w:pPr>
      <w:r>
        <w:rPr/>
        <w:t>客户订单组织材料采购、生产和销售，并按合同或订单约定收取相关服务费用。</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Heading5"/>
        <w:spacing w:line="240" w:lineRule="auto"/>
        <w:ind w:left="477" w:right="254"/>
        <w:jc w:val="left"/>
        <w:rPr>
          <w:b w:val="0"/>
          <w:bCs w:val="0"/>
        </w:rPr>
      </w:pPr>
      <w:r>
        <w:rPr>
          <w:rFonts w:ascii="宋体" w:hAnsi="宋体" w:cs="宋体" w:eastAsia="宋体" w:hint="default"/>
        </w:rPr>
        <w:t>3</w:t>
      </w:r>
      <w:r>
        <w:rPr/>
        <w:t>、行业格局和趋势</w:t>
      </w:r>
      <w:r>
        <w:rPr>
          <w:b w:val="0"/>
          <w:bCs w:val="0"/>
        </w:rPr>
      </w:r>
    </w:p>
    <w:p>
      <w:pPr>
        <w:pStyle w:val="BodyText"/>
        <w:spacing w:line="338" w:lineRule="auto" w:before="115"/>
        <w:ind w:left="441" w:right="94" w:hanging="72"/>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）企业互联网营销服务行业 </w:t>
      </w:r>
      <w:r>
        <w:rPr>
          <w:spacing w:val="-4"/>
        </w:rPr>
        <w:t>数字营销行业处在快速变化的高速成长期。从门户时代、搜索时代，到电商、长视频网站崛起，再到移动互联网各类</w:t>
      </w:r>
      <w:r>
        <w:rPr>
          <w:rFonts w:ascii="Times New Roman" w:hAnsi="Times New Roman" w:cs="Times New Roman" w:eastAsia="Times New Roman" w:hint="default"/>
          <w:spacing w:val="-4"/>
        </w:rPr>
        <w:t>APP</w:t>
      </w:r>
    </w:p>
    <w:p>
      <w:pPr>
        <w:pStyle w:val="BodyText"/>
        <w:spacing w:line="357" w:lineRule="auto" w:before="19"/>
        <w:ind w:left="441" w:right="94" w:hanging="289"/>
        <w:jc w:val="left"/>
      </w:pPr>
      <w:r>
        <w:rPr/>
        <w:t>的兴起，互联网营销处在快速的更迭阶段，最具景气度的广告形式先后经历了品牌图形、搜索、电商到信息流广告的更替。 互联网与电子商务的发展、广告需求的爆发、流量的爆发式增长为行业的快速发展提供动力，数字营销行业至</w:t>
      </w:r>
      <w:r>
        <w:rPr>
          <w:rFonts w:ascii="Times New Roman" w:hAnsi="Times New Roman" w:cs="Times New Roman" w:eastAsia="Times New Roman" w:hint="default"/>
        </w:rPr>
        <w:t>2017</w:t>
      </w:r>
      <w:r>
        <w:rPr/>
        <w:t>年依</w:t>
      </w:r>
    </w:p>
    <w:p>
      <w:pPr>
        <w:pStyle w:val="BodyText"/>
        <w:spacing w:line="348" w:lineRule="auto" w:before="3"/>
        <w:ind w:right="190"/>
        <w:jc w:val="both"/>
      </w:pPr>
      <w:r>
        <w:rPr>
          <w:spacing w:val="-1"/>
        </w:rPr>
        <w:t>然保持</w:t>
      </w:r>
      <w:r>
        <w:rPr>
          <w:rFonts w:ascii="Times New Roman" w:hAnsi="Times New Roman" w:cs="Times New Roman" w:eastAsia="Times New Roman" w:hint="default"/>
          <w:spacing w:val="-1"/>
        </w:rPr>
        <w:t>30%</w:t>
      </w:r>
      <w:r>
        <w:rPr>
          <w:spacing w:val="-1"/>
        </w:rPr>
        <w:t>以上的增长率。但行业呈现两个明显的特征：一是媒体端独享技术红利，赚取行业绝大部分利润，甚至技术所带</w:t>
      </w:r>
      <w:r>
        <w:rPr/>
        <w:t> </w:t>
      </w:r>
      <w:r>
        <w:rPr>
          <w:spacing w:val="-2"/>
        </w:rPr>
        <w:t>来的去中介化进一步压缩了中间服务商的利润空间；二是广告行业过去一招鲜吃遍天的模式越来越难了，营销服务商需具备</w:t>
      </w:r>
      <w:r>
        <w:rPr>
          <w:spacing w:val="-64"/>
        </w:rPr>
        <w:t> </w:t>
      </w:r>
      <w:r>
        <w:rPr>
          <w:spacing w:val="-64"/>
        </w:rPr>
      </w:r>
      <w:r>
        <w:rPr/>
        <w:t>持续的业务创新和数据、技术的整合应用能力，以应对流量热点、客户、广告形式、新技术等方面的快速变化的挑战。</w:t>
      </w:r>
    </w:p>
    <w:p>
      <w:pPr>
        <w:pStyle w:val="BodyText"/>
        <w:spacing w:line="240" w:lineRule="auto" w:before="34"/>
        <w:ind w:left="532" w:right="0"/>
        <w:jc w:val="left"/>
      </w:pPr>
      <w:r>
        <w:rPr/>
        <w:t>根据艾瑞咨询数据，</w:t>
      </w:r>
      <w:r>
        <w:rPr>
          <w:rFonts w:ascii="Times New Roman" w:hAnsi="Times New Roman" w:cs="Times New Roman" w:eastAsia="Times New Roman" w:hint="default"/>
        </w:rPr>
        <w:t>2016</w:t>
      </w:r>
      <w:r>
        <w:rPr/>
        <w:t>年我国互联网广告市场规模</w:t>
      </w:r>
      <w:r>
        <w:rPr>
          <w:rFonts w:ascii="Times New Roman" w:hAnsi="Times New Roman" w:cs="Times New Roman" w:eastAsia="Times New Roman" w:hint="default"/>
        </w:rPr>
        <w:t>2902</w:t>
      </w:r>
      <w:r>
        <w:rPr/>
        <w:t>亿元，而根据光大证券测算，其中</w:t>
      </w:r>
      <w:r>
        <w:rPr>
          <w:rFonts w:ascii="Times New Roman" w:hAnsi="Times New Roman" w:cs="Times New Roman" w:eastAsia="Times New Roman" w:hint="default"/>
        </w:rPr>
        <w:t>“</w:t>
      </w:r>
      <w:r>
        <w:rPr/>
        <w:t>中介端</w:t>
      </w:r>
      <w:r>
        <w:rPr>
          <w:rFonts w:ascii="Times New Roman" w:hAnsi="Times New Roman" w:cs="Times New Roman" w:eastAsia="Times New Roman" w:hint="default"/>
        </w:rPr>
        <w:t>”</w:t>
      </w:r>
      <w:r>
        <w:rPr/>
        <w:t>数字营销服务公司</w:t>
      </w:r>
    </w:p>
    <w:p>
      <w:pPr>
        <w:spacing w:after="0" w:line="240" w:lineRule="auto"/>
        <w:jc w:val="left"/>
        <w:sectPr>
          <w:pgSz w:w="11910" w:h="16840"/>
          <w:pgMar w:header="745" w:footer="980" w:top="1060" w:bottom="1160" w:left="980" w:right="940"/>
        </w:sectPr>
      </w:pPr>
    </w:p>
    <w:p>
      <w:pPr>
        <w:spacing w:line="240" w:lineRule="auto" w:before="2"/>
        <w:rPr>
          <w:rFonts w:ascii="宋体" w:hAnsi="宋体" w:cs="宋体" w:eastAsia="宋体" w:hint="default"/>
          <w:sz w:val="10"/>
          <w:szCs w:val="10"/>
        </w:rPr>
      </w:pPr>
    </w:p>
    <w:p>
      <w:pPr>
        <w:pStyle w:val="BodyText"/>
        <w:spacing w:line="343" w:lineRule="auto" w:before="44"/>
        <w:ind w:right="102"/>
        <w:jc w:val="left"/>
      </w:pPr>
      <w:r>
        <w:rPr/>
        <w:t>市场规模约为</w:t>
      </w:r>
      <w:r>
        <w:rPr>
          <w:rFonts w:ascii="Times New Roman" w:hAnsi="Times New Roman" w:cs="Times New Roman" w:eastAsia="Times New Roman" w:hint="default"/>
        </w:rPr>
        <w:t>400</w:t>
      </w:r>
      <w:r>
        <w:rPr/>
        <w:t>余亿元，市场上各数字营销服务公司营收中值仅</w:t>
      </w:r>
      <w:r>
        <w:rPr>
          <w:rFonts w:ascii="Times New Roman" w:hAnsi="Times New Roman" w:cs="Times New Roman" w:eastAsia="Times New Roman" w:hint="default"/>
        </w:rPr>
        <w:t>4.56</w:t>
      </w:r>
      <w:r>
        <w:rPr/>
        <w:t>亿元，市场高度分散。这主要由于普通的互联网广告 </w:t>
      </w:r>
      <w:r>
        <w:rPr>
          <w:spacing w:val="-2"/>
        </w:rPr>
        <w:t>公司没有政策牌照限制，资金要求也不高，行业壁垒低。同时，在行业高速发展的环境下，众多代理服务类型的营销公司仍</w:t>
      </w:r>
      <w:r>
        <w:rPr>
          <w:spacing w:val="-67"/>
        </w:rPr>
        <w:t> </w:t>
      </w:r>
      <w:r>
        <w:rPr>
          <w:spacing w:val="-67"/>
        </w:rPr>
      </w:r>
      <w:r>
        <w:rPr>
          <w:spacing w:val="-3"/>
        </w:rPr>
        <w:t>能取得生存空间。促使</w:t>
      </w:r>
      <w:r>
        <w:rPr>
          <w:rFonts w:ascii="Times New Roman" w:hAnsi="Times New Roman" w:cs="Times New Roman" w:eastAsia="Times New Roman" w:hint="default"/>
          <w:spacing w:val="-3"/>
        </w:rPr>
        <w:t>“</w:t>
      </w:r>
      <w:r>
        <w:rPr>
          <w:spacing w:val="-3"/>
        </w:rPr>
        <w:t>大市场，小公司</w:t>
      </w:r>
      <w:r>
        <w:rPr>
          <w:rFonts w:ascii="Times New Roman" w:hAnsi="Times New Roman" w:cs="Times New Roman" w:eastAsia="Times New Roman" w:hint="default"/>
          <w:spacing w:val="-3"/>
        </w:rPr>
        <w:t>”</w:t>
      </w:r>
      <w:r>
        <w:rPr>
          <w:spacing w:val="-3"/>
        </w:rPr>
        <w:t>格局的形成。在这样的行业形势下，中介端公司议价能力将逐步减弱，而技术能力、</w:t>
      </w:r>
      <w:r>
        <w:rPr>
          <w:spacing w:val="-80"/>
        </w:rPr>
        <w:t> </w:t>
      </w:r>
      <w:r>
        <w:rPr>
          <w:spacing w:val="-80"/>
        </w:rPr>
      </w:r>
      <w:r>
        <w:rPr/>
        <w:t>数据服务能力带来的高附加值是形成竞争优势的主要动力，未来具有技术布局、数据优势的企业将脱颖而出。</w:t>
      </w:r>
    </w:p>
    <w:p>
      <w:pPr>
        <w:pStyle w:val="BodyText"/>
        <w:spacing w:line="343" w:lineRule="auto" w:before="37"/>
        <w:ind w:right="188" w:firstLine="360"/>
        <w:jc w:val="both"/>
      </w:pPr>
      <w:r>
        <w:rPr/>
        <w:t>基于对行业变化趋势的深刻理解，麦达数字选择了以</w:t>
      </w:r>
      <w:r>
        <w:rPr>
          <w:rFonts w:ascii="Times New Roman" w:hAnsi="Times New Roman" w:cs="Times New Roman" w:eastAsia="Times New Roman" w:hint="default"/>
        </w:rPr>
        <w:t>SaaS-CRM</w:t>
      </w:r>
      <w:r>
        <w:rPr/>
        <w:t>及数据驱动的一站式营销数字化转型服务作为切入点，</w:t>
      </w:r>
      <w:r>
        <w:rPr>
          <w:w w:val="99"/>
        </w:rPr>
        <w:t> </w:t>
      </w:r>
      <w:r>
        <w:rPr>
          <w:spacing w:val="-2"/>
        </w:rPr>
        <w:t>以应对数字营销行业的快速变化，并试图提供以技术为桥梁，以数据为驱动力，以品效合一为目的一站式营销数字化转型服</w:t>
      </w:r>
      <w:r>
        <w:rPr>
          <w:spacing w:val="-67"/>
        </w:rPr>
        <w:t> </w:t>
      </w:r>
      <w:r>
        <w:rPr>
          <w:spacing w:val="-67"/>
        </w:rPr>
      </w:r>
      <w:r>
        <w:rPr/>
        <w:t>务。国内</w:t>
      </w:r>
      <w:r>
        <w:rPr>
          <w:rFonts w:ascii="Times New Roman" w:hAnsi="Times New Roman" w:cs="Times New Roman" w:eastAsia="Times New Roman" w:hint="default"/>
        </w:rPr>
        <w:t>SaaS</w:t>
      </w:r>
      <w:r>
        <w:rPr/>
        <w:t>行业经历</w:t>
      </w:r>
      <w:r>
        <w:rPr>
          <w:rFonts w:ascii="Times New Roman" w:hAnsi="Times New Roman" w:cs="Times New Roman" w:eastAsia="Times New Roman" w:hint="default"/>
        </w:rPr>
        <w:t>2014-2015</w:t>
      </w:r>
      <w:r>
        <w:rPr/>
        <w:t>的短暂爆发式增长后，自</w:t>
      </w:r>
      <w:r>
        <w:rPr>
          <w:rFonts w:ascii="Times New Roman" w:hAnsi="Times New Roman" w:cs="Times New Roman" w:eastAsia="Times New Roman" w:hint="default"/>
        </w:rPr>
        <w:t>2016</w:t>
      </w:r>
      <w:r>
        <w:rPr/>
        <w:t>年开始，</w:t>
      </w:r>
      <w:r>
        <w:rPr>
          <w:rFonts w:ascii="Times New Roman" w:hAnsi="Times New Roman" w:cs="Times New Roman" w:eastAsia="Times New Roman" w:hint="default"/>
        </w:rPr>
        <w:t>SaaS</w:t>
      </w:r>
      <w:r>
        <w:rPr/>
        <w:t>市场进入稳定快速的发展阶段，艾瑞咨询数据 </w:t>
      </w:r>
      <w:r>
        <w:rPr>
          <w:spacing w:val="-1"/>
        </w:rPr>
        <w:t>显示，</w:t>
      </w:r>
      <w:r>
        <w:rPr>
          <w:rFonts w:ascii="Times New Roman" w:hAnsi="Times New Roman" w:cs="Times New Roman" w:eastAsia="Times New Roman" w:hint="default"/>
          <w:spacing w:val="-1"/>
        </w:rPr>
        <w:t>2017</w:t>
      </w:r>
      <w:r>
        <w:rPr>
          <w:spacing w:val="-1"/>
        </w:rPr>
        <w:t>年国内</w:t>
      </w:r>
      <w:r>
        <w:rPr>
          <w:rFonts w:ascii="Times New Roman" w:hAnsi="Times New Roman" w:cs="Times New Roman" w:eastAsia="Times New Roman" w:hint="default"/>
          <w:spacing w:val="-1"/>
        </w:rPr>
        <w:t>SaaS</w:t>
      </w:r>
      <w:r>
        <w:rPr>
          <w:spacing w:val="-1"/>
        </w:rPr>
        <w:t>行业市场规模为</w:t>
      </w:r>
      <w:r>
        <w:rPr>
          <w:rFonts w:ascii="Times New Roman" w:hAnsi="Times New Roman" w:cs="Times New Roman" w:eastAsia="Times New Roman" w:hint="default"/>
          <w:spacing w:val="-1"/>
        </w:rPr>
        <w:t>168.7</w:t>
      </w:r>
      <w:r>
        <w:rPr>
          <w:spacing w:val="-1"/>
        </w:rPr>
        <w:t>亿元，增长率为</w:t>
      </w:r>
      <w:r>
        <w:rPr>
          <w:rFonts w:ascii="Times New Roman" w:hAnsi="Times New Roman" w:cs="Times New Roman" w:eastAsia="Times New Roman" w:hint="default"/>
          <w:spacing w:val="-1"/>
        </w:rPr>
        <w:t>32.3%</w:t>
      </w:r>
      <w:r>
        <w:rPr>
          <w:spacing w:val="-1"/>
        </w:rPr>
        <w:t>，预计未来仍将维持</w:t>
      </w:r>
      <w:r>
        <w:rPr>
          <w:rFonts w:ascii="Times New Roman" w:hAnsi="Times New Roman" w:cs="Times New Roman" w:eastAsia="Times New Roman" w:hint="default"/>
          <w:spacing w:val="-1"/>
        </w:rPr>
        <w:t>30%</w:t>
      </w:r>
      <w:r>
        <w:rPr>
          <w:spacing w:val="-1"/>
        </w:rPr>
        <w:t>以上增幅，</w:t>
      </w:r>
      <w:r>
        <w:rPr>
          <w:rFonts w:ascii="Times New Roman" w:hAnsi="Times New Roman" w:cs="Times New Roman" w:eastAsia="Times New Roman" w:hint="default"/>
          <w:spacing w:val="-1"/>
        </w:rPr>
        <w:t>2020</w:t>
      </w:r>
      <w:r>
        <w:rPr>
          <w:spacing w:val="-1"/>
        </w:rPr>
        <w:t>年市场规模将达</w:t>
      </w:r>
      <w:r>
        <w:rPr>
          <w:spacing w:val="-54"/>
        </w:rPr>
        <w:t> </w:t>
      </w:r>
      <w:r>
        <w:rPr>
          <w:spacing w:val="-54"/>
        </w:rPr>
      </w:r>
      <w:r>
        <w:rPr/>
        <w:t>到</w:t>
      </w:r>
      <w:r>
        <w:rPr>
          <w:rFonts w:ascii="Times New Roman" w:hAnsi="Times New Roman" w:cs="Times New Roman" w:eastAsia="Times New Roman" w:hint="default"/>
        </w:rPr>
        <w:t>473.4</w:t>
      </w:r>
      <w:r>
        <w:rPr/>
        <w:t>亿元，市场前景广阔。</w:t>
      </w:r>
    </w:p>
    <w:p>
      <w:pPr>
        <w:spacing w:line="240" w:lineRule="auto" w:before="10"/>
        <w:rPr>
          <w:rFonts w:ascii="宋体" w:hAnsi="宋体" w:cs="宋体" w:eastAsia="宋体" w:hint="default"/>
          <w:sz w:val="8"/>
          <w:szCs w:val="8"/>
        </w:rPr>
      </w:pPr>
    </w:p>
    <w:p>
      <w:pPr>
        <w:spacing w:line="3294" w:lineRule="exact"/>
        <w:ind w:left="858"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5291053" cy="2092166"/>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5291053" cy="2092166"/>
                    </a:xfrm>
                    <a:prstGeom prst="rect">
                      <a:avLst/>
                    </a:prstGeom>
                  </pic:spPr>
                </pic:pic>
              </a:graphicData>
            </a:graphic>
          </wp:inline>
        </w:drawing>
      </w:r>
      <w:r>
        <w:rPr>
          <w:rFonts w:ascii="宋体" w:hAnsi="宋体" w:cs="宋体" w:eastAsia="宋体" w:hint="default"/>
          <w:position w:val="-65"/>
          <w:sz w:val="20"/>
          <w:szCs w:val="20"/>
        </w:rPr>
      </w:r>
    </w:p>
    <w:p>
      <w:pPr>
        <w:pStyle w:val="BodyText"/>
        <w:spacing w:line="590" w:lineRule="atLeast" w:before="37"/>
        <w:ind w:left="441" w:right="94" w:firstLine="6912"/>
        <w:jc w:val="left"/>
        <w:rPr>
          <w:rFonts w:ascii="Times New Roman" w:hAnsi="Times New Roman" w:cs="Times New Roman" w:eastAsia="Times New Roman" w:hint="default"/>
        </w:rPr>
      </w:pPr>
      <w:r>
        <w:rPr/>
        <w:t>数据来源：艾瑞咨询</w:t>
      </w:r>
      <w:r>
        <w:rPr>
          <w:rFonts w:ascii="宋体" w:hAnsi="宋体" w:cs="宋体" w:eastAsia="宋体" w:hint="default"/>
        </w:rPr>
        <w:t> </w:t>
      </w:r>
      <w:r>
        <w:rPr>
          <w:spacing w:val="-1"/>
        </w:rPr>
        <w:t>在众多</w:t>
      </w:r>
      <w:r>
        <w:rPr>
          <w:rFonts w:ascii="Times New Roman" w:hAnsi="Times New Roman" w:cs="Times New Roman" w:eastAsia="Times New Roman" w:hint="default"/>
          <w:spacing w:val="-1"/>
        </w:rPr>
        <w:t>SaaS</w:t>
      </w:r>
      <w:r>
        <w:rPr>
          <w:spacing w:val="-1"/>
        </w:rPr>
        <w:t>终端应用中，</w:t>
      </w:r>
      <w:r>
        <w:rPr>
          <w:rFonts w:ascii="Times New Roman" w:hAnsi="Times New Roman" w:cs="Times New Roman" w:eastAsia="Times New Roman" w:hint="default"/>
          <w:spacing w:val="-1"/>
        </w:rPr>
        <w:t>CRM</w:t>
      </w:r>
      <w:r>
        <w:rPr>
          <w:spacing w:val="-1"/>
        </w:rPr>
        <w:t>与全球相比仍处于起步阶段，根据</w:t>
      </w:r>
      <w:r>
        <w:rPr>
          <w:rFonts w:ascii="Times New Roman" w:hAnsi="Times New Roman" w:cs="Times New Roman" w:eastAsia="Times New Roman" w:hint="default"/>
          <w:spacing w:val="-1"/>
        </w:rPr>
        <w:t>Gartner</w:t>
      </w:r>
      <w:r>
        <w:rPr>
          <w:spacing w:val="-1"/>
        </w:rPr>
        <w:t>的报告，预计</w:t>
      </w:r>
      <w:r>
        <w:rPr>
          <w:rFonts w:ascii="Times New Roman" w:hAnsi="Times New Roman" w:cs="Times New Roman" w:eastAsia="Times New Roman" w:hint="default"/>
          <w:spacing w:val="-1"/>
        </w:rPr>
        <w:t>2017</w:t>
      </w:r>
      <w:r>
        <w:rPr>
          <w:spacing w:val="-1"/>
        </w:rPr>
        <w:t>年全球</w:t>
      </w:r>
      <w:r>
        <w:rPr>
          <w:rFonts w:ascii="Times New Roman" w:hAnsi="Times New Roman" w:cs="Times New Roman" w:eastAsia="Times New Roman" w:hint="default"/>
          <w:spacing w:val="-1"/>
        </w:rPr>
        <w:t>CRM</w:t>
      </w:r>
      <w:r>
        <w:rPr>
          <w:spacing w:val="-1"/>
        </w:rPr>
        <w:t>的市场规模为</w:t>
      </w:r>
      <w:r>
        <w:rPr>
          <w:rFonts w:ascii="Times New Roman" w:hAnsi="Times New Roman" w:cs="Times New Roman" w:eastAsia="Times New Roman" w:hint="default"/>
          <w:spacing w:val="-1"/>
        </w:rPr>
        <w:t>365</w:t>
      </w:r>
    </w:p>
    <w:p>
      <w:pPr>
        <w:pStyle w:val="BodyText"/>
        <w:spacing w:line="338" w:lineRule="auto" w:before="101"/>
        <w:ind w:right="260"/>
        <w:jc w:val="left"/>
      </w:pPr>
      <w:r>
        <w:rPr/>
        <w:t>亿美元，而国内市场规模仅为</w:t>
      </w:r>
      <w:r>
        <w:rPr>
          <w:rFonts w:ascii="Times New Roman" w:hAnsi="Times New Roman" w:cs="Times New Roman" w:eastAsia="Times New Roman" w:hint="default"/>
        </w:rPr>
        <w:t>46.9</w:t>
      </w:r>
      <w:r>
        <w:rPr/>
        <w:t>亿人民币。</w:t>
      </w:r>
      <w:r>
        <w:rPr>
          <w:rFonts w:ascii="Times New Roman" w:hAnsi="Times New Roman" w:cs="Times New Roman" w:eastAsia="Times New Roman" w:hint="default"/>
        </w:rPr>
        <w:t>SaaS-CRM</w:t>
      </w:r>
      <w:r>
        <w:rPr/>
        <w:t>产品结构简单，易于操作，根据移动信息化研究中心数据，</w:t>
      </w:r>
      <w:r>
        <w:rPr>
          <w:rFonts w:ascii="Times New Roman" w:hAnsi="Times New Roman" w:cs="Times New Roman" w:eastAsia="Times New Roman" w:hint="default"/>
        </w:rPr>
        <w:t>56%</w:t>
      </w:r>
      <w:r>
        <w:rPr/>
        <w:t>的</w:t>
      </w:r>
      <w:r>
        <w:rPr>
          <w:w w:val="99"/>
        </w:rPr>
        <w:t> </w:t>
      </w:r>
      <w:r>
        <w:rPr/>
        <w:t>移动端</w:t>
      </w:r>
      <w:r>
        <w:rPr>
          <w:rFonts w:ascii="Times New Roman" w:hAnsi="Times New Roman" w:cs="Times New Roman" w:eastAsia="Times New Roman" w:hint="default"/>
        </w:rPr>
        <w:t>CRM</w:t>
      </w:r>
      <w:r>
        <w:rPr/>
        <w:t>采用</w:t>
      </w:r>
      <w:r>
        <w:rPr>
          <w:rFonts w:ascii="Times New Roman" w:hAnsi="Times New Roman" w:cs="Times New Roman" w:eastAsia="Times New Roman" w:hint="default"/>
        </w:rPr>
        <w:t>SaaS</w:t>
      </w:r>
      <w:r>
        <w:rPr/>
        <w:t>交付模式。根据易观数据，未来三年中国</w:t>
      </w:r>
      <w:r>
        <w:rPr>
          <w:rFonts w:ascii="Times New Roman" w:hAnsi="Times New Roman" w:cs="Times New Roman" w:eastAsia="Times New Roman" w:hint="default"/>
        </w:rPr>
        <w:t>SaaS-CRM</w:t>
      </w:r>
      <w:r>
        <w:rPr/>
        <w:t>行业的增速将维持在</w:t>
      </w:r>
      <w:r>
        <w:rPr>
          <w:rFonts w:ascii="Times New Roman" w:hAnsi="Times New Roman" w:cs="Times New Roman" w:eastAsia="Times New Roman" w:hint="default"/>
        </w:rPr>
        <w:t>20%</w:t>
      </w:r>
      <w:r>
        <w:rPr/>
        <w:t>以上。</w:t>
      </w:r>
    </w:p>
    <w:p>
      <w:pPr>
        <w:spacing w:line="240" w:lineRule="auto" w:before="7"/>
        <w:rPr>
          <w:rFonts w:ascii="宋体" w:hAnsi="宋体" w:cs="宋体" w:eastAsia="宋体" w:hint="default"/>
          <w:sz w:val="5"/>
          <w:szCs w:val="5"/>
        </w:rPr>
      </w:pPr>
    </w:p>
    <w:p>
      <w:pPr>
        <w:spacing w:line="4320" w:lineRule="exact"/>
        <w:ind w:left="1002"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5074920" cy="27432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5074920" cy="2743200"/>
                    </a:xfrm>
                    <a:prstGeom prst="rect">
                      <a:avLst/>
                    </a:prstGeom>
                  </pic:spPr>
                </pic:pic>
              </a:graphicData>
            </a:graphic>
          </wp:inline>
        </w:drawing>
      </w:r>
      <w:r>
        <w:rPr>
          <w:rFonts w:ascii="宋体" w:hAnsi="宋体" w:cs="宋体" w:eastAsia="宋体" w:hint="default"/>
          <w:position w:val="-85"/>
          <w:sz w:val="20"/>
          <w:szCs w:val="20"/>
        </w:rPr>
      </w:r>
    </w:p>
    <w:p>
      <w:pPr>
        <w:spacing w:line="240" w:lineRule="auto" w:before="1"/>
        <w:rPr>
          <w:rFonts w:ascii="宋体" w:hAnsi="宋体" w:cs="宋体" w:eastAsia="宋体" w:hint="default"/>
          <w:sz w:val="23"/>
          <w:szCs w:val="23"/>
        </w:rPr>
      </w:pPr>
    </w:p>
    <w:p>
      <w:pPr>
        <w:pStyle w:val="BodyText"/>
        <w:spacing w:line="240" w:lineRule="auto" w:before="44"/>
        <w:ind w:left="0" w:right="830"/>
        <w:jc w:val="right"/>
      </w:pPr>
      <w:r>
        <w:rPr/>
        <w:t>数据来源：易观智库</w:t>
      </w:r>
    </w:p>
    <w:p>
      <w:pPr>
        <w:pStyle w:val="BodyText"/>
        <w:spacing w:line="240" w:lineRule="auto" w:before="35"/>
        <w:ind w:left="296" w:right="254"/>
        <w:jc w:val="left"/>
      </w:pPr>
      <w:r>
        <w:rPr/>
        <w:t>（</w:t>
      </w:r>
      <w:r>
        <w:rPr>
          <w:rFonts w:ascii="Times New Roman" w:hAnsi="Times New Roman" w:cs="Times New Roman" w:eastAsia="Times New Roman" w:hint="default"/>
        </w:rPr>
        <w:t>2</w:t>
      </w:r>
      <w:r>
        <w:rPr/>
        <w:t>）智能硬件行业</w:t>
      </w:r>
    </w:p>
    <w:p>
      <w:pPr>
        <w:pStyle w:val="BodyText"/>
        <w:spacing w:line="240" w:lineRule="auto" w:before="101"/>
        <w:ind w:left="441" w:right="94"/>
        <w:jc w:val="left"/>
      </w:pPr>
      <w:r>
        <w:rPr/>
        <w:t>智能硬件行业目前虽尚处于行业初期阶段，但高速发展的前提条件已逐渐形成。随着</w:t>
      </w:r>
      <w:r>
        <w:rPr>
          <w:rFonts w:ascii="Times New Roman" w:hAnsi="Times New Roman" w:cs="Times New Roman" w:eastAsia="Times New Roman" w:hint="default"/>
        </w:rPr>
        <w:t>5G</w:t>
      </w:r>
      <w:r>
        <w:rPr/>
        <w:t>通信技术的来临，云计算能力的</w:t>
      </w:r>
    </w:p>
    <w:p>
      <w:pPr>
        <w:spacing w:after="0" w:line="240" w:lineRule="auto"/>
        <w:jc w:val="left"/>
        <w:sectPr>
          <w:footerReference w:type="default" r:id="rId13"/>
          <w:pgSz w:w="11910" w:h="16840"/>
          <w:pgMar w:footer="980" w:header="745" w:top="1060" w:bottom="1160" w:left="980" w:right="940"/>
          <w:pgNumType w:start="14"/>
        </w:sectPr>
      </w:pPr>
    </w:p>
    <w:p>
      <w:pPr>
        <w:spacing w:line="240" w:lineRule="auto" w:before="2"/>
        <w:rPr>
          <w:rFonts w:ascii="宋体" w:hAnsi="宋体" w:cs="宋体" w:eastAsia="宋体" w:hint="default"/>
          <w:sz w:val="10"/>
          <w:szCs w:val="10"/>
        </w:rPr>
      </w:pPr>
    </w:p>
    <w:p>
      <w:pPr>
        <w:pStyle w:val="BodyText"/>
        <w:spacing w:line="357" w:lineRule="auto" w:before="44"/>
        <w:ind w:right="0"/>
        <w:jc w:val="left"/>
      </w:pPr>
      <w:r>
        <w:rPr>
          <w:spacing w:val="-2"/>
        </w:rPr>
        <w:t>强化，初级人工智能的实现以及传感器技术的不断成熟，制约智能硬件发展的多维度的技术瓶颈已逐渐打破，智能硬件将进</w:t>
      </w:r>
      <w:r>
        <w:rPr>
          <w:spacing w:val="-63"/>
        </w:rPr>
        <w:t> </w:t>
      </w:r>
      <w:r>
        <w:rPr>
          <w:spacing w:val="-63"/>
        </w:rPr>
      </w:r>
      <w:r>
        <w:rPr/>
        <w:t>入全面快速发展的新阶段。</w:t>
      </w:r>
    </w:p>
    <w:p>
      <w:pPr>
        <w:pStyle w:val="BodyText"/>
        <w:spacing w:line="350" w:lineRule="auto" w:before="24"/>
        <w:ind w:right="146" w:firstLine="288"/>
        <w:jc w:val="both"/>
      </w:pPr>
      <w:r>
        <w:rPr>
          <w:spacing w:val="-1"/>
        </w:rPr>
        <w:t>包括小米、海尔、三星在内的海内外各大巨头公司也纷纷推出整套智能家居解决方案。由于物联网的价值取决于连接智</w:t>
      </w:r>
      <w:r>
        <w:rPr/>
        <w:t> </w:t>
      </w:r>
      <w:r>
        <w:rPr>
          <w:spacing w:val="-2"/>
        </w:rPr>
        <w:t>能设备的数量，当联网设备达到一定量级后，才有制定准则和标准的话语权。因此快速普及智能设备是进入物联网的关键战</w:t>
      </w:r>
      <w:r>
        <w:rPr>
          <w:spacing w:val="-63"/>
        </w:rPr>
        <w:t> </w:t>
      </w:r>
      <w:r>
        <w:rPr>
          <w:spacing w:val="-63"/>
        </w:rPr>
      </w:r>
      <w:r>
        <w:rPr>
          <w:spacing w:val="-3"/>
        </w:rPr>
        <w:t>略。以小米为例，</w:t>
      </w:r>
      <w:r>
        <w:rPr>
          <w:rFonts w:ascii="Times New Roman" w:hAnsi="Times New Roman" w:cs="Times New Roman" w:eastAsia="Times New Roman" w:hint="default"/>
          <w:spacing w:val="-3"/>
        </w:rPr>
        <w:t>2017</w:t>
      </w:r>
      <w:r>
        <w:rPr>
          <w:spacing w:val="-3"/>
        </w:rPr>
        <w:t>年，小米已经投资了</w:t>
      </w:r>
      <w:r>
        <w:rPr>
          <w:rFonts w:ascii="Times New Roman" w:hAnsi="Times New Roman" w:cs="Times New Roman" w:eastAsia="Times New Roman" w:hint="default"/>
          <w:spacing w:val="-3"/>
        </w:rPr>
        <w:t>100</w:t>
      </w:r>
      <w:r>
        <w:rPr>
          <w:spacing w:val="-3"/>
        </w:rPr>
        <w:t>多家生态链公司，年销售额突破</w:t>
      </w:r>
      <w:r>
        <w:rPr>
          <w:rFonts w:ascii="Times New Roman" w:hAnsi="Times New Roman" w:cs="Times New Roman" w:eastAsia="Times New Roman" w:hint="default"/>
          <w:spacing w:val="-3"/>
        </w:rPr>
        <w:t>200</w:t>
      </w:r>
      <w:r>
        <w:rPr>
          <w:spacing w:val="-3"/>
        </w:rPr>
        <w:t>亿，商品品类也不断扩展，目前已接入</w:t>
      </w:r>
      <w:r>
        <w:rPr>
          <w:rFonts w:ascii="Times New Roman" w:hAnsi="Times New Roman" w:cs="Times New Roman" w:eastAsia="Times New Roman" w:hint="default"/>
          <w:spacing w:val="-3"/>
        </w:rPr>
        <w:t>800</w:t>
      </w:r>
      <w:r>
        <w:rPr>
          <w:rFonts w:ascii="Times New Roman" w:hAnsi="Times New Roman" w:cs="Times New Roman" w:eastAsia="Times New Roman" w:hint="default"/>
          <w:spacing w:val="-35"/>
        </w:rPr>
        <w:t> </w:t>
      </w:r>
      <w:r>
        <w:rPr/>
        <w:t>多种智能硬件，物联网设备</w:t>
      </w:r>
      <w:r>
        <w:rPr>
          <w:rFonts w:ascii="Times New Roman" w:hAnsi="Times New Roman" w:cs="Times New Roman" w:eastAsia="Times New Roman" w:hint="default"/>
        </w:rPr>
        <w:t>8500</w:t>
      </w:r>
      <w:r>
        <w:rPr/>
        <w:t>万台，成为全球最大的智能硬件平台。</w:t>
      </w:r>
    </w:p>
    <w:p>
      <w:pPr>
        <w:pStyle w:val="BodyText"/>
        <w:spacing w:line="348" w:lineRule="auto" w:before="9"/>
        <w:ind w:right="154" w:firstLine="360"/>
        <w:jc w:val="both"/>
      </w:pPr>
      <w:r>
        <w:rPr>
          <w:spacing w:val="-2"/>
        </w:rPr>
        <w:t>由于智能硬件整体尚处在发展初期，仍有强大的替代效应和市场空间，预计市场将维持快速增长。以智能家居为例，根</w:t>
      </w:r>
      <w:r>
        <w:rPr/>
        <w:t> 据新时代证券研究所的预计，</w:t>
      </w:r>
      <w:r>
        <w:rPr>
          <w:rFonts w:ascii="Times New Roman" w:hAnsi="Times New Roman" w:cs="Times New Roman" w:eastAsia="Times New Roman" w:hint="default"/>
        </w:rPr>
        <w:t>2020</w:t>
      </w:r>
      <w:r>
        <w:rPr/>
        <w:t>年，智能家居的整体规模将由</w:t>
      </w:r>
      <w:r>
        <w:rPr>
          <w:rFonts w:ascii="Times New Roman" w:hAnsi="Times New Roman" w:cs="Times New Roman" w:eastAsia="Times New Roman" w:hint="default"/>
        </w:rPr>
        <w:t>2016</w:t>
      </w:r>
      <w:r>
        <w:rPr/>
        <w:t>年的</w:t>
      </w:r>
      <w:r>
        <w:rPr>
          <w:rFonts w:ascii="Times New Roman" w:hAnsi="Times New Roman" w:cs="Times New Roman" w:eastAsia="Times New Roman" w:hint="default"/>
        </w:rPr>
        <w:t>490</w:t>
      </w:r>
      <w:r>
        <w:rPr/>
        <w:t>亿美元增长至</w:t>
      </w:r>
      <w:r>
        <w:rPr>
          <w:rFonts w:ascii="Times New Roman" w:hAnsi="Times New Roman" w:cs="Times New Roman" w:eastAsia="Times New Roman" w:hint="default"/>
        </w:rPr>
        <w:t>1000</w:t>
      </w:r>
      <w:r>
        <w:rPr/>
        <w:t>亿美元，而中国将占据其中 近一半的份额。未来三年中国市场增速将维持在</w:t>
      </w:r>
      <w:r>
        <w:rPr>
          <w:rFonts w:ascii="Times New Roman" w:hAnsi="Times New Roman" w:cs="Times New Roman" w:eastAsia="Times New Roman" w:hint="default"/>
        </w:rPr>
        <w:t>50%</w:t>
      </w:r>
      <w:r>
        <w:rPr/>
        <w:t>以上。</w:t>
      </w:r>
    </w:p>
    <w:p>
      <w:pPr>
        <w:spacing w:line="240" w:lineRule="auto" w:before="11"/>
        <w:rPr>
          <w:rFonts w:ascii="宋体" w:hAnsi="宋体" w:cs="宋体" w:eastAsia="宋体" w:hint="default"/>
          <w:sz w:val="13"/>
          <w:szCs w:val="13"/>
        </w:rPr>
      </w:pPr>
    </w:p>
    <w:p>
      <w:pPr>
        <w:spacing w:line="4406" w:lineRule="exact"/>
        <w:ind w:left="858" w:right="0" w:firstLine="0"/>
        <w:rPr>
          <w:rFonts w:ascii="宋体" w:hAnsi="宋体" w:cs="宋体" w:eastAsia="宋体" w:hint="default"/>
          <w:sz w:val="20"/>
          <w:szCs w:val="20"/>
        </w:rPr>
      </w:pPr>
      <w:r>
        <w:rPr>
          <w:rFonts w:ascii="宋体" w:hAnsi="宋体" w:cs="宋体" w:eastAsia="宋体" w:hint="default"/>
          <w:position w:val="-87"/>
          <w:sz w:val="20"/>
          <w:szCs w:val="20"/>
        </w:rPr>
        <w:drawing>
          <wp:inline distT="0" distB="0" distL="0" distR="0">
            <wp:extent cx="4938208" cy="2798064"/>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4938208" cy="2798064"/>
                    </a:xfrm>
                    <a:prstGeom prst="rect">
                      <a:avLst/>
                    </a:prstGeom>
                  </pic:spPr>
                </pic:pic>
              </a:graphicData>
            </a:graphic>
          </wp:inline>
        </w:drawing>
      </w:r>
      <w:r>
        <w:rPr>
          <w:rFonts w:ascii="宋体" w:hAnsi="宋体" w:cs="宋体" w:eastAsia="宋体" w:hint="default"/>
          <w:position w:val="-87"/>
          <w:sz w:val="20"/>
          <w:szCs w:val="20"/>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BodyText"/>
        <w:spacing w:line="240" w:lineRule="auto"/>
        <w:ind w:left="6108" w:right="153"/>
        <w:jc w:val="left"/>
        <w:rPr>
          <w:rFonts w:ascii="宋体" w:hAnsi="宋体" w:cs="宋体" w:eastAsia="宋体" w:hint="default"/>
        </w:rPr>
      </w:pPr>
      <w:r>
        <w:rPr/>
        <w:t>数据来源：新时代证券研究所</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39"/>
        <w:gridCol w:w="6519"/>
      </w:tblGrid>
      <w:tr>
        <w:trPr>
          <w:trHeight w:val="185"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主要系无锡鸿山厂房项目由在建工程转入固定资产</w:t>
            </w: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主要系政府回收无锡实益达的部分土地使用权</w:t>
            </w:r>
          </w:p>
        </w:tc>
      </w:tr>
      <w:tr>
        <w:trPr>
          <w:trHeight w:val="404"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主要系无锡鸿山厂房项目由在建工程转入固定资产</w:t>
            </w: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主要系报告期内公司经营盈利增加及理财产品赎回所致</w:t>
            </w: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主要系应收政府回收无锡实益达的部分土地使用权款项所致</w:t>
            </w: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主要系报告期内公司投资惠赢天下和赢销通所致</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4"/>
        <w:rPr>
          <w:rFonts w:ascii="宋体" w:hAnsi="宋体" w:cs="宋体" w:eastAsia="宋体" w:hint="default"/>
          <w:b/>
          <w:bCs/>
          <w:sz w:val="12"/>
          <w:szCs w:val="12"/>
        </w:rPr>
      </w:pPr>
    </w:p>
    <w:p>
      <w:pPr>
        <w:pStyle w:val="Heading3"/>
        <w:spacing w:line="240" w:lineRule="auto" w:before="36"/>
        <w:ind w:right="254"/>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254"/>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6754"/>
        <w:jc w:val="left"/>
      </w:pPr>
      <w:r>
        <w:rPr/>
        <w:t>公司是否需要遵守特殊行业的披露要求 否</w:t>
      </w:r>
    </w:p>
    <w:p>
      <w:pPr>
        <w:pStyle w:val="Heading5"/>
        <w:spacing w:line="237" w:lineRule="exact"/>
        <w:ind w:left="513" w:right="254"/>
        <w:jc w:val="left"/>
        <w:rPr>
          <w:b w:val="0"/>
          <w:bCs w:val="0"/>
        </w:rPr>
      </w:pPr>
      <w:r>
        <w:rPr>
          <w:rFonts w:ascii="Times New Roman" w:hAnsi="Times New Roman" w:cs="Times New Roman" w:eastAsia="Times New Roman" w:hint="default"/>
        </w:rPr>
        <w:t>1</w:t>
      </w:r>
      <w:r>
        <w:rPr/>
        <w:t>、产品及服务优势</w:t>
      </w:r>
      <w:r>
        <w:rPr>
          <w:b w:val="0"/>
          <w:bCs w:val="0"/>
        </w:rPr>
      </w:r>
    </w:p>
    <w:p>
      <w:pPr>
        <w:pStyle w:val="BodyText"/>
        <w:spacing w:line="338" w:lineRule="auto" w:before="101"/>
        <w:ind w:left="513" w:right="94" w:hanging="181"/>
        <w:jc w:val="left"/>
      </w:pPr>
      <w:r>
        <w:rPr/>
        <w:t>（</w:t>
      </w:r>
      <w:r>
        <w:rPr>
          <w:rFonts w:ascii="Times New Roman" w:hAnsi="Times New Roman" w:cs="Times New Roman" w:eastAsia="Times New Roman" w:hint="default"/>
        </w:rPr>
        <w:t>1</w:t>
      </w:r>
      <w:r>
        <w:rPr/>
        <w:t>）智能硬件：产品技术具有竞争力 </w:t>
      </w:r>
      <w:r>
        <w:rPr>
          <w:spacing w:val="-2"/>
        </w:rPr>
        <w:t>麦达数字旗下的</w:t>
      </w:r>
      <w:r>
        <w:rPr>
          <w:rFonts w:ascii="Times New Roman" w:hAnsi="Times New Roman" w:cs="Times New Roman" w:eastAsia="Times New Roman" w:hint="default"/>
          <w:spacing w:val="-2"/>
        </w:rPr>
        <w:t>“</w:t>
      </w:r>
      <w:r>
        <w:rPr>
          <w:spacing w:val="-2"/>
        </w:rPr>
        <w:t>实益达</w:t>
      </w:r>
      <w:r>
        <w:rPr>
          <w:rFonts w:ascii="Times New Roman" w:hAnsi="Times New Roman" w:cs="Times New Roman" w:eastAsia="Times New Roman" w:hint="default"/>
          <w:spacing w:val="-2"/>
        </w:rPr>
        <w:t>”</w:t>
      </w:r>
      <w:r>
        <w:rPr>
          <w:spacing w:val="-2"/>
        </w:rPr>
        <w:t>品牌经过近二十年服务全球知名品牌商的经验，在产品规划、研发和制造领域具备了深厚的积</w:t>
      </w:r>
    </w:p>
    <w:p>
      <w:pPr>
        <w:pStyle w:val="BodyText"/>
        <w:spacing w:line="357" w:lineRule="auto" w:before="19"/>
        <w:ind w:right="191"/>
        <w:jc w:val="both"/>
      </w:pPr>
      <w:r>
        <w:rPr>
          <w:spacing w:val="-2"/>
        </w:rPr>
        <w:t>累和底蕴。公司传统的核心竞争力在于公司具有国内领先的生产制造、供应链服务、质量控制和成本管控能力，并形成了完</w:t>
      </w:r>
      <w:r>
        <w:rPr>
          <w:spacing w:val="-64"/>
        </w:rPr>
        <w:t> </w:t>
      </w:r>
      <w:r>
        <w:rPr>
          <w:spacing w:val="-64"/>
        </w:rPr>
      </w:r>
      <w:r>
        <w:rPr>
          <w:spacing w:val="-2"/>
        </w:rPr>
        <w:t>善的制度和流程，尤其在供应链管理方面，公司在订单驱动生产的业务模式中，探索形成了一套成熟的采购、库存管理、物</w:t>
      </w:r>
      <w:r>
        <w:rPr>
          <w:spacing w:val="-67"/>
        </w:rPr>
        <w:t> </w:t>
      </w:r>
      <w:r>
        <w:rPr>
          <w:spacing w:val="-67"/>
        </w:rPr>
      </w:r>
      <w:r>
        <w:rPr/>
        <w:t>流管理经验。</w:t>
      </w:r>
    </w:p>
    <w:p>
      <w:pPr>
        <w:pStyle w:val="BodyText"/>
        <w:spacing w:line="357" w:lineRule="auto" w:before="24"/>
        <w:ind w:right="94" w:firstLine="360"/>
        <w:jc w:val="left"/>
      </w:pPr>
      <w:r>
        <w:rPr>
          <w:spacing w:val="-2"/>
        </w:rPr>
        <w:t>报告期内公司继续加大研发投入，以技术创新为源动力，产品研发为核心，发展具有自主知识产权的产品，定位于成为</w:t>
      </w:r>
      <w:r>
        <w:rPr/>
        <w:t> 智能硬件产品解决方案提供商，旗下智能制造子公司分布长三角和珠三角，均建立了现代化的研发生产基地。</w:t>
      </w:r>
    </w:p>
    <w:p>
      <w:pPr>
        <w:pStyle w:val="BodyText"/>
        <w:spacing w:line="357" w:lineRule="auto" w:before="26"/>
        <w:ind w:right="94" w:firstLine="360"/>
        <w:jc w:val="left"/>
      </w:pPr>
      <w:r>
        <w:rPr>
          <w:spacing w:val="-2"/>
        </w:rPr>
        <w:t>通过一系列技术创新，公司智能硬件生产服务在业内一直具有竞争力。未来，麦达数字将积极寻求合作伙伴，在智能硬</w:t>
      </w:r>
      <w:r>
        <w:rPr/>
        <w:t> 件领域，加大推广力度，寻求切入优质大单品的产业链。利用核心竞争力为公司带来收益。</w:t>
      </w:r>
    </w:p>
    <w:p>
      <w:pPr>
        <w:pStyle w:val="BodyText"/>
        <w:spacing w:line="338" w:lineRule="auto" w:before="26"/>
        <w:ind w:left="513" w:right="94" w:hanging="181"/>
        <w:jc w:val="left"/>
      </w:pPr>
      <w:r>
        <w:rPr/>
        <w:t>（</w:t>
      </w:r>
      <w:r>
        <w:rPr>
          <w:rFonts w:ascii="Times New Roman" w:hAnsi="Times New Roman" w:cs="Times New Roman" w:eastAsia="Times New Roman" w:hint="default"/>
        </w:rPr>
        <w:t>2</w:t>
      </w:r>
      <w:r>
        <w:rPr/>
        <w:t>）智慧营销：完整生态链覆盖全方位需求 </w:t>
      </w:r>
      <w:r>
        <w:rPr>
          <w:spacing w:val="-2"/>
        </w:rPr>
        <w:t>麦达数字集团旗下拥有多家数字营销公司，近年来致力于搭建覆盖全产业链、全媒体一站式整合数字营销平台。公司基</w:t>
      </w:r>
    </w:p>
    <w:p>
      <w:pPr>
        <w:pStyle w:val="BodyText"/>
        <w:spacing w:line="357" w:lineRule="auto" w:before="41"/>
        <w:ind w:right="94"/>
        <w:jc w:val="left"/>
      </w:pPr>
      <w:r>
        <w:rPr>
          <w:spacing w:val="-4"/>
        </w:rPr>
        <w:t>于现有的创意、策略、媒体投放、社会化媒体营销等数字营销业务，结合新的技术、产品和数据，研发和孵化营销技术项目，</w:t>
      </w:r>
      <w:r>
        <w:rPr>
          <w:spacing w:val="-42"/>
        </w:rPr>
        <w:t> </w:t>
      </w:r>
      <w:r>
        <w:rPr>
          <w:spacing w:val="-42"/>
        </w:rPr>
      </w:r>
      <w:r>
        <w:rPr>
          <w:spacing w:val="-2"/>
        </w:rPr>
        <w:t>形成了产业布局和业务协同。公司依托专业的技术服务，后续将持续加大企业营销产业链各服务商整合力度，致力于为企业</w:t>
      </w:r>
      <w:r>
        <w:rPr>
          <w:spacing w:val="-63"/>
        </w:rPr>
        <w:t> </w:t>
      </w:r>
      <w:r>
        <w:rPr>
          <w:spacing w:val="-63"/>
        </w:rPr>
      </w:r>
      <w:r>
        <w:rPr>
          <w:spacing w:val="-2"/>
        </w:rPr>
        <w:t>客户提供以技术为桥梁、数据为驱动的一站式营销数字化转型服务，助力企业客户实现全链路数据打通，获得用户精准画像</w:t>
      </w:r>
      <w:r>
        <w:rPr>
          <w:spacing w:val="-63"/>
        </w:rPr>
        <w:t> </w:t>
      </w:r>
      <w:r>
        <w:rPr>
          <w:spacing w:val="-63"/>
        </w:rPr>
      </w:r>
      <w:r>
        <w:rPr/>
        <w:t>和洞察、产生创意，精准触达；同时不断沉淀数据，推进业务创新与优化。</w:t>
      </w:r>
    </w:p>
    <w:p>
      <w:pPr>
        <w:pStyle w:val="BodyText"/>
        <w:spacing w:line="357" w:lineRule="auto" w:before="24"/>
        <w:ind w:right="94" w:firstLine="360"/>
        <w:jc w:val="left"/>
      </w:pPr>
      <w:r>
        <w:rPr>
          <w:spacing w:val="-4"/>
        </w:rPr>
        <w:t>公司智慧营销网络的逐步成型将成为公司在营销领域的另一大核心竞争力，未来，公司将继续加大研发投入与产业投资，</w:t>
      </w:r>
      <w:r>
        <w:rPr/>
        <w:t> 整合资源，构建生态链，捕捉前瞻性行业需求，提供一站式营销服务。</w:t>
      </w:r>
    </w:p>
    <w:p>
      <w:pPr>
        <w:pStyle w:val="Heading5"/>
        <w:spacing w:line="240" w:lineRule="auto" w:before="26"/>
        <w:ind w:left="513" w:right="254"/>
        <w:jc w:val="left"/>
        <w:rPr>
          <w:b w:val="0"/>
          <w:bCs w:val="0"/>
        </w:rPr>
      </w:pPr>
      <w:r>
        <w:rPr>
          <w:rFonts w:ascii="Times New Roman" w:hAnsi="Times New Roman" w:cs="Times New Roman" w:eastAsia="Times New Roman" w:hint="default"/>
        </w:rPr>
        <w:t>2</w:t>
      </w:r>
      <w:r>
        <w:rPr/>
        <w:t>、投资及运营优势</w:t>
      </w:r>
      <w:r>
        <w:rPr>
          <w:b w:val="0"/>
          <w:bCs w:val="0"/>
        </w:rPr>
      </w:r>
    </w:p>
    <w:p>
      <w:pPr>
        <w:pStyle w:val="BodyText"/>
        <w:spacing w:line="338" w:lineRule="auto" w:before="101"/>
        <w:ind w:left="513" w:right="94" w:hanging="181"/>
        <w:jc w:val="left"/>
      </w:pPr>
      <w:r>
        <w:rPr/>
        <w:t>（</w:t>
      </w:r>
      <w:r>
        <w:rPr>
          <w:rFonts w:ascii="Times New Roman" w:hAnsi="Times New Roman" w:cs="Times New Roman" w:eastAsia="Times New Roman" w:hint="default"/>
        </w:rPr>
        <w:t>1</w:t>
      </w:r>
      <w:r>
        <w:rPr/>
        <w:t>）资本优势明显 </w:t>
      </w:r>
      <w:r>
        <w:rPr>
          <w:spacing w:val="-1"/>
        </w:rPr>
        <w:t>作为一家</w:t>
      </w:r>
      <w:r>
        <w:rPr>
          <w:rFonts w:ascii="Times New Roman" w:hAnsi="Times New Roman" w:cs="Times New Roman" w:eastAsia="Times New Roman" w:hint="default"/>
          <w:spacing w:val="-1"/>
        </w:rPr>
        <w:t>A</w:t>
      </w:r>
      <w:r>
        <w:rPr>
          <w:spacing w:val="-1"/>
        </w:rPr>
        <w:t>股上市企业，公司资产负债率一直保持较低水平，且实际控制人股权较为集中，这些将为公司的产业投资及</w:t>
      </w:r>
    </w:p>
    <w:p>
      <w:pPr>
        <w:pStyle w:val="BodyText"/>
        <w:spacing w:line="240" w:lineRule="auto" w:before="19"/>
        <w:ind w:right="254"/>
        <w:jc w:val="left"/>
      </w:pPr>
      <w:r>
        <w:rPr/>
        <w:t>并购奠定良好的资本基础，直接助力公司战略转型升级。</w:t>
      </w:r>
    </w:p>
    <w:p>
      <w:pPr>
        <w:pStyle w:val="BodyText"/>
        <w:spacing w:line="338" w:lineRule="auto" w:before="115"/>
        <w:ind w:left="513" w:right="94" w:hanging="181"/>
        <w:jc w:val="left"/>
      </w:pPr>
      <w:r>
        <w:rPr/>
        <w:t>（</w:t>
      </w:r>
      <w:r>
        <w:rPr>
          <w:rFonts w:ascii="Times New Roman" w:hAnsi="Times New Roman" w:cs="Times New Roman" w:eastAsia="Times New Roman" w:hint="default"/>
        </w:rPr>
        <w:t>2</w:t>
      </w:r>
      <w:r>
        <w:rPr/>
        <w:t>）公司战略思路清晰、团队学习能力强 </w:t>
      </w:r>
      <w:r>
        <w:rPr>
          <w:spacing w:val="-2"/>
        </w:rPr>
        <w:t>作为一家跨界转型的公司，选准赛道尤为关键，需要对相关行业的本质、未来趋势及发展规律进行准确判断。在此过程</w:t>
      </w:r>
    </w:p>
    <w:p>
      <w:pPr>
        <w:pStyle w:val="BodyText"/>
        <w:spacing w:line="240" w:lineRule="auto" w:before="41"/>
        <w:ind w:right="254"/>
        <w:jc w:val="left"/>
      </w:pPr>
      <w:r>
        <w:rPr/>
        <w:t>中，需要团队具备超强的学习能力，能够充分借助外部专业机构，吸收并消化不同渠道获取的信息后，做出正确的决策。</w:t>
      </w:r>
    </w:p>
    <w:p>
      <w:pPr>
        <w:pStyle w:val="BodyText"/>
        <w:spacing w:line="336" w:lineRule="auto" w:before="115"/>
        <w:ind w:left="513" w:right="94" w:hanging="181"/>
        <w:jc w:val="left"/>
      </w:pPr>
      <w:r>
        <w:rPr/>
        <w:t>（</w:t>
      </w:r>
      <w:r>
        <w:rPr>
          <w:rFonts w:ascii="Times New Roman" w:hAnsi="Times New Roman" w:cs="Times New Roman" w:eastAsia="Times New Roman" w:hint="default"/>
        </w:rPr>
        <w:t>3</w:t>
      </w:r>
      <w:r>
        <w:rPr/>
        <w:t>）执行力强 </w:t>
      </w:r>
      <w:r>
        <w:rPr>
          <w:spacing w:val="-2"/>
        </w:rPr>
        <w:t>无论是传统产业的持续改善，还是通过外延式并购进入到新兴领域，都需要在方方面面具备超强的执行力，而这也是转</w:t>
      </w:r>
    </w:p>
    <w:p>
      <w:pPr>
        <w:pStyle w:val="BodyText"/>
        <w:spacing w:line="240" w:lineRule="auto" w:before="43"/>
        <w:ind w:right="254"/>
        <w:jc w:val="left"/>
      </w:pPr>
      <w:r>
        <w:rPr/>
        <w:t>型成功的核心关键要素，麦达数字具备这个基因。</w:t>
      </w:r>
    </w:p>
    <w:p>
      <w:pPr>
        <w:pStyle w:val="BodyText"/>
        <w:spacing w:line="338" w:lineRule="auto" w:before="115"/>
        <w:ind w:left="513" w:right="94" w:hanging="181"/>
        <w:jc w:val="left"/>
      </w:pPr>
      <w:r>
        <w:rPr/>
        <w:t>（</w:t>
      </w:r>
      <w:r>
        <w:rPr>
          <w:rFonts w:ascii="Times New Roman" w:hAnsi="Times New Roman" w:cs="Times New Roman" w:eastAsia="Times New Roman" w:hint="default"/>
        </w:rPr>
        <w:t>4</w:t>
      </w:r>
      <w:r>
        <w:rPr/>
        <w:t>）开放、包容的企业文化 </w:t>
      </w:r>
      <w:r>
        <w:rPr>
          <w:spacing w:val="-2"/>
        </w:rPr>
        <w:t>公司凭借开放、包容的企业文化，快速融入以人为本的互联网行业，并实现并购后的整合。公司在互联网快速迭代的节</w:t>
      </w:r>
    </w:p>
    <w:p>
      <w:pPr>
        <w:pStyle w:val="BodyText"/>
        <w:spacing w:line="240" w:lineRule="auto" w:before="41"/>
        <w:ind w:right="254"/>
        <w:jc w:val="left"/>
      </w:pPr>
      <w:r>
        <w:rPr/>
        <w:t>奏中，融入风险控制的精神，建立合伙人机制、充分授权，实现企业文化和组织的真正转型升级。</w:t>
      </w:r>
    </w:p>
    <w:p>
      <w:pPr>
        <w:spacing w:after="0" w:line="240"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3" w:right="0"/>
        <w:jc w:val="left"/>
        <w:rPr>
          <w:b w:val="0"/>
          <w:bCs w:val="0"/>
        </w:rPr>
      </w:pPr>
      <w:bookmarkStart w:name="_bookmark2" w:id="3"/>
      <w:bookmarkEnd w:id="3"/>
      <w:r>
        <w:rPr>
          <w:b w:val="0"/>
          <w:bCs w:val="0"/>
        </w:rPr>
      </w:r>
      <w:r>
        <w:rPr/>
        <w:t>第四节</w:t>
      </w:r>
      <w:r>
        <w:rPr>
          <w:spacing w:val="-5"/>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5"/>
        <w:rPr>
          <w:rFonts w:ascii="宋体" w:hAnsi="宋体" w:cs="宋体" w:eastAsia="宋体" w:hint="default"/>
          <w:b/>
          <w:bCs/>
          <w:sz w:val="23"/>
          <w:szCs w:val="23"/>
        </w:rPr>
      </w:pPr>
    </w:p>
    <w:p>
      <w:pPr>
        <w:pStyle w:val="BodyText"/>
        <w:spacing w:line="357" w:lineRule="auto"/>
        <w:ind w:right="0" w:firstLine="288"/>
        <w:jc w:val="left"/>
        <w:rPr>
          <w:rFonts w:ascii="宋体" w:hAnsi="宋体" w:cs="宋体" w:eastAsia="宋体" w:hint="default"/>
        </w:rPr>
      </w:pPr>
      <w:r>
        <w:rPr/>
        <w:t>基于对公司所处行业趋势的判断，智能、数据和技术将会是公司业务未来新的驱动力，公司“智慧营销</w:t>
      </w:r>
      <w:r>
        <w:rPr>
          <w:rFonts w:ascii="宋体" w:hAnsi="宋体" w:cs="宋体" w:eastAsia="宋体" w:hint="default"/>
        </w:rPr>
        <w:t>+</w:t>
      </w:r>
      <w:r>
        <w:rPr/>
        <w:t>智能硬件”双 </w:t>
      </w:r>
      <w:r>
        <w:rPr>
          <w:spacing w:val="-2"/>
        </w:rPr>
        <w:t>轮驱动战略也将始终以此为核心，构建核心能力。截至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日，公司可使用资金约</w:t>
      </w:r>
      <w:r>
        <w:rPr>
          <w:rFonts w:ascii="宋体" w:hAnsi="宋体" w:cs="宋体" w:eastAsia="宋体" w:hint="default"/>
          <w:spacing w:val="-2"/>
        </w:rPr>
        <w:t>7.22</w:t>
      </w:r>
      <w:r>
        <w:rPr>
          <w:spacing w:val="-2"/>
        </w:rPr>
        <w:t>亿元，资产负债率仅为</w:t>
      </w:r>
      <w:r>
        <w:rPr>
          <w:rFonts w:ascii="宋体" w:hAnsi="宋体" w:cs="宋体" w:eastAsia="宋体" w:hint="default"/>
          <w:spacing w:val="-2"/>
        </w:rPr>
        <w:t>17%</w:t>
      </w:r>
      <w:r>
        <w:rPr>
          <w:spacing w:val="-2"/>
        </w:rPr>
        <w:t>，</w:t>
      </w:r>
      <w:r>
        <w:rPr>
          <w:spacing w:val="-50"/>
        </w:rPr>
        <w:t> </w:t>
      </w:r>
      <w:r>
        <w:rPr>
          <w:rFonts w:ascii="宋体" w:hAnsi="宋体" w:cs="宋体" w:eastAsia="宋体" w:hint="default"/>
          <w:spacing w:val="-4"/>
        </w:rPr>
        <w:t>2017</w:t>
      </w:r>
      <w:r>
        <w:rPr>
          <w:spacing w:val="-4"/>
        </w:rPr>
        <w:t>年经营现金流净额约</w:t>
      </w:r>
      <w:r>
        <w:rPr>
          <w:rFonts w:ascii="宋体" w:hAnsi="宋体" w:cs="宋体" w:eastAsia="宋体" w:hint="default"/>
          <w:spacing w:val="-4"/>
        </w:rPr>
        <w:t>1.05</w:t>
      </w:r>
      <w:r>
        <w:rPr>
          <w:spacing w:val="-4"/>
        </w:rPr>
        <w:t>亿元，公司现金储备非常充裕，推进战略落地的资源相对丰盈。报告期内，公司根据战略规划，</w:t>
      </w:r>
      <w:r>
        <w:rPr>
          <w:spacing w:val="-34"/>
        </w:rPr>
        <w:t> </w:t>
      </w:r>
      <w:r>
        <w:rPr>
          <w:spacing w:val="-34"/>
        </w:rPr>
      </w:r>
      <w:r>
        <w:rPr>
          <w:spacing w:val="-2"/>
        </w:rPr>
        <w:t>稳步推进各业务板块的布局和结构调整，各业务板块的整体经营业绩符合战略预期，</w:t>
      </w:r>
      <w:r>
        <w:rPr>
          <w:rFonts w:ascii="宋体" w:hAnsi="宋体" w:cs="宋体" w:eastAsia="宋体" w:hint="default"/>
          <w:spacing w:val="-2"/>
        </w:rPr>
        <w:t>2017</w:t>
      </w:r>
      <w:r>
        <w:rPr>
          <w:spacing w:val="-2"/>
        </w:rPr>
        <w:t>年全年实现营业收入</w:t>
      </w:r>
      <w:r>
        <w:rPr>
          <w:rFonts w:ascii="宋体" w:hAnsi="宋体" w:cs="宋体" w:eastAsia="宋体" w:hint="default"/>
          <w:spacing w:val="-2"/>
        </w:rPr>
        <w:t>9.36</w:t>
      </w:r>
      <w:r>
        <w:rPr>
          <w:spacing w:val="-2"/>
        </w:rPr>
        <w:t>亿元，同</w:t>
      </w:r>
      <w:r>
        <w:rPr>
          <w:spacing w:val="-56"/>
        </w:rPr>
        <w:t> </w:t>
      </w:r>
      <w:r>
        <w:rPr>
          <w:spacing w:val="-56"/>
        </w:rPr>
      </w:r>
      <w:r>
        <w:rPr/>
        <w:t>比增长</w:t>
      </w:r>
      <w:r>
        <w:rPr>
          <w:rFonts w:ascii="宋体" w:hAnsi="宋体" w:cs="宋体" w:eastAsia="宋体" w:hint="default"/>
        </w:rPr>
        <w:t>17.16%</w:t>
      </w:r>
      <w:r>
        <w:rPr/>
        <w:t>，实现归属于上市公司股东扣除非经常性损益的净利润</w:t>
      </w:r>
      <w:r>
        <w:rPr>
          <w:rFonts w:ascii="宋体" w:hAnsi="宋体" w:cs="宋体" w:eastAsia="宋体" w:hint="default"/>
        </w:rPr>
        <w:t>0.52</w:t>
      </w:r>
      <w:r>
        <w:rPr/>
        <w:t>亿元，同比增长</w:t>
      </w:r>
      <w:r>
        <w:rPr>
          <w:rFonts w:ascii="宋体" w:hAnsi="宋体" w:cs="宋体" w:eastAsia="宋体" w:hint="default"/>
        </w:rPr>
        <w:t>212.31%</w:t>
      </w:r>
      <w:r>
        <w:rPr/>
        <w:t>；整体经营情况参见“第 三节 </w:t>
      </w:r>
      <w:r>
        <w:rPr>
          <w:rFonts w:ascii="宋体" w:hAnsi="宋体" w:cs="宋体" w:eastAsia="宋体" w:hint="default"/>
        </w:rPr>
      </w:r>
      <w:r>
        <w:rPr/>
        <w:t>公司业务概要”之“一、报告期内公司从事的主要业务”。关于各业务板块补充说明如下：</w:t>
      </w:r>
      <w:r>
        <w:rPr>
          <w:rFonts w:ascii="宋体" w:hAnsi="宋体" w:cs="宋体" w:eastAsia="宋体" w:hint="default"/>
        </w:rPr>
        <w:t> </w:t>
      </w:r>
    </w:p>
    <w:p>
      <w:pPr>
        <w:spacing w:before="27"/>
        <w:ind w:left="152" w:right="0" w:firstLine="0"/>
        <w:jc w:val="both"/>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b/>
          <w:bCs/>
          <w:spacing w:val="1"/>
          <w:w w:val="99"/>
          <w:sz w:val="18"/>
          <w:szCs w:val="18"/>
        </w:rPr>
        <w:t> </w:t>
      </w:r>
      <w:r>
        <w:rPr>
          <w:rFonts w:ascii="宋体" w:hAnsi="宋体" w:cs="宋体" w:eastAsia="宋体" w:hint="default"/>
          <w:b/>
          <w:bCs/>
          <w:sz w:val="18"/>
          <w:szCs w:val="18"/>
        </w:rPr>
        <w:t>1</w:t>
      </w:r>
      <w:r>
        <w:rPr>
          <w:rFonts w:ascii="宋体" w:hAnsi="宋体" w:cs="宋体" w:eastAsia="宋体" w:hint="default"/>
          <w:b/>
          <w:bCs/>
          <w:sz w:val="18"/>
          <w:szCs w:val="18"/>
        </w:rPr>
        <w:t>、智慧营销板块</w:t>
      </w:r>
      <w:r>
        <w:rPr>
          <w:rFonts w:ascii="宋体" w:hAnsi="宋体" w:cs="宋体" w:eastAsia="宋体" w:hint="default"/>
          <w:b/>
          <w:bCs/>
          <w:w w:val="99"/>
          <w:sz w:val="18"/>
          <w:szCs w:val="18"/>
        </w:rPr>
        <w:t> </w:t>
      </w:r>
      <w:r>
        <w:rPr>
          <w:rFonts w:ascii="宋体" w:hAnsi="宋体" w:cs="宋体" w:eastAsia="宋体" w:hint="default"/>
          <w:sz w:val="18"/>
          <w:szCs w:val="18"/>
        </w:rPr>
      </w:r>
    </w:p>
    <w:p>
      <w:pPr>
        <w:pStyle w:val="BodyText"/>
        <w:spacing w:line="357" w:lineRule="auto" w:before="115"/>
        <w:ind w:right="209"/>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spacing w:val="-2"/>
        </w:rPr>
        <w:t>根据公司的战略规划，围绕智慧营销服务业务布局是公司当前及未来一定时期的战略侧重点，智慧营销板块已经成为公</w:t>
      </w:r>
      <w:r>
        <w:rPr/>
        <w:t> 司新的成长动力。顺为广告、奇思广告、利宣广告三家数字营销公司均超额完成三年累计业绩承诺，三家公司</w:t>
      </w:r>
      <w:r>
        <w:rPr>
          <w:rFonts w:ascii="宋体" w:hAnsi="宋体" w:cs="宋体" w:eastAsia="宋体" w:hint="default"/>
        </w:rPr>
        <w:t>2015-2017</w:t>
      </w:r>
      <w:r>
        <w:rPr/>
        <w:t>年 </w:t>
      </w:r>
      <w:r>
        <w:rPr>
          <w:spacing w:val="-2"/>
        </w:rPr>
        <w:t>度合计净利润复合增长率超过</w:t>
      </w:r>
      <w:r>
        <w:rPr>
          <w:rFonts w:ascii="宋体" w:hAnsi="宋体" w:cs="宋体" w:eastAsia="宋体" w:hint="default"/>
          <w:spacing w:val="-2"/>
        </w:rPr>
        <w:t>70%</w:t>
      </w:r>
      <w:r>
        <w:rPr>
          <w:spacing w:val="-2"/>
        </w:rPr>
        <w:t>，</w:t>
      </w:r>
      <w:r>
        <w:rPr>
          <w:rFonts w:ascii="宋体" w:hAnsi="宋体" w:cs="宋体" w:eastAsia="宋体" w:hint="default"/>
          <w:spacing w:val="-2"/>
        </w:rPr>
        <w:t>2017</w:t>
      </w:r>
      <w:r>
        <w:rPr>
          <w:spacing w:val="-2"/>
        </w:rPr>
        <w:t>年实现营业收入</w:t>
      </w:r>
      <w:r>
        <w:rPr>
          <w:rFonts w:ascii="宋体" w:hAnsi="宋体" w:cs="宋体" w:eastAsia="宋体" w:hint="default"/>
          <w:spacing w:val="-2"/>
        </w:rPr>
        <w:t>5.68</w:t>
      </w:r>
      <w:r>
        <w:rPr>
          <w:spacing w:val="-2"/>
        </w:rPr>
        <w:t>亿；报告期内成功切入梅赛德斯</w:t>
      </w:r>
      <w:r>
        <w:rPr>
          <w:rFonts w:ascii="宋体" w:hAnsi="宋体" w:cs="宋体" w:eastAsia="宋体" w:hint="default"/>
          <w:spacing w:val="-2"/>
        </w:rPr>
        <w:t>-</w:t>
      </w:r>
      <w:r>
        <w:rPr>
          <w:spacing w:val="-2"/>
        </w:rPr>
        <w:t>奔驰售后服务、招商银行等大</w:t>
      </w:r>
      <w:r>
        <w:rPr>
          <w:spacing w:val="-54"/>
        </w:rPr>
        <w:t> </w:t>
      </w:r>
      <w:r>
        <w:rPr>
          <w:spacing w:val="-54"/>
        </w:rPr>
      </w:r>
      <w:r>
        <w:rPr/>
        <w:t>客户的营销体系。</w:t>
      </w:r>
      <w:r>
        <w:rPr>
          <w:rFonts w:ascii="宋体" w:hAnsi="宋体" w:cs="宋体" w:eastAsia="宋体" w:hint="default"/>
        </w:rPr>
        <w:t> </w:t>
      </w:r>
    </w:p>
    <w:p>
      <w:pPr>
        <w:pStyle w:val="BodyText"/>
        <w:spacing w:line="355" w:lineRule="auto" w:before="26"/>
        <w:ind w:right="209"/>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spacing w:val="-2"/>
        </w:rPr>
        <w:t>报告期内，公司引入甲骨文全球副总裁高礼强等互联网领域富有管理和技术经验的行业专家，深度围绕智慧营销这一主</w:t>
      </w:r>
      <w:r>
        <w:rPr/>
        <w:t> </w:t>
      </w:r>
      <w:r>
        <w:rPr>
          <w:spacing w:val="-2"/>
        </w:rPr>
        <w:t>题，不断加大研发投入，</w:t>
      </w:r>
      <w:r>
        <w:rPr>
          <w:rFonts w:ascii="宋体" w:hAnsi="宋体" w:cs="宋体" w:eastAsia="宋体" w:hint="default"/>
          <w:spacing w:val="-2"/>
        </w:rPr>
        <w:t>2017</w:t>
      </w:r>
      <w:r>
        <w:rPr>
          <w:spacing w:val="-2"/>
        </w:rPr>
        <w:t>年度已启动数个研发及内部孵化项目，包括智慧营销“雷达”等项目。未来公司将持续关注智</w:t>
      </w:r>
      <w:r>
        <w:rPr>
          <w:spacing w:val="-60"/>
        </w:rPr>
        <w:t> </w:t>
      </w:r>
      <w:r>
        <w:rPr>
          <w:spacing w:val="-60"/>
        </w:rPr>
      </w:r>
      <w:r>
        <w:rPr>
          <w:spacing w:val="-2"/>
        </w:rPr>
        <w:t>慧营销行业的创新产品，并充分利用上市公司的综合优势，通过外延式并购和内生式发展，加强公司自身的营销能力和技术</w:t>
      </w:r>
      <w:r>
        <w:rPr>
          <w:spacing w:val="-63"/>
        </w:rPr>
        <w:t> </w:t>
      </w:r>
      <w:r>
        <w:rPr>
          <w:spacing w:val="-63"/>
        </w:rPr>
      </w:r>
      <w:r>
        <w:rPr/>
        <w:t>能力，从而给予包括公司旗下被投企业在内的优秀营销技术产品资本赋能、运营赋能和连接赋能，并与其比肩成长。</w:t>
      </w:r>
      <w:r>
        <w:rPr>
          <w:rFonts w:ascii="宋体" w:hAnsi="宋体" w:cs="宋体" w:eastAsia="宋体" w:hint="default"/>
        </w:rPr>
        <w:t> </w:t>
      </w:r>
    </w:p>
    <w:p>
      <w:pPr>
        <w:pStyle w:val="BodyText"/>
        <w:spacing w:line="357" w:lineRule="auto" w:before="28"/>
        <w:ind w:right="112"/>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spacing w:val="-2"/>
        </w:rPr>
        <w:t>报告期内，公司与</w:t>
      </w:r>
      <w:r>
        <w:rPr>
          <w:rFonts w:ascii="宋体" w:hAnsi="宋体" w:cs="宋体" w:eastAsia="宋体" w:hint="default"/>
          <w:spacing w:val="-2"/>
        </w:rPr>
        <w:t>SaaS</w:t>
      </w:r>
      <w:r>
        <w:rPr>
          <w:spacing w:val="-2"/>
        </w:rPr>
        <w:t>领域的研究型媒体机构易信视界（北京）管理咨询有限公司（旗下设有研究机构“移动信息化研</w:t>
      </w:r>
      <w:r>
        <w:rPr/>
        <w:t> </w:t>
      </w:r>
      <w:r>
        <w:rPr>
          <w:spacing w:val="-2"/>
        </w:rPr>
        <w:t>究中心”、媒体“</w:t>
      </w:r>
      <w:r>
        <w:rPr>
          <w:rFonts w:ascii="宋体" w:hAnsi="宋体" w:cs="宋体" w:eastAsia="宋体" w:hint="default"/>
          <w:spacing w:val="-2"/>
        </w:rPr>
        <w:t>T</w:t>
      </w:r>
      <w:r>
        <w:rPr>
          <w:spacing w:val="-2"/>
        </w:rPr>
        <w:t>客汇”及自媒体“人称</w:t>
      </w:r>
      <w:r>
        <w:rPr>
          <w:rFonts w:ascii="宋体" w:hAnsi="宋体" w:cs="宋体" w:eastAsia="宋体" w:hint="default"/>
          <w:spacing w:val="-2"/>
        </w:rPr>
        <w:t>T</w:t>
      </w:r>
      <w:r>
        <w:rPr>
          <w:spacing w:val="-2"/>
        </w:rPr>
        <w:t>客”，</w:t>
      </w:r>
      <w:r>
        <w:rPr>
          <w:spacing w:val="22"/>
        </w:rPr>
        <w:t> </w:t>
      </w:r>
      <w:r>
        <w:rPr>
          <w:rFonts w:ascii="宋体" w:hAnsi="宋体" w:cs="宋体" w:eastAsia="宋体" w:hint="default"/>
          <w:spacing w:val="22"/>
        </w:rPr>
      </w:r>
      <w:r>
        <w:rPr>
          <w:spacing w:val="-2"/>
        </w:rPr>
        <w:t>以下简称“易信视界”）继续保持紧密合作，先后联合举办多场公开课，</w:t>
      </w:r>
      <w:r>
        <w:rPr>
          <w:spacing w:val="-88"/>
        </w:rPr>
        <w:t> </w:t>
      </w:r>
      <w:r>
        <w:rPr>
          <w:spacing w:val="-88"/>
        </w:rPr>
      </w:r>
      <w:r>
        <w:rPr>
          <w:spacing w:val="-2"/>
        </w:rPr>
        <w:t>多次联合发布麦达</w:t>
      </w:r>
      <w:r>
        <w:rPr>
          <w:rFonts w:ascii="宋体" w:hAnsi="宋体" w:cs="宋体" w:eastAsia="宋体" w:hint="default"/>
          <w:spacing w:val="-2"/>
        </w:rPr>
        <w:t>SaaS</w:t>
      </w:r>
      <w:r>
        <w:rPr>
          <w:spacing w:val="-2"/>
        </w:rPr>
        <w:t>指数，并在行业内取得良好的反响。报告期内，参股公司奇异果互动也顺利完成在全国中小企业股份</w:t>
      </w:r>
      <w:r>
        <w:rPr>
          <w:spacing w:val="-60"/>
        </w:rPr>
        <w:t> </w:t>
      </w:r>
      <w:r>
        <w:rPr>
          <w:spacing w:val="-60"/>
        </w:rPr>
      </w:r>
      <w:r>
        <w:rPr>
          <w:spacing w:val="-2"/>
        </w:rPr>
        <w:t>转让系统挂牌，迈出与资本市场对接的重要一步，挂牌新三板有利于其拓宽融资渠道，提升品牌影响力和竞争力，为其未来</w:t>
      </w:r>
      <w:r>
        <w:rPr>
          <w:spacing w:val="-65"/>
        </w:rPr>
        <w:t> </w:t>
      </w:r>
      <w:r>
        <w:rPr>
          <w:spacing w:val="-65"/>
        </w:rPr>
      </w:r>
      <w:r>
        <w:rPr>
          <w:spacing w:val="-2"/>
        </w:rPr>
        <w:t>发展提供了更广阔的空间和平台，也有利于增强上市公司的资产流动性，提高上市公司投资回报率，实现上市公司股东利益</w:t>
      </w:r>
      <w:r>
        <w:rPr>
          <w:spacing w:val="-63"/>
        </w:rPr>
        <w:t> </w:t>
      </w:r>
      <w:r>
        <w:rPr>
          <w:spacing w:val="-63"/>
        </w:rPr>
      </w:r>
      <w:r>
        <w:rPr/>
        <w:t>的最大化。</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1"/>
        </w:rPr>
        <w:t> </w:t>
      </w:r>
      <w:r>
        <w:rPr>
          <w:rFonts w:ascii="宋体" w:hAnsi="宋体" w:cs="宋体" w:eastAsia="宋体" w:hint="default"/>
        </w:rPr>
        <w:t> </w:t>
      </w:r>
    </w:p>
    <w:p>
      <w:pPr>
        <w:spacing w:before="26"/>
        <w:ind w:left="152" w:right="0" w:firstLine="0"/>
        <w:jc w:val="both"/>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b/>
          <w:bCs/>
          <w:sz w:val="18"/>
          <w:szCs w:val="18"/>
        </w:rPr>
        <w:t>2</w:t>
      </w:r>
      <w:r>
        <w:rPr>
          <w:rFonts w:ascii="宋体" w:hAnsi="宋体" w:cs="宋体" w:eastAsia="宋体" w:hint="default"/>
          <w:b/>
          <w:bCs/>
          <w:sz w:val="18"/>
          <w:szCs w:val="18"/>
        </w:rPr>
        <w:t>、智能硬件板块</w:t>
      </w:r>
      <w:r>
        <w:rPr>
          <w:rFonts w:ascii="宋体" w:hAnsi="宋体" w:cs="宋体" w:eastAsia="宋体" w:hint="default"/>
          <w:b/>
          <w:bCs/>
          <w:w w:val="99"/>
          <w:sz w:val="18"/>
          <w:szCs w:val="18"/>
        </w:rPr>
        <w:t> </w:t>
      </w:r>
      <w:r>
        <w:rPr>
          <w:rFonts w:ascii="宋体" w:hAnsi="宋体" w:cs="宋体" w:eastAsia="宋体" w:hint="default"/>
          <w:sz w:val="18"/>
          <w:szCs w:val="18"/>
        </w:rPr>
      </w:r>
    </w:p>
    <w:p>
      <w:pPr>
        <w:pStyle w:val="BodyText"/>
        <w:spacing w:line="355" w:lineRule="auto" w:before="115"/>
        <w:ind w:right="211"/>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2017</w:t>
      </w:r>
      <w:r>
        <w:rPr>
          <w:spacing w:val="-2"/>
        </w:rPr>
        <w:t>年度公司智能硬件板块实现高速增长，营业收入突破</w:t>
      </w:r>
      <w:r>
        <w:rPr>
          <w:rFonts w:ascii="宋体" w:hAnsi="宋体" w:cs="宋体" w:eastAsia="宋体" w:hint="default"/>
          <w:spacing w:val="-2"/>
        </w:rPr>
        <w:t>3.46</w:t>
      </w:r>
      <w:r>
        <w:rPr>
          <w:spacing w:val="-2"/>
        </w:rPr>
        <w:t>亿，同比增长</w:t>
      </w:r>
      <w:r>
        <w:rPr>
          <w:rFonts w:ascii="宋体" w:hAnsi="宋体" w:cs="宋体" w:eastAsia="宋体" w:hint="default"/>
          <w:spacing w:val="-2"/>
        </w:rPr>
        <w:t>37.44%</w:t>
      </w:r>
      <w:r>
        <w:rPr>
          <w:spacing w:val="-2"/>
        </w:rPr>
        <w:t>；同时公司自有品牌工程类产品进入</w:t>
      </w:r>
      <w:r>
        <w:rPr/>
        <w:t> </w:t>
      </w:r>
      <w:r>
        <w:rPr>
          <w:spacing w:val="-2"/>
        </w:rPr>
        <w:t>全家、华为、京东等项目，对公司品牌形象塑造和业务发展带来积极、正面影响。此外公司与包括</w:t>
      </w:r>
      <w:r>
        <w:rPr>
          <w:rFonts w:ascii="宋体" w:hAnsi="宋体" w:cs="宋体" w:eastAsia="宋体" w:hint="default"/>
          <w:spacing w:val="-2"/>
        </w:rPr>
        <w:t>GE</w:t>
      </w:r>
      <w:r>
        <w:rPr>
          <w:spacing w:val="-2"/>
        </w:rPr>
        <w:t>、飞利浦等国际硬件品</w:t>
      </w:r>
      <w:r>
        <w:rPr>
          <w:spacing w:val="-66"/>
        </w:rPr>
        <w:t> </w:t>
      </w:r>
      <w:r>
        <w:rPr>
          <w:spacing w:val="-66"/>
        </w:rPr>
      </w:r>
      <w:r>
        <w:rPr/>
        <w:t>牌商多年业务合作，公司智能硬件板块在细分领域竞争优势凸显。</w:t>
      </w:r>
      <w:r>
        <w:rPr>
          <w:rFonts w:ascii="宋体" w:hAnsi="宋体" w:cs="宋体" w:eastAsia="宋体" w:hint="default"/>
        </w:rPr>
        <w:t> </w:t>
      </w:r>
    </w:p>
    <w:p>
      <w:pPr>
        <w:pStyle w:val="BodyText"/>
        <w:spacing w:line="357" w:lineRule="auto" w:before="28"/>
        <w:ind w:right="209"/>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spacing w:val="-2"/>
        </w:rPr>
        <w:t>报告期内，实益达技术加大研发投入，尤其是在智能照明、智能家居等新业务领域的投入，并紧跟物联网快速发展所带</w:t>
      </w:r>
      <w:r>
        <w:rPr/>
        <w:t> 来的机遇，力争在细分业务领域拓展更大的市场空间，增强公司的核心竞争力。</w:t>
      </w:r>
      <w:r>
        <w:rPr>
          <w:rFonts w:ascii="宋体" w:hAnsi="宋体" w:cs="宋体" w:eastAsia="宋体" w:hint="default"/>
        </w:rPr>
        <w:t>2017</w:t>
      </w:r>
      <w:r>
        <w:rPr/>
        <w:t>年</w:t>
      </w:r>
      <w:r>
        <w:rPr>
          <w:rFonts w:ascii="宋体" w:hAnsi="宋体" w:cs="宋体" w:eastAsia="宋体" w:hint="default"/>
        </w:rPr>
        <w:t>1</w:t>
      </w:r>
      <w:r>
        <w:rPr/>
        <w:t>月，实益达技术与引进的合伙人合 </w:t>
      </w:r>
      <w:r>
        <w:rPr>
          <w:spacing w:val="-2"/>
        </w:rPr>
        <w:t>资设立实益达智能，实益达智能主要布局智能照明，逐步拓展延伸至智能家居及其相关领域；</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月，实益达技术自主</w:t>
      </w:r>
      <w:r>
        <w:rPr>
          <w:spacing w:val="-58"/>
        </w:rPr>
        <w:t> </w:t>
      </w:r>
      <w:r>
        <w:rPr>
          <w:spacing w:val="-58"/>
        </w:rPr>
      </w:r>
      <w:r>
        <w:rPr>
          <w:spacing w:val="-1"/>
        </w:rPr>
        <w:t>研发的具有自动调节输出电流功能的</w:t>
      </w:r>
      <w:r>
        <w:rPr>
          <w:rFonts w:ascii="宋体" w:hAnsi="宋体" w:cs="宋体" w:eastAsia="宋体" w:hint="default"/>
          <w:spacing w:val="-1"/>
        </w:rPr>
        <w:t>LED</w:t>
      </w:r>
      <w:r>
        <w:rPr>
          <w:spacing w:val="-1"/>
        </w:rPr>
        <w:t>驱动电源获得发明专利授权（专利号：</w:t>
      </w:r>
      <w:r>
        <w:rPr>
          <w:rFonts w:ascii="宋体" w:hAnsi="宋体" w:cs="宋体" w:eastAsia="宋体" w:hint="default"/>
          <w:spacing w:val="-1"/>
        </w:rPr>
        <w:t>ZL</w:t>
      </w:r>
      <w:r>
        <w:rPr>
          <w:rFonts w:ascii="宋体" w:hAnsi="宋体" w:cs="宋体" w:eastAsia="宋体" w:hint="default"/>
          <w:spacing w:val="-16"/>
        </w:rPr>
        <w:t> </w:t>
      </w:r>
      <w:r>
        <w:rPr>
          <w:rFonts w:ascii="宋体" w:hAnsi="宋体" w:cs="宋体" w:eastAsia="宋体" w:hint="default"/>
          <w:spacing w:val="-2"/>
        </w:rPr>
        <w:t>201610187051.9</w:t>
      </w:r>
      <w:r>
        <w:rPr>
          <w:spacing w:val="-2"/>
        </w:rPr>
        <w:t>），此项技术在实益达技</w:t>
      </w:r>
      <w:r>
        <w:rPr>
          <w:spacing w:val="-78"/>
        </w:rPr>
        <w:t> </w:t>
      </w:r>
      <w:r>
        <w:rPr>
          <w:spacing w:val="-78"/>
        </w:rPr>
      </w:r>
      <w:r>
        <w:rPr/>
        <w:t>术业务场景中应用非常广；此外，实益达技术和汇大光电取得高新技术企业资质认定，对其经营发展均将产生积极影响。</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745" w:footer="980" w:top="1060" w:bottom="1160" w:left="980" w:right="92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54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5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1275"/>
        <w:gridCol w:w="1705"/>
        <w:gridCol w:w="1699"/>
        <w:gridCol w:w="1705"/>
        <w:gridCol w:w="1553"/>
        <w:gridCol w:w="852"/>
      </w:tblGrid>
      <w:tr>
        <w:trPr>
          <w:trHeight w:val="206" w:hRule="exact"/>
        </w:trPr>
        <w:tc>
          <w:tcPr>
            <w:tcW w:w="2127" w:type="dxa"/>
            <w:gridSpan w:val="2"/>
            <w:vMerge w:val="restart"/>
            <w:tcBorders>
              <w:top w:val="single" w:sz="4" w:space="0" w:color="000000"/>
              <w:left w:val="single" w:sz="4" w:space="0" w:color="000000"/>
              <w:right w:val="single" w:sz="4" w:space="0" w:color="000000"/>
            </w:tcBorders>
            <w:shd w:val="clear" w:color="auto" w:fill="D2D2D2"/>
          </w:tcPr>
          <w:p>
            <w:pPr/>
          </w:p>
        </w:tc>
        <w:tc>
          <w:tcPr>
            <w:tcW w:w="340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5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2127" w:type="dxa"/>
            <w:gridSpan w:val="2"/>
            <w:vMerge/>
            <w:tcBorders>
              <w:left w:val="single" w:sz="4" w:space="0" w:color="000000"/>
              <w:bottom w:val="nil" w:sz="6" w:space="0" w:color="auto"/>
              <w:right w:val="single" w:sz="4" w:space="0" w:color="000000"/>
            </w:tcBorders>
            <w:shd w:val="clear" w:color="auto" w:fill="D2D2D2"/>
          </w:tcPr>
          <w:p>
            <w:pPr/>
          </w:p>
        </w:tc>
        <w:tc>
          <w:tcPr>
            <w:tcW w:w="3404" w:type="dxa"/>
            <w:gridSpan w:val="2"/>
            <w:vMerge/>
            <w:tcBorders>
              <w:left w:val="single" w:sz="4" w:space="0" w:color="000000"/>
              <w:bottom w:val="single" w:sz="4" w:space="0" w:color="000000"/>
              <w:right w:val="single" w:sz="4" w:space="0" w:color="000000"/>
            </w:tcBorders>
            <w:shd w:val="clear" w:color="auto" w:fill="D2D2D2"/>
          </w:tcPr>
          <w:p>
            <w:pPr/>
          </w:p>
        </w:tc>
        <w:tc>
          <w:tcPr>
            <w:tcW w:w="3257" w:type="dxa"/>
            <w:gridSpan w:val="2"/>
            <w:vMerge/>
            <w:tcBorders>
              <w:left w:val="single" w:sz="4" w:space="0" w:color="000000"/>
              <w:bottom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7" w:hRule="exact"/>
        </w:trPr>
        <w:tc>
          <w:tcPr>
            <w:tcW w:w="2127" w:type="dxa"/>
            <w:gridSpan w:val="2"/>
            <w:vMerge w:val="restart"/>
            <w:tcBorders>
              <w:top w:val="nil" w:sz="6" w:space="0" w:color="auto"/>
              <w:left w:val="single" w:sz="4" w:space="0" w:color="000000"/>
              <w:right w:val="single" w:sz="4" w:space="0" w:color="000000"/>
            </w:tcBorders>
            <w:shd w:val="clear" w:color="auto" w:fill="D2D2D2"/>
          </w:tcPr>
          <w:p>
            <w:pPr/>
          </w:p>
        </w:tc>
        <w:tc>
          <w:tcPr>
            <w:tcW w:w="17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6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7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852"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2127" w:type="dxa"/>
            <w:gridSpan w:val="2"/>
            <w:vMerge/>
            <w:tcBorders>
              <w:left w:val="single" w:sz="4" w:space="0" w:color="000000"/>
              <w:bottom w:val="single" w:sz="4" w:space="0" w:color="000000"/>
              <w:right w:val="single" w:sz="4" w:space="0" w:color="000000"/>
            </w:tcBorders>
            <w:shd w:val="clear" w:color="auto" w:fill="D2D2D2"/>
          </w:tcPr>
          <w:p>
            <w:pPr/>
          </w:p>
        </w:tc>
        <w:tc>
          <w:tcPr>
            <w:tcW w:w="1705" w:type="dxa"/>
            <w:vMerge/>
            <w:tcBorders>
              <w:left w:val="single" w:sz="4" w:space="0" w:color="000000"/>
              <w:bottom w:val="single" w:sz="4" w:space="0" w:color="000000"/>
              <w:right w:val="single" w:sz="4" w:space="0" w:color="000000"/>
            </w:tcBorders>
            <w:shd w:val="clear" w:color="auto" w:fill="D2D2D2"/>
          </w:tcPr>
          <w:p>
            <w:pPr/>
          </w:p>
        </w:tc>
        <w:tc>
          <w:tcPr>
            <w:tcW w:w="1699" w:type="dxa"/>
            <w:vMerge/>
            <w:tcBorders>
              <w:left w:val="single" w:sz="4" w:space="0" w:color="000000"/>
              <w:bottom w:val="single" w:sz="4" w:space="0" w:color="000000"/>
              <w:right w:val="single" w:sz="4" w:space="0" w:color="000000"/>
            </w:tcBorders>
            <w:shd w:val="clear" w:color="auto" w:fill="D2D2D2"/>
          </w:tcPr>
          <w:p>
            <w:pPr/>
          </w:p>
        </w:tc>
        <w:tc>
          <w:tcPr>
            <w:tcW w:w="1705" w:type="dxa"/>
            <w:vMerge/>
            <w:tcBorders>
              <w:left w:val="single" w:sz="4" w:space="0" w:color="000000"/>
              <w:bottom w:val="single" w:sz="4" w:space="0" w:color="000000"/>
              <w:right w:val="single" w:sz="4" w:space="0" w:color="000000"/>
            </w:tcBorders>
            <w:shd w:val="clear" w:color="auto" w:fill="D2D2D2"/>
          </w:tcPr>
          <w:p>
            <w:pPr/>
          </w:p>
        </w:tc>
        <w:tc>
          <w:tcPr>
            <w:tcW w:w="1553"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705"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935,965,359.52</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70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798,906,480.91</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8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17.16%</w:t>
            </w:r>
          </w:p>
        </w:tc>
      </w:tr>
      <w:tr>
        <w:trPr>
          <w:trHeight w:val="398" w:hRule="exact"/>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互联网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569,024,188.24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60.80%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533,774,838.99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66.81%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w:t>
            </w:r>
          </w:p>
        </w:tc>
      </w:tr>
      <w:tr>
        <w:trPr>
          <w:trHeight w:val="403" w:hRule="exact"/>
        </w:trPr>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346,251,675.84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251,930,608.99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31.54%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37.44%</w:t>
            </w:r>
          </w:p>
        </w:tc>
      </w:tr>
      <w:tr>
        <w:trPr>
          <w:trHeight w:val="401" w:hRule="exact"/>
        </w:trPr>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20,689,495.44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13,201,032.93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56.73%</w:t>
            </w:r>
          </w:p>
        </w:tc>
      </w:tr>
      <w:tr>
        <w:trPr>
          <w:trHeight w:val="403" w:hRule="exact"/>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0" w:right="60" w:hanging="181"/>
              <w:jc w:val="left"/>
              <w:rPr>
                <w:rFonts w:ascii="宋体" w:hAnsi="宋体" w:cs="宋体" w:eastAsia="宋体" w:hint="default"/>
                <w:sz w:val="18"/>
                <w:szCs w:val="18"/>
              </w:rPr>
            </w:pPr>
            <w:r>
              <w:rPr>
                <w:rFonts w:ascii="宋体" w:hAnsi="宋体" w:cs="宋体" w:eastAsia="宋体" w:hint="default"/>
                <w:sz w:val="18"/>
                <w:szCs w:val="18"/>
              </w:rPr>
              <w:t>智慧营销 板块</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智慧营销服务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569,024,188.24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60.80%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533,774,838.99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66.81%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w:t>
            </w:r>
          </w:p>
        </w:tc>
      </w:tr>
      <w:tr>
        <w:trPr>
          <w:trHeight w:val="403" w:hRule="exact"/>
        </w:trPr>
        <w:tc>
          <w:tcPr>
            <w:tcW w:w="852" w:type="dxa"/>
            <w:vMerge w:val="restart"/>
            <w:tcBorders>
              <w:top w:val="single" w:sz="4" w:space="0" w:color="000000"/>
              <w:left w:val="single" w:sz="4" w:space="0" w:color="000000"/>
              <w:right w:val="single" w:sz="4" w:space="0" w:color="000000"/>
            </w:tcBorders>
          </w:tcPr>
          <w:p>
            <w:pPr>
              <w:pStyle w:val="TableParagraph"/>
              <w:spacing w:line="316" w:lineRule="auto" w:before="49"/>
              <w:ind w:left="240" w:right="60" w:hanging="181"/>
              <w:jc w:val="left"/>
              <w:rPr>
                <w:rFonts w:ascii="宋体" w:hAnsi="宋体" w:cs="宋体" w:eastAsia="宋体" w:hint="default"/>
                <w:sz w:val="18"/>
                <w:szCs w:val="18"/>
              </w:rPr>
            </w:pPr>
            <w:r>
              <w:rPr>
                <w:rFonts w:ascii="宋体" w:hAnsi="宋体" w:cs="宋体" w:eastAsia="宋体" w:hint="default"/>
                <w:sz w:val="18"/>
                <w:szCs w:val="18"/>
              </w:rPr>
              <w:t>智能硬件 板块</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照明产品</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204,581,108.49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136,395,211.77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17.07%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49.99%</w:t>
            </w:r>
          </w:p>
        </w:tc>
      </w:tr>
      <w:tr>
        <w:trPr>
          <w:trHeight w:val="401" w:hRule="exact"/>
        </w:trPr>
        <w:tc>
          <w:tcPr>
            <w:tcW w:w="852"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智能硬件制造</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141,670,567.35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115,535,397.22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22.62%</w:t>
            </w:r>
          </w:p>
        </w:tc>
      </w:tr>
      <w:tr>
        <w:trPr>
          <w:trHeight w:val="403" w:hRule="exact"/>
        </w:trPr>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20,689,495.44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13,201,032.93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56.73%</w:t>
            </w:r>
          </w:p>
        </w:tc>
      </w:tr>
      <w:tr>
        <w:trPr>
          <w:trHeight w:val="401" w:hRule="exact"/>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境外</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230,102,805.25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174,317,400.46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21.82%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32.00%</w:t>
            </w:r>
          </w:p>
        </w:tc>
      </w:tr>
      <w:tr>
        <w:trPr>
          <w:trHeight w:val="401" w:hRule="exact"/>
        </w:trPr>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境内</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705,862,554.27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624,589,080.45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78.18%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13.01%</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单位：元</w:t>
      </w:r>
    </w:p>
    <w:p>
      <w:pPr>
        <w:spacing w:after="0" w:line="240" w:lineRule="auto"/>
        <w:jc w:val="left"/>
        <w:sectPr>
          <w:type w:val="continuous"/>
          <w:pgSz w:w="11910" w:h="16840"/>
          <w:pgMar w:top="1060" w:bottom="1160" w:left="980" w:right="980"/>
          <w:cols w:num="2" w:equalWidth="0">
            <w:col w:w="3213" w:space="5707"/>
            <w:col w:w="103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6"/>
        <w:gridCol w:w="1419"/>
        <w:gridCol w:w="1418"/>
        <w:gridCol w:w="850"/>
        <w:gridCol w:w="1274"/>
        <w:gridCol w:w="1277"/>
        <w:gridCol w:w="1274"/>
      </w:tblGrid>
      <w:tr>
        <w:trPr>
          <w:trHeight w:val="71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2" w:hanging="89"/>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3" w:hRule="exact"/>
        </w:trPr>
        <w:tc>
          <w:tcPr>
            <w:tcW w:w="963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互联网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569,024,188.24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414,727,108.05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3" w:right="0"/>
              <w:jc w:val="left"/>
              <w:rPr>
                <w:rFonts w:ascii="Times New Roman" w:hAnsi="Times New Roman" w:cs="Times New Roman" w:eastAsia="Times New Roman" w:hint="default"/>
                <w:sz w:val="18"/>
                <w:szCs w:val="18"/>
              </w:rPr>
            </w:pPr>
            <w:r>
              <w:rPr>
                <w:rFonts w:ascii="Times New Roman"/>
                <w:sz w:val="18"/>
              </w:rPr>
              <w:t>27.12%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7" w:right="0"/>
              <w:jc w:val="left"/>
              <w:rPr>
                <w:rFonts w:ascii="Times New Roman" w:hAnsi="Times New Roman" w:cs="Times New Roman" w:eastAsia="Times New Roman" w:hint="default"/>
                <w:sz w:val="18"/>
                <w:szCs w:val="18"/>
              </w:rPr>
            </w:pPr>
            <w:r>
              <w:rPr>
                <w:rFonts w:ascii="Times New Roman"/>
                <w:sz w:val="18"/>
              </w:rPr>
              <w:t>6.60%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7" w:right="0"/>
              <w:jc w:val="left"/>
              <w:rPr>
                <w:rFonts w:ascii="Times New Roman" w:hAnsi="Times New Roman" w:cs="Times New Roman" w:eastAsia="Times New Roman" w:hint="default"/>
                <w:sz w:val="18"/>
                <w:szCs w:val="18"/>
              </w:rPr>
            </w:pPr>
            <w:r>
              <w:rPr>
                <w:rFonts w:ascii="Times New Roman"/>
                <w:sz w:val="18"/>
              </w:rPr>
              <w:t>5.56%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7" w:right="0"/>
              <w:jc w:val="left"/>
              <w:rPr>
                <w:rFonts w:ascii="Times New Roman" w:hAnsi="Times New Roman" w:cs="Times New Roman" w:eastAsia="Times New Roman" w:hint="default"/>
                <w:sz w:val="18"/>
                <w:szCs w:val="18"/>
              </w:rPr>
            </w:pPr>
            <w:r>
              <w:rPr>
                <w:rFonts w:ascii="Times New Roman"/>
                <w:sz w:val="18"/>
              </w:rPr>
              <w:t>0.72%</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52"/>
        <w:gridCol w:w="1274"/>
        <w:gridCol w:w="1419"/>
        <w:gridCol w:w="1418"/>
        <w:gridCol w:w="850"/>
        <w:gridCol w:w="1274"/>
        <w:gridCol w:w="1277"/>
        <w:gridCol w:w="1274"/>
      </w:tblGrid>
      <w:tr>
        <w:trPr>
          <w:trHeight w:val="402" w:hRule="exact"/>
        </w:trPr>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346,251,675.84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275,412,041.17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-0.98%</w:t>
            </w:r>
          </w:p>
        </w:tc>
      </w:tr>
      <w:tr>
        <w:trPr>
          <w:trHeight w:val="402" w:hRule="exact"/>
        </w:trPr>
        <w:tc>
          <w:tcPr>
            <w:tcW w:w="964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0" w:right="60" w:hanging="181"/>
              <w:jc w:val="left"/>
              <w:rPr>
                <w:rFonts w:ascii="宋体" w:hAnsi="宋体" w:cs="宋体" w:eastAsia="宋体" w:hint="default"/>
                <w:sz w:val="18"/>
                <w:szCs w:val="18"/>
              </w:rPr>
            </w:pPr>
            <w:r>
              <w:rPr>
                <w:rFonts w:ascii="宋体" w:hAnsi="宋体" w:cs="宋体" w:eastAsia="宋体" w:hint="default"/>
                <w:sz w:val="18"/>
                <w:szCs w:val="18"/>
              </w:rPr>
              <w:t>智慧营销 板块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智慧营销服务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569,024,188.24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414,727,108.05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0.72%</w:t>
            </w:r>
          </w:p>
        </w:tc>
      </w:tr>
      <w:tr>
        <w:trPr>
          <w:trHeight w:val="403" w:hRule="exact"/>
        </w:trPr>
        <w:tc>
          <w:tcPr>
            <w:tcW w:w="852" w:type="dxa"/>
            <w:vMerge w:val="restart"/>
            <w:tcBorders>
              <w:top w:val="single" w:sz="4" w:space="0" w:color="000000"/>
              <w:left w:val="single" w:sz="4" w:space="0" w:color="000000"/>
              <w:right w:val="single" w:sz="4" w:space="0" w:color="000000"/>
            </w:tcBorders>
          </w:tcPr>
          <w:p>
            <w:pPr>
              <w:pStyle w:val="TableParagraph"/>
              <w:spacing w:line="314" w:lineRule="auto" w:before="51"/>
              <w:ind w:left="240" w:right="60" w:hanging="181"/>
              <w:jc w:val="left"/>
              <w:rPr>
                <w:rFonts w:ascii="宋体" w:hAnsi="宋体" w:cs="宋体" w:eastAsia="宋体" w:hint="default"/>
                <w:sz w:val="18"/>
                <w:szCs w:val="18"/>
              </w:rPr>
            </w:pPr>
            <w:r>
              <w:rPr>
                <w:rFonts w:ascii="宋体" w:hAnsi="宋体" w:cs="宋体" w:eastAsia="宋体" w:hint="default"/>
                <w:sz w:val="18"/>
                <w:szCs w:val="18"/>
              </w:rPr>
              <w:t>智能硬件 板块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照明产品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204,581,108.49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157,503,488.39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49.99%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852"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智能硬件制造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141,670,567.35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117,908,552.78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16.77%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w:t>
            </w:r>
          </w:p>
        </w:tc>
      </w:tr>
      <w:tr>
        <w:trPr>
          <w:trHeight w:val="402" w:hRule="exact"/>
        </w:trPr>
        <w:tc>
          <w:tcPr>
            <w:tcW w:w="964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境外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230,102,805.25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184,056,958.15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0.43%</w:t>
            </w:r>
          </w:p>
        </w:tc>
      </w:tr>
      <w:tr>
        <w:trPr>
          <w:trHeight w:val="403" w:hRule="exact"/>
        </w:trPr>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境内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705,862,554.27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524,160,627.42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-0.31%</w:t>
            </w:r>
          </w:p>
        </w:tc>
      </w:tr>
    </w:tbl>
    <w:p>
      <w:pPr>
        <w:pStyle w:val="BodyText"/>
        <w:spacing w:line="240" w:lineRule="auto" w:before="49"/>
        <w:ind w:right="153"/>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360" w:lineRule="auto" w:before="44"/>
        <w:ind w:right="-20"/>
        <w:jc w:val="left"/>
      </w:pPr>
      <w:r>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873" w:space="8047"/>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智慧营销服务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人工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38,272,828.35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35,401,718.42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8.11%</w:t>
            </w:r>
          </w:p>
        </w:tc>
      </w:tr>
      <w:tr>
        <w:trPr>
          <w:trHeight w:val="401" w:hRule="exact"/>
        </w:trPr>
        <w:tc>
          <w:tcPr>
            <w:tcW w:w="1368" w:type="dxa"/>
            <w:vMerge/>
            <w:tcBorders>
              <w:left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直接采购成本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371,138,399.60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353,173,479.63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w:t>
            </w:r>
          </w:p>
        </w:tc>
      </w:tr>
      <w:tr>
        <w:trPr>
          <w:trHeight w:val="403" w:hRule="exact"/>
        </w:trPr>
        <w:tc>
          <w:tcPr>
            <w:tcW w:w="1368"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其他成本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5,315,880.10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4,309,552.97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23.35%</w:t>
            </w:r>
          </w:p>
        </w:tc>
      </w:tr>
      <w:tr>
        <w:trPr>
          <w:trHeight w:val="401"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人工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12,744,037.61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8,228,866.71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54.87%</w:t>
            </w:r>
          </w:p>
        </w:tc>
      </w:tr>
      <w:tr>
        <w:trPr>
          <w:trHeight w:val="403" w:hRule="exact"/>
        </w:trPr>
        <w:tc>
          <w:tcPr>
            <w:tcW w:w="1368" w:type="dxa"/>
            <w:vMerge/>
            <w:tcBorders>
              <w:left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132,474,532.71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78,434,340.17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68.90%</w:t>
            </w:r>
          </w:p>
        </w:tc>
      </w:tr>
      <w:tr>
        <w:trPr>
          <w:trHeight w:val="401" w:hRule="exact"/>
        </w:trPr>
        <w:tc>
          <w:tcPr>
            <w:tcW w:w="1368"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间接费用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12,284,918.07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12,730,520.05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w:t>
            </w:r>
          </w:p>
        </w:tc>
      </w:tr>
      <w:tr>
        <w:trPr>
          <w:trHeight w:val="403"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智能硬件制造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人工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9,221,042.65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11,357,497.39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-18.81%</w:t>
            </w:r>
          </w:p>
        </w:tc>
      </w:tr>
      <w:tr>
        <w:trPr>
          <w:trHeight w:val="401" w:hRule="exact"/>
        </w:trPr>
        <w:tc>
          <w:tcPr>
            <w:tcW w:w="1368" w:type="dxa"/>
            <w:vMerge/>
            <w:tcBorders>
              <w:left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91,267,094.14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58,247,982.30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56.69%</w:t>
            </w:r>
          </w:p>
        </w:tc>
      </w:tr>
      <w:tr>
        <w:trPr>
          <w:trHeight w:val="403" w:hRule="exact"/>
        </w:trPr>
        <w:tc>
          <w:tcPr>
            <w:tcW w:w="1368"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间接费用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17,420,415.99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23,941,532.08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-27.24%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其他成本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18,078,436.35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16,232,513.97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11.37%</w:t>
            </w:r>
          </w:p>
        </w:tc>
      </w:tr>
      <w:tr>
        <w:trPr>
          <w:trHeight w:val="403" w:hRule="exact"/>
        </w:trPr>
        <w:tc>
          <w:tcPr>
            <w:tcW w:w="2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708,217,585.57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602,058,003.69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17.63%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09" w:lineRule="auto" w:before="101"/>
        <w:ind w:right="0" w:firstLine="360"/>
        <w:jc w:val="left"/>
      </w:pPr>
      <w:r>
        <w:rPr/>
        <w:t>报告期内公司新设全资子公司前海麦达和无锡益锡电子有限公司、全资孙公司</w:t>
      </w:r>
      <w:r>
        <w:rPr>
          <w:rFonts w:ascii="Times New Roman" w:hAnsi="Times New Roman" w:cs="Times New Roman" w:eastAsia="Times New Roman" w:hint="default"/>
        </w:rPr>
        <w:t>Mindata Holding</w:t>
      </w:r>
      <w:r>
        <w:rPr>
          <w:rFonts w:ascii="Times New Roman" w:hAnsi="Times New Roman" w:cs="Times New Roman" w:eastAsia="Times New Roman" w:hint="default"/>
          <w:spacing w:val="-3"/>
        </w:rPr>
        <w:t> </w:t>
      </w:r>
      <w:r>
        <w:rPr>
          <w:rFonts w:ascii="Times New Roman" w:hAnsi="Times New Roman" w:cs="Times New Roman" w:eastAsia="Times New Roman" w:hint="default"/>
        </w:rPr>
        <w:t>Co.,Ltd</w:t>
      </w:r>
      <w:r>
        <w:rPr/>
        <w:t>、控股孙公司实 </w:t>
      </w:r>
      <w:r>
        <w:rPr>
          <w:spacing w:val="-2"/>
        </w:rPr>
        <w:t>益达技术（香港）有限公司和实益达智能（香港）有限公司，增资控股北京麦达（原北京微联达网络技术有限公司），将以</w:t>
      </w:r>
      <w:r>
        <w:rPr>
          <w:spacing w:val="-65"/>
        </w:rPr>
        <w:t> </w:t>
      </w:r>
      <w:r>
        <w:rPr>
          <w:spacing w:val="-65"/>
        </w:rPr>
      </w:r>
      <w:r>
        <w:rPr/>
        <w:t>上公司纳入合并报表。</w:t>
      </w:r>
    </w:p>
    <w:p>
      <w:pPr>
        <w:pStyle w:val="BodyText"/>
        <w:spacing w:line="240" w:lineRule="auto" w:before="65"/>
        <w:ind w:left="513" w:right="153"/>
        <w:jc w:val="left"/>
      </w:pPr>
      <w:r>
        <w:rPr/>
        <w:t>报告期内注销深圳市哇塞宝贝网络科技有限公司和深圳市昇泰物业有限公司，期末不再纳入合并报表范围。</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77"/>
        <w:gridCol w:w="4892"/>
      </w:tblGrid>
      <w:tr>
        <w:trPr>
          <w:trHeight w:val="401"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435,226,275.91</w:t>
            </w: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46.49%</w:t>
            </w:r>
          </w:p>
        </w:tc>
      </w:tr>
      <w:tr>
        <w:trPr>
          <w:trHeight w:val="401"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5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130,598,761.92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13.95%</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124,960,531.70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72,709,853.44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59,833,347.24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47,123,781.61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435,226,275.91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46.49%</w:t>
            </w:r>
          </w:p>
        </w:tc>
      </w:tr>
    </w:tbl>
    <w:p>
      <w:pPr>
        <w:pStyle w:val="BodyText"/>
        <w:spacing w:line="240" w:lineRule="auto" w:before="49"/>
        <w:ind w:right="153"/>
        <w:jc w:val="left"/>
      </w:pPr>
      <w:r>
        <w:rPr/>
        <w:t>主要客户其他情况说明</w:t>
      </w:r>
    </w:p>
    <w:p>
      <w:pPr>
        <w:pStyle w:val="BodyText"/>
        <w:spacing w:line="338" w:lineRule="auto" w:before="117"/>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819"/>
        <w:gridCol w:w="4751"/>
      </w:tblGrid>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119,487,359.79</w:t>
            </w: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16.84%</w:t>
            </w:r>
          </w:p>
        </w:tc>
      </w:tr>
      <w:tr>
        <w:trPr>
          <w:trHeight w:val="403"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5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2"/>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29,519,942.45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4.16%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27,098,464.25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22,789,237.65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3.21%</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21,084,447.44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18,995,268.00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119,487,359.79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16.84%</w:t>
            </w:r>
          </w:p>
        </w:tc>
      </w:tr>
    </w:tbl>
    <w:p>
      <w:pPr>
        <w:pStyle w:val="BodyText"/>
        <w:spacing w:line="240" w:lineRule="auto" w:before="49"/>
        <w:ind w:right="153"/>
        <w:jc w:val="left"/>
      </w:pPr>
      <w:r>
        <w:rPr/>
        <w:t>主要供应商其他情况说明</w:t>
      </w:r>
    </w:p>
    <w:p>
      <w:pPr>
        <w:pStyle w:val="BodyText"/>
        <w:spacing w:line="240" w:lineRule="auto" w:before="11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9"/>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27,447,515.31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28,554,787.54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9"/>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90,814,129.07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79,959,615.08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4"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9"/>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-14,420,985.36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-15,121,964.49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未发生重大变化</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513" w:right="14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报告期内，公司共申请了</w:t>
      </w:r>
      <w:r>
        <w:rPr>
          <w:rFonts w:ascii="Times New Roman" w:hAnsi="Times New Roman" w:cs="Times New Roman" w:eastAsia="Times New Roman" w:hint="default"/>
        </w:rPr>
        <w:t>42</w:t>
      </w:r>
      <w:r>
        <w:rPr/>
        <w:t>项专利，其中发明专利</w:t>
      </w:r>
      <w:r>
        <w:rPr>
          <w:rFonts w:ascii="Times New Roman" w:hAnsi="Times New Roman" w:cs="Times New Roman" w:eastAsia="Times New Roman" w:hint="default"/>
        </w:rPr>
        <w:t>1</w:t>
      </w:r>
      <w:r>
        <w:rPr/>
        <w:t>项，实用新型专利</w:t>
      </w:r>
      <w:r>
        <w:rPr>
          <w:rFonts w:ascii="Times New Roman" w:hAnsi="Times New Roman" w:cs="Times New Roman" w:eastAsia="Times New Roman" w:hint="default"/>
        </w:rPr>
        <w:t>41</w:t>
      </w:r>
      <w:r>
        <w:rPr/>
        <w:t>项；</w:t>
      </w:r>
      <w:r>
        <w:rPr>
          <w:rFonts w:ascii="Times New Roman" w:hAnsi="Times New Roman" w:cs="Times New Roman" w:eastAsia="Times New Roman" w:hint="default"/>
        </w:rPr>
        <w:t>2017</w:t>
      </w:r>
      <w:r>
        <w:rPr/>
        <w:t>年度获得授权专利</w:t>
      </w:r>
      <w:r>
        <w:rPr>
          <w:rFonts w:ascii="Times New Roman" w:hAnsi="Times New Roman" w:cs="Times New Roman" w:eastAsia="Times New Roman" w:hint="default"/>
        </w:rPr>
        <w:t>24</w:t>
      </w:r>
      <w:r>
        <w:rPr/>
        <w:t>项，其中发明专</w:t>
      </w:r>
    </w:p>
    <w:p>
      <w:pPr>
        <w:pStyle w:val="BodyText"/>
        <w:spacing w:line="228" w:lineRule="exact"/>
        <w:ind w:right="153"/>
        <w:jc w:val="left"/>
      </w:pPr>
      <w:r>
        <w:rPr/>
        <w:t>利</w:t>
      </w:r>
      <w:r>
        <w:rPr>
          <w:rFonts w:ascii="Times New Roman" w:hAnsi="Times New Roman" w:cs="Times New Roman" w:eastAsia="Times New Roman" w:hint="default"/>
        </w:rPr>
        <w:t>1</w:t>
      </w:r>
      <w:r>
        <w:rPr/>
        <w:t>项，实用</w:t>
      </w:r>
      <w:r>
        <w:rPr>
          <w:rFonts w:ascii="Times New Roman" w:hAnsi="Times New Roman" w:cs="Times New Roman" w:eastAsia="Times New Roman" w:hint="default"/>
        </w:rPr>
        <w:t>23</w:t>
      </w:r>
      <w:r>
        <w:rPr/>
        <w:t>项。</w:t>
      </w:r>
    </w:p>
    <w:p>
      <w:pPr>
        <w:pStyle w:val="BodyText"/>
        <w:spacing w:line="240" w:lineRule="auto" w:before="63"/>
        <w:ind w:left="513" w:right="153"/>
        <w:jc w:val="left"/>
      </w:pPr>
      <w:r>
        <w:rPr/>
        <w:t>报告期内，公司加大研发投入，以提升公司的核心竞争力，报告期内主要研发项目如下：</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680"/>
        <w:gridCol w:w="2293"/>
        <w:gridCol w:w="5327"/>
      </w:tblGrid>
      <w:tr>
        <w:trPr>
          <w:trHeight w:val="342" w:hRule="exact"/>
        </w:trPr>
        <w:tc>
          <w:tcPr>
            <w:tcW w:w="6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2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53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665" w:right="0"/>
              <w:jc w:val="left"/>
              <w:rPr>
                <w:rFonts w:ascii="宋体" w:hAnsi="宋体" w:cs="宋体" w:eastAsia="宋体" w:hint="default"/>
                <w:sz w:val="18"/>
                <w:szCs w:val="18"/>
              </w:rPr>
            </w:pPr>
            <w:r>
              <w:rPr>
                <w:rFonts w:ascii="宋体" w:hAnsi="宋体" w:cs="宋体" w:eastAsia="宋体" w:hint="default"/>
                <w:sz w:val="18"/>
                <w:szCs w:val="18"/>
              </w:rPr>
              <w:t>研发项目目的及进展情况</w:t>
            </w:r>
          </w:p>
        </w:tc>
      </w:tr>
      <w:tr>
        <w:trPr>
          <w:trHeight w:val="352" w:hRule="exact"/>
        </w:trPr>
        <w:tc>
          <w:tcPr>
            <w:tcW w:w="680"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w:t>
            </w:r>
          </w:p>
        </w:tc>
        <w:tc>
          <w:tcPr>
            <w:tcW w:w="2293"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智慧营销</w:t>
            </w:r>
            <w:r>
              <w:rPr>
                <w:rFonts w:ascii="Times New Roman" w:hAnsi="Times New Roman" w:cs="Times New Roman" w:eastAsia="Times New Roman" w:hint="default"/>
                <w:sz w:val="18"/>
                <w:szCs w:val="18"/>
              </w:rPr>
              <w:t>“</w:t>
            </w:r>
            <w:r>
              <w:rPr>
                <w:rFonts w:ascii="宋体" w:hAnsi="宋体" w:cs="宋体" w:eastAsia="宋体" w:hint="default"/>
                <w:sz w:val="18"/>
                <w:szCs w:val="18"/>
              </w:rPr>
              <w:t>雷达</w:t>
            </w:r>
            <w:r>
              <w:rPr>
                <w:rFonts w:ascii="Times New Roman" w:hAnsi="Times New Roman" w:cs="Times New Roman" w:eastAsia="Times New Roman" w:hint="default"/>
                <w:sz w:val="18"/>
                <w:szCs w:val="18"/>
              </w:rPr>
              <w:t>”</w:t>
            </w:r>
            <w:r>
              <w:rPr>
                <w:rFonts w:ascii="宋体" w:hAnsi="宋体" w:cs="宋体" w:eastAsia="宋体" w:hint="default"/>
                <w:sz w:val="18"/>
                <w:szCs w:val="18"/>
              </w:rPr>
              <w:t>平台</w:t>
            </w:r>
          </w:p>
        </w:tc>
        <w:tc>
          <w:tcPr>
            <w:tcW w:w="5327"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年度正在研发，旨在帮助企业提升营销效率</w:t>
            </w:r>
          </w:p>
        </w:tc>
      </w:tr>
      <w:tr>
        <w:trPr>
          <w:trHeight w:val="972" w:hRule="exact"/>
        </w:trPr>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 w:right="0"/>
              <w:jc w:val="center"/>
              <w:rPr>
                <w:rFonts w:ascii="Times New Roman" w:hAnsi="Times New Roman" w:cs="Times New Roman" w:eastAsia="Times New Roman" w:hint="default"/>
                <w:sz w:val="18"/>
                <w:szCs w:val="18"/>
              </w:rPr>
            </w:pPr>
            <w:r>
              <w:rPr>
                <w:rFonts w:ascii="Times New Roman"/>
                <w:sz w:val="18"/>
              </w:rPr>
              <w:t>2</w:t>
            </w:r>
          </w:p>
        </w:tc>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智能照明控制系统研发</w:t>
            </w:r>
          </w:p>
        </w:tc>
        <w:tc>
          <w:tcPr>
            <w:tcW w:w="53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年度已完成智能灯具控制盒及智能家居遥控器的技术和产品开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发工作，完成</w:t>
            </w:r>
            <w:r>
              <w:rPr>
                <w:rFonts w:ascii="Times New Roman" w:hAnsi="Times New Roman" w:cs="Times New Roman" w:eastAsia="Times New Roman" w:hint="default"/>
                <w:spacing w:val="-2"/>
                <w:sz w:val="18"/>
                <w:szCs w:val="18"/>
              </w:rPr>
              <w:t>wifi/zigbee/2.4G</w:t>
            </w:r>
            <w:r>
              <w:rPr>
                <w:rFonts w:ascii="宋体" w:hAnsi="宋体" w:cs="宋体" w:eastAsia="宋体" w:hint="default"/>
                <w:spacing w:val="-2"/>
                <w:sz w:val="18"/>
                <w:szCs w:val="18"/>
              </w:rPr>
              <w:t>等无线通讯技术在智能照明中的连接和</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应用，并已经批量应用于智能面板灯系列等多种照明产品。</w:t>
            </w:r>
          </w:p>
        </w:tc>
      </w:tr>
    </w:tbl>
    <w:p>
      <w:pPr>
        <w:spacing w:line="240" w:lineRule="auto" w:before="2"/>
        <w:rPr>
          <w:rFonts w:ascii="宋体" w:hAnsi="宋体" w:cs="宋体" w:eastAsia="宋体" w:hint="default"/>
          <w:sz w:val="24"/>
          <w:szCs w:val="24"/>
        </w:rPr>
      </w:pPr>
    </w:p>
    <w:p>
      <w:pPr>
        <w:pStyle w:val="BodyText"/>
        <w:spacing w:line="240" w:lineRule="auto" w:before="44"/>
        <w:ind w:right="153"/>
        <w:jc w:val="left"/>
      </w:pPr>
      <w:r>
        <w:rPr/>
        <w:t>公司研发投入情况</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4"/>
        <w:gridCol w:w="1998"/>
        <w:gridCol w:w="1841"/>
        <w:gridCol w:w="1419"/>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研发人员数量（人）</w:t>
            </w:r>
          </w:p>
        </w:tc>
        <w:tc>
          <w:tcPr>
            <w:tcW w:w="19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33.80%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9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11.96%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1.36%</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研发投入金额（元）</w:t>
            </w:r>
          </w:p>
        </w:tc>
        <w:tc>
          <w:tcPr>
            <w:tcW w:w="19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18,005,720.29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9,987,015.07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80.29%</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9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0.67%</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19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19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27"/>
          <w:szCs w:val="27"/>
        </w:rPr>
      </w:pPr>
    </w:p>
    <w:p>
      <w:pPr>
        <w:pStyle w:val="BodyText"/>
        <w:spacing w:line="240" w:lineRule="auto" w:before="44"/>
        <w:ind w:right="153"/>
        <w:jc w:val="left"/>
      </w:pPr>
      <w:r>
        <w:rPr/>
        <w:t>研发投入总额占营业收入的比重较上年发生显著变化的原因</w:t>
      </w:r>
    </w:p>
    <w:p>
      <w:pPr>
        <w:pStyle w:val="BodyText"/>
        <w:spacing w:line="340" w:lineRule="auto" w:before="117"/>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39"/>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left="252" w:right="4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351"/>
        <w:jc w:val="right"/>
      </w:pPr>
      <w:r>
        <w:rPr/>
        <w:t>单位：元</w:t>
      </w:r>
    </w:p>
    <w:p>
      <w:pPr>
        <w:spacing w:line="240" w:lineRule="auto" w:before="2"/>
        <w:rPr>
          <w:rFonts w:ascii="宋体" w:hAnsi="宋体" w:cs="宋体" w:eastAsia="宋体" w:hint="default"/>
          <w:sz w:val="8"/>
          <w:szCs w:val="8"/>
        </w:rPr>
      </w:pPr>
    </w:p>
    <w:tbl>
      <w:tblPr>
        <w:tblW w:w="0" w:type="auto"/>
        <w:jc w:val="left"/>
        <w:tblInd w:w="2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946,299,471.34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794,231,560.05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19.15%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840,987,885.29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759,395,034.04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10.74%</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105,311,586.05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34,836,526.01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202.30%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4,833,922,186.46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5,626,889,156.78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-14.09%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4,832,869,115.51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6,021,327,026.00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-19.74%</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1,053,070.95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-394,437,869.22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-99.85%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44,749,019.88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581,790,000.00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-92.31%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20,476,463.24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155,920,578.52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-86.87%</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24,272,556.64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425,869,421.48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-94.30%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125,549,202.49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68,051,378.34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84.49%</w:t>
            </w:r>
          </w:p>
        </w:tc>
      </w:tr>
    </w:tbl>
    <w:p>
      <w:pPr>
        <w:pStyle w:val="BodyText"/>
        <w:spacing w:line="240" w:lineRule="auto" w:before="49"/>
        <w:ind w:left="252" w:right="433"/>
        <w:jc w:val="left"/>
      </w:pPr>
      <w:r>
        <w:rPr/>
        <w:t>相关数据同比发生重大变动的主要影响因素说明</w:t>
      </w:r>
    </w:p>
    <w:p>
      <w:pPr>
        <w:pStyle w:val="BodyText"/>
        <w:spacing w:line="324" w:lineRule="auto" w:before="115"/>
        <w:ind w:left="613" w:right="4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报告期内，经营活动产生的现金流量净额较去年同期增加的主要原因是经营盈利增加，同时加强应收账款管理所致； 报告期内，投资活动产生的现金流量净额增加的主要原因系购买理财产品净额减少； 报告期内，筹资活动产生的现金流量净额减少的主要原因系去年同期非公开发行定增款项到位所致； 报告期内，现金及现金等价物净增加额增加的主要原因系报告期经营盈利增加和购买理财产品净额减少所致。</w:t>
      </w:r>
    </w:p>
    <w:p>
      <w:pPr>
        <w:spacing w:line="240" w:lineRule="auto" w:before="0"/>
        <w:rPr>
          <w:rFonts w:ascii="宋体" w:hAnsi="宋体" w:cs="宋体" w:eastAsia="宋体" w:hint="default"/>
          <w:sz w:val="18"/>
          <w:szCs w:val="18"/>
        </w:rPr>
      </w:pPr>
    </w:p>
    <w:p>
      <w:pPr>
        <w:pStyle w:val="BodyText"/>
        <w:spacing w:line="240" w:lineRule="auto" w:before="130"/>
        <w:ind w:left="252" w:right="433"/>
        <w:jc w:val="left"/>
      </w:pPr>
      <w:r>
        <w:rPr/>
        <w:t>报告期内公司经营活动产生的现金净流量与本年度净利润存在重大差异的原因说明</w:t>
      </w:r>
    </w:p>
    <w:p>
      <w:pPr>
        <w:pStyle w:val="BodyText"/>
        <w:spacing w:line="340" w:lineRule="auto" w:before="115"/>
        <w:ind w:left="613" w:right="4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报告期内公司经营活动产生的现金流量与本年度净利润存在重大差异的主要原因系报告期应付账款增加和应收账款减</w:t>
      </w:r>
    </w:p>
    <w:p>
      <w:pPr>
        <w:pStyle w:val="BodyText"/>
        <w:spacing w:line="240" w:lineRule="auto" w:before="1"/>
        <w:ind w:left="252" w:right="433"/>
        <w:jc w:val="left"/>
      </w:pPr>
      <w:r>
        <w:rPr/>
        <w:t>少所致。</w:t>
      </w:r>
    </w:p>
    <w:p>
      <w:pPr>
        <w:spacing w:line="240" w:lineRule="auto" w:before="3"/>
        <w:rPr>
          <w:rFonts w:ascii="宋体" w:hAnsi="宋体" w:cs="宋体" w:eastAsia="宋体" w:hint="default"/>
          <w:sz w:val="25"/>
          <w:szCs w:val="25"/>
        </w:rPr>
      </w:pPr>
    </w:p>
    <w:p>
      <w:pPr>
        <w:pStyle w:val="Heading2"/>
        <w:spacing w:line="240" w:lineRule="auto"/>
        <w:ind w:left="252" w:right="433"/>
        <w:jc w:val="left"/>
        <w:rPr>
          <w:b w:val="0"/>
          <w:bCs w:val="0"/>
        </w:rPr>
      </w:pPr>
      <w:r>
        <w:rPr/>
        <w:t>三、非主营业务分析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52" w:right="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252" w:right="433"/>
        <w:jc w:val="left"/>
        <w:rPr>
          <w:b w:val="0"/>
          <w:bCs w:val="0"/>
        </w:rPr>
      </w:pP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52" w:right="4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351"/>
        <w:jc w:val="right"/>
      </w:pPr>
      <w:r>
        <w:rPr/>
        <w:t>单位：元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560"/>
        <w:gridCol w:w="1277"/>
        <w:gridCol w:w="1064"/>
        <w:gridCol w:w="1193"/>
        <w:gridCol w:w="1064"/>
        <w:gridCol w:w="931"/>
        <w:gridCol w:w="2919"/>
      </w:tblGrid>
      <w:tr>
        <w:trPr>
          <w:trHeight w:val="413"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23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9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6" w:right="0"/>
              <w:jc w:val="left"/>
              <w:rPr>
                <w:rFonts w:ascii="宋体" w:hAnsi="宋体" w:cs="宋体" w:eastAsia="宋体" w:hint="default"/>
                <w:sz w:val="18"/>
                <w:szCs w:val="18"/>
              </w:rPr>
            </w:pPr>
            <w:r>
              <w:rPr>
                <w:rFonts w:ascii="宋体" w:hAnsi="宋体" w:cs="宋体" w:eastAsia="宋体" w:hint="default"/>
                <w:sz w:val="18"/>
                <w:szCs w:val="18"/>
              </w:rPr>
              <w:t>占总资产比</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6" w:right="0"/>
              <w:jc w:val="left"/>
              <w:rPr>
                <w:rFonts w:ascii="宋体" w:hAnsi="宋体" w:cs="宋体" w:eastAsia="宋体" w:hint="default"/>
                <w:sz w:val="18"/>
                <w:szCs w:val="18"/>
              </w:rPr>
            </w:pPr>
            <w:r>
              <w:rPr>
                <w:rFonts w:ascii="宋体" w:hAnsi="宋体" w:cs="宋体" w:eastAsia="宋体" w:hint="default"/>
                <w:sz w:val="18"/>
                <w:szCs w:val="18"/>
              </w:rPr>
              <w:t>占总资产比</w:t>
            </w:r>
          </w:p>
        </w:tc>
        <w:tc>
          <w:tcPr>
            <w:tcW w:w="931"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880" w:right="780"/>
        </w:sectPr>
      </w:pPr>
    </w:p>
    <w:p>
      <w:pPr>
        <w:spacing w:line="240" w:lineRule="auto" w:before="6"/>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1548"/>
        <w:gridCol w:w="1277"/>
        <w:gridCol w:w="1061"/>
        <w:gridCol w:w="1195"/>
        <w:gridCol w:w="1064"/>
        <w:gridCol w:w="931"/>
        <w:gridCol w:w="2919"/>
      </w:tblGrid>
      <w:tr>
        <w:trPr>
          <w:trHeight w:val="362"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15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264,648,521.96</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12.74%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123,729,128.53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6.50%</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6.24%</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主要系报告期内公司经营盈利增加 及理财产品赎回所致</w:t>
            </w:r>
          </w:p>
        </w:tc>
      </w:tr>
      <w:tr>
        <w:trPr>
          <w:trHeight w:val="391" w:hRule="exact"/>
        </w:trPr>
        <w:tc>
          <w:tcPr>
            <w:tcW w:w="15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277" w:type="dxa"/>
            <w:vMerge/>
            <w:tcBorders>
              <w:left w:val="single" w:sz="9"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5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9"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2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258,426,582.25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249,531,421.22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13.11%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存货</w:t>
            </w:r>
          </w:p>
        </w:tc>
        <w:tc>
          <w:tcPr>
            <w:tcW w:w="12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54,493,173.31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49,832,153.04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12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29,401,748.46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30,891,106.45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2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173,060,338.37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180,499,114.15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5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108,093,681.68</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5.20%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55,815,059.71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2.93%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2.27%</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82"/>
              <w:jc w:val="left"/>
              <w:rPr>
                <w:rFonts w:ascii="宋体" w:hAnsi="宋体" w:cs="宋体" w:eastAsia="宋体" w:hint="default"/>
                <w:sz w:val="18"/>
                <w:szCs w:val="18"/>
              </w:rPr>
            </w:pPr>
            <w:r>
              <w:rPr>
                <w:rFonts w:ascii="宋体" w:hAnsi="宋体" w:cs="宋体" w:eastAsia="宋体" w:hint="default"/>
                <w:sz w:val="18"/>
                <w:szCs w:val="18"/>
              </w:rPr>
              <w:t>主要系无锡鸿山厂房项目由在建工 程转入固定资产所致</w:t>
            </w:r>
          </w:p>
        </w:tc>
      </w:tr>
      <w:tr>
        <w:trPr>
          <w:trHeight w:val="394" w:hRule="exact"/>
        </w:trPr>
        <w:tc>
          <w:tcPr>
            <w:tcW w:w="15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277" w:type="dxa"/>
            <w:vMerge/>
            <w:tcBorders>
              <w:left w:val="single" w:sz="9"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5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9"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5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9" w:space="0" w:color="D2D2D2"/>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58,680,344.53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3.08%</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-3.08%</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主要系无锡鸿山厂房项目由在建工 程转入固定资产所致</w:t>
            </w:r>
          </w:p>
        </w:tc>
      </w:tr>
      <w:tr>
        <w:trPr>
          <w:trHeight w:val="391" w:hRule="exact"/>
        </w:trPr>
        <w:tc>
          <w:tcPr>
            <w:tcW w:w="15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277" w:type="dxa"/>
            <w:vMerge/>
            <w:tcBorders>
              <w:left w:val="single" w:sz="9"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5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9"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4"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2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0.39%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73,311,568.78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3,181,568.78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主要系报告期内公司投资惠赢天下 和赢销通所致</w:t>
            </w:r>
          </w:p>
        </w:tc>
      </w:tr>
    </w:tbl>
    <w:p>
      <w:pPr>
        <w:spacing w:line="240" w:lineRule="auto" w:before="3"/>
        <w:rPr>
          <w:rFonts w:ascii="宋体" w:hAnsi="宋体" w:cs="宋体" w:eastAsia="宋体" w:hint="default"/>
          <w:sz w:val="19"/>
          <w:szCs w:val="19"/>
        </w:rPr>
      </w:pPr>
    </w:p>
    <w:p>
      <w:pPr>
        <w:pStyle w:val="Heading3"/>
        <w:spacing w:line="240" w:lineRule="auto" w:before="36"/>
        <w:ind w:left="252" w:right="4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252" w:right="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351"/>
        <w:jc w:val="right"/>
      </w:pPr>
      <w:r>
        <w:rPr/>
        <w:t>单位：元</w:t>
      </w:r>
    </w:p>
    <w:p>
      <w:pPr>
        <w:spacing w:line="240" w:lineRule="auto" w:before="2"/>
        <w:rPr>
          <w:rFonts w:ascii="宋体" w:hAnsi="宋体" w:cs="宋体" w:eastAsia="宋体" w:hint="default"/>
          <w:sz w:val="8"/>
          <w:szCs w:val="8"/>
        </w:rPr>
      </w:pPr>
    </w:p>
    <w:tbl>
      <w:tblPr>
        <w:tblW w:w="0" w:type="auto"/>
        <w:jc w:val="left"/>
        <w:tblInd w:w="260" w:type="dxa"/>
        <w:tblLayout w:type="fixed"/>
        <w:tblCellMar>
          <w:top w:w="0" w:type="dxa"/>
          <w:left w:w="0" w:type="dxa"/>
          <w:bottom w:w="0" w:type="dxa"/>
          <w:right w:w="0" w:type="dxa"/>
        </w:tblCellMar>
        <w:tblLook w:val="01E0"/>
      </w:tblPr>
      <w:tblGrid>
        <w:gridCol w:w="1197"/>
        <w:gridCol w:w="1229"/>
        <w:gridCol w:w="1210"/>
        <w:gridCol w:w="1212"/>
        <w:gridCol w:w="1208"/>
        <w:gridCol w:w="1218"/>
        <w:gridCol w:w="1213"/>
        <w:gridCol w:w="1075"/>
      </w:tblGrid>
      <w:tr>
        <w:trPr>
          <w:trHeight w:val="163" w:hRule="exact"/>
        </w:trPr>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229" w:type="dxa"/>
            <w:vMerge w:val="restart"/>
            <w:tcBorders>
              <w:top w:val="single" w:sz="4" w:space="0" w:color="000000"/>
              <w:left w:val="single" w:sz="4" w:space="0" w:color="000000"/>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1" w:right="58"/>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8"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07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97" w:type="dxa"/>
            <w:vMerge/>
            <w:tcBorders>
              <w:left w:val="single" w:sz="4" w:space="0" w:color="000000"/>
              <w:bottom w:val="nil" w:sz="6" w:space="0" w:color="auto"/>
              <w:right w:val="single" w:sz="4" w:space="0" w:color="000000"/>
            </w:tcBorders>
            <w:shd w:val="clear" w:color="auto" w:fill="D2D2D2"/>
          </w:tcPr>
          <w:p>
            <w:pPr/>
          </w:p>
        </w:tc>
        <w:tc>
          <w:tcPr>
            <w:tcW w:w="1229" w:type="dxa"/>
            <w:vMerge/>
            <w:tcBorders>
              <w:left w:val="single" w:sz="4" w:space="0" w:color="000000"/>
              <w:bottom w:val="nil" w:sz="6" w:space="0" w:color="auto"/>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6" w:right="6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2"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10" w:right="54" w:hanging="449"/>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8"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10" w:type="dxa"/>
            <w:vMerge/>
            <w:tcBorders>
              <w:left w:val="single" w:sz="4" w:space="0" w:color="000000"/>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2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97" w:type="dxa"/>
            <w:vMerge w:val="restart"/>
            <w:tcBorders>
              <w:top w:val="nil" w:sz="6" w:space="0" w:color="auto"/>
              <w:left w:val="single" w:sz="4" w:space="0" w:color="000000"/>
              <w:right w:val="single" w:sz="4" w:space="0" w:color="000000"/>
            </w:tcBorders>
            <w:shd w:val="clear" w:color="auto" w:fill="D2D2D2"/>
          </w:tcPr>
          <w:p>
            <w:pPr/>
          </w:p>
        </w:tc>
        <w:tc>
          <w:tcPr>
            <w:tcW w:w="1229" w:type="dxa"/>
            <w:vMerge w:val="restart"/>
            <w:tcBorders>
              <w:top w:val="nil" w:sz="6" w:space="0" w:color="auto"/>
              <w:left w:val="single" w:sz="4" w:space="0" w:color="000000"/>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218"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97" w:type="dxa"/>
            <w:vMerge/>
            <w:tcBorders>
              <w:left w:val="single" w:sz="4" w:space="0" w:color="000000"/>
              <w:bottom w:val="single" w:sz="4" w:space="0" w:color="000000"/>
              <w:right w:val="single" w:sz="4" w:space="0" w:color="000000"/>
            </w:tcBorders>
            <w:shd w:val="clear" w:color="auto" w:fill="D2D2D2"/>
          </w:tcPr>
          <w:p>
            <w:pPr/>
          </w:p>
        </w:tc>
        <w:tc>
          <w:tcPr>
            <w:tcW w:w="1229" w:type="dxa"/>
            <w:vMerge/>
            <w:tcBorders>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8"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6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2" w:right="9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的金融资产</w:t>
            </w:r>
          </w:p>
          <w:p>
            <w:pPr>
              <w:pStyle w:val="TableParagraph"/>
              <w:spacing w:line="316" w:lineRule="auto" w:before="22"/>
              <w:ind w:left="12" w:right="93"/>
              <w:jc w:val="both"/>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1229" w:type="dxa"/>
            <w:tcBorders>
              <w:top w:val="single" w:sz="4" w:space="0" w:color="000000"/>
              <w:left w:val="single" w:sz="12" w:space="0" w:color="D2D2D2"/>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73,740.00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73,740.00</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29" w:type="dxa"/>
            <w:tcBorders>
              <w:top w:val="single" w:sz="4" w:space="0" w:color="000000"/>
              <w:left w:val="single" w:sz="12" w:space="0" w:color="D2D2D2"/>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73,740.00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73,740.00</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73,740.00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73,740.00</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left="252" w:right="433"/>
        <w:jc w:val="left"/>
      </w:pPr>
      <w:r>
        <w:rPr/>
        <w:t>报告期内公司主要资产计量属性是否发生重大变化</w:t>
      </w:r>
    </w:p>
    <w:p>
      <w:pPr>
        <w:pStyle w:val="BodyText"/>
        <w:spacing w:line="240" w:lineRule="auto" w:before="115"/>
        <w:ind w:left="252" w:right="4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left="252" w:right="43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613" w:right="433"/>
        <w:jc w:val="left"/>
        <w:rPr>
          <w:rFonts w:ascii="宋体" w:hAnsi="宋体" w:cs="宋体" w:eastAsia="宋体" w:hint="default"/>
        </w:rPr>
      </w:pPr>
      <w:r>
        <w:rPr/>
        <w:t>受限制的货币资金明细如下：</w:t>
      </w:r>
      <w:r>
        <w:rPr>
          <w:rFonts w:ascii="宋体" w:hAnsi="宋体" w:cs="宋体" w:eastAsia="宋体" w:hint="default"/>
        </w:rPr>
        <w:t> </w:t>
      </w:r>
    </w:p>
    <w:p>
      <w:pPr>
        <w:spacing w:line="240" w:lineRule="auto" w:before="4"/>
        <w:rPr>
          <w:rFonts w:ascii="宋体" w:hAnsi="宋体" w:cs="宋体" w:eastAsia="宋体" w:hint="default"/>
          <w:sz w:val="5"/>
          <w:szCs w:val="5"/>
        </w:rPr>
      </w:pPr>
    </w:p>
    <w:tbl>
      <w:tblPr>
        <w:tblW w:w="0" w:type="auto"/>
        <w:jc w:val="left"/>
        <w:tblInd w:w="233" w:type="dxa"/>
        <w:tblLayout w:type="fixed"/>
        <w:tblCellMar>
          <w:top w:w="0" w:type="dxa"/>
          <w:left w:w="0" w:type="dxa"/>
          <w:bottom w:w="0" w:type="dxa"/>
          <w:right w:w="0" w:type="dxa"/>
        </w:tblCellMar>
        <w:tblLook w:val="01E0"/>
      </w:tblPr>
      <w:tblGrid>
        <w:gridCol w:w="2283"/>
        <w:gridCol w:w="2835"/>
        <w:gridCol w:w="2837"/>
      </w:tblGrid>
      <w:tr>
        <w:trPr>
          <w:trHeight w:val="323" w:hRule="exact"/>
        </w:trPr>
        <w:tc>
          <w:tcPr>
            <w:tcW w:w="22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88"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83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9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spacing w:after="0" w:line="240" w:lineRule="auto"/>
        <w:jc w:val="center"/>
        <w:rPr>
          <w:rFonts w:ascii="宋体" w:hAnsi="宋体" w:cs="宋体" w:eastAsia="宋体" w:hint="default"/>
          <w:sz w:val="18"/>
          <w:szCs w:val="18"/>
        </w:rPr>
        <w:sectPr>
          <w:pgSz w:w="11910" w:h="16840"/>
          <w:pgMar w:header="745" w:footer="980" w:top="1060" w:bottom="1160" w:left="880" w:right="780"/>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2283"/>
        <w:gridCol w:w="2835"/>
        <w:gridCol w:w="2837"/>
      </w:tblGrid>
      <w:tr>
        <w:trPr>
          <w:trHeight w:val="391"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90" w:right="0"/>
              <w:jc w:val="center"/>
              <w:rPr>
                <w:rFonts w:ascii="宋体" w:hAnsi="宋体" w:cs="宋体" w:eastAsia="宋体" w:hint="default"/>
                <w:sz w:val="18"/>
                <w:szCs w:val="18"/>
              </w:rPr>
            </w:pPr>
            <w:r>
              <w:rPr>
                <w:rFonts w:ascii="宋体" w:hAnsi="宋体" w:cs="宋体" w:eastAsia="宋体" w:hint="default"/>
                <w:sz w:val="18"/>
                <w:szCs w:val="18"/>
              </w:rPr>
              <w:t>银行承兑汇票保证金</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1"/>
              <w:jc w:val="right"/>
              <w:rPr>
                <w:rFonts w:ascii="宋体" w:hAnsi="宋体" w:cs="宋体" w:eastAsia="宋体" w:hint="default"/>
                <w:sz w:val="18"/>
                <w:szCs w:val="18"/>
              </w:rPr>
            </w:pPr>
            <w:r>
              <w:rPr>
                <w:rFonts w:ascii="宋体"/>
                <w:spacing w:val="-1"/>
                <w:sz w:val="18"/>
              </w:rPr>
              <w:t>16,466,184.00</w:t>
            </w:r>
            <w:r>
              <w:rPr>
                <w:rFonts w:ascii="宋体"/>
                <w:sz w:val="18"/>
              </w:rPr>
              <w:t>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1"/>
              <w:jc w:val="right"/>
              <w:rPr>
                <w:rFonts w:ascii="宋体" w:hAnsi="宋体" w:cs="宋体" w:eastAsia="宋体" w:hint="default"/>
                <w:sz w:val="18"/>
                <w:szCs w:val="18"/>
              </w:rPr>
            </w:pPr>
            <w:r>
              <w:rPr>
                <w:rFonts w:ascii="宋体"/>
                <w:spacing w:val="-1"/>
                <w:sz w:val="18"/>
              </w:rPr>
              <w:t>2,831,816.66</w:t>
            </w:r>
            <w:r>
              <w:rPr>
                <w:rFonts w:ascii="宋体"/>
                <w:sz w:val="18"/>
              </w:rPr>
              <w:t> </w:t>
            </w:r>
          </w:p>
        </w:tc>
      </w:tr>
      <w:tr>
        <w:trPr>
          <w:trHeight w:val="341"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88" w:right="0"/>
              <w:jc w:val="center"/>
              <w:rPr>
                <w:rFonts w:ascii="宋体" w:hAnsi="宋体" w:cs="宋体" w:eastAsia="宋体" w:hint="default"/>
                <w:sz w:val="18"/>
                <w:szCs w:val="18"/>
              </w:rPr>
            </w:pPr>
            <w:r>
              <w:rPr>
                <w:rFonts w:ascii="宋体" w:hAnsi="宋体" w:cs="宋体" w:eastAsia="宋体" w:hint="default"/>
                <w:sz w:val="18"/>
                <w:szCs w:val="18"/>
              </w:rPr>
              <w:t>信用证保证金</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1"/>
              <w:jc w:val="right"/>
              <w:rPr>
                <w:rFonts w:ascii="宋体" w:hAnsi="宋体" w:cs="宋体" w:eastAsia="宋体" w:hint="default"/>
                <w:sz w:val="18"/>
                <w:szCs w:val="18"/>
              </w:rPr>
            </w:pPr>
            <w:r>
              <w:rPr>
                <w:rFonts w:ascii="宋体"/>
                <w:sz w:val="18"/>
              </w:rPr>
              <w:t>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z w:val="18"/>
              </w:rPr>
              <w:t> </w:t>
            </w:r>
          </w:p>
        </w:tc>
      </w:tr>
      <w:tr>
        <w:trPr>
          <w:trHeight w:val="341"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0" w:right="0"/>
              <w:jc w:val="center"/>
              <w:rPr>
                <w:rFonts w:ascii="宋体" w:hAnsi="宋体" w:cs="宋体" w:eastAsia="宋体" w:hint="default"/>
                <w:sz w:val="18"/>
                <w:szCs w:val="18"/>
              </w:rPr>
            </w:pPr>
            <w:r>
              <w:rPr>
                <w:rFonts w:ascii="宋体" w:hAnsi="宋体" w:cs="宋体" w:eastAsia="宋体" w:hint="default"/>
                <w:sz w:val="18"/>
                <w:szCs w:val="18"/>
              </w:rPr>
              <w:t>履约保证金</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pacing w:val="-1"/>
                <w:sz w:val="18"/>
              </w:rPr>
              <w:t>167,615.60</w:t>
            </w:r>
            <w:r>
              <w:rPr>
                <w:rFonts w:ascii="宋体"/>
                <w:sz w:val="18"/>
              </w:rPr>
              <w:t>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z w:val="18"/>
              </w:rPr>
              <w:t> </w:t>
            </w:r>
          </w:p>
        </w:tc>
      </w:tr>
      <w:tr>
        <w:trPr>
          <w:trHeight w:val="341"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8" w:right="0"/>
              <w:jc w:val="center"/>
              <w:rPr>
                <w:rFonts w:ascii="宋体" w:hAnsi="宋体" w:cs="宋体" w:eastAsia="宋体" w:hint="default"/>
                <w:sz w:val="18"/>
                <w:szCs w:val="18"/>
              </w:rPr>
            </w:pPr>
            <w:r>
              <w:rPr>
                <w:rFonts w:ascii="宋体" w:hAnsi="宋体" w:cs="宋体" w:eastAsia="宋体" w:hint="default"/>
                <w:sz w:val="18"/>
                <w:szCs w:val="18"/>
              </w:rPr>
              <w:t>未决诉讼冻结资金</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pacing w:val="-1"/>
                <w:sz w:val="18"/>
              </w:rPr>
              <w:t>1,568,208.00</w:t>
            </w:r>
            <w:r>
              <w:rPr>
                <w:rFonts w:ascii="宋体"/>
                <w:sz w:val="18"/>
              </w:rPr>
              <w:t>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z w:val="18"/>
              </w:rPr>
              <w:t> </w:t>
            </w:r>
          </w:p>
        </w:tc>
      </w:tr>
      <w:tr>
        <w:trPr>
          <w:trHeight w:val="341"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8"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pacing w:val="-1"/>
                <w:sz w:val="18"/>
              </w:rPr>
              <w:t>18,202,007.60</w:t>
            </w:r>
            <w:r>
              <w:rPr>
                <w:rFonts w:ascii="宋体"/>
                <w:sz w:val="18"/>
              </w:rPr>
              <w:t>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pacing w:val="-1"/>
                <w:sz w:val="18"/>
              </w:rPr>
              <w:t>2,831,816.66</w:t>
            </w: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153"/>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68"/>
        <w:gridCol w:w="2835"/>
        <w:gridCol w:w="2837"/>
      </w:tblGrid>
      <w:tr>
        <w:trPr>
          <w:trHeight w:val="40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1" w:right="0"/>
              <w:jc w:val="left"/>
              <w:rPr>
                <w:rFonts w:ascii="Times New Roman" w:hAnsi="Times New Roman" w:cs="Times New Roman" w:eastAsia="Times New Roman" w:hint="default"/>
                <w:sz w:val="18"/>
                <w:szCs w:val="18"/>
              </w:rPr>
            </w:pPr>
            <w:r>
              <w:rPr>
                <w:rFonts w:ascii="Times New Roman"/>
                <w:sz w:val="18"/>
              </w:rPr>
              <w:t>139,130,000.00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8" w:right="0"/>
              <w:jc w:val="left"/>
              <w:rPr>
                <w:rFonts w:ascii="Times New Roman" w:hAnsi="Times New Roman" w:cs="Times New Roman" w:eastAsia="Times New Roman" w:hint="default"/>
                <w:sz w:val="18"/>
                <w:szCs w:val="18"/>
              </w:rPr>
            </w:pPr>
            <w:r>
              <w:rPr>
                <w:rFonts w:ascii="Times New Roman"/>
                <w:sz w:val="18"/>
              </w:rPr>
              <w:t>443,541,428.00</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-68.63%</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833"/>
        <w:gridCol w:w="711"/>
        <w:gridCol w:w="665"/>
        <w:gridCol w:w="737"/>
        <w:gridCol w:w="737"/>
        <w:gridCol w:w="735"/>
        <w:gridCol w:w="737"/>
      </w:tblGrid>
      <w:tr>
        <w:trPr>
          <w:trHeight w:val="1649"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89"/>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2"/>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资金来源</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1" w:right="77"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89"/>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无锡鸿 山厂房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工业</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56,336,0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20.67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center"/>
              <w:rPr>
                <w:rFonts w:ascii="宋体" w:hAnsi="宋体" w:cs="宋体" w:eastAsia="宋体" w:hint="default"/>
                <w:sz w:val="18"/>
                <w:szCs w:val="18"/>
              </w:rPr>
            </w:pPr>
            <w:r>
              <w:rPr>
                <w:rFonts w:ascii="宋体" w:hAnsi="宋体" w:cs="宋体" w:eastAsia="宋体" w:hint="default"/>
                <w:sz w:val="18"/>
                <w:szCs w:val="18"/>
              </w:rPr>
              <w:t>自筹资金</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56,336,0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20.67</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86"/>
        <w:gridCol w:w="895"/>
        <w:gridCol w:w="1090"/>
        <w:gridCol w:w="1178"/>
        <w:gridCol w:w="1193"/>
        <w:gridCol w:w="958"/>
        <w:gridCol w:w="955"/>
        <w:gridCol w:w="956"/>
        <w:gridCol w:w="958"/>
      </w:tblGrid>
      <w:tr>
        <w:trPr>
          <w:trHeight w:val="1027" w:hRule="exact"/>
        </w:trPr>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8"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247" w:type="dxa"/>
        <w:tblLayout w:type="fixed"/>
        <w:tblCellMar>
          <w:top w:w="0" w:type="dxa"/>
          <w:left w:w="0" w:type="dxa"/>
          <w:bottom w:w="0" w:type="dxa"/>
          <w:right w:w="0" w:type="dxa"/>
        </w:tblCellMar>
        <w:tblLook w:val="01E0"/>
      </w:tblPr>
      <w:tblGrid>
        <w:gridCol w:w="1388"/>
        <w:gridCol w:w="895"/>
        <w:gridCol w:w="1090"/>
        <w:gridCol w:w="1178"/>
        <w:gridCol w:w="1193"/>
        <w:gridCol w:w="958"/>
        <w:gridCol w:w="955"/>
        <w:gridCol w:w="956"/>
        <w:gridCol w:w="958"/>
      </w:tblGrid>
      <w:tr>
        <w:trPr>
          <w:trHeight w:val="40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金融衍生工具</w:t>
            </w:r>
          </w:p>
        </w:tc>
        <w:tc>
          <w:tcPr>
            <w:tcW w:w="8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73,740.00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73,740.00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73,740.00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4"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49" w:right="0"/>
              <w:jc w:val="lef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73,740.00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09" w:right="0"/>
              <w:jc w:val="lef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73,740.00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73,740.00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252" w:right="234"/>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52" w:right="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left="252" w:right="234"/>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252" w:right="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569"/>
        <w:gridCol w:w="708"/>
        <w:gridCol w:w="850"/>
        <w:gridCol w:w="992"/>
        <w:gridCol w:w="710"/>
        <w:gridCol w:w="850"/>
        <w:gridCol w:w="852"/>
        <w:gridCol w:w="850"/>
        <w:gridCol w:w="708"/>
        <w:gridCol w:w="1844"/>
        <w:gridCol w:w="775"/>
      </w:tblGrid>
      <w:tr>
        <w:trPr>
          <w:trHeight w:val="1337" w:hRule="exact"/>
        </w:trPr>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8" w:right="99"/>
              <w:jc w:val="left"/>
              <w:rPr>
                <w:rFonts w:ascii="宋体" w:hAnsi="宋体" w:cs="宋体" w:eastAsia="宋体" w:hint="default"/>
                <w:sz w:val="18"/>
                <w:szCs w:val="18"/>
              </w:rPr>
            </w:pPr>
            <w:r>
              <w:rPr>
                <w:rFonts w:ascii="宋体" w:hAnsi="宋体" w:cs="宋体" w:eastAsia="宋体" w:hint="default"/>
                <w:sz w:val="18"/>
                <w:szCs w:val="18"/>
              </w:rPr>
              <w:t>募集 年份</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59" w:right="77"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9" w:right="59"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39"/>
              <w:jc w:val="center"/>
              <w:rPr>
                <w:rFonts w:ascii="宋体" w:hAnsi="宋体" w:cs="宋体" w:eastAsia="宋体" w:hint="default"/>
                <w:sz w:val="18"/>
                <w:szCs w:val="18"/>
              </w:rPr>
            </w:pPr>
            <w:r>
              <w:rPr>
                <w:rFonts w:ascii="宋体" w:hAnsi="宋体" w:cs="宋体" w:eastAsia="宋体" w:hint="default"/>
                <w:sz w:val="18"/>
                <w:szCs w:val="18"/>
              </w:rPr>
              <w:t>本期已使用 募集资金总 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 w:right="77"/>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5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60"/>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5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556" w:right="104" w:hanging="449"/>
              <w:jc w:val="left"/>
              <w:rPr>
                <w:rFonts w:ascii="宋体" w:hAnsi="宋体" w:cs="宋体" w:eastAsia="宋体" w:hint="default"/>
                <w:sz w:val="18"/>
                <w:szCs w:val="18"/>
              </w:rPr>
            </w:pPr>
            <w:r>
              <w:rPr>
                <w:rFonts w:ascii="宋体" w:hAnsi="宋体" w:cs="宋体" w:eastAsia="宋体" w:hint="default"/>
                <w:sz w:val="18"/>
                <w:szCs w:val="18"/>
              </w:rPr>
              <w:t>尚未使用募集资金用 途及去向</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10"/>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2275"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32"/>
              <w:jc w:val="both"/>
              <w:rPr>
                <w:rFonts w:ascii="宋体" w:hAnsi="宋体" w:cs="宋体" w:eastAsia="宋体" w:hint="default"/>
                <w:sz w:val="18"/>
                <w:szCs w:val="18"/>
              </w:rPr>
            </w:pPr>
            <w:r>
              <w:rPr>
                <w:rFonts w:ascii="宋体" w:hAnsi="宋体" w:cs="宋体" w:eastAsia="宋体" w:hint="default"/>
                <w:sz w:val="18"/>
                <w:szCs w:val="18"/>
              </w:rPr>
              <w:t>向特定 投资者 非公开 发行股 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29,719.44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29,719.44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29,719.44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日，公司已将剩余闲置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29,719.44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w:t>
            </w:r>
            <w:r>
              <w:rPr>
                <w:rFonts w:ascii="宋体" w:hAnsi="宋体" w:cs="宋体" w:eastAsia="宋体" w:hint="default"/>
                <w:spacing w:val="-2"/>
                <w:sz w:val="18"/>
                <w:szCs w:val="18"/>
              </w:rPr>
              <w:t>元及利息、理财收入永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久补充流动资金，公司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并已完成所有募集资 金专户的销户处理。</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29,719.44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29,719.44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29,719.44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51.60%</w:t>
            </w:r>
          </w:p>
        </w:tc>
        <w:tc>
          <w:tcPr>
            <w:tcW w:w="7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970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273" w:hRule="exact"/>
        </w:trPr>
        <w:tc>
          <w:tcPr>
            <w:tcW w:w="970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经中国证监会证监许可</w:t>
            </w:r>
            <w:r>
              <w:rPr>
                <w:rFonts w:ascii="Times New Roman" w:hAnsi="Times New Roman" w:cs="Times New Roman" w:eastAsia="Times New Roman" w:hint="default"/>
                <w:sz w:val="18"/>
                <w:szCs w:val="18"/>
              </w:rPr>
              <w:t>[2015]2391 </w:t>
            </w:r>
            <w:r>
              <w:rPr>
                <w:rFonts w:ascii="宋体" w:hAnsi="宋体" w:cs="宋体" w:eastAsia="宋体" w:hint="default"/>
                <w:spacing w:val="-7"/>
                <w:sz w:val="18"/>
                <w:szCs w:val="18"/>
              </w:rPr>
              <w:t>号文核准，公司向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名特定投资者非公开发行不超过人民币普通股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73,837,206 </w:t>
            </w:r>
            <w:r>
              <w:rPr>
                <w:rFonts w:ascii="宋体" w:hAnsi="宋体" w:cs="宋体" w:eastAsia="宋体" w:hint="default"/>
                <w:sz w:val="18"/>
                <w:szCs w:val="18"/>
              </w:rPr>
              <w:t>股新股</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募集配套资金。</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日，公司召开第四届董事会第二十二次会议审议通过了《关于调整公司发行股份购买资产</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并募集配套资金暨关联交易方案的议案</w:t>
            </w:r>
            <w:r>
              <w:rPr>
                <w:rFonts w:ascii="宋体" w:hAnsi="宋体" w:cs="宋体" w:eastAsia="宋体" w:hint="default"/>
                <w:spacing w:val="-92"/>
                <w:sz w:val="18"/>
                <w:szCs w:val="18"/>
              </w:rPr>
              <w:t>》</w:t>
            </w:r>
            <w:r>
              <w:rPr>
                <w:rFonts w:ascii="宋体" w:hAnsi="宋体" w:cs="宋体" w:eastAsia="宋体" w:hint="default"/>
                <w:sz w:val="18"/>
                <w:szCs w:val="18"/>
              </w:rPr>
              <w:t>，本次重组配套资</w:t>
            </w:r>
            <w:r>
              <w:rPr>
                <w:rFonts w:ascii="宋体" w:hAnsi="宋体" w:cs="宋体" w:eastAsia="宋体" w:hint="default"/>
                <w:spacing w:val="2"/>
                <w:sz w:val="18"/>
                <w:szCs w:val="18"/>
              </w:rPr>
              <w:t>金</w:t>
            </w:r>
            <w:r>
              <w:rPr>
                <w:rFonts w:ascii="宋体" w:hAnsi="宋体" w:cs="宋体" w:eastAsia="宋体" w:hint="default"/>
                <w:sz w:val="18"/>
                <w:szCs w:val="18"/>
              </w:rPr>
              <w:t>部分的非公开发行股份数量调整为</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66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股，募集资</w:t>
            </w:r>
            <w:r>
              <w:rPr>
                <w:rFonts w:ascii="宋体" w:hAnsi="宋体" w:cs="宋体" w:eastAsia="宋体" w:hint="default"/>
                <w:spacing w:val="-3"/>
                <w:sz w:val="18"/>
                <w:szCs w:val="18"/>
              </w:rPr>
              <w:t>金</w:t>
            </w:r>
            <w:r>
              <w:rPr>
                <w:rFonts w:ascii="宋体" w:hAnsi="宋体" w:cs="宋体" w:eastAsia="宋体" w:hint="default"/>
                <w:sz w:val="18"/>
                <w:szCs w:val="18"/>
              </w:rPr>
              <w:t>总</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额（含发行费用）不超过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57,600 </w:t>
            </w:r>
            <w:r>
              <w:rPr>
                <w:rFonts w:ascii="宋体" w:hAnsi="宋体" w:cs="宋体" w:eastAsia="宋体" w:hint="default"/>
                <w:sz w:val="18"/>
                <w:szCs w:val="18"/>
              </w:rPr>
              <w:t>万元。根据上述证监会批复及公司董事会决议事项，公司向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名特定投资者非公开发行人</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66,976,741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股，每股发行价格</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8.60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股，募集资金总额</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57,600.00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万元，扣除各项发行费用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2,019.63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w:t>
            </w:r>
          </w:p>
          <w:p>
            <w:pPr>
              <w:pStyle w:val="TableParagraph"/>
              <w:spacing w:line="300" w:lineRule="auto" w:before="63"/>
              <w:ind w:left="24" w:right="20"/>
              <w:jc w:val="left"/>
              <w:rPr>
                <w:rFonts w:ascii="宋体" w:hAnsi="宋体" w:cs="宋体" w:eastAsia="宋体" w:hint="default"/>
                <w:sz w:val="18"/>
                <w:szCs w:val="18"/>
              </w:rPr>
            </w:pPr>
            <w:r>
              <w:rPr>
                <w:rFonts w:ascii="宋体" w:hAnsi="宋体" w:cs="宋体" w:eastAsia="宋体" w:hint="default"/>
                <w:sz w:val="18"/>
                <w:szCs w:val="18"/>
              </w:rPr>
              <w:t>元后，实际募集资金净额</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55,580.37</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万元。截至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日募集资金已全部到账，并经大华会计师事务所（特殊普通合 伙）大华验字</w:t>
            </w:r>
            <w:r>
              <w:rPr>
                <w:rFonts w:ascii="Times New Roman" w:hAnsi="Times New Roman" w:cs="Times New Roman" w:eastAsia="Times New Roman" w:hint="default"/>
                <w:sz w:val="18"/>
                <w:szCs w:val="18"/>
              </w:rPr>
              <w:t>[2016]000011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号《验资报告》验证确认。公司对募集资金采取了专户存储制度，实行专款专用。</w:t>
            </w:r>
          </w:p>
        </w:tc>
      </w:tr>
    </w:tbl>
    <w:p>
      <w:pPr>
        <w:spacing w:line="240" w:lineRule="auto" w:before="3"/>
        <w:rPr>
          <w:rFonts w:ascii="宋体" w:hAnsi="宋体" w:cs="宋体" w:eastAsia="宋体" w:hint="default"/>
          <w:sz w:val="19"/>
          <w:szCs w:val="19"/>
        </w:rPr>
      </w:pPr>
    </w:p>
    <w:p>
      <w:pPr>
        <w:pStyle w:val="Heading3"/>
        <w:spacing w:line="240" w:lineRule="auto" w:before="36"/>
        <w:ind w:left="252" w:right="234"/>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252" w:right="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2"/>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1770"/>
        <w:gridCol w:w="778"/>
        <w:gridCol w:w="781"/>
        <w:gridCol w:w="780"/>
        <w:gridCol w:w="780"/>
        <w:gridCol w:w="780"/>
        <w:gridCol w:w="780"/>
        <w:gridCol w:w="780"/>
        <w:gridCol w:w="780"/>
        <w:gridCol w:w="781"/>
        <w:gridCol w:w="780"/>
      </w:tblGrid>
      <w:tr>
        <w:trPr>
          <w:trHeight w:val="133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0"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2"/>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bl>
    <w:p>
      <w:pPr>
        <w:spacing w:after="0" w:line="240" w:lineRule="auto"/>
        <w:jc w:val="left"/>
        <w:rPr>
          <w:rFonts w:ascii="宋体" w:hAnsi="宋体" w:cs="宋体" w:eastAsia="宋体" w:hint="default"/>
          <w:sz w:val="18"/>
          <w:szCs w:val="18"/>
        </w:rPr>
        <w:sectPr>
          <w:pgSz w:w="11910" w:h="16840"/>
          <w:pgMar w:header="745" w:footer="980" w:top="1060" w:bottom="1160" w:left="880" w:right="980"/>
        </w:sectPr>
      </w:pPr>
    </w:p>
    <w:p>
      <w:pPr>
        <w:spacing w:line="240" w:lineRule="auto" w:before="0"/>
        <w:rPr>
          <w:rFonts w:ascii="宋体" w:hAnsi="宋体" w:cs="宋体" w:eastAsia="宋体" w:hint="default"/>
          <w:sz w:val="20"/>
          <w:szCs w:val="20"/>
        </w:rPr>
      </w:pPr>
      <w:r>
        <w:rPr/>
        <w:pict>
          <v:shape style="position:absolute;margin-left:56.400002pt;margin-top:71.999985pt;width:479.3pt;height:692.5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0"/>
                    <w:gridCol w:w="781"/>
                    <w:gridCol w:w="780"/>
                  </w:tblGrid>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、支付交易中的现金 对价</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25,410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、支付中介机构费用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2,470.56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99.22%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、程序化购买项目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、移动媒介交易平台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、数字创意交易平台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57,600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27,880.56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57,600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27,880.56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72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09" w:lineRule="auto" w:before="49"/>
                          <w:ind w:left="16" w:right="1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日，公司召开第四届董事会第三十四次会议审议通过了《关于变更部分募集资</w:t>
                        </w:r>
                        <w:r>
                          <w:rPr>
                            <w:rFonts w:ascii="宋体" w:hAnsi="宋体" w:cs="宋体" w:eastAsia="宋体" w:hint="default"/>
                            <w:sz w:val="18"/>
                            <w:szCs w:val="18"/>
                          </w:rPr>
                          <w:t> </w:t>
                        </w:r>
                        <w:r>
                          <w:rPr>
                            <w:rFonts w:ascii="宋体" w:hAnsi="宋体" w:cs="宋体" w:eastAsia="宋体" w:hint="default"/>
                            <w:spacing w:val="-6"/>
                            <w:sz w:val="18"/>
                            <w:szCs w:val="18"/>
                          </w:rPr>
                          <w:t>金用途并永久补充流动资金的议案》，鉴于以下三方面原因，公司不再使用募集资金组织团队自建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程</w:t>
                        </w:r>
                        <w:r>
                          <w:rPr>
                            <w:rFonts w:ascii="宋体" w:hAnsi="宋体" w:cs="宋体" w:eastAsia="宋体" w:hint="default"/>
                            <w:spacing w:val="-80"/>
                            <w:sz w:val="18"/>
                            <w:szCs w:val="18"/>
                          </w:rPr>
                          <w:t> </w:t>
                        </w:r>
                        <w:r>
                          <w:rPr>
                            <w:rFonts w:ascii="宋体" w:hAnsi="宋体" w:cs="宋体" w:eastAsia="宋体" w:hint="default"/>
                            <w:sz w:val="18"/>
                            <w:szCs w:val="18"/>
                          </w:rPr>
                          <w:t>序化购买项目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移动媒介交易平台项目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 相应募集资金 </w:t>
                        </w:r>
                        <w:r>
                          <w:rPr>
                            <w:rFonts w:ascii="Times New Roman" w:hAnsi="Times New Roman" w:cs="Times New Roman" w:eastAsia="Times New Roman" w:hint="default"/>
                            <w:sz w:val="18"/>
                            <w:szCs w:val="18"/>
                          </w:rPr>
                          <w:t>29,700</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万元永久补充流动资金；此外 </w:t>
                        </w:r>
                        <w:r>
                          <w:rPr>
                            <w:rFonts w:ascii="宋体" w:hAnsi="宋体" w:cs="宋体" w:eastAsia="宋体" w:hint="default"/>
                            <w:spacing w:val="-5"/>
                            <w:sz w:val="18"/>
                            <w:szCs w:val="18"/>
                          </w:rPr>
                          <w:t>因公司在支付本次重组中介费用时，部分使用自有资金支付，公司尚未置换，相应募集资金</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19.44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w:t>
                        </w:r>
                        <w:r>
                          <w:rPr>
                            <w:rFonts w:ascii="宋体" w:hAnsi="宋体" w:cs="宋体" w:eastAsia="宋体" w:hint="default"/>
                            <w:spacing w:val="-87"/>
                            <w:sz w:val="18"/>
                            <w:szCs w:val="18"/>
                          </w:rPr>
                          <w:t> </w:t>
                        </w:r>
                        <w:r>
                          <w:rPr>
                            <w:rFonts w:ascii="宋体" w:hAnsi="宋体" w:cs="宋体" w:eastAsia="宋体" w:hint="default"/>
                            <w:sz w:val="18"/>
                            <w:szCs w:val="18"/>
                          </w:rPr>
                          <w:t>元由公司直接划转永久补充流动资金：</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年以来，公司注意到，随着数字营销行业发展的日趋成</w:t>
                        </w:r>
                        <w:r>
                          <w:rPr>
                            <w:rFonts w:ascii="宋体" w:hAnsi="宋体" w:cs="宋体" w:eastAsia="宋体" w:hint="default"/>
                            <w:sz w:val="18"/>
                            <w:szCs w:val="18"/>
                          </w:rPr>
                          <w:t> 熟，以及程序化购买类业务竞争的日趋激烈，一方面，广告交易平台对技术、算法、数据等门槛的 要求越来越高；另一方面，在大数据、云计算等技术飞速发展的今天，互联网技术迭代速度也在不 </w:t>
                        </w:r>
                        <w:r>
                          <w:rPr>
                            <w:rFonts w:ascii="宋体" w:hAnsi="宋体" w:cs="宋体" w:eastAsia="宋体" w:hint="default"/>
                            <w:spacing w:val="-1"/>
                            <w:sz w:val="18"/>
                            <w:szCs w:val="18"/>
                          </w:rPr>
                          <w:t>断加快</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无论从技术到运营还是从创意到执行，都需要有专业的高端人才才能满足交易平台的正常运</w:t>
                        </w:r>
                        <w:r>
                          <w:rPr>
                            <w:rFonts w:ascii="宋体" w:hAnsi="宋体" w:cs="宋体" w:eastAsia="宋体" w:hint="default"/>
                            <w:sz w:val="18"/>
                            <w:szCs w:val="18"/>
                          </w:rPr>
                          <w:t> 营，目前行业内这一部分人才资源由于市场竞争而日趋稀缺；此外，广告交易平台需要对接广告主 资源、媒体平台资源和其他第三方资源，如果资源没有合理配置，平台就会处于半闲置状态或者无 </w:t>
                        </w:r>
                        <w:r>
                          <w:rPr>
                            <w:rFonts w:ascii="宋体" w:hAnsi="宋体" w:cs="宋体" w:eastAsia="宋体" w:hint="default"/>
                            <w:spacing w:val="-3"/>
                            <w:sz w:val="18"/>
                            <w:szCs w:val="18"/>
                          </w:rPr>
                          <w:t>法达到提升广告主满意度的目的，而公司目前内部广告主、媒体及其他资源的整合进度和匹配程度</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是否能立即支撑起原计划广告交易平台的运营及盈利，存在一定的不确定性。前述该议案业经公司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年度第二次临时股东大会审议通过。</w:t>
                        </w:r>
                      </w:p>
                    </w:tc>
                  </w:tr>
                  <w:tr>
                    <w:trPr>
                      <w:trHeight w:val="704"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vMerge/>
                        <w:tcBorders>
                          <w:left w:val="single" w:sz="10" w:space="0" w:color="D2D2D2"/>
                          <w:right w:val="single" w:sz="4" w:space="0" w:color="000000"/>
                        </w:tcBorders>
                      </w:tcPr>
                      <w:p>
                        <w:pPr/>
                      </w:p>
                    </w:tc>
                  </w:tr>
                  <w:tr>
                    <w:trPr>
                      <w:trHeight w:val="172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252"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
                    </w:tc>
                  </w:tr>
                  <w:tr>
                    <w:trPr>
                      <w:trHeight w:val="252"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98"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06"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600"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07" w:lineRule="auto" w:before="49"/>
                          <w:ind w:left="16" w:right="18" w:firstLine="360"/>
                          <w:jc w:val="both"/>
                          <w:rPr>
                            <w:rFonts w:ascii="宋体" w:hAnsi="宋体" w:cs="宋体" w:eastAsia="宋体" w:hint="default"/>
                            <w:sz w:val="18"/>
                            <w:szCs w:val="18"/>
                          </w:rPr>
                        </w:pPr>
                        <w:r>
                          <w:rPr>
                            <w:rFonts w:ascii="宋体" w:hAnsi="宋体" w:cs="宋体" w:eastAsia="宋体" w:hint="default"/>
                            <w:sz w:val="18"/>
                            <w:szCs w:val="18"/>
                          </w:rPr>
                          <w:t>鉴于公司本次非公开发行股票实际募集资金净额少于计划金额，根据募集资金投资项目的实际 情况，公司不再使用募集资金投入募投项目之</w:t>
                        </w:r>
                        <w:r>
                          <w:rPr>
                            <w:rFonts w:ascii="Times New Roman" w:hAnsi="Times New Roman" w:cs="Times New Roman" w:eastAsia="Times New Roman" w:hint="default"/>
                            <w:sz w:val="18"/>
                            <w:szCs w:val="18"/>
                          </w:rPr>
                          <w:t>“</w:t>
                        </w:r>
                        <w:r>
                          <w:rPr>
                            <w:rFonts w:ascii="宋体" w:hAnsi="宋体" w:cs="宋体" w:eastAsia="宋体" w:hint="default"/>
                            <w:sz w:val="18"/>
                            <w:szCs w:val="18"/>
                          </w:rPr>
                          <w:t>数字创意交易平台项目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数字创意交易平台项目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所需资金全部由公司自筹解决；同时，</w:t>
                        </w:r>
                        <w:r>
                          <w:rPr>
                            <w:rFonts w:ascii="宋体" w:hAnsi="宋体" w:cs="宋体" w:eastAsia="宋体" w:hint="default"/>
                            <w:spacing w:val="-58"/>
                            <w:sz w:val="18"/>
                            <w:szCs w:val="18"/>
                          </w:rPr>
                          <w:t> </w:t>
                        </w:r>
                        <w:r>
                          <w:rPr>
                            <w:rFonts w:ascii="宋体" w:hAnsi="宋体" w:cs="宋体" w:eastAsia="宋体" w:hint="default"/>
                            <w:sz w:val="18"/>
                            <w:szCs w:val="18"/>
                          </w:rPr>
                          <w:t>募投项目之</w:t>
                        </w:r>
                        <w:r>
                          <w:rPr>
                            <w:rFonts w:ascii="Times New Roman" w:hAnsi="Times New Roman" w:cs="Times New Roman" w:eastAsia="Times New Roman" w:hint="default"/>
                            <w:sz w:val="18"/>
                            <w:szCs w:val="18"/>
                          </w:rPr>
                          <w:t>“</w:t>
                        </w:r>
                        <w:r>
                          <w:rPr>
                            <w:rFonts w:ascii="宋体" w:hAnsi="宋体" w:cs="宋体" w:eastAsia="宋体" w:hint="default"/>
                            <w:sz w:val="18"/>
                            <w:szCs w:val="18"/>
                          </w:rPr>
                          <w:t>移动媒介交易平台项目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拟使用募集资金投资金 额由 </w:t>
                        </w: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万元调整为 </w:t>
                        </w:r>
                        <w:r>
                          <w:rPr>
                            <w:rFonts w:ascii="Times New Roman" w:hAnsi="Times New Roman" w:cs="Times New Roman" w:eastAsia="Times New Roman" w:hint="default"/>
                            <w:sz w:val="18"/>
                            <w:szCs w:val="18"/>
                          </w:rPr>
                          <w:t>4700</w:t>
                        </w:r>
                        <w:r>
                          <w:rPr>
                            <w:rFonts w:ascii="Times New Roman" w:hAnsi="Times New Roman" w:cs="Times New Roman" w:eastAsia="Times New Roman" w:hint="default"/>
                            <w:spacing w:val="44"/>
                            <w:sz w:val="18"/>
                            <w:szCs w:val="18"/>
                          </w:rPr>
                          <w:t> </w:t>
                        </w:r>
                        <w:r>
                          <w:rPr>
                            <w:rFonts w:ascii="宋体" w:hAnsi="宋体" w:cs="宋体" w:eastAsia="宋体" w:hint="default"/>
                            <w:spacing w:val="-3"/>
                            <w:sz w:val="18"/>
                            <w:szCs w:val="18"/>
                          </w:rPr>
                          <w:t>万元，募集资金不足项目需求的部分将由公司自筹资金解决。上述事</w:t>
                        </w:r>
                      </w:p>
                    </w:tc>
                  </w:tr>
                  <w:tr>
                    <w:trPr>
                      <w:trHeight w:val="698"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before="44"/>
        <w:ind w:left="0" w:right="15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44"/>
        <w:ind w:left="0" w:right="159"/>
        <w:jc w:val="right"/>
      </w:pPr>
      <w:r>
        <w:rPr/>
        <w:t>，</w:t>
      </w:r>
    </w:p>
    <w:p>
      <w:pPr>
        <w:spacing w:after="0" w:line="240" w:lineRule="auto"/>
        <w:jc w:val="righ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240" w:lineRule="auto" w:before="44"/>
        <w:ind w:left="0" w:right="157"/>
        <w:jc w:val="right"/>
      </w:pPr>
      <w:r>
        <w:rPr/>
        <w:pict>
          <v:shape style="position:absolute;margin-left:56.459999pt;margin-top:-92.308258pt;width:479.2pt;height:507.1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441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20"/>
                          <w:jc w:val="both"/>
                          <w:rPr>
                            <w:rFonts w:ascii="宋体" w:hAnsi="宋体" w:cs="宋体" w:eastAsia="宋体" w:hint="default"/>
                            <w:sz w:val="18"/>
                            <w:szCs w:val="18"/>
                          </w:rPr>
                        </w:pPr>
                        <w:r>
                          <w:rPr>
                            <w:rFonts w:ascii="宋体" w:hAnsi="宋体" w:cs="宋体" w:eastAsia="宋体" w:hint="default"/>
                            <w:sz w:val="18"/>
                            <w:szCs w:val="18"/>
                          </w:rPr>
                          <w:t>项已经公司第四届董事会第二十三次会议审议通过，并经独立董事、监事会、独立财务顾问一致同 </w:t>
                        </w:r>
                        <w:r>
                          <w:rPr>
                            <w:rFonts w:ascii="宋体" w:hAnsi="宋体" w:cs="宋体" w:eastAsia="宋体" w:hint="default"/>
                            <w:spacing w:val="-5"/>
                            <w:sz w:val="18"/>
                            <w:szCs w:val="18"/>
                          </w:rPr>
                          <w:t>意和认可，且经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年度第一次临时股东大会审议通过。</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日，公司召开第四届董事</w:t>
                        </w:r>
                        <w:r>
                          <w:rPr>
                            <w:rFonts w:ascii="宋体" w:hAnsi="宋体" w:cs="宋体" w:eastAsia="宋体" w:hint="default"/>
                            <w:sz w:val="18"/>
                            <w:szCs w:val="18"/>
                          </w:rPr>
                          <w:t> </w:t>
                        </w:r>
                        <w:r>
                          <w:rPr>
                            <w:rFonts w:ascii="宋体" w:hAnsi="宋体" w:cs="宋体" w:eastAsia="宋体" w:hint="default"/>
                            <w:spacing w:val="-5"/>
                            <w:sz w:val="18"/>
                            <w:szCs w:val="18"/>
                          </w:rPr>
                          <w:t>会第三十四次会议审议通过了《关于变更部分募集资金用途并永久补充流动资金的议案》，鉴于以下</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三方面原因，公司不再使用募集资金组织团队自建</w:t>
                        </w:r>
                        <w:r>
                          <w:rPr>
                            <w:rFonts w:ascii="Times New Roman" w:hAnsi="Times New Roman" w:cs="Times New Roman" w:eastAsia="Times New Roman" w:hint="default"/>
                            <w:sz w:val="18"/>
                            <w:szCs w:val="18"/>
                          </w:rPr>
                          <w:t>“</w:t>
                        </w:r>
                        <w:r>
                          <w:rPr>
                            <w:rFonts w:ascii="宋体" w:hAnsi="宋体" w:cs="宋体" w:eastAsia="宋体" w:hint="default"/>
                            <w:sz w:val="18"/>
                            <w:szCs w:val="18"/>
                          </w:rPr>
                          <w:t>程序化购买项目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移动媒介交易平台项目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 相应募集资金 </w:t>
                        </w:r>
                        <w:r>
                          <w:rPr>
                            <w:rFonts w:ascii="Times New Roman" w:hAnsi="Times New Roman" w:cs="Times New Roman" w:eastAsia="Times New Roman" w:hint="default"/>
                            <w:sz w:val="18"/>
                            <w:szCs w:val="18"/>
                          </w:rPr>
                          <w:t>29,700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万元永久补充流动资金；此外，因公司在支付本次重组中介费用时，部分使</w:t>
                        </w:r>
                      </w:p>
                      <w:p>
                        <w:pPr>
                          <w:pStyle w:val="TableParagraph"/>
                          <w:spacing w:line="314" w:lineRule="auto" w:before="5"/>
                          <w:ind w:left="24" w:right="-22"/>
                          <w:jc w:val="left"/>
                          <w:rPr>
                            <w:rFonts w:ascii="宋体" w:hAnsi="宋体" w:cs="宋体" w:eastAsia="宋体" w:hint="default"/>
                            <w:sz w:val="18"/>
                            <w:szCs w:val="18"/>
                          </w:rPr>
                        </w:pPr>
                        <w:r>
                          <w:rPr>
                            <w:rFonts w:ascii="宋体" w:hAnsi="宋体" w:cs="宋体" w:eastAsia="宋体" w:hint="default"/>
                            <w:spacing w:val="-6"/>
                            <w:sz w:val="18"/>
                            <w:szCs w:val="18"/>
                          </w:rPr>
                          <w:t>用自有资金支付，公司尚未置换，相应募集资金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19.44</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万元由公司直接划转永久补充流动资金：</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pacing w:val="-3"/>
                            <w:sz w:val="18"/>
                            <w:szCs w:val="18"/>
                          </w:rPr>
                          <w:t>年以来，公司注意到，随着数字营销行业发展的日趋成熟，以及程序化购买类业务竞争的日趋激烈</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一方面，广告交易平台对技术、算法、数据等门槛的要求越来越高；另一方面，在大数据、云计算 等技术飞速发展的今天，互联网技术迭代速度也在不断加快</w:t>
                        </w:r>
                        <w:r>
                          <w:rPr>
                            <w:rFonts w:ascii="Times New Roman" w:hAnsi="Times New Roman" w:cs="Times New Roman" w:eastAsia="Times New Roman" w:hint="default"/>
                            <w:sz w:val="18"/>
                            <w:szCs w:val="18"/>
                          </w:rPr>
                          <w:t>,</w:t>
                        </w:r>
                        <w:r>
                          <w:rPr>
                            <w:rFonts w:ascii="宋体" w:hAnsi="宋体" w:cs="宋体" w:eastAsia="宋体" w:hint="default"/>
                            <w:sz w:val="18"/>
                            <w:szCs w:val="18"/>
                          </w:rPr>
                          <w:t>无论从技术到运营还是从创意到执行， 都需要有专业的高端人才才能满足交易平台的正常运营，目前行业内这一部分人才资源由于市场竞 争而日趋稀缺；此外，广告交易平台需要对接广告主资源、媒体平台资源和其他第三方资源，如果 资源没有合理配置，平台就会处于半闲置状态或者无法达到提升广告主满意度的目的，而公司目前 内部广告主、媒体及其他资源的整合进度和匹配程度，是否能立即支撑起原计划广告交易平台的运 营及盈利，存在一定的不确定性。该议案业经公司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年度第二次临时股东大会审议通过。</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9"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日，公司召开第四届董事会第二十三次会议，审议通过了《关于以募集资金置</w:t>
                        </w:r>
                        <w:r>
                          <w:rPr>
                            <w:rFonts w:ascii="宋体" w:hAnsi="宋体" w:cs="宋体" w:eastAsia="宋体" w:hint="default"/>
                            <w:sz w:val="18"/>
                            <w:szCs w:val="18"/>
                          </w:rPr>
                          <w:t> </w:t>
                        </w:r>
                        <w:r>
                          <w:rPr>
                            <w:rFonts w:ascii="宋体" w:hAnsi="宋体" w:cs="宋体" w:eastAsia="宋体" w:hint="default"/>
                            <w:spacing w:val="-5"/>
                            <w:sz w:val="18"/>
                            <w:szCs w:val="18"/>
                          </w:rPr>
                          <w:t>换预先投入募投项目的自筹资金的议案》，同意公司用募集资金置换已预先投入募集资金投资项目的</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自筹资金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27,405.56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日，公司以自筹资金预先投入募集资金投资项目的</w:t>
                        </w:r>
                      </w:p>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27,405.56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万元已全部置换完毕。</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7"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日，公司召开第四届董事会第二十八次会议审议通过了《关于使用闲置募集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资金暂时补充流动资金的议案</w:t>
                        </w:r>
                        <w:r>
                          <w:rPr>
                            <w:rFonts w:ascii="宋体" w:hAnsi="宋体" w:cs="宋体" w:eastAsia="宋体" w:hint="default"/>
                            <w:spacing w:val="-89"/>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同意公司使用不超过</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万元的闲置募集资金暂时补充流动资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金，使用期限为自董事会审议通过之日起不超过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r>
                  <w:tr>
                    <w:trPr>
                      <w:trHeight w:val="401"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firstLine="36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日，公司已将剩余闲置募集资金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29,719.44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万元及利息、理财收入永久补 充流动资金，公司并已完成所有募集资金专户的销户处理。</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0"/>
        <w:ind w:right="15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1"/>
        <w:jc w:val="right"/>
      </w:pPr>
      <w:r>
        <w:rPr/>
        <w:t>单位：万元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1337"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3" w:right="22"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15"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程序化购买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25,000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25,000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25,000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713"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移动媒介交 易平台项目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中介机构费 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19.44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19.44</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29,719.44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29,719.44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29,719.44</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772"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gridSpan w:val="7"/>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4" w:right="1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日，公司召开第四届董事会第三十四次会议审议通过了《关于 </w:t>
            </w:r>
            <w:r>
              <w:rPr>
                <w:rFonts w:ascii="宋体" w:hAnsi="宋体" w:cs="宋体" w:eastAsia="宋体" w:hint="default"/>
                <w:spacing w:val="-3"/>
                <w:sz w:val="18"/>
                <w:szCs w:val="18"/>
              </w:rPr>
              <w:t>变更部分募集资金用途并永久补充流动资金的议案》，鉴于以下三方面原因，公司不</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再使用募集资金组织团队自建</w:t>
            </w:r>
            <w:r>
              <w:rPr>
                <w:rFonts w:ascii="Times New Roman" w:hAnsi="Times New Roman" w:cs="Times New Roman" w:eastAsia="Times New Roman" w:hint="default"/>
                <w:sz w:val="18"/>
                <w:szCs w:val="18"/>
              </w:rPr>
              <w:t>“</w:t>
            </w:r>
            <w:r>
              <w:rPr>
                <w:rFonts w:ascii="宋体" w:hAnsi="宋体" w:cs="宋体" w:eastAsia="宋体" w:hint="default"/>
                <w:sz w:val="18"/>
                <w:szCs w:val="18"/>
              </w:rPr>
              <w:t>程序化购买项目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移动媒介交易平台项目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相应募</w:t>
            </w:r>
            <w:r>
              <w:rPr>
                <w:rFonts w:ascii="宋体" w:hAnsi="宋体" w:cs="宋体" w:eastAsia="宋体" w:hint="default"/>
                <w:sz w:val="18"/>
                <w:szCs w:val="18"/>
              </w:rPr>
              <w:t> 集资金 </w:t>
            </w:r>
            <w:r>
              <w:rPr>
                <w:rFonts w:ascii="Times New Roman" w:hAnsi="Times New Roman" w:cs="Times New Roman" w:eastAsia="Times New Roman" w:hint="default"/>
                <w:sz w:val="18"/>
                <w:szCs w:val="18"/>
              </w:rPr>
              <w:t>29,700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万元永久补充流动资金；此外，因公司在支付本次重组中介费用时，</w:t>
            </w:r>
          </w:p>
          <w:p>
            <w:pPr>
              <w:pStyle w:val="TableParagraph"/>
              <w:spacing w:line="312" w:lineRule="auto" w:before="9"/>
              <w:ind w:left="24" w:right="18"/>
              <w:jc w:val="left"/>
              <w:rPr>
                <w:rFonts w:ascii="宋体" w:hAnsi="宋体" w:cs="宋体" w:eastAsia="宋体" w:hint="default"/>
                <w:sz w:val="18"/>
                <w:szCs w:val="18"/>
              </w:rPr>
            </w:pPr>
            <w:r>
              <w:rPr>
                <w:rFonts w:ascii="宋体" w:hAnsi="宋体" w:cs="宋体" w:eastAsia="宋体" w:hint="default"/>
                <w:sz w:val="18"/>
                <w:szCs w:val="18"/>
              </w:rPr>
              <w:t>部分使用自有资金支付，公司尚未置换，相应募集资金 </w:t>
            </w:r>
            <w:r>
              <w:rPr>
                <w:rFonts w:ascii="Times New Roman" w:hAnsi="Times New Roman" w:cs="Times New Roman" w:eastAsia="Times New Roman" w:hint="default"/>
                <w:sz w:val="18"/>
                <w:szCs w:val="18"/>
              </w:rPr>
              <w:t>19.44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万元由公司直接划转永 久补充流动资金：</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年以来，公司注意到，随着数字营销行业发展的日趋成熟， </w:t>
            </w:r>
            <w:r>
              <w:rPr>
                <w:rFonts w:ascii="宋体" w:hAnsi="宋体" w:cs="宋体" w:eastAsia="宋体" w:hint="default"/>
                <w:spacing w:val="-1"/>
                <w:sz w:val="18"/>
                <w:szCs w:val="18"/>
              </w:rPr>
              <w:t>以及程序化购买类业务竞争的日趋激烈，一方面，广告交易平台对技术、算法、数据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等门槛的要求越来越高；另一方面，在大数据、云计算等技术飞速发展的今天，互联</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网技术迭代速度也在不断加快</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无论从技术到运营还是从创意到执行，都需要有专业的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高端人才才能满足交易平台的正常运营，目前行业内这一部分人才资源由于市场竞争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而日趋稀缺；此外，广告交易平台需要对接广告主资源、媒体平台资源和其他第三方</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资源，如果资源没有合理配置，平台就会处于半闲置状态或者无法达到提升广告主满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意度的目的，而公司目前内部广告主、媒体及其他资源的整合进度和匹配程度，是否</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能立即支撑起原计划广告交易平台的运营及盈利，存在一定的不确定性。该议案业经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年度第二次临时股东大会审议通过。</w:t>
            </w:r>
          </w:p>
        </w:tc>
      </w:tr>
      <w:tr>
        <w:trPr>
          <w:trHeight w:val="713"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6"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70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5"/>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七、主要控股参股公司分析</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53"/>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left="0" w:right="151"/>
        <w:jc w:val="right"/>
      </w:pPr>
      <w:r>
        <w:rPr/>
        <w:t>单位：元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shape style="position:absolute;margin-left:153.380005pt;margin-top:329.089996pt;width:87.4pt;height:31.2pt;mso-position-horizontal-relative:page;mso-position-vertical-relative:page;z-index:-1102312"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3"/>
                    <w:ind w:left="0" w:right="0"/>
                    <w:jc w:val="left"/>
                  </w:pPr>
                  <w:r>
                    <w:rPr/>
                    <w:t>生产、</w:t>
                  </w:r>
                </w:p>
              </w:txbxContent>
            </v:textbox>
            <w10:wrap type="none"/>
          </v:shape>
        </w:pict>
      </w:r>
    </w:p>
    <w:tbl>
      <w:tblPr>
        <w:tblW w:w="0" w:type="auto"/>
        <w:jc w:val="left"/>
        <w:tblInd w:w="100" w:type="dxa"/>
        <w:tblLayout w:type="fixed"/>
        <w:tblCellMar>
          <w:top w:w="0" w:type="dxa"/>
          <w:left w:w="0" w:type="dxa"/>
          <w:bottom w:w="0" w:type="dxa"/>
          <w:right w:w="0" w:type="dxa"/>
        </w:tblCellMar>
        <w:tblLook w:val="01E0"/>
      </w:tblPr>
      <w:tblGrid>
        <w:gridCol w:w="994"/>
        <w:gridCol w:w="569"/>
        <w:gridCol w:w="1274"/>
        <w:gridCol w:w="1277"/>
        <w:gridCol w:w="1277"/>
        <w:gridCol w:w="1275"/>
        <w:gridCol w:w="1274"/>
        <w:gridCol w:w="1277"/>
        <w:gridCol w:w="1277"/>
      </w:tblGrid>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8" w:right="98"/>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3" w:right="39"/>
              <w:jc w:val="center"/>
              <w:rPr>
                <w:rFonts w:ascii="宋体" w:hAnsi="宋体" w:cs="宋体" w:eastAsia="宋体" w:hint="default"/>
                <w:sz w:val="18"/>
                <w:szCs w:val="18"/>
              </w:rPr>
            </w:pPr>
            <w:r>
              <w:rPr>
                <w:rFonts w:ascii="宋体" w:hAnsi="宋体" w:cs="宋体" w:eastAsia="宋体" w:hint="default"/>
                <w:sz w:val="18"/>
                <w:szCs w:val="18"/>
              </w:rPr>
              <w:t>上海顺为广 告传播有限 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89" w:right="98" w:hanging="92"/>
              <w:jc w:val="left"/>
              <w:rPr>
                <w:rFonts w:ascii="宋体" w:hAnsi="宋体" w:cs="宋体" w:eastAsia="宋体" w:hint="default"/>
                <w:sz w:val="18"/>
                <w:szCs w:val="18"/>
              </w:rPr>
            </w:pPr>
            <w:r>
              <w:rPr>
                <w:rFonts w:ascii="宋体" w:hAnsi="宋体" w:cs="宋体" w:eastAsia="宋体" w:hint="default"/>
                <w:sz w:val="18"/>
                <w:szCs w:val="18"/>
              </w:rPr>
              <w:t>子公 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互联网媒体全 </w:t>
            </w:r>
            <w:r>
              <w:rPr>
                <w:rFonts w:ascii="宋体" w:hAnsi="宋体" w:cs="宋体" w:eastAsia="宋体" w:hint="default"/>
                <w:spacing w:val="-6"/>
                <w:sz w:val="18"/>
                <w:szCs w:val="18"/>
              </w:rPr>
              <w:t>案营销服务、整</w:t>
            </w:r>
            <w:r>
              <w:rPr>
                <w:rFonts w:ascii="宋体" w:hAnsi="宋体" w:cs="宋体" w:eastAsia="宋体" w:hint="default"/>
                <w:sz w:val="18"/>
                <w:szCs w:val="18"/>
              </w:rPr>
              <w:t> 合营销服务等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181,315,090.72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121,215,123.54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232,361,996.90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57,624,150.00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44,282,469.39</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3" w:right="39"/>
              <w:jc w:val="left"/>
              <w:rPr>
                <w:rFonts w:ascii="宋体" w:hAnsi="宋体" w:cs="宋体" w:eastAsia="宋体" w:hint="default"/>
                <w:sz w:val="18"/>
                <w:szCs w:val="18"/>
              </w:rPr>
            </w:pPr>
            <w:r>
              <w:rPr>
                <w:rFonts w:ascii="宋体" w:hAnsi="宋体" w:cs="宋体" w:eastAsia="宋体" w:hint="default"/>
                <w:sz w:val="18"/>
                <w:szCs w:val="18"/>
              </w:rPr>
              <w:t>上海利宣广 告有限公司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89" w:right="98" w:hanging="92"/>
              <w:jc w:val="left"/>
              <w:rPr>
                <w:rFonts w:ascii="宋体" w:hAnsi="宋体" w:cs="宋体" w:eastAsia="宋体" w:hint="default"/>
                <w:sz w:val="18"/>
                <w:szCs w:val="18"/>
              </w:rPr>
            </w:pPr>
            <w:r>
              <w:rPr>
                <w:rFonts w:ascii="宋体" w:hAnsi="宋体" w:cs="宋体" w:eastAsia="宋体" w:hint="default"/>
                <w:sz w:val="18"/>
                <w:szCs w:val="18"/>
              </w:rPr>
              <w:t>子公 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社会化媒体营 销服务等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88,366,242.28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47,494,469.18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100,857,974.01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21,610,571.40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16,199,641.49</w:t>
            </w: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3" w:right="39"/>
              <w:jc w:val="both"/>
              <w:rPr>
                <w:rFonts w:ascii="宋体" w:hAnsi="宋体" w:cs="宋体" w:eastAsia="宋体" w:hint="default"/>
                <w:sz w:val="18"/>
                <w:szCs w:val="18"/>
              </w:rPr>
            </w:pPr>
            <w:r>
              <w:rPr>
                <w:rFonts w:ascii="宋体" w:hAnsi="宋体" w:cs="宋体" w:eastAsia="宋体" w:hint="default"/>
                <w:sz w:val="18"/>
                <w:szCs w:val="18"/>
              </w:rPr>
              <w:t>奇思国际广 告（北京） 有限公司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89" w:right="98" w:hanging="92"/>
              <w:jc w:val="left"/>
              <w:rPr>
                <w:rFonts w:ascii="宋体" w:hAnsi="宋体" w:cs="宋体" w:eastAsia="宋体" w:hint="default"/>
                <w:sz w:val="18"/>
                <w:szCs w:val="18"/>
              </w:rPr>
            </w:pPr>
            <w:r>
              <w:rPr>
                <w:rFonts w:ascii="宋体" w:hAnsi="宋体" w:cs="宋体" w:eastAsia="宋体" w:hint="default"/>
                <w:sz w:val="18"/>
                <w:szCs w:val="18"/>
              </w:rPr>
              <w:t>子公 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创意策略服务、 广告制作服务</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144,945,126.99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95,964,074.79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236,014,406.98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41,206,373.67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30,941,972.35</w:t>
            </w:r>
          </w:p>
        </w:tc>
      </w:tr>
      <w:tr>
        <w:trPr>
          <w:trHeight w:val="164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43" w:right="39"/>
              <w:jc w:val="center"/>
              <w:rPr>
                <w:rFonts w:ascii="宋体" w:hAnsi="宋体" w:cs="宋体" w:eastAsia="宋体" w:hint="default"/>
                <w:sz w:val="18"/>
                <w:szCs w:val="18"/>
              </w:rPr>
            </w:pPr>
            <w:r>
              <w:rPr>
                <w:rFonts w:ascii="宋体" w:hAnsi="宋体" w:cs="宋体" w:eastAsia="宋体" w:hint="default"/>
                <w:sz w:val="18"/>
                <w:szCs w:val="18"/>
              </w:rPr>
              <w:t>深圳市实益 达工业有限 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189" w:right="98" w:hanging="92"/>
              <w:jc w:val="left"/>
              <w:rPr>
                <w:rFonts w:ascii="宋体" w:hAnsi="宋体" w:cs="宋体" w:eastAsia="宋体" w:hint="default"/>
                <w:sz w:val="18"/>
                <w:szCs w:val="18"/>
              </w:rPr>
            </w:pPr>
            <w:r>
              <w:rPr>
                <w:rFonts w:ascii="宋体" w:hAnsi="宋体" w:cs="宋体" w:eastAsia="宋体" w:hint="default"/>
                <w:sz w:val="18"/>
                <w:szCs w:val="18"/>
              </w:rPr>
              <w:t>子公 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7"/>
              <w:jc w:val="left"/>
              <w:rPr>
                <w:rFonts w:ascii="宋体" w:hAnsi="宋体" w:cs="宋体" w:eastAsia="宋体" w:hint="default"/>
                <w:sz w:val="18"/>
                <w:szCs w:val="18"/>
              </w:rPr>
            </w:pPr>
            <w:r>
              <w:rPr>
                <w:rFonts w:ascii="宋体" w:hAnsi="宋体" w:cs="宋体" w:eastAsia="宋体" w:hint="default"/>
                <w:spacing w:val="-6"/>
                <w:sz w:val="18"/>
                <w:szCs w:val="18"/>
              </w:rPr>
              <w:t>电子产品、通讯</w:t>
            </w:r>
            <w:r>
              <w:rPr>
                <w:rFonts w:ascii="宋体" w:hAnsi="宋体" w:cs="宋体" w:eastAsia="宋体" w:hint="default"/>
                <w:sz w:val="18"/>
                <w:szCs w:val="18"/>
              </w:rPr>
              <w:t> </w:t>
            </w:r>
            <w:r>
              <w:rPr>
                <w:rFonts w:ascii="宋体" w:hAnsi="宋体" w:cs="宋体" w:eastAsia="宋体" w:hint="default"/>
                <w:spacing w:val="-6"/>
                <w:sz w:val="18"/>
                <w:szCs w:val="18"/>
              </w:rPr>
              <w:t>产品、电器、照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明灯具及其零 部件的技术开 发、销售等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102,638,625.88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55,792,416.90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158,913,979.38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11,500,879.36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8,584,439.16</w:t>
            </w:r>
          </w:p>
        </w:tc>
      </w:tr>
      <w:tr>
        <w:trPr>
          <w:trHeight w:val="165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 w:right="39"/>
              <w:jc w:val="both"/>
              <w:rPr>
                <w:rFonts w:ascii="宋体" w:hAnsi="宋体" w:cs="宋体" w:eastAsia="宋体" w:hint="default"/>
                <w:sz w:val="18"/>
                <w:szCs w:val="18"/>
              </w:rPr>
            </w:pPr>
            <w:r>
              <w:rPr>
                <w:rFonts w:ascii="宋体" w:hAnsi="宋体" w:cs="宋体" w:eastAsia="宋体" w:hint="default"/>
                <w:sz w:val="18"/>
                <w:szCs w:val="18"/>
              </w:rPr>
              <w:t>深圳市实益 达技术股份 有限公司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189" w:right="98" w:hanging="92"/>
              <w:jc w:val="left"/>
              <w:rPr>
                <w:rFonts w:ascii="宋体" w:hAnsi="宋体" w:cs="宋体" w:eastAsia="宋体" w:hint="default"/>
                <w:sz w:val="18"/>
                <w:szCs w:val="18"/>
              </w:rPr>
            </w:pPr>
            <w:r>
              <w:rPr>
                <w:rFonts w:ascii="宋体" w:hAnsi="宋体" w:cs="宋体" w:eastAsia="宋体" w:hint="default"/>
                <w:sz w:val="18"/>
                <w:szCs w:val="18"/>
              </w:rPr>
              <w:t>子公 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照明产品的设 </w:t>
            </w:r>
            <w:r>
              <w:rPr>
                <w:rFonts w:ascii="宋体" w:hAnsi="宋体" w:cs="宋体" w:eastAsia="宋体" w:hint="default"/>
                <w:spacing w:val="-13"/>
                <w:sz w:val="18"/>
                <w:szCs w:val="18"/>
              </w:rPr>
              <w:t>计、研发、</w:t>
            </w:r>
            <w:r>
              <w:rPr>
                <w:rFonts w:ascii="宋体" w:hAnsi="宋体" w:cs="宋体" w:eastAsia="宋体" w:hint="default"/>
                <w:sz w:val="18"/>
                <w:szCs w:val="18"/>
              </w:rPr>
              <w:t> 销售；照明工 程、驱动电源、 控制系统等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left="2"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63.3pt;height:31.2pt;mso-position-horizontal-relative:char;mso-position-vertical-relative:line" coordorigin="0,0" coordsize="1266,624">
                  <v:group style="position:absolute;left:0;top:0;width:1266;height:624" coordorigin="0,0" coordsize="1266,624">
                    <v:shape style="position:absolute;left:0;top:0;width:1266;height:624" coordorigin="0,0" coordsize="1266,624" path="m0,624l1265,624,1265,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36,800,000.00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157,446,786.42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66,701,128.62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169,317,932.29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8,364,088.96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8,131,107.31</w:t>
            </w: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3" w:right="39"/>
              <w:jc w:val="center"/>
              <w:rPr>
                <w:rFonts w:ascii="宋体" w:hAnsi="宋体" w:cs="宋体" w:eastAsia="宋体" w:hint="default"/>
                <w:sz w:val="18"/>
                <w:szCs w:val="18"/>
              </w:rPr>
            </w:pPr>
            <w:r>
              <w:rPr>
                <w:rFonts w:ascii="宋体" w:hAnsi="宋体" w:cs="宋体" w:eastAsia="宋体" w:hint="default"/>
                <w:sz w:val="18"/>
                <w:szCs w:val="18"/>
              </w:rPr>
              <w:t>深圳市六度 人和科技有 限公司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8"/>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27"/>
              <w:jc w:val="center"/>
              <w:rPr>
                <w:rFonts w:ascii="宋体" w:hAnsi="宋体" w:cs="宋体" w:eastAsia="宋体" w:hint="default"/>
                <w:sz w:val="18"/>
                <w:szCs w:val="18"/>
              </w:rPr>
            </w:pPr>
            <w:r>
              <w:rPr>
                <w:rFonts w:ascii="Times New Roman" w:hAnsi="Times New Roman" w:cs="Times New Roman" w:eastAsia="Times New Roman" w:hint="default"/>
                <w:sz w:val="18"/>
                <w:szCs w:val="18"/>
              </w:rPr>
              <w:t>SCRM </w:t>
            </w:r>
            <w:r>
              <w:rPr>
                <w:rFonts w:ascii="宋体" w:hAnsi="宋体" w:cs="宋体" w:eastAsia="宋体" w:hint="default"/>
                <w:sz w:val="18"/>
                <w:szCs w:val="18"/>
              </w:rPr>
              <w:t>业务等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63,089,228.57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34,782,351.11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123,419,189.98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-67,872,156.57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-67,883,820.77</w:t>
            </w:r>
          </w:p>
        </w:tc>
      </w:tr>
    </w:tbl>
    <w:p>
      <w:pPr>
        <w:pStyle w:val="BodyText"/>
        <w:spacing w:line="240" w:lineRule="auto" w:before="49"/>
        <w:ind w:left="532" w:right="0"/>
        <w:jc w:val="left"/>
      </w:pPr>
      <w:r>
        <w:rPr/>
        <w:t>报告期内取得和处置子公司的情况</w:t>
      </w:r>
    </w:p>
    <w:p>
      <w:pPr>
        <w:pStyle w:val="BodyText"/>
        <w:spacing w:line="240" w:lineRule="auto" w:before="115"/>
        <w:ind w:left="5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527" w:type="dxa"/>
        <w:tblLayout w:type="fixed"/>
        <w:tblCellMar>
          <w:top w:w="0" w:type="dxa"/>
          <w:left w:w="0" w:type="dxa"/>
          <w:bottom w:w="0" w:type="dxa"/>
          <w:right w:w="0" w:type="dxa"/>
        </w:tblCellMar>
        <w:tblLook w:val="01E0"/>
      </w:tblPr>
      <w:tblGrid>
        <w:gridCol w:w="2835"/>
        <w:gridCol w:w="1702"/>
        <w:gridCol w:w="5034"/>
      </w:tblGrid>
      <w:tr>
        <w:trPr>
          <w:trHeight w:val="71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96" w:right="34" w:hanging="361"/>
              <w:jc w:val="left"/>
              <w:rPr>
                <w:rFonts w:ascii="宋体" w:hAnsi="宋体" w:cs="宋体" w:eastAsia="宋体" w:hint="default"/>
                <w:sz w:val="18"/>
                <w:szCs w:val="18"/>
              </w:rPr>
            </w:pPr>
            <w:r>
              <w:rPr>
                <w:rFonts w:ascii="宋体" w:hAnsi="宋体" w:cs="宋体" w:eastAsia="宋体" w:hint="default"/>
                <w:sz w:val="18"/>
                <w:szCs w:val="18"/>
              </w:rPr>
              <w:t>报告期内取得和处置 子公司方式</w:t>
            </w:r>
          </w:p>
        </w:tc>
        <w:tc>
          <w:tcPr>
            <w:tcW w:w="5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2"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深圳市前海麦达数字有限公司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7"/>
              <w:jc w:val="left"/>
              <w:rPr>
                <w:rFonts w:ascii="宋体" w:hAnsi="宋体" w:cs="宋体" w:eastAsia="宋体" w:hint="default"/>
                <w:sz w:val="18"/>
                <w:szCs w:val="18"/>
              </w:rPr>
            </w:pPr>
            <w:r>
              <w:rPr>
                <w:rFonts w:ascii="宋体" w:hAnsi="宋体" w:cs="宋体" w:eastAsia="宋体" w:hint="default"/>
                <w:sz w:val="18"/>
                <w:szCs w:val="18"/>
              </w:rPr>
              <w:t>前海麦达系为布局智慧营销业务而设立的公司，对公司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度经营业绩没有产生重大影响</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实益达技术（香港）有限公司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本次投资系为了更好的为国际客户提供服务，对公司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年度 经营业绩没有产生重大影响</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实益达智能（香港）有限公司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本次投资系为了更好的为国际客户提供服务，对公司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年度 经营业绩没有产生重大影响</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Mindata Holding</w:t>
            </w:r>
            <w:r>
              <w:rPr>
                <w:rFonts w:ascii="Times New Roman"/>
                <w:spacing w:val="-7"/>
                <w:sz w:val="18"/>
              </w:rPr>
              <w:t> </w:t>
            </w:r>
            <w:r>
              <w:rPr>
                <w:rFonts w:ascii="Times New Roman"/>
                <w:sz w:val="18"/>
              </w:rPr>
              <w:t>Co.,Ltd</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503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无锡益锡电子有限公司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分立新设</w:t>
            </w:r>
          </w:p>
        </w:tc>
        <w:tc>
          <w:tcPr>
            <w:tcW w:w="503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北京麦达数字技术服务有限公司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非同一控制下合并</w:t>
            </w:r>
          </w:p>
        </w:tc>
        <w:tc>
          <w:tcPr>
            <w:tcW w:w="503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深圳市昇泰物业有限公司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公司注销</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pacing w:val="-3"/>
                <w:sz w:val="18"/>
                <w:szCs w:val="18"/>
              </w:rPr>
              <w:t>本次注销子公司系出于调整公司股权架构，清理对公司经营不需</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要使用的子公司而进行的，本次注销对公司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年度经营业绩 没有产生重大影响。</w:t>
            </w:r>
          </w:p>
        </w:tc>
      </w:tr>
    </w:tbl>
    <w:p>
      <w:pPr>
        <w:spacing w:after="0" w:line="309" w:lineRule="auto"/>
        <w:jc w:val="both"/>
        <w:rPr>
          <w:rFonts w:ascii="宋体" w:hAnsi="宋体" w:cs="宋体" w:eastAsia="宋体" w:hint="default"/>
          <w:sz w:val="18"/>
          <w:szCs w:val="18"/>
        </w:rPr>
        <w:sectPr>
          <w:pgSz w:w="11910" w:h="16840"/>
          <w:pgMar w:header="745" w:footer="980" w:top="1060" w:bottom="1160" w:left="600" w:right="5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35"/>
        <w:gridCol w:w="1702"/>
        <w:gridCol w:w="5034"/>
      </w:tblGrid>
      <w:tr>
        <w:trPr>
          <w:trHeight w:val="1028"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2" w:right="0"/>
              <w:jc w:val="left"/>
              <w:rPr>
                <w:rFonts w:ascii="宋体" w:hAnsi="宋体" w:cs="宋体" w:eastAsia="宋体" w:hint="default"/>
                <w:sz w:val="18"/>
                <w:szCs w:val="18"/>
              </w:rPr>
            </w:pPr>
            <w:r>
              <w:rPr>
                <w:rFonts w:ascii="宋体" w:hAnsi="宋体" w:cs="宋体" w:eastAsia="宋体" w:hint="default"/>
                <w:sz w:val="18"/>
                <w:szCs w:val="18"/>
              </w:rPr>
              <w:t>深圳市哇塞宝贝网络科技有限公司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85" w:right="0"/>
              <w:jc w:val="left"/>
              <w:rPr>
                <w:rFonts w:ascii="宋体" w:hAnsi="宋体" w:cs="宋体" w:eastAsia="宋体" w:hint="default"/>
                <w:sz w:val="18"/>
                <w:szCs w:val="18"/>
              </w:rPr>
            </w:pPr>
            <w:r>
              <w:rPr>
                <w:rFonts w:ascii="宋体" w:hAnsi="宋体" w:cs="宋体" w:eastAsia="宋体" w:hint="default"/>
                <w:sz w:val="18"/>
                <w:szCs w:val="18"/>
              </w:rPr>
              <w:t>公司注销</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pacing w:val="-3"/>
                <w:sz w:val="18"/>
                <w:szCs w:val="18"/>
              </w:rPr>
              <w:t>本次注销子公司系出于调整公司股权架构，清理对公司经营不需</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要使用的子公司而进行的，本次注销对公司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年度经营业绩 没有产生重大影响。</w:t>
            </w:r>
          </w:p>
        </w:tc>
      </w:tr>
    </w:tbl>
    <w:p>
      <w:pPr>
        <w:spacing w:line="240" w:lineRule="auto" w:before="10"/>
        <w:rPr>
          <w:rFonts w:ascii="宋体" w:hAnsi="宋体" w:cs="宋体" w:eastAsia="宋体" w:hint="default"/>
          <w:sz w:val="17"/>
          <w:szCs w:val="17"/>
        </w:rPr>
      </w:pPr>
    </w:p>
    <w:p>
      <w:pPr>
        <w:pStyle w:val="BodyText"/>
        <w:spacing w:line="240" w:lineRule="auto" w:before="44"/>
        <w:ind w:right="153"/>
        <w:jc w:val="left"/>
      </w:pPr>
      <w:r>
        <w:rPr/>
        <w:t>主要控股参股公司情况说明</w:t>
      </w:r>
    </w:p>
    <w:p>
      <w:pPr>
        <w:pStyle w:val="BodyText"/>
        <w:spacing w:line="338" w:lineRule="auto" w:before="115"/>
        <w:ind w:left="513" w:right="153"/>
        <w:jc w:val="left"/>
      </w:pPr>
      <w:r>
        <w:rPr>
          <w:rFonts w:ascii="Times New Roman" w:hAnsi="Times New Roman" w:cs="Times New Roman" w:eastAsia="Times New Roman" w:hint="default"/>
        </w:rPr>
        <w:t>1</w:t>
      </w:r>
      <w:r>
        <w:rPr/>
        <w:t>、实益达技术 实益达技术成立于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日，注册资本</w:t>
      </w:r>
      <w:r>
        <w:rPr>
          <w:rFonts w:ascii="Times New Roman" w:hAnsi="Times New Roman" w:cs="Times New Roman" w:eastAsia="Times New Roman" w:hint="default"/>
        </w:rPr>
        <w:t>3680</w:t>
      </w:r>
      <w:r>
        <w:rPr/>
        <w:t>万元，注册地为深圳市龙岗区，主营业务为</w:t>
      </w:r>
      <w:r>
        <w:rPr>
          <w:rFonts w:ascii="Times New Roman" w:hAnsi="Times New Roman" w:cs="Times New Roman" w:eastAsia="Times New Roman" w:hint="default"/>
        </w:rPr>
        <w:t>LED</w:t>
      </w:r>
      <w:r>
        <w:rPr/>
        <w:t>照明产品的生产、研</w:t>
      </w:r>
    </w:p>
    <w:p>
      <w:pPr>
        <w:pStyle w:val="BodyText"/>
        <w:spacing w:line="240" w:lineRule="auto" w:before="19"/>
        <w:ind w:right="153"/>
        <w:jc w:val="left"/>
      </w:pPr>
      <w:r>
        <w:rPr/>
        <w:t>发、销售等。</w:t>
      </w:r>
    </w:p>
    <w:p>
      <w:pPr>
        <w:pStyle w:val="BodyText"/>
        <w:spacing w:line="336" w:lineRule="auto" w:before="115"/>
        <w:ind w:right="148" w:firstLine="360"/>
        <w:jc w:val="both"/>
      </w:pPr>
      <w:r>
        <w:rPr>
          <w:spacing w:val="-2"/>
        </w:rPr>
        <w:t>报告期内实益达技术实现营业收入</w:t>
      </w:r>
      <w:r>
        <w:rPr>
          <w:rFonts w:ascii="Times New Roman" w:hAnsi="Times New Roman" w:cs="Times New Roman" w:eastAsia="Times New Roman" w:hint="default"/>
          <w:spacing w:val="-2"/>
        </w:rPr>
        <w:t>16,931.79</w:t>
      </w:r>
      <w:r>
        <w:rPr>
          <w:spacing w:val="-2"/>
        </w:rPr>
        <w:t>万元，同比增长</w:t>
      </w:r>
      <w:r>
        <w:rPr>
          <w:rFonts w:ascii="Times New Roman" w:hAnsi="Times New Roman" w:cs="Times New Roman" w:eastAsia="Times New Roman" w:hint="default"/>
          <w:spacing w:val="-2"/>
        </w:rPr>
        <w:t>61.19%</w:t>
      </w:r>
      <w:r>
        <w:rPr>
          <w:spacing w:val="-2"/>
        </w:rPr>
        <w:t>，实现净利润</w:t>
      </w:r>
      <w:r>
        <w:rPr>
          <w:rFonts w:ascii="Times New Roman" w:hAnsi="Times New Roman" w:cs="Times New Roman" w:eastAsia="Times New Roman" w:hint="default"/>
          <w:spacing w:val="-2"/>
        </w:rPr>
        <w:t>813.11</w:t>
      </w:r>
      <w:r>
        <w:rPr>
          <w:spacing w:val="-2"/>
        </w:rPr>
        <w:t>万元，同比增长</w:t>
      </w:r>
      <w:r>
        <w:rPr>
          <w:rFonts w:ascii="Times New Roman" w:hAnsi="Times New Roman" w:cs="Times New Roman" w:eastAsia="Times New Roman" w:hint="default"/>
          <w:spacing w:val="-2"/>
        </w:rPr>
        <w:t>15.16%</w:t>
      </w:r>
      <w:r>
        <w:rPr>
          <w:spacing w:val="-2"/>
        </w:rPr>
        <w:t>，实益达</w:t>
      </w:r>
      <w:r>
        <w:rPr/>
        <w:t> </w:t>
      </w:r>
      <w:r>
        <w:rPr>
          <w:spacing w:val="-2"/>
        </w:rPr>
        <w:t>技术的收入同比大幅增加主要系深挖资信情况好的客户的潜在需求，同时因公司于</w:t>
      </w:r>
      <w:r>
        <w:rPr>
          <w:rFonts w:ascii="Times New Roman" w:hAnsi="Times New Roman" w:cs="Times New Roman" w:eastAsia="Times New Roman" w:hint="default"/>
          <w:spacing w:val="-2"/>
        </w:rPr>
        <w:t>2016</w:t>
      </w:r>
      <w:r>
        <w:rPr>
          <w:spacing w:val="-2"/>
        </w:rPr>
        <w:t>年年底推出的如超薄圆形面板灯等新</w:t>
      </w:r>
      <w:r>
        <w:rPr>
          <w:spacing w:val="-61"/>
        </w:rPr>
        <w:t> </w:t>
      </w:r>
      <w:r>
        <w:rPr>
          <w:spacing w:val="-61"/>
        </w:rPr>
      </w:r>
      <w:r>
        <w:rPr/>
        <w:t>产品具有较强的市场竞争力，导致部分大客户的订购需求同比大幅增加所致。</w:t>
      </w:r>
    </w:p>
    <w:p>
      <w:pPr>
        <w:pStyle w:val="BodyText"/>
        <w:spacing w:line="338" w:lineRule="auto" w:before="43"/>
        <w:ind w:left="513" w:right="143"/>
        <w:jc w:val="left"/>
      </w:pPr>
      <w:r>
        <w:rPr>
          <w:rFonts w:ascii="Times New Roman" w:hAnsi="Times New Roman" w:cs="Times New Roman" w:eastAsia="Times New Roman" w:hint="default"/>
        </w:rPr>
        <w:t>2</w:t>
      </w:r>
      <w:r>
        <w:rPr/>
        <w:t>、实益达工业 实益达工业成立于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日，注册资本</w:t>
      </w:r>
      <w:r>
        <w:rPr>
          <w:rFonts w:ascii="Times New Roman" w:hAnsi="Times New Roman" w:cs="Times New Roman" w:eastAsia="Times New Roman" w:hint="default"/>
        </w:rPr>
        <w:t>4000</w:t>
      </w:r>
      <w:r>
        <w:rPr/>
        <w:t>万元，注册地为深圳市龙岗区，目前主营业务致力于智能硬件产品的</w:t>
      </w:r>
    </w:p>
    <w:p>
      <w:pPr>
        <w:pStyle w:val="BodyText"/>
        <w:spacing w:line="240" w:lineRule="auto" w:before="19"/>
        <w:ind w:right="153"/>
        <w:jc w:val="left"/>
      </w:pPr>
      <w:r>
        <w:rPr/>
        <w:t>制造服务。</w:t>
      </w:r>
    </w:p>
    <w:p>
      <w:pPr>
        <w:pStyle w:val="BodyText"/>
        <w:spacing w:line="338" w:lineRule="auto" w:before="115"/>
        <w:ind w:right="148" w:firstLine="360"/>
        <w:jc w:val="both"/>
      </w:pPr>
      <w:r>
        <w:rPr>
          <w:spacing w:val="-2"/>
        </w:rPr>
        <w:t>报告期内实益达工业实现营业收入</w:t>
      </w:r>
      <w:r>
        <w:rPr>
          <w:rFonts w:ascii="Times New Roman" w:hAnsi="Times New Roman" w:cs="Times New Roman" w:eastAsia="Times New Roman" w:hint="default"/>
          <w:spacing w:val="-2"/>
        </w:rPr>
        <w:t>15,891.40</w:t>
      </w:r>
      <w:r>
        <w:rPr>
          <w:spacing w:val="-2"/>
        </w:rPr>
        <w:t>万元，同比增长</w:t>
      </w:r>
      <w:r>
        <w:rPr>
          <w:rFonts w:ascii="Times New Roman" w:hAnsi="Times New Roman" w:cs="Times New Roman" w:eastAsia="Times New Roman" w:hint="default"/>
          <w:spacing w:val="-2"/>
        </w:rPr>
        <w:t>45.07%</w:t>
      </w:r>
      <w:r>
        <w:rPr>
          <w:spacing w:val="-2"/>
        </w:rPr>
        <w:t>，实现净利润</w:t>
      </w:r>
      <w:r>
        <w:rPr>
          <w:rFonts w:ascii="Times New Roman" w:hAnsi="Times New Roman" w:cs="Times New Roman" w:eastAsia="Times New Roman" w:hint="default"/>
          <w:spacing w:val="-2"/>
        </w:rPr>
        <w:t>858.44</w:t>
      </w:r>
      <w:r>
        <w:rPr>
          <w:spacing w:val="-2"/>
        </w:rPr>
        <w:t>万元，同比增长</w:t>
      </w:r>
      <w:r>
        <w:rPr>
          <w:rFonts w:ascii="Times New Roman" w:hAnsi="Times New Roman" w:cs="Times New Roman" w:eastAsia="Times New Roman" w:hint="default"/>
          <w:spacing w:val="-2"/>
        </w:rPr>
        <w:t>16.62%</w:t>
      </w:r>
      <w:r>
        <w:rPr>
          <w:spacing w:val="-2"/>
        </w:rPr>
        <w:t>，实益达</w:t>
      </w:r>
      <w:r>
        <w:rPr/>
        <w:t> 工业的收入同比大幅增加主要系深挖资信情况好的客户的潜在需求，部分大客户的订购需求同比大幅增加所致。</w:t>
      </w:r>
    </w:p>
    <w:p>
      <w:pPr>
        <w:pStyle w:val="BodyText"/>
        <w:spacing w:line="338" w:lineRule="auto" w:before="41"/>
        <w:ind w:left="513" w:right="0"/>
        <w:jc w:val="left"/>
      </w:pPr>
      <w:r>
        <w:rPr>
          <w:rFonts w:ascii="Times New Roman" w:hAnsi="Times New Roman" w:cs="Times New Roman" w:eastAsia="Times New Roman" w:hint="default"/>
        </w:rPr>
        <w:t>3</w:t>
      </w:r>
      <w:r>
        <w:rPr/>
        <w:t>、奇思广告 </w:t>
      </w:r>
      <w:r>
        <w:rPr>
          <w:spacing w:val="-2"/>
        </w:rPr>
        <w:t>奇思广告成立于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24</w:t>
      </w:r>
      <w:r>
        <w:rPr>
          <w:spacing w:val="-2"/>
        </w:rPr>
        <w:t>日，注册资本</w:t>
      </w:r>
      <w:r>
        <w:rPr>
          <w:rFonts w:ascii="Times New Roman" w:hAnsi="Times New Roman" w:cs="Times New Roman" w:eastAsia="Times New Roman" w:hint="default"/>
          <w:spacing w:val="-2"/>
        </w:rPr>
        <w:t>500</w:t>
      </w:r>
      <w:r>
        <w:rPr>
          <w:spacing w:val="-2"/>
        </w:rPr>
        <w:t>万元人民币，注册地为北京市朝阳区，</w:t>
      </w:r>
      <w:r>
        <w:rPr>
          <w:rFonts w:ascii="Times New Roman" w:hAnsi="Times New Roman" w:cs="Times New Roman" w:eastAsia="Times New Roman" w:hint="default"/>
          <w:spacing w:val="-2"/>
        </w:rPr>
        <w:t>2015</w:t>
      </w:r>
      <w:r>
        <w:rPr>
          <w:spacing w:val="-2"/>
        </w:rPr>
        <w:t>年通过资产收购使其为公司的</w:t>
      </w:r>
    </w:p>
    <w:p>
      <w:pPr>
        <w:pStyle w:val="BodyText"/>
        <w:spacing w:line="357" w:lineRule="auto" w:before="19"/>
        <w:ind w:right="0"/>
        <w:jc w:val="left"/>
      </w:pPr>
      <w:r>
        <w:rPr>
          <w:spacing w:val="-2"/>
        </w:rPr>
        <w:t>全资子公司。奇思广告是一家以创意、策略为核心服务的广告服务提供商，目前主营业务类型为创意策略服务、广告制作服</w:t>
      </w:r>
      <w:r>
        <w:rPr>
          <w:spacing w:val="-63"/>
        </w:rPr>
        <w:t> </w:t>
      </w:r>
      <w:r>
        <w:rPr>
          <w:spacing w:val="-63"/>
        </w:rPr>
      </w:r>
      <w:r>
        <w:rPr/>
        <w:t>务、互联网整合营销服务。</w:t>
      </w:r>
    </w:p>
    <w:p>
      <w:pPr>
        <w:pStyle w:val="BodyText"/>
        <w:spacing w:line="338" w:lineRule="auto" w:before="24"/>
        <w:ind w:left="513" w:right="0"/>
        <w:jc w:val="left"/>
      </w:pPr>
      <w:r>
        <w:rPr/>
        <w:t>报告期内奇思广告实现营业收入</w:t>
      </w:r>
      <w:r>
        <w:rPr>
          <w:rFonts w:ascii="Times New Roman" w:hAnsi="Times New Roman" w:cs="Times New Roman" w:eastAsia="Times New Roman" w:hint="default"/>
        </w:rPr>
        <w:t>23,601.44</w:t>
      </w:r>
      <w:r>
        <w:rPr/>
        <w:t>万元，同比增长</w:t>
      </w:r>
      <w:r>
        <w:rPr>
          <w:rFonts w:ascii="Times New Roman" w:hAnsi="Times New Roman" w:cs="Times New Roman" w:eastAsia="Times New Roman" w:hint="default"/>
        </w:rPr>
        <w:t>14.73%</w:t>
      </w:r>
      <w:r>
        <w:rPr/>
        <w:t>，实现净利润</w:t>
      </w:r>
      <w:r>
        <w:rPr>
          <w:rFonts w:ascii="Times New Roman" w:hAnsi="Times New Roman" w:cs="Times New Roman" w:eastAsia="Times New Roman" w:hint="default"/>
        </w:rPr>
        <w:t>3,094.20</w:t>
      </w:r>
      <w:r>
        <w:rPr/>
        <w:t>万元，同比增长</w:t>
      </w:r>
      <w:r>
        <w:rPr>
          <w:rFonts w:ascii="Times New Roman" w:hAnsi="Times New Roman" w:cs="Times New Roman" w:eastAsia="Times New Roman" w:hint="default"/>
        </w:rPr>
        <w:t>27.07%</w:t>
      </w:r>
      <w:r>
        <w:rPr/>
        <w:t>。 </w:t>
      </w:r>
      <w:r>
        <w:rPr>
          <w:rFonts w:ascii="Times New Roman" w:hAnsi="Times New Roman" w:cs="Times New Roman" w:eastAsia="Times New Roman" w:hint="default"/>
        </w:rPr>
        <w:t>4</w:t>
      </w:r>
      <w:r>
        <w:rPr/>
        <w:t>、顺为广告 </w:t>
      </w:r>
      <w:r>
        <w:rPr>
          <w:spacing w:val="-2"/>
        </w:rPr>
        <w:t>顺为广告成立于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13</w:t>
      </w:r>
      <w:r>
        <w:rPr>
          <w:spacing w:val="-2"/>
        </w:rPr>
        <w:t>日，注册资本</w:t>
      </w:r>
      <w:r>
        <w:rPr>
          <w:rFonts w:ascii="Times New Roman" w:hAnsi="Times New Roman" w:cs="Times New Roman" w:eastAsia="Times New Roman" w:hint="default"/>
          <w:spacing w:val="-2"/>
        </w:rPr>
        <w:t>500</w:t>
      </w:r>
      <w:r>
        <w:rPr>
          <w:spacing w:val="-2"/>
        </w:rPr>
        <w:t>万元人民币，注册地为上海市崇明县，</w:t>
      </w:r>
      <w:r>
        <w:rPr>
          <w:rFonts w:ascii="Times New Roman" w:hAnsi="Times New Roman" w:cs="Times New Roman" w:eastAsia="Times New Roman" w:hint="default"/>
          <w:spacing w:val="-2"/>
        </w:rPr>
        <w:t>2015</w:t>
      </w:r>
      <w:r>
        <w:rPr>
          <w:spacing w:val="-2"/>
        </w:rPr>
        <w:t>年通过资产收购使其为公司的</w:t>
      </w:r>
    </w:p>
    <w:p>
      <w:pPr>
        <w:pStyle w:val="BodyText"/>
        <w:spacing w:line="357" w:lineRule="auto" w:before="20"/>
        <w:ind w:right="0"/>
        <w:jc w:val="left"/>
      </w:pPr>
      <w:r>
        <w:rPr>
          <w:spacing w:val="-2"/>
        </w:rPr>
        <w:t>全资子公司。顺为广告是一家全案类数字营销服务提供商，目前主营业务类型为互联网媒体营销服务、社会化媒体营销服务</w:t>
      </w:r>
      <w:r>
        <w:rPr>
          <w:spacing w:val="-63"/>
        </w:rPr>
        <w:t> </w:t>
      </w:r>
      <w:r>
        <w:rPr>
          <w:spacing w:val="-63"/>
        </w:rPr>
      </w:r>
      <w:r>
        <w:rPr/>
        <w:t>等。</w:t>
      </w:r>
    </w:p>
    <w:p>
      <w:pPr>
        <w:pStyle w:val="BodyText"/>
        <w:spacing w:line="348" w:lineRule="auto" w:before="26"/>
        <w:ind w:right="0" w:firstLine="360"/>
        <w:jc w:val="left"/>
      </w:pPr>
      <w:r>
        <w:rPr/>
        <w:t>报告期内顺为广告实现营业收入</w:t>
      </w:r>
      <w:r>
        <w:rPr>
          <w:rFonts w:ascii="Times New Roman" w:hAnsi="Times New Roman" w:cs="Times New Roman" w:eastAsia="Times New Roman" w:hint="default"/>
        </w:rPr>
        <w:t>23,236.20</w:t>
      </w:r>
      <w:r>
        <w:rPr/>
        <w:t>万元，同比下降</w:t>
      </w:r>
      <w:r>
        <w:rPr>
          <w:rFonts w:ascii="Times New Roman" w:hAnsi="Times New Roman" w:cs="Times New Roman" w:eastAsia="Times New Roman" w:hint="default"/>
        </w:rPr>
        <w:t>8.15%</w:t>
      </w:r>
      <w:r>
        <w:rPr/>
        <w:t>，实现净利润</w:t>
      </w:r>
      <w:r>
        <w:rPr>
          <w:rFonts w:ascii="Times New Roman" w:hAnsi="Times New Roman" w:cs="Times New Roman" w:eastAsia="Times New Roman" w:hint="default"/>
        </w:rPr>
        <w:t>4,428.25</w:t>
      </w:r>
      <w:r>
        <w:rPr/>
        <w:t>万元，同比增长</w:t>
      </w:r>
      <w:r>
        <w:rPr>
          <w:rFonts w:ascii="Times New Roman" w:hAnsi="Times New Roman" w:cs="Times New Roman" w:eastAsia="Times New Roman" w:hint="default"/>
        </w:rPr>
        <w:t>26.36%</w:t>
      </w:r>
      <w:r>
        <w:rPr/>
        <w:t>。营业收 </w:t>
      </w:r>
      <w:r>
        <w:rPr>
          <w:spacing w:val="-2"/>
        </w:rPr>
        <w:t>入同比小幅下滑，但由于报告期内顺为广告经营中主动降低需要垫付资金的低毛利广告投放业务且同步提升策略，创意，网</w:t>
      </w:r>
      <w:r>
        <w:rPr>
          <w:spacing w:val="-63"/>
        </w:rPr>
        <w:t> </w:t>
      </w:r>
      <w:r>
        <w:rPr>
          <w:spacing w:val="-63"/>
        </w:rPr>
      </w:r>
      <w:r>
        <w:rPr/>
        <w:t>建，技术服务等高毛利业务比例，所以净利润呈现出增长态势。</w:t>
      </w:r>
    </w:p>
    <w:p>
      <w:pPr>
        <w:pStyle w:val="BodyText"/>
        <w:spacing w:line="336" w:lineRule="auto" w:before="34"/>
        <w:ind w:left="513" w:right="0"/>
        <w:jc w:val="left"/>
      </w:pPr>
      <w:r>
        <w:rPr>
          <w:rFonts w:ascii="Times New Roman" w:hAnsi="Times New Roman" w:cs="Times New Roman" w:eastAsia="Times New Roman" w:hint="default"/>
        </w:rPr>
        <w:t>5</w:t>
      </w:r>
      <w:r>
        <w:rPr/>
        <w:t>、利宣广告 </w:t>
      </w:r>
      <w:r>
        <w:rPr>
          <w:spacing w:val="-2"/>
        </w:rPr>
        <w:t>利宣广告成立于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日，注册资本</w:t>
      </w:r>
      <w:r>
        <w:rPr>
          <w:rFonts w:ascii="Times New Roman" w:hAnsi="Times New Roman" w:cs="Times New Roman" w:eastAsia="Times New Roman" w:hint="default"/>
          <w:spacing w:val="-2"/>
        </w:rPr>
        <w:t>500</w:t>
      </w:r>
      <w:r>
        <w:rPr>
          <w:spacing w:val="-2"/>
        </w:rPr>
        <w:t>万元人民币，注册地为上海市嘉定区，</w:t>
      </w:r>
      <w:r>
        <w:rPr>
          <w:rFonts w:ascii="Times New Roman" w:hAnsi="Times New Roman" w:cs="Times New Roman" w:eastAsia="Times New Roman" w:hint="default"/>
          <w:spacing w:val="-2"/>
        </w:rPr>
        <w:t>2015</w:t>
      </w:r>
      <w:r>
        <w:rPr>
          <w:spacing w:val="-2"/>
        </w:rPr>
        <w:t>年通过资产收购使其为公司的</w:t>
      </w:r>
    </w:p>
    <w:p>
      <w:pPr>
        <w:pStyle w:val="BodyText"/>
        <w:spacing w:line="357" w:lineRule="auto" w:before="21"/>
        <w:ind w:right="0"/>
        <w:jc w:val="left"/>
        <w:rPr>
          <w:rFonts w:ascii="宋体" w:hAnsi="宋体" w:cs="宋体" w:eastAsia="宋体" w:hint="default"/>
        </w:rPr>
      </w:pPr>
      <w:r>
        <w:rPr>
          <w:spacing w:val="-2"/>
        </w:rPr>
        <w:t>全资子公司。利宣广告是一家以广告创意和内容制作为核心服务的社会化媒体营销服务提供商，目前主营业务类型为社会化</w:t>
      </w:r>
      <w:r>
        <w:rPr>
          <w:spacing w:val="-64"/>
        </w:rPr>
        <w:t> </w:t>
      </w:r>
      <w:r>
        <w:rPr>
          <w:spacing w:val="-64"/>
        </w:rPr>
      </w:r>
      <w:r>
        <w:rPr/>
        <w:t>媒体营销服务与其他媒体营销服务。</w:t>
      </w:r>
      <w:r>
        <w:rPr>
          <w:rFonts w:ascii="Times New Roman" w:hAnsi="Times New Roman" w:cs="Times New Roman" w:eastAsia="Times New Roman" w:hint="default"/>
        </w:rPr>
        <w:t>2017</w:t>
      </w:r>
      <w:r>
        <w:rPr/>
        <w:t>年公司管理层积极调整业务策略，优化业务结构，拓展业务渠道引入新客户。</w:t>
      </w:r>
      <w:r>
        <w:rPr>
          <w:rFonts w:ascii="宋体" w:hAnsi="宋体" w:cs="宋体" w:eastAsia="宋体" w:hint="default"/>
        </w:rPr>
        <w:t> </w:t>
      </w:r>
    </w:p>
    <w:p>
      <w:pPr>
        <w:pStyle w:val="BodyText"/>
        <w:spacing w:line="240" w:lineRule="auto" w:before="3"/>
        <w:ind w:left="513" w:right="153"/>
        <w:jc w:val="left"/>
      </w:pPr>
      <w:r>
        <w:rPr/>
        <w:t>报告期内实现营业收入</w:t>
      </w:r>
      <w:r>
        <w:rPr>
          <w:rFonts w:ascii="Times New Roman" w:hAnsi="Times New Roman" w:cs="Times New Roman" w:eastAsia="Times New Roman" w:hint="default"/>
        </w:rPr>
        <w:t>10,085.80</w:t>
      </w:r>
      <w:r>
        <w:rPr/>
        <w:t>万元，同比增长</w:t>
      </w:r>
      <w:r>
        <w:rPr>
          <w:rFonts w:ascii="Times New Roman" w:hAnsi="Times New Roman" w:cs="Times New Roman" w:eastAsia="Times New Roman" w:hint="default"/>
        </w:rPr>
        <w:t>34.33%</w:t>
      </w:r>
      <w:r>
        <w:rPr/>
        <w:t>，实现净利润</w:t>
      </w:r>
      <w:r>
        <w:rPr>
          <w:rFonts w:ascii="Times New Roman" w:hAnsi="Times New Roman" w:cs="Times New Roman" w:eastAsia="Times New Roman" w:hint="default"/>
        </w:rPr>
        <w:t>1,619.96</w:t>
      </w:r>
      <w:r>
        <w:rPr/>
        <w:t>万元</w:t>
      </w:r>
      <w:r>
        <w:rPr>
          <w:rFonts w:ascii="Times New Roman" w:hAnsi="Times New Roman" w:cs="Times New Roman" w:eastAsia="Times New Roman" w:hint="default"/>
        </w:rPr>
        <w:t>,</w:t>
      </w:r>
      <w:r>
        <w:rPr/>
        <w:t>同比增长</w:t>
      </w:r>
      <w:r>
        <w:rPr>
          <w:rFonts w:ascii="Times New Roman" w:hAnsi="Times New Roman" w:cs="Times New Roman" w:eastAsia="Times New Roman" w:hint="default"/>
        </w:rPr>
        <w:t>23.13%</w:t>
      </w:r>
      <w:r>
        <w:rPr/>
        <w:t>。</w:t>
      </w:r>
    </w:p>
    <w:p>
      <w:pPr>
        <w:pStyle w:val="BodyText"/>
        <w:spacing w:line="338" w:lineRule="auto" w:before="101"/>
        <w:ind w:left="513" w:right="144"/>
        <w:jc w:val="left"/>
      </w:pPr>
      <w:r>
        <w:rPr>
          <w:rFonts w:ascii="Times New Roman" w:hAnsi="Times New Roman" w:cs="Times New Roman" w:eastAsia="Times New Roman" w:hint="default"/>
        </w:rPr>
        <w:t>6</w:t>
      </w:r>
      <w:r>
        <w:rPr/>
        <w:t>、六度人和 </w:t>
      </w:r>
      <w:r>
        <w:rPr>
          <w:spacing w:val="-1"/>
        </w:rPr>
        <w:t>六度人和成立于</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9</w:t>
      </w:r>
      <w:r>
        <w:rPr>
          <w:spacing w:val="-1"/>
        </w:rPr>
        <w:t>日，注册资本</w:t>
      </w:r>
      <w:r>
        <w:rPr>
          <w:rFonts w:ascii="Times New Roman" w:hAnsi="Times New Roman" w:cs="Times New Roman" w:eastAsia="Times New Roman" w:hint="default"/>
          <w:spacing w:val="-1"/>
        </w:rPr>
        <w:t>10000</w:t>
      </w:r>
      <w:r>
        <w:rPr>
          <w:spacing w:val="-1"/>
        </w:rPr>
        <w:t>万元人民币，注册地为深圳市南山区，</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5</w:t>
      </w:r>
      <w:r>
        <w:rPr>
          <w:spacing w:val="-1"/>
        </w:rPr>
        <w:t>月公司投资持有其</w:t>
      </w:r>
      <w:r>
        <w:rPr>
          <w:rFonts w:ascii="Times New Roman" w:hAnsi="Times New Roman" w:cs="Times New Roman" w:eastAsia="Times New Roman" w:hint="default"/>
          <w:spacing w:val="-1"/>
        </w:rPr>
        <w:t>15%</w:t>
      </w:r>
      <w:r>
        <w:rPr>
          <w:spacing w:val="-1"/>
        </w:rPr>
        <w:t>的</w:t>
      </w:r>
    </w:p>
    <w:p>
      <w:pPr>
        <w:pStyle w:val="BodyText"/>
        <w:spacing w:line="338" w:lineRule="auto" w:before="19"/>
        <w:ind w:right="133"/>
        <w:jc w:val="left"/>
      </w:pPr>
      <w:r>
        <w:rPr/>
        <w:t>股份。六度人和系</w:t>
      </w:r>
      <w:r>
        <w:rPr>
          <w:rFonts w:ascii="Times New Roman" w:hAnsi="Times New Roman" w:cs="Times New Roman" w:eastAsia="Times New Roman" w:hint="default"/>
        </w:rPr>
        <w:t>SCRM</w:t>
      </w:r>
      <w:r>
        <w:rPr/>
        <w:t>细分行业的龙头企业，也是国内最早提出</w:t>
      </w:r>
      <w:r>
        <w:rPr>
          <w:rFonts w:ascii="Times New Roman" w:hAnsi="Times New Roman" w:cs="Times New Roman" w:eastAsia="Times New Roman" w:hint="default"/>
        </w:rPr>
        <w:t>SCRM</w:t>
      </w:r>
      <w:r>
        <w:rPr/>
        <w:t>（社交化客户关系管理）理念并将其落地的公司之</w:t>
      </w:r>
      <w:r>
        <w:rPr>
          <w:w w:val="99"/>
        </w:rPr>
        <w:t> </w:t>
      </w:r>
      <w:r>
        <w:rPr>
          <w:spacing w:val="-2"/>
        </w:rPr>
        <w:t>一，核心团队主要来自腾讯、百度、微软、中兴、金蝶等知名企业。六度人和拥有近</w:t>
      </w:r>
      <w:r>
        <w:rPr>
          <w:rFonts w:ascii="Times New Roman" w:hAnsi="Times New Roman" w:cs="Times New Roman" w:eastAsia="Times New Roman" w:hint="default"/>
          <w:spacing w:val="-2"/>
        </w:rPr>
        <w:t>20</w:t>
      </w:r>
      <w:r>
        <w:rPr>
          <w:spacing w:val="-2"/>
        </w:rPr>
        <w:t>项软件著作权，为国家级高新技术企</w:t>
      </w:r>
      <w:r>
        <w:rPr>
          <w:spacing w:val="-73"/>
        </w:rPr>
        <w:t> </w:t>
      </w:r>
      <w:r>
        <w:rPr>
          <w:spacing w:val="-73"/>
        </w:rPr>
      </w:r>
      <w:r>
        <w:rPr/>
        <w:t>业，其主营产品</w:t>
      </w:r>
      <w:r>
        <w:rPr>
          <w:rFonts w:ascii="Times New Roman" w:hAnsi="Times New Roman" w:cs="Times New Roman" w:eastAsia="Times New Roman" w:hint="default"/>
        </w:rPr>
        <w:t>EC</w:t>
      </w:r>
      <w:r>
        <w:rPr/>
        <w:t>营客通是国内领先的基于社交化客户管理（</w:t>
      </w:r>
      <w:r>
        <w:rPr>
          <w:rFonts w:ascii="Times New Roman" w:hAnsi="Times New Roman" w:cs="Times New Roman" w:eastAsia="Times New Roman" w:hint="default"/>
        </w:rPr>
        <w:t>SCRM</w:t>
      </w:r>
      <w:r>
        <w:rPr/>
        <w:t>）的企业移动销售</w:t>
      </w:r>
      <w:r>
        <w:rPr>
          <w:rFonts w:ascii="Times New Roman" w:hAnsi="Times New Roman" w:cs="Times New Roman" w:eastAsia="Times New Roman" w:hint="default"/>
        </w:rPr>
        <w:t>SaaS</w:t>
      </w:r>
      <w:r>
        <w:rPr/>
        <w:t>平台，具有非常明显的产品和 技术优势。</w:t>
      </w:r>
    </w:p>
    <w:p>
      <w:pPr>
        <w:pStyle w:val="BodyText"/>
        <w:spacing w:line="240" w:lineRule="auto" w:before="38"/>
        <w:ind w:left="513" w:right="0"/>
        <w:jc w:val="left"/>
      </w:pPr>
      <w:r>
        <w:rPr/>
        <w:t>六度人和目前仍处于投入期，报告期内六度人和实现营业收入</w:t>
      </w:r>
      <w:r>
        <w:rPr>
          <w:rFonts w:ascii="Times New Roman" w:hAnsi="Times New Roman" w:cs="Times New Roman" w:eastAsia="Times New Roman" w:hint="default"/>
        </w:rPr>
        <w:t>12,341.92</w:t>
      </w:r>
      <w:r>
        <w:rPr/>
        <w:t>万元，同比增长</w:t>
      </w:r>
      <w:r>
        <w:rPr>
          <w:rFonts w:ascii="Times New Roman" w:hAnsi="Times New Roman" w:cs="Times New Roman" w:eastAsia="Times New Roman" w:hint="default"/>
        </w:rPr>
        <w:t>123.39%</w:t>
      </w:r>
      <w:r>
        <w:rPr/>
        <w:t>，但仍处于亏损阶段，</w:t>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2"/>
          <w:szCs w:val="22"/>
        </w:rPr>
      </w:pPr>
    </w:p>
    <w:p>
      <w:pPr>
        <w:pStyle w:val="BodyText"/>
        <w:spacing w:line="240" w:lineRule="auto" w:before="44"/>
        <w:ind w:right="254"/>
        <w:jc w:val="left"/>
      </w:pPr>
      <w:r>
        <w:rPr/>
        <w:t>按权益法计算影响公司投资收益亏损</w:t>
      </w:r>
      <w:r>
        <w:rPr>
          <w:rFonts w:ascii="Times New Roman" w:hAnsi="Times New Roman" w:cs="Times New Roman" w:eastAsia="Times New Roman" w:hint="default"/>
        </w:rPr>
        <w:t>1,018.26</w:t>
      </w:r>
      <w:r>
        <w:rPr/>
        <w:t>万元。</w:t>
      </w:r>
    </w:p>
    <w:p>
      <w:pPr>
        <w:spacing w:line="240" w:lineRule="auto" w:before="0"/>
        <w:rPr>
          <w:rFonts w:ascii="宋体" w:hAnsi="宋体" w:cs="宋体" w:eastAsia="宋体" w:hint="default"/>
          <w:sz w:val="18"/>
          <w:szCs w:val="18"/>
        </w:rPr>
      </w:pPr>
    </w:p>
    <w:p>
      <w:pPr>
        <w:pStyle w:val="Heading2"/>
        <w:spacing w:line="240" w:lineRule="auto" w:before="161"/>
        <w:ind w:right="254"/>
        <w:jc w:val="left"/>
        <w:rPr>
          <w:b w:val="0"/>
          <w:bCs w:val="0"/>
        </w:rPr>
      </w:pPr>
      <w:r>
        <w:rPr/>
        <w:t>八、公司控制的结构化主体情况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254"/>
        <w:jc w:val="left"/>
        <w:rPr>
          <w:b w:val="0"/>
          <w:bCs w:val="0"/>
        </w:rPr>
      </w:pPr>
      <w:r>
        <w:rPr/>
        <w:t>九、公司未来发展的展望</w:t>
      </w:r>
      <w:r>
        <w:rPr>
          <w:b w:val="0"/>
          <w:bCs w:val="0"/>
        </w:rPr>
      </w:r>
    </w:p>
    <w:p>
      <w:pPr>
        <w:spacing w:line="240" w:lineRule="auto" w:before="5"/>
        <w:rPr>
          <w:rFonts w:ascii="宋体" w:hAnsi="宋体" w:cs="宋体" w:eastAsia="宋体" w:hint="default"/>
          <w:b/>
          <w:bCs/>
          <w:sz w:val="23"/>
          <w:szCs w:val="23"/>
        </w:rPr>
      </w:pPr>
    </w:p>
    <w:p>
      <w:pPr>
        <w:pStyle w:val="BodyText"/>
        <w:spacing w:line="338" w:lineRule="auto"/>
        <w:ind w:left="513" w:right="192" w:hanging="17"/>
        <w:jc w:val="left"/>
        <w:rPr>
          <w:rFonts w:ascii="Times New Roman" w:hAnsi="Times New Roman" w:cs="Times New Roman" w:eastAsia="Times New Roman" w:hint="default"/>
        </w:rPr>
      </w:pPr>
      <w:r>
        <w:rPr>
          <w:rFonts w:ascii="Times New Roman" w:hAnsi="Times New Roman" w:cs="Times New Roman" w:eastAsia="Times New Roman" w:hint="default"/>
          <w:b/>
          <w:bCs/>
        </w:rPr>
        <w:t>1</w:t>
      </w:r>
      <w:r>
        <w:rPr>
          <w:rFonts w:ascii="宋体" w:hAnsi="宋体" w:cs="宋体" w:eastAsia="宋体" w:hint="default"/>
          <w:b/>
          <w:bCs/>
        </w:rPr>
        <w:t>、公司发展战略</w:t>
      </w:r>
      <w:r>
        <w:rPr>
          <w:rFonts w:ascii="宋体" w:hAnsi="宋体" w:cs="宋体" w:eastAsia="宋体" w:hint="default"/>
          <w:b/>
          <w:bCs/>
          <w:w w:val="99"/>
        </w:rPr>
        <w:t> </w:t>
      </w:r>
      <w:r>
        <w:rPr/>
        <w:t>基于对公司所处行业趋势的判断，智能、数据、技术将会是麦达数字业务未来新的驱动力，公司</w:t>
      </w:r>
      <w:r>
        <w:rPr>
          <w:rFonts w:ascii="Times New Roman" w:hAnsi="Times New Roman" w:cs="Times New Roman" w:eastAsia="Times New Roman" w:hint="default"/>
        </w:rPr>
        <w:t>“</w:t>
      </w:r>
      <w:r>
        <w:rPr/>
        <w:t>智慧营销</w:t>
      </w:r>
      <w:r>
        <w:rPr>
          <w:rFonts w:ascii="Times New Roman" w:hAnsi="Times New Roman" w:cs="Times New Roman" w:eastAsia="Times New Roman" w:hint="default"/>
        </w:rPr>
        <w:t>+</w:t>
      </w:r>
      <w:r>
        <w:rPr/>
        <w:t>智能硬件</w:t>
      </w:r>
      <w:r>
        <w:rPr>
          <w:rFonts w:ascii="Times New Roman" w:hAnsi="Times New Roman" w:cs="Times New Roman" w:eastAsia="Times New Roman" w:hint="default"/>
        </w:rPr>
        <w:t>”</w:t>
      </w:r>
    </w:p>
    <w:p>
      <w:pPr>
        <w:pStyle w:val="BodyText"/>
        <w:spacing w:line="357" w:lineRule="auto" w:before="19"/>
        <w:ind w:left="513" w:right="94" w:hanging="361"/>
        <w:jc w:val="left"/>
      </w:pPr>
      <w:r>
        <w:rPr/>
        <w:t>双轮驱动战略也将始终以此为核心，构建核心能力。 </w:t>
      </w:r>
      <w:r>
        <w:rPr>
          <w:spacing w:val="-2"/>
        </w:rPr>
        <w:t>智慧营销板块：沉淀、解读和运用数据能力的高低，决定了数字营销企业未来的竞争力，广告主也从单纯的营销传播需</w:t>
      </w:r>
    </w:p>
    <w:p>
      <w:pPr>
        <w:pStyle w:val="BodyText"/>
        <w:spacing w:line="352" w:lineRule="auto" w:before="26"/>
        <w:ind w:right="94"/>
        <w:jc w:val="left"/>
      </w:pPr>
      <w:r>
        <w:rPr/>
        <w:t>求转向企业内部数据驱动的客户营销与服务</w:t>
      </w:r>
      <w:r>
        <w:rPr>
          <w:rFonts w:ascii="Times New Roman" w:hAnsi="Times New Roman" w:cs="Times New Roman" w:eastAsia="Times New Roman" w:hint="default"/>
        </w:rPr>
        <w:t>/</w:t>
      </w:r>
      <w:r>
        <w:rPr/>
        <w:t>体验平台需求。麦达数字集团旗下拥有多家数字营销公司，搭建了全产业链、 </w:t>
      </w:r>
      <w:r>
        <w:rPr>
          <w:spacing w:val="-4"/>
        </w:rPr>
        <w:t>全媒体一站式整合数字营销平台。公司基于现有的创意、策略、媒体投放、社会化媒体营销等数字营销业务，结合新的技术、</w:t>
      </w:r>
      <w:r>
        <w:rPr>
          <w:spacing w:val="-46"/>
        </w:rPr>
        <w:t> </w:t>
      </w:r>
      <w:r>
        <w:rPr>
          <w:spacing w:val="-46"/>
        </w:rPr>
      </w:r>
      <w:r>
        <w:rPr>
          <w:spacing w:val="-2"/>
        </w:rPr>
        <w:t>产品和数据，研发和孵化营销技术项目，形成了产业布局和业务协同。公司依托专业的技术服务，后续将持续加大企业营销</w:t>
      </w:r>
      <w:r>
        <w:rPr>
          <w:spacing w:val="-63"/>
        </w:rPr>
        <w:t> </w:t>
      </w:r>
      <w:r>
        <w:rPr>
          <w:spacing w:val="-63"/>
        </w:rPr>
      </w:r>
      <w:r>
        <w:rPr>
          <w:spacing w:val="-2"/>
        </w:rPr>
        <w:t>产业链各服务商整合力度，致力于为企业客户提供以技术为桥梁、数据为驱动的一站式营销数字化转型服务，助力企业客户</w:t>
      </w:r>
      <w:r>
        <w:rPr>
          <w:spacing w:val="-63"/>
        </w:rPr>
        <w:t> </w:t>
      </w:r>
      <w:r>
        <w:rPr>
          <w:spacing w:val="-63"/>
        </w:rPr>
      </w:r>
      <w:r>
        <w:rPr/>
        <w:t>实现全链路数据打通，获得用户精准画像和洞察、产生创意，精准触达；同时不断沉淀数据，推进业务创新与优化。</w:t>
      </w:r>
    </w:p>
    <w:p>
      <w:pPr>
        <w:pStyle w:val="BodyText"/>
        <w:spacing w:line="348" w:lineRule="auto" w:before="30"/>
        <w:ind w:right="189" w:firstLine="432"/>
        <w:jc w:val="both"/>
      </w:pPr>
      <w:r>
        <w:rPr/>
        <w:t>智能硬件板块：近二十年服务全球知名品牌商的经验，让麦达数字旗下的</w:t>
      </w:r>
      <w:r>
        <w:rPr>
          <w:rFonts w:ascii="Times New Roman" w:hAnsi="Times New Roman" w:cs="Times New Roman" w:eastAsia="Times New Roman" w:hint="default"/>
        </w:rPr>
        <w:t>“</w:t>
      </w:r>
      <w:r>
        <w:rPr/>
        <w:t>实益达</w:t>
      </w:r>
      <w:r>
        <w:rPr>
          <w:rFonts w:ascii="Times New Roman" w:hAnsi="Times New Roman" w:cs="Times New Roman" w:eastAsia="Times New Roman" w:hint="default"/>
        </w:rPr>
        <w:t>”</w:t>
      </w:r>
      <w:r>
        <w:rPr/>
        <w:t>品牌在产品规划、研发和制造领域 </w:t>
      </w:r>
      <w:r>
        <w:rPr>
          <w:spacing w:val="-2"/>
        </w:rPr>
        <w:t>具备了深厚的积累和底蕴。公司智能硬件板块以技术创新为源动力，产品研发为核心，发展具有自主知识产权的产品，定位</w:t>
      </w:r>
      <w:r>
        <w:rPr>
          <w:spacing w:val="-64"/>
        </w:rPr>
        <w:t> </w:t>
      </w:r>
      <w:r>
        <w:rPr>
          <w:spacing w:val="-64"/>
        </w:rPr>
      </w:r>
      <w:r>
        <w:rPr>
          <w:spacing w:val="-2"/>
        </w:rPr>
        <w:t>于成为智能硬件产品解决方案提供商，旗下智能制造子公司分布长三角和珠三角，均建立了现代化的研发生产基地。目前公</w:t>
      </w:r>
      <w:r>
        <w:rPr>
          <w:spacing w:val="-62"/>
        </w:rPr>
        <w:t> </w:t>
      </w:r>
      <w:r>
        <w:rPr>
          <w:spacing w:val="-62"/>
        </w:rPr>
      </w:r>
      <w:r>
        <w:rPr/>
        <w:t>司智能硬件板块正围绕</w:t>
      </w:r>
      <w:r>
        <w:rPr>
          <w:rFonts w:ascii="Times New Roman" w:hAnsi="Times New Roman" w:cs="Times New Roman" w:eastAsia="Times New Roman" w:hint="default"/>
        </w:rPr>
        <w:t>“</w:t>
      </w:r>
      <w:r>
        <w:rPr/>
        <w:t>智能硬件孵化平台</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，通过内生发展及外延投资，产融结合，打造以物联网技术为基础的多元化智 能硬件孵化平台，结合互联网运作思维，在产品创新和运营上实现突破。</w:t>
      </w:r>
    </w:p>
    <w:p>
      <w:pPr>
        <w:pStyle w:val="BodyText"/>
        <w:spacing w:line="336" w:lineRule="auto" w:before="34"/>
        <w:ind w:left="513" w:right="94" w:firstLine="81"/>
        <w:jc w:val="left"/>
      </w:pPr>
      <w:r>
        <w:rPr>
          <w:rFonts w:ascii="Times New Roman" w:hAnsi="Times New Roman" w:cs="Times New Roman" w:eastAsia="Times New Roman" w:hint="default"/>
          <w:b/>
          <w:bCs/>
        </w:rPr>
        <w:t>2</w:t>
      </w:r>
      <w:r>
        <w:rPr>
          <w:rFonts w:ascii="宋体" w:hAnsi="宋体" w:cs="宋体" w:eastAsia="宋体" w:hint="default"/>
          <w:b/>
          <w:bCs/>
        </w:rPr>
        <w:t>、经营计划</w:t>
      </w:r>
      <w:r>
        <w:rPr>
          <w:rFonts w:ascii="宋体" w:hAnsi="宋体" w:cs="宋体" w:eastAsia="宋体" w:hint="default"/>
          <w:b/>
          <w:bCs/>
          <w:w w:val="99"/>
        </w:rPr>
        <w:t> </w:t>
      </w:r>
      <w:r>
        <w:rPr>
          <w:spacing w:val="-2"/>
        </w:rPr>
        <w:t>公司将充分利用国家对云计算、大数据、人工智能、物联网等领域的战略和政策支持，通过产业发展、投资布局、研发</w:t>
      </w:r>
    </w:p>
    <w:p>
      <w:pPr>
        <w:pStyle w:val="BodyText"/>
        <w:spacing w:line="357" w:lineRule="auto" w:before="43"/>
        <w:ind w:left="513" w:right="93" w:hanging="361"/>
        <w:jc w:val="left"/>
      </w:pPr>
      <w:r>
        <w:rPr/>
        <w:t>创新等方式，稳健推动公司战略落地。 产业层面：智慧营销，为客户提供一站式的营销数字化转型服务；智能硬件，成为互联网巨头智能硬件生态链的一环。 </w:t>
      </w:r>
      <w:r>
        <w:rPr>
          <w:spacing w:val="-2"/>
        </w:rPr>
        <w:t>投资层面：立足公司战略目标，以直接投资或产业基金投资的方式，持续在大数据、云计算、人工智能、金融科技、物</w:t>
      </w:r>
    </w:p>
    <w:p>
      <w:pPr>
        <w:pStyle w:val="BodyText"/>
        <w:spacing w:line="350" w:lineRule="auto" w:before="26"/>
        <w:ind w:right="94"/>
        <w:jc w:val="left"/>
      </w:pPr>
      <w:r>
        <w:rPr>
          <w:spacing w:val="-2"/>
        </w:rPr>
        <w:t>联网等领域投资布局。公司在投资时，会不断接触到业内优秀标的公司最前沿的理念，一方面公司会充分利用这些理念升级</w:t>
      </w:r>
      <w:r>
        <w:rPr>
          <w:spacing w:val="-63"/>
        </w:rPr>
        <w:t> </w:t>
      </w:r>
      <w:r>
        <w:rPr>
          <w:spacing w:val="-63"/>
        </w:rPr>
      </w:r>
      <w:r>
        <w:rPr>
          <w:spacing w:val="-4"/>
        </w:rPr>
        <w:t>改造现有产业，同时分享标的公司业务快速成长过程中估值的提升带来的投资收益，因此投资不仅可以布局和锁定优质标的，</w:t>
      </w:r>
      <w:r>
        <w:rPr>
          <w:spacing w:val="-44"/>
        </w:rPr>
        <w:t> </w:t>
      </w:r>
      <w:r>
        <w:rPr>
          <w:spacing w:val="-44"/>
        </w:rPr>
      </w:r>
      <w:r>
        <w:rPr>
          <w:spacing w:val="-2"/>
        </w:rPr>
        <w:t>也可以帮助公司储备投资收益并带来良好的现金回报。公司自</w:t>
      </w:r>
      <w:r>
        <w:rPr>
          <w:rFonts w:ascii="Times New Roman" w:hAnsi="Times New Roman" w:cs="Times New Roman" w:eastAsia="Times New Roman" w:hint="default"/>
          <w:spacing w:val="-2"/>
        </w:rPr>
        <w:t>2015</w:t>
      </w:r>
      <w:r>
        <w:rPr>
          <w:spacing w:val="-2"/>
        </w:rPr>
        <w:t>年以来陆续进行了多项投资，并布局了一系列符合公司战</w:t>
      </w:r>
      <w:r>
        <w:rPr>
          <w:spacing w:val="-61"/>
        </w:rPr>
        <w:t> </w:t>
      </w:r>
      <w:r>
        <w:rPr>
          <w:spacing w:val="-61"/>
        </w:rPr>
      </w:r>
      <w:r>
        <w:rPr/>
        <w:t>略方向的优质标的，未来这项工作还将持续进行。</w:t>
      </w:r>
    </w:p>
    <w:p>
      <w:pPr>
        <w:pStyle w:val="BodyText"/>
        <w:spacing w:line="343" w:lineRule="auto" w:before="32"/>
        <w:ind w:right="190" w:firstLine="360"/>
        <w:jc w:val="both"/>
      </w:pPr>
      <w:r>
        <w:rPr>
          <w:spacing w:val="-2"/>
        </w:rPr>
        <w:t>研发层面：专注于大数据、人工智能、物联网等新技术在公司业务场景中的应用落地，并推动其产品化、市场化。截至</w:t>
      </w:r>
      <w:r>
        <w:rPr/>
        <w:t> </w:t>
      </w:r>
      <w:r>
        <w:rPr>
          <w:spacing w:val="-2"/>
        </w:rPr>
        <w:t>目前，公司基于业务研发出了</w:t>
      </w:r>
      <w:r>
        <w:rPr>
          <w:rFonts w:ascii="Times New Roman" w:hAnsi="Times New Roman" w:cs="Times New Roman" w:eastAsia="Times New Roman" w:hint="default"/>
          <w:spacing w:val="-2"/>
        </w:rPr>
        <w:t>“</w:t>
      </w:r>
      <w:r>
        <w:rPr>
          <w:spacing w:val="-2"/>
        </w:rPr>
        <w:t>移动</w:t>
      </w:r>
      <w:r>
        <w:rPr>
          <w:rFonts w:ascii="Times New Roman" w:hAnsi="Times New Roman" w:cs="Times New Roman" w:eastAsia="Times New Roman" w:hint="default"/>
          <w:spacing w:val="-2"/>
        </w:rPr>
        <w:t>CRM</w:t>
      </w:r>
      <w:r>
        <w:rPr>
          <w:spacing w:val="-2"/>
        </w:rPr>
        <w:t>系统</w:t>
      </w:r>
      <w:r>
        <w:rPr>
          <w:rFonts w:ascii="Times New Roman" w:hAnsi="Times New Roman" w:cs="Times New Roman" w:eastAsia="Times New Roman" w:hint="default"/>
          <w:spacing w:val="-2"/>
        </w:rPr>
        <w:t>”</w:t>
      </w:r>
      <w:r>
        <w:rPr>
          <w:spacing w:val="-2"/>
        </w:rPr>
        <w:t>智慧营销解决方案，将人工智能</w:t>
      </w:r>
      <w:r>
        <w:rPr>
          <w:rFonts w:ascii="Times New Roman" w:hAnsi="Times New Roman" w:cs="Times New Roman" w:eastAsia="Times New Roman" w:hint="default"/>
          <w:spacing w:val="-2"/>
        </w:rPr>
        <w:t>&amp;</w:t>
      </w:r>
      <w:r>
        <w:rPr>
          <w:spacing w:val="-2"/>
        </w:rPr>
        <w:t>大数据融入企业营销领域，成功打造出了智</w:t>
      </w:r>
      <w:r>
        <w:rPr>
          <w:spacing w:val="-44"/>
        </w:rPr>
        <w:t> </w:t>
      </w:r>
      <w:r>
        <w:rPr>
          <w:spacing w:val="-44"/>
        </w:rPr>
      </w:r>
      <w:r>
        <w:rPr/>
        <w:t>慧营销</w:t>
      </w:r>
      <w:r>
        <w:rPr>
          <w:rFonts w:ascii="Times New Roman" w:hAnsi="Times New Roman" w:cs="Times New Roman" w:eastAsia="Times New Roman" w:hint="default"/>
        </w:rPr>
        <w:t>“</w:t>
      </w:r>
      <w:r>
        <w:rPr/>
        <w:t>雷达</w:t>
      </w:r>
      <w:r>
        <w:rPr>
          <w:rFonts w:ascii="Times New Roman" w:hAnsi="Times New Roman" w:cs="Times New Roman" w:eastAsia="Times New Roman" w:hint="default"/>
        </w:rPr>
        <w:t>”</w:t>
      </w:r>
      <w:r>
        <w:rPr/>
        <w:t>平台，帮助企业在互联网</w:t>
      </w:r>
      <w:r>
        <w:rPr>
          <w:rFonts w:ascii="Times New Roman" w:hAnsi="Times New Roman" w:cs="Times New Roman" w:eastAsia="Times New Roman" w:hint="default"/>
        </w:rPr>
        <w:t>+</w:t>
      </w:r>
      <w:r>
        <w:rPr/>
        <w:t>时代市场营销中更精准和高效。智慧营销</w:t>
      </w:r>
      <w:r>
        <w:rPr>
          <w:rFonts w:ascii="Times New Roman" w:hAnsi="Times New Roman" w:cs="Times New Roman" w:eastAsia="Times New Roman" w:hint="default"/>
        </w:rPr>
        <w:t>“</w:t>
      </w:r>
      <w:r>
        <w:rPr/>
        <w:t>雷达</w:t>
      </w:r>
      <w:r>
        <w:rPr>
          <w:rFonts w:ascii="Times New Roman" w:hAnsi="Times New Roman" w:cs="Times New Roman" w:eastAsia="Times New Roman" w:hint="default"/>
        </w:rPr>
        <w:t>”</w:t>
      </w:r>
      <w:r>
        <w:rPr/>
        <w:t>平台的诞生，也是公司产投研战略 良性循环的最佳体现。</w:t>
      </w:r>
    </w:p>
    <w:p>
      <w:pPr>
        <w:pStyle w:val="Heading5"/>
        <w:spacing w:line="240" w:lineRule="auto" w:before="37"/>
        <w:ind w:left="522" w:right="254"/>
        <w:jc w:val="left"/>
        <w:rPr>
          <w:b w:val="0"/>
          <w:bCs w:val="0"/>
        </w:rPr>
      </w:pPr>
      <w:r>
        <w:rPr>
          <w:rFonts w:ascii="Times New Roman" w:hAnsi="Times New Roman" w:cs="Times New Roman" w:eastAsia="Times New Roman" w:hint="default"/>
        </w:rPr>
        <w:t>3</w:t>
      </w:r>
      <w:r>
        <w:rPr/>
        <w:t>、公司未来可能面临的主要风险和应对措施</w:t>
      </w:r>
      <w:r>
        <w:rPr>
          <w:b w:val="0"/>
          <w:bCs w:val="0"/>
        </w:rPr>
      </w:r>
    </w:p>
    <w:p>
      <w:pPr>
        <w:pStyle w:val="BodyText"/>
        <w:spacing w:line="338" w:lineRule="auto" w:before="101"/>
        <w:ind w:left="441" w:right="94" w:hanging="72"/>
        <w:jc w:val="left"/>
      </w:pPr>
      <w:r>
        <w:rPr/>
        <w:t>（</w:t>
      </w:r>
      <w:r>
        <w:rPr>
          <w:rFonts w:ascii="Times New Roman" w:hAnsi="Times New Roman" w:cs="Times New Roman" w:eastAsia="Times New Roman" w:hint="default"/>
        </w:rPr>
        <w:t>1</w:t>
      </w:r>
      <w:r>
        <w:rPr/>
        <w:t>）投资、并购顺利实施及收购整合风险 </w:t>
      </w:r>
      <w:r>
        <w:rPr>
          <w:spacing w:val="-1"/>
        </w:rPr>
        <w:t>公司在投资、并购过程中，可能因多方面原因（如标的企业尽调、业务谈判进展不顺利等）导致整个项目中途停止，也</w:t>
      </w:r>
    </w:p>
    <w:p>
      <w:pPr>
        <w:pStyle w:val="BodyText"/>
        <w:spacing w:line="357" w:lineRule="auto" w:before="41"/>
        <w:ind w:right="191"/>
        <w:jc w:val="both"/>
      </w:pPr>
      <w:r>
        <w:rPr>
          <w:spacing w:val="-2"/>
        </w:rPr>
        <w:t>可能会在投资、并购完成后，发生公司与标的公司团队整合不及预期、标的公司业绩承诺未达成以及标的公司生产经营出现</w:t>
      </w:r>
      <w:r>
        <w:rPr>
          <w:spacing w:val="-65"/>
        </w:rPr>
        <w:t> </w:t>
      </w:r>
      <w:r>
        <w:rPr>
          <w:spacing w:val="-65"/>
        </w:rPr>
      </w:r>
      <w:r>
        <w:rPr>
          <w:spacing w:val="-2"/>
        </w:rPr>
        <w:t>重大不利变化等情形，从而导致公司投资、并购效果及目的不达预期，拖累公司业绩，甚至出现投资、并购失败的风险。公</w:t>
      </w:r>
      <w:r>
        <w:rPr>
          <w:spacing w:val="-84"/>
        </w:rPr>
        <w:t> </w:t>
      </w:r>
      <w:r>
        <w:rPr>
          <w:spacing w:val="-84"/>
        </w:rPr>
      </w:r>
      <w:r>
        <w:rPr>
          <w:spacing w:val="-2"/>
        </w:rPr>
        <w:t>司在投资、并购过程中，会在项目开展前做好调研和论证工作，同时充分借助券商、律师、会计师或资产评估师等中介机构</w:t>
      </w:r>
    </w:p>
    <w:p>
      <w:pPr>
        <w:spacing w:after="0" w:line="357" w:lineRule="auto"/>
        <w:jc w:val="both"/>
        <w:sectPr>
          <w:footerReference w:type="default" r:id="rId17"/>
          <w:pgSz w:w="11910" w:h="16840"/>
          <w:pgMar w:footer="980" w:header="745" w:top="1060" w:bottom="1160" w:left="980" w:right="940"/>
          <w:pgNumType w:start="31"/>
        </w:sectPr>
      </w:pPr>
    </w:p>
    <w:p>
      <w:pPr>
        <w:spacing w:line="240" w:lineRule="auto" w:before="8"/>
        <w:rPr>
          <w:rFonts w:ascii="宋体" w:hAnsi="宋体" w:cs="宋体" w:eastAsia="宋体" w:hint="default"/>
          <w:sz w:val="22"/>
          <w:szCs w:val="22"/>
        </w:rPr>
      </w:pPr>
    </w:p>
    <w:p>
      <w:pPr>
        <w:pStyle w:val="BodyText"/>
        <w:spacing w:line="240" w:lineRule="auto" w:before="44"/>
        <w:ind w:right="0"/>
        <w:jc w:val="left"/>
      </w:pPr>
      <w:r>
        <w:rPr/>
        <w:t>的专业力量，做好必要的尽职调查，分析潜在风险，并在项目完成后通过做好充分的投后管理工作，尽力避免可能的风险。</w:t>
      </w:r>
    </w:p>
    <w:p>
      <w:pPr>
        <w:pStyle w:val="BodyText"/>
        <w:spacing w:line="338" w:lineRule="auto" w:before="115"/>
        <w:ind w:left="513" w:right="213" w:hanging="144"/>
        <w:jc w:val="left"/>
      </w:pPr>
      <w:r>
        <w:rPr/>
        <w:t>（</w:t>
      </w:r>
      <w:r>
        <w:rPr>
          <w:rFonts w:ascii="Times New Roman" w:hAnsi="Times New Roman" w:cs="Times New Roman" w:eastAsia="Times New Roman" w:hint="default"/>
        </w:rPr>
        <w:t>2</w:t>
      </w:r>
      <w:r>
        <w:rPr/>
        <w:t>）商誉减值的风险 公司于</w:t>
      </w:r>
      <w:r>
        <w:rPr>
          <w:rFonts w:ascii="Times New Roman" w:hAnsi="Times New Roman" w:cs="Times New Roman" w:eastAsia="Times New Roman" w:hint="default"/>
        </w:rPr>
        <w:t>2015</w:t>
      </w:r>
      <w:r>
        <w:rPr/>
        <w:t>年内发行股份及支付现金购买顺为广告、奇思广告和利宣广告</w:t>
      </w:r>
      <w:r>
        <w:rPr>
          <w:rFonts w:ascii="Times New Roman" w:hAnsi="Times New Roman" w:cs="Times New Roman" w:eastAsia="Times New Roman" w:hint="default"/>
        </w:rPr>
        <w:t>100%</w:t>
      </w:r>
      <w:r>
        <w:rPr/>
        <w:t>的股权，在公司合并资产负债表中形成</w:t>
      </w:r>
    </w:p>
    <w:p>
      <w:pPr>
        <w:pStyle w:val="BodyText"/>
        <w:spacing w:line="357" w:lineRule="auto" w:before="19"/>
        <w:ind w:right="94"/>
        <w:jc w:val="left"/>
      </w:pPr>
      <w:r>
        <w:rPr>
          <w:spacing w:val="-2"/>
        </w:rPr>
        <w:t>了较大金额的商誉。根据《企业会计准则》规定，本次交易形成的商誉不作摊销处理，但需在未来每年年度终了进行减值测</w:t>
      </w:r>
      <w:r>
        <w:rPr>
          <w:spacing w:val="-67"/>
        </w:rPr>
        <w:t> </w:t>
      </w:r>
      <w:r>
        <w:rPr>
          <w:spacing w:val="-67"/>
        </w:rPr>
      </w:r>
      <w:r>
        <w:rPr>
          <w:spacing w:val="-2"/>
        </w:rPr>
        <w:t>试。如前所述，目前标的公司经营、市场发展及已有订单情况表明评估报告预测期的预测营业收入具有可实现性，且毛利率</w:t>
      </w:r>
      <w:r>
        <w:rPr>
          <w:spacing w:val="-64"/>
        </w:rPr>
        <w:t> </w:t>
      </w:r>
      <w:r>
        <w:rPr>
          <w:spacing w:val="-64"/>
        </w:rPr>
      </w:r>
      <w:r>
        <w:rPr>
          <w:spacing w:val="-2"/>
        </w:rPr>
        <w:t>取值与标的公司历史毛利率基本保持一致、具有合理性，但如本次拟收购的标的公司未来经营状况恶化，则未来仍存在商誉</w:t>
      </w:r>
      <w:r>
        <w:rPr>
          <w:spacing w:val="-66"/>
        </w:rPr>
        <w:t> </w:t>
      </w:r>
      <w:r>
        <w:rPr>
          <w:spacing w:val="-66"/>
        </w:rPr>
      </w:r>
      <w:r>
        <w:rPr/>
        <w:t>减值的风险，从而对上市公司当期损益造成不利影响。公司将充分发挥数字营销板块业务内部资源的协调性，在品牌影响、</w:t>
      </w:r>
      <w:r>
        <w:rPr/>
        <w:t> 技术研发、市场开拓等方面的协同优势，进一步增强细分领域的市场竞争力，提升数字营销板块的核心竞争力和盈利能力， 降低产生商誉减值风险的可能性。</w:t>
      </w:r>
    </w:p>
    <w:p>
      <w:pPr>
        <w:pStyle w:val="BodyText"/>
        <w:spacing w:line="338" w:lineRule="auto" w:before="26"/>
        <w:ind w:left="441" w:right="94" w:hanging="145"/>
        <w:jc w:val="left"/>
      </w:pPr>
      <w:r>
        <w:rPr/>
        <w:t>（</w:t>
      </w:r>
      <w:r>
        <w:rPr>
          <w:rFonts w:ascii="Times New Roman" w:hAnsi="Times New Roman" w:cs="Times New Roman" w:eastAsia="Times New Roman" w:hint="default"/>
        </w:rPr>
        <w:t>3</w:t>
      </w:r>
      <w:r>
        <w:rPr/>
        <w:t>）人才队伍建设风险 </w:t>
      </w:r>
      <w:r>
        <w:rPr>
          <w:spacing w:val="-1"/>
        </w:rPr>
        <w:t>公司战略转型后，新纳入公司的管理团队及业务人员的稳定性，将直接影响公司战略转型的成果。若不能很好地控制人</w:t>
      </w:r>
    </w:p>
    <w:p>
      <w:pPr>
        <w:pStyle w:val="BodyText"/>
        <w:spacing w:line="357" w:lineRule="auto" w:before="41"/>
        <w:ind w:right="94"/>
        <w:jc w:val="left"/>
      </w:pPr>
      <w:r>
        <w:rPr/>
        <w:t>才流失的风险，则会对公司战略转型造成不利影响。同时，随着公司多个业务板块的开展，管理的宽度和深度将大幅增加， </w:t>
      </w:r>
      <w:r>
        <w:rPr>
          <w:spacing w:val="-2"/>
        </w:rPr>
        <w:t>公司需要培养大量与公司战略转型业务发展相适应的人才。针对新纳入的公司，为避免核心团队成员流失造成不利影响，公</w:t>
      </w:r>
      <w:r>
        <w:rPr>
          <w:spacing w:val="-63"/>
        </w:rPr>
        <w:t> </w:t>
      </w:r>
      <w:r>
        <w:rPr>
          <w:spacing w:val="-63"/>
        </w:rPr>
      </w:r>
      <w:r>
        <w:rPr>
          <w:spacing w:val="-2"/>
        </w:rPr>
        <w:t>司将适时调整管理方法，采取激励措施，确保核心团队成员的稳定。同时，公司将积极完善人才培养机制，建立科学合理的</w:t>
      </w:r>
      <w:r>
        <w:rPr>
          <w:spacing w:val="-67"/>
        </w:rPr>
        <w:t> </w:t>
      </w:r>
      <w:r>
        <w:rPr>
          <w:spacing w:val="-67"/>
        </w:rPr>
      </w:r>
      <w:r>
        <w:rPr/>
        <w:t>薪酬考核和奖励机制，提高员工的积极性，吸引和留住优秀人才，促进公司各项业务顺利开展。</w:t>
      </w:r>
    </w:p>
    <w:p>
      <w:pPr>
        <w:pStyle w:val="BodyText"/>
        <w:spacing w:line="338" w:lineRule="auto" w:before="24"/>
        <w:ind w:left="513" w:right="94" w:hanging="181"/>
        <w:jc w:val="left"/>
      </w:pPr>
      <w:r>
        <w:rPr/>
        <w:t>（</w:t>
      </w:r>
      <w:r>
        <w:rPr>
          <w:rFonts w:ascii="Times New Roman" w:hAnsi="Times New Roman" w:cs="Times New Roman" w:eastAsia="Times New Roman" w:hint="default"/>
        </w:rPr>
        <w:t>4</w:t>
      </w:r>
      <w:r>
        <w:rPr/>
        <w:t>）应收账款坏账及汇兑损失的风险 </w:t>
      </w:r>
      <w:r>
        <w:rPr>
          <w:spacing w:val="-2"/>
        </w:rPr>
        <w:t>随着公司业务规模扩大，应收账款规模也会相应增长，信用风险会相应提高，存在因个别客户自身财务状况恶化或信用</w:t>
      </w:r>
    </w:p>
    <w:p>
      <w:pPr>
        <w:pStyle w:val="BodyText"/>
        <w:spacing w:line="357" w:lineRule="auto" w:before="41"/>
        <w:ind w:right="189"/>
        <w:jc w:val="both"/>
      </w:pPr>
      <w:r>
        <w:rPr>
          <w:spacing w:val="-2"/>
        </w:rPr>
        <w:t>程度降低而导致应收款项无法及时收回的风险，如发生较大的坏账损失，将对公司的盈利水平造成不利影响。此外，公司国</w:t>
      </w:r>
      <w:r>
        <w:rPr>
          <w:spacing w:val="-64"/>
        </w:rPr>
        <w:t> </w:t>
      </w:r>
      <w:r>
        <w:rPr>
          <w:spacing w:val="-64"/>
        </w:rPr>
      </w:r>
      <w:r>
        <w:rPr>
          <w:spacing w:val="-2"/>
        </w:rPr>
        <w:t>际销售业务目前主要以美元结算，并且对国际客户通常提供一定的信用期限，由此形成了银行存款（美元）和以美元计价的</w:t>
      </w:r>
      <w:r>
        <w:rPr>
          <w:spacing w:val="-63"/>
        </w:rPr>
        <w:t> </w:t>
      </w:r>
      <w:r>
        <w:rPr>
          <w:spacing w:val="-63"/>
        </w:rPr>
      </w:r>
      <w:r>
        <w:rPr>
          <w:spacing w:val="-2"/>
        </w:rPr>
        <w:t>应收账款等外币资产，若人民币汇率波动特别是人民币升值，将使得公司面临汇兑损失的风险。针对上述风险，公司对此会</w:t>
      </w:r>
      <w:r>
        <w:rPr>
          <w:spacing w:val="-64"/>
        </w:rPr>
        <w:t> </w:t>
      </w:r>
      <w:r>
        <w:rPr>
          <w:spacing w:val="-64"/>
        </w:rPr>
      </w:r>
      <w:r>
        <w:rPr>
          <w:spacing w:val="-2"/>
        </w:rPr>
        <w:t>不断调整信用管理制度，进一步发挥内部审计的监督作用，加强内部审计，并不断强化相关人员的责任和风险意识，尽可能</w:t>
      </w:r>
      <w:r>
        <w:rPr>
          <w:spacing w:val="-65"/>
        </w:rPr>
        <w:t> </w:t>
      </w:r>
      <w:r>
        <w:rPr>
          <w:spacing w:val="-65"/>
        </w:rPr>
      </w:r>
      <w:r>
        <w:rPr>
          <w:spacing w:val="-2"/>
        </w:rPr>
        <w:t>降低应收账款坏账的风险，同时公司也将通过适时结汇、提高出口回款效率、运用多种外汇衍生品工具等措施防范和控制汇</w:t>
      </w:r>
      <w:r>
        <w:rPr>
          <w:spacing w:val="-63"/>
        </w:rPr>
        <w:t> </w:t>
      </w:r>
      <w:r>
        <w:rPr>
          <w:spacing w:val="-63"/>
        </w:rPr>
      </w:r>
      <w:r>
        <w:rPr/>
        <w:t>率风险。</w:t>
      </w:r>
    </w:p>
    <w:p>
      <w:pPr>
        <w:spacing w:line="240" w:lineRule="auto" w:before="8"/>
        <w:rPr>
          <w:rFonts w:ascii="宋体" w:hAnsi="宋体" w:cs="宋体" w:eastAsia="宋体" w:hint="default"/>
          <w:sz w:val="24"/>
          <w:szCs w:val="24"/>
        </w:rPr>
      </w:pPr>
    </w:p>
    <w:p>
      <w:pPr>
        <w:pStyle w:val="Heading2"/>
        <w:spacing w:line="240" w:lineRule="auto"/>
        <w:ind w:right="254"/>
        <w:jc w:val="left"/>
        <w:rPr>
          <w:b w:val="0"/>
          <w:bCs w:val="0"/>
        </w:rPr>
      </w:pP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254"/>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44"/>
        <w:gridCol w:w="1133"/>
        <w:gridCol w:w="1702"/>
        <w:gridCol w:w="4892"/>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4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实地调研</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机构</w:t>
            </w:r>
            <w:r>
              <w:rPr>
                <w:rFonts w:ascii="宋体" w:hAnsi="宋体" w:cs="宋体" w:eastAsia="宋体" w:hint="default"/>
                <w:sz w:val="18"/>
                <w:szCs w:val="18"/>
              </w:rPr>
              <w:t> </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4"/>
                <w:sz w:val="18"/>
                <w:szCs w:val="18"/>
              </w:rPr>
              <w:t>麦达数字：</w:t>
            </w:r>
            <w:r>
              <w:rPr>
                <w:rFonts w:ascii="宋体" w:hAnsi="宋体" w:cs="宋体" w:eastAsia="宋体" w:hint="default"/>
                <w:spacing w:val="-4"/>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pacing w:val="-3"/>
                <w:sz w:val="18"/>
                <w:szCs w:val="18"/>
              </w:rPr>
              <w:t>日投资者关系活动记录表（巨潮资讯</w:t>
            </w:r>
            <w:r>
              <w:rPr>
                <w:rFonts w:ascii="宋体" w:hAnsi="宋体" w:cs="宋体" w:eastAsia="宋体" w:hint="default"/>
                <w:sz w:val="18"/>
                <w:szCs w:val="18"/>
              </w:rPr>
              <w:t> 网</w:t>
            </w:r>
            <w:r>
              <w:rPr>
                <w:rFonts w:ascii="宋体" w:hAnsi="宋体" w:cs="宋体" w:eastAsia="宋体" w:hint="default"/>
                <w:spacing w:val="-54"/>
                <w:sz w:val="18"/>
                <w:szCs w:val="18"/>
              </w:rPr>
              <w:t> </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w:t>
            </w:r>
            <w:r>
              <w:rPr>
                <w:rFonts w:ascii="宋体" w:hAnsi="宋体" w:cs="宋体" w:eastAsia="宋体" w:hint="default"/>
                <w:sz w:val="18"/>
                <w:szCs w:val="18"/>
              </w:rPr>
              <w:t> </w:t>
            </w:r>
          </w:p>
        </w:tc>
      </w:tr>
      <w:tr>
        <w:trPr>
          <w:trHeight w:val="71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实地调研</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机构</w:t>
            </w:r>
            <w:r>
              <w:rPr>
                <w:rFonts w:ascii="宋体" w:hAnsi="宋体" w:cs="宋体" w:eastAsia="宋体" w:hint="default"/>
                <w:sz w:val="18"/>
                <w:szCs w:val="18"/>
              </w:rPr>
              <w:t> </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麦达数字：</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日投资者关系活动记录表（巨潮资 讯网</w:t>
            </w:r>
            <w:r>
              <w:rPr>
                <w:rFonts w:ascii="宋体" w:hAnsi="宋体" w:cs="宋体" w:eastAsia="宋体" w:hint="default"/>
                <w:spacing w:val="-55"/>
                <w:sz w:val="18"/>
                <w:szCs w:val="18"/>
              </w:rPr>
              <w:t> </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w:t>
            </w:r>
            <w:r>
              <w:rPr>
                <w:rFonts w:ascii="宋体" w:hAnsi="宋体" w:cs="宋体" w:eastAsia="宋体" w:hint="default"/>
                <w:sz w:val="18"/>
                <w:szCs w:val="18"/>
              </w:rPr>
              <w:t> </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实地调研</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机构</w:t>
            </w:r>
            <w:r>
              <w:rPr>
                <w:rFonts w:ascii="宋体" w:hAnsi="宋体" w:cs="宋体" w:eastAsia="宋体" w:hint="default"/>
                <w:sz w:val="18"/>
                <w:szCs w:val="18"/>
              </w:rPr>
              <w:t> </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麦达数字：</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日投资者关系活动记录表（巨潮资 讯网</w:t>
            </w:r>
            <w:r>
              <w:rPr>
                <w:rFonts w:ascii="宋体" w:hAnsi="宋体" w:cs="宋体" w:eastAsia="宋体" w:hint="default"/>
                <w:spacing w:val="-55"/>
                <w:sz w:val="18"/>
                <w:szCs w:val="18"/>
              </w:rPr>
              <w:t> </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w:t>
            </w:r>
            <w:r>
              <w:rPr>
                <w:rFonts w:ascii="宋体" w:hAnsi="宋体" w:cs="宋体" w:eastAsia="宋体" w:hint="default"/>
                <w:sz w:val="18"/>
                <w:szCs w:val="18"/>
              </w:rPr>
              <w:t> </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实地调研</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机构</w:t>
            </w:r>
            <w:r>
              <w:rPr>
                <w:rFonts w:ascii="宋体" w:hAnsi="宋体" w:cs="宋体" w:eastAsia="宋体" w:hint="default"/>
                <w:sz w:val="18"/>
                <w:szCs w:val="18"/>
              </w:rPr>
              <w:t> </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麦达数字：</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日投资者关系活动记录表（巨潮资 讯网</w:t>
            </w:r>
            <w:r>
              <w:rPr>
                <w:rFonts w:ascii="宋体" w:hAnsi="宋体" w:cs="宋体" w:eastAsia="宋体" w:hint="default"/>
                <w:spacing w:val="-55"/>
                <w:sz w:val="18"/>
                <w:szCs w:val="18"/>
              </w:rPr>
              <w:t> </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w:t>
            </w:r>
            <w:r>
              <w:rPr>
                <w:rFonts w:ascii="宋体" w:hAnsi="宋体" w:cs="宋体" w:eastAsia="宋体" w:hint="default"/>
                <w:sz w:val="18"/>
                <w:szCs w:val="18"/>
              </w:rPr>
              <w:t> </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实地调研</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机构</w:t>
            </w:r>
            <w:r>
              <w:rPr>
                <w:rFonts w:ascii="宋体" w:hAnsi="宋体" w:cs="宋体" w:eastAsia="宋体" w:hint="default"/>
                <w:sz w:val="18"/>
                <w:szCs w:val="18"/>
              </w:rPr>
              <w:t> </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麦达数字：</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日投资者关系活动记录表（巨潮资 讯网</w:t>
            </w:r>
            <w:r>
              <w:rPr>
                <w:rFonts w:ascii="宋体" w:hAnsi="宋体" w:cs="宋体" w:eastAsia="宋体" w:hint="default"/>
                <w:spacing w:val="-55"/>
                <w:sz w:val="18"/>
                <w:szCs w:val="18"/>
              </w:rPr>
              <w:t> </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w:t>
            </w:r>
            <w:r>
              <w:rPr>
                <w:rFonts w:ascii="宋体" w:hAnsi="宋体" w:cs="宋体" w:eastAsia="宋体" w:hint="default"/>
                <w:sz w:val="18"/>
                <w:szCs w:val="18"/>
              </w:rPr>
              <w:t> </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844"/>
        <w:gridCol w:w="1133"/>
        <w:gridCol w:w="1702"/>
        <w:gridCol w:w="4892"/>
      </w:tblGrid>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实地调研</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72"/>
              <w:jc w:val="right"/>
              <w:rPr>
                <w:rFonts w:ascii="宋体" w:hAnsi="宋体" w:cs="宋体" w:eastAsia="宋体" w:hint="default"/>
                <w:sz w:val="18"/>
                <w:szCs w:val="18"/>
              </w:rPr>
            </w:pPr>
            <w:r>
              <w:rPr>
                <w:rFonts w:ascii="宋体" w:hAnsi="宋体" w:cs="宋体" w:eastAsia="宋体" w:hint="default"/>
                <w:sz w:val="18"/>
                <w:szCs w:val="18"/>
              </w:rPr>
              <w:t>机构</w:t>
            </w:r>
            <w:r>
              <w:rPr>
                <w:rFonts w:ascii="宋体" w:hAnsi="宋体" w:cs="宋体" w:eastAsia="宋体" w:hint="default"/>
                <w:sz w:val="18"/>
                <w:szCs w:val="18"/>
              </w:rPr>
              <w:t> </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pacing w:val="-4"/>
                <w:sz w:val="18"/>
                <w:szCs w:val="18"/>
              </w:rPr>
              <w:t>麦达数字：</w:t>
            </w:r>
            <w:r>
              <w:rPr>
                <w:rFonts w:ascii="宋体" w:hAnsi="宋体" w:cs="宋体" w:eastAsia="宋体" w:hint="default"/>
                <w:spacing w:val="-4"/>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pacing w:val="-3"/>
                <w:sz w:val="18"/>
                <w:szCs w:val="18"/>
              </w:rPr>
              <w:t>日投资者关系活动记录表（巨潮资</w:t>
            </w:r>
            <w:r>
              <w:rPr>
                <w:rFonts w:ascii="宋体" w:hAnsi="宋体" w:cs="宋体" w:eastAsia="宋体" w:hint="default"/>
                <w:sz w:val="18"/>
                <w:szCs w:val="18"/>
              </w:rPr>
              <w:t> 讯网</w:t>
            </w:r>
            <w:r>
              <w:rPr>
                <w:rFonts w:ascii="宋体" w:hAnsi="宋体" w:cs="宋体" w:eastAsia="宋体" w:hint="default"/>
                <w:spacing w:val="-55"/>
                <w:sz w:val="18"/>
                <w:szCs w:val="18"/>
              </w:rPr>
              <w:t> </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w:t>
            </w:r>
            <w:r>
              <w:rPr>
                <w:rFonts w:ascii="宋体" w:hAnsi="宋体" w:cs="宋体" w:eastAsia="宋体" w:hint="default"/>
                <w:sz w:val="18"/>
                <w:szCs w:val="18"/>
              </w:rPr>
              <w:t> </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实地调研</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72"/>
              <w:jc w:val="right"/>
              <w:rPr>
                <w:rFonts w:ascii="宋体" w:hAnsi="宋体" w:cs="宋体" w:eastAsia="宋体" w:hint="default"/>
                <w:sz w:val="18"/>
                <w:szCs w:val="18"/>
              </w:rPr>
            </w:pPr>
            <w:r>
              <w:rPr>
                <w:rFonts w:ascii="宋体" w:hAnsi="宋体" w:cs="宋体" w:eastAsia="宋体" w:hint="default"/>
                <w:sz w:val="18"/>
                <w:szCs w:val="18"/>
              </w:rPr>
              <w:t>机构</w:t>
            </w:r>
            <w:r>
              <w:rPr>
                <w:rFonts w:ascii="宋体" w:hAnsi="宋体" w:cs="宋体" w:eastAsia="宋体" w:hint="default"/>
                <w:sz w:val="18"/>
                <w:szCs w:val="18"/>
              </w:rPr>
              <w:t> </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4"/>
                <w:sz w:val="18"/>
                <w:szCs w:val="18"/>
              </w:rPr>
              <w:t>麦达数字：</w:t>
            </w:r>
            <w:r>
              <w:rPr>
                <w:rFonts w:ascii="宋体" w:hAnsi="宋体" w:cs="宋体" w:eastAsia="宋体" w:hint="default"/>
                <w:spacing w:val="-4"/>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pacing w:val="-3"/>
                <w:sz w:val="18"/>
                <w:szCs w:val="18"/>
              </w:rPr>
              <w:t>日投资者关系活动记录表（巨潮资</w:t>
            </w:r>
            <w:r>
              <w:rPr>
                <w:rFonts w:ascii="宋体" w:hAnsi="宋体" w:cs="宋体" w:eastAsia="宋体" w:hint="default"/>
                <w:sz w:val="18"/>
                <w:szCs w:val="18"/>
              </w:rPr>
              <w:t> 讯网</w:t>
            </w:r>
            <w:r>
              <w:rPr>
                <w:rFonts w:ascii="宋体" w:hAnsi="宋体" w:cs="宋体" w:eastAsia="宋体" w:hint="default"/>
                <w:spacing w:val="-55"/>
                <w:sz w:val="18"/>
                <w:szCs w:val="18"/>
              </w:rPr>
              <w:t> </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w:t>
            </w:r>
            <w:r>
              <w:rPr>
                <w:rFonts w:ascii="宋体" w:hAnsi="宋体" w:cs="宋体" w:eastAsia="宋体" w:hint="default"/>
                <w:sz w:val="18"/>
                <w:szCs w:val="18"/>
              </w:rPr>
              <w:t> </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实地调研</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72"/>
              <w:jc w:val="right"/>
              <w:rPr>
                <w:rFonts w:ascii="宋体" w:hAnsi="宋体" w:cs="宋体" w:eastAsia="宋体" w:hint="default"/>
                <w:sz w:val="18"/>
                <w:szCs w:val="18"/>
              </w:rPr>
            </w:pPr>
            <w:r>
              <w:rPr>
                <w:rFonts w:ascii="宋体" w:hAnsi="宋体" w:cs="宋体" w:eastAsia="宋体" w:hint="default"/>
                <w:sz w:val="18"/>
                <w:szCs w:val="18"/>
              </w:rPr>
              <w:t>机构</w:t>
            </w:r>
            <w:r>
              <w:rPr>
                <w:rFonts w:ascii="宋体" w:hAnsi="宋体" w:cs="宋体" w:eastAsia="宋体" w:hint="default"/>
                <w:sz w:val="18"/>
                <w:szCs w:val="18"/>
              </w:rPr>
              <w:t> </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4"/>
                <w:sz w:val="18"/>
                <w:szCs w:val="18"/>
              </w:rPr>
              <w:t>麦达数字：</w:t>
            </w:r>
            <w:r>
              <w:rPr>
                <w:rFonts w:ascii="宋体" w:hAnsi="宋体" w:cs="宋体" w:eastAsia="宋体" w:hint="default"/>
                <w:spacing w:val="-4"/>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pacing w:val="-3"/>
                <w:sz w:val="18"/>
                <w:szCs w:val="18"/>
              </w:rPr>
              <w:t>日投资者关系活动记录表（巨潮资</w:t>
            </w:r>
            <w:r>
              <w:rPr>
                <w:rFonts w:ascii="宋体" w:hAnsi="宋体" w:cs="宋体" w:eastAsia="宋体" w:hint="default"/>
                <w:sz w:val="18"/>
                <w:szCs w:val="18"/>
              </w:rPr>
              <w:t> 讯网</w:t>
            </w:r>
            <w:r>
              <w:rPr>
                <w:rFonts w:ascii="宋体" w:hAnsi="宋体" w:cs="宋体" w:eastAsia="宋体" w:hint="default"/>
                <w:spacing w:val="-55"/>
                <w:sz w:val="18"/>
                <w:szCs w:val="18"/>
              </w:rPr>
              <w:t> </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w:t>
            </w:r>
            <w:r>
              <w:rPr>
                <w:rFonts w:ascii="宋体" w:hAnsi="宋体" w:cs="宋体" w:eastAsia="宋体" w:hint="default"/>
                <w:sz w:val="18"/>
                <w:szCs w:val="18"/>
              </w:rPr>
              <w:t> </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350"/>
        <w:jc w:val="center"/>
        <w:rPr>
          <w:b w:val="0"/>
          <w:bCs w:val="0"/>
        </w:rPr>
      </w:pPr>
      <w:bookmarkStart w:name="_bookmark3" w:id="4"/>
      <w:bookmarkEnd w:id="4"/>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254"/>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54"/>
        <w:jc w:val="left"/>
      </w:pPr>
      <w:r>
        <w:rPr/>
        <w:t>报告期内普通股利润分配政策，特别是现金分红政策的制定、执行或调整情况</w:t>
      </w:r>
    </w:p>
    <w:p>
      <w:pPr>
        <w:pStyle w:val="BodyText"/>
        <w:spacing w:line="240" w:lineRule="auto" w:before="117"/>
        <w:ind w:right="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left="513" w:right="254" w:hanging="361"/>
        <w:jc w:val="left"/>
        <w:rPr>
          <w:rFonts w:ascii="宋体" w:hAnsi="宋体" w:cs="宋体" w:eastAsia="宋体" w:hint="default"/>
        </w:rPr>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61"/>
        </w:rPr>
        <w:t> </w:t>
      </w:r>
      <w:r>
        <w:rPr>
          <w:spacing w:val="-61"/>
        </w:rPr>
      </w:r>
      <w:r>
        <w:rPr/>
        <w:t>公司</w:t>
      </w:r>
      <w:r>
        <w:rPr>
          <w:rFonts w:ascii="宋体" w:hAnsi="宋体" w:cs="宋体" w:eastAsia="宋体" w:hint="default"/>
        </w:rPr>
        <w:t>2015</w:t>
      </w:r>
      <w:r>
        <w:rPr/>
        <w:t>年可供分配的利润为负；</w:t>
      </w:r>
      <w:r>
        <w:rPr>
          <w:rFonts w:ascii="宋体" w:hAnsi="宋体" w:cs="宋体" w:eastAsia="宋体" w:hint="default"/>
        </w:rPr>
        <w:t> </w:t>
      </w:r>
    </w:p>
    <w:p>
      <w:pPr>
        <w:pStyle w:val="BodyText"/>
        <w:spacing w:line="357" w:lineRule="auto" w:before="70"/>
        <w:ind w:right="189" w:firstLine="360"/>
        <w:jc w:val="both"/>
        <w:rPr>
          <w:rFonts w:ascii="宋体" w:hAnsi="宋体" w:cs="宋体" w:eastAsia="宋体" w:hint="default"/>
        </w:rPr>
      </w:pPr>
      <w:r>
        <w:rPr>
          <w:spacing w:val="-2"/>
        </w:rPr>
        <w:t>公司</w:t>
      </w:r>
      <w:r>
        <w:rPr>
          <w:rFonts w:ascii="宋体" w:hAnsi="宋体" w:cs="宋体" w:eastAsia="宋体" w:hint="default"/>
          <w:spacing w:val="-2"/>
        </w:rPr>
        <w:t>2016</w:t>
      </w:r>
      <w:r>
        <w:rPr>
          <w:spacing w:val="-2"/>
        </w:rPr>
        <w:t>年可供分配的利润为正，但鉴于</w:t>
      </w:r>
      <w:r>
        <w:rPr>
          <w:rFonts w:ascii="宋体" w:hAnsi="宋体" w:cs="宋体" w:eastAsia="宋体" w:hint="default"/>
          <w:spacing w:val="-2"/>
        </w:rPr>
        <w:t>2016</w:t>
      </w:r>
      <w:r>
        <w:rPr>
          <w:spacing w:val="-2"/>
        </w:rPr>
        <w:t>年公司净利润主要来自非经常性损益，且根据公司战略规划，公司下一步</w:t>
      </w:r>
      <w:r>
        <w:rPr/>
        <w:t> </w:t>
      </w:r>
      <w:r>
        <w:rPr>
          <w:spacing w:val="-2"/>
        </w:rPr>
        <w:t>将重点打造在企业级</w:t>
      </w:r>
      <w:r>
        <w:rPr>
          <w:rFonts w:ascii="宋体" w:hAnsi="宋体" w:cs="宋体" w:eastAsia="宋体" w:hint="default"/>
          <w:spacing w:val="-2"/>
        </w:rPr>
        <w:t>SaaS</w:t>
      </w:r>
      <w:r>
        <w:rPr>
          <w:spacing w:val="-2"/>
        </w:rPr>
        <w:t>服务领域的技术能力、市场能力，从而培育公司平台能力，未来一定期限内公司需要投入大量资金</w:t>
      </w:r>
      <w:r>
        <w:rPr>
          <w:spacing w:val="-63"/>
        </w:rPr>
        <w:t> </w:t>
      </w:r>
      <w:r>
        <w:rPr>
          <w:spacing w:val="-63"/>
        </w:rPr>
      </w:r>
      <w:r>
        <w:rPr/>
        <w:t>用于新的战略落地执行，所以公司</w:t>
      </w:r>
      <w:r>
        <w:rPr>
          <w:rFonts w:ascii="宋体" w:hAnsi="宋体" w:cs="宋体" w:eastAsia="宋体" w:hint="default"/>
        </w:rPr>
        <w:t>2016</w:t>
      </w:r>
      <w:r>
        <w:rPr/>
        <w:t>年度不派发现金红利，不送红股，不以公积金转增股本；</w:t>
      </w:r>
      <w:r>
        <w:rPr>
          <w:rFonts w:ascii="宋体" w:hAnsi="宋体" w:cs="宋体" w:eastAsia="宋体" w:hint="default"/>
        </w:rPr>
        <w:t> </w:t>
      </w:r>
    </w:p>
    <w:p>
      <w:pPr>
        <w:pStyle w:val="BodyText"/>
        <w:spacing w:line="357" w:lineRule="auto" w:before="26"/>
        <w:ind w:right="103" w:firstLine="360"/>
        <w:jc w:val="left"/>
      </w:pPr>
      <w:r>
        <w:rPr>
          <w:spacing w:val="-2"/>
        </w:rPr>
        <w:t>公司</w:t>
      </w:r>
      <w:r>
        <w:rPr>
          <w:rFonts w:ascii="宋体" w:hAnsi="宋体" w:cs="宋体" w:eastAsia="宋体" w:hint="default"/>
          <w:spacing w:val="-2"/>
        </w:rPr>
        <w:t>2017</w:t>
      </w:r>
      <w:r>
        <w:rPr>
          <w:spacing w:val="-2"/>
        </w:rPr>
        <w:t>年度合并报表实现归属于上市公司股东的净利润为</w:t>
      </w:r>
      <w:r>
        <w:rPr>
          <w:rFonts w:ascii="宋体" w:hAnsi="宋体" w:cs="宋体" w:eastAsia="宋体" w:hint="default"/>
          <w:spacing w:val="-2"/>
        </w:rPr>
        <w:t>7,532.73</w:t>
      </w:r>
      <w:r>
        <w:rPr>
          <w:spacing w:val="-2"/>
        </w:rPr>
        <w:t>万元，由于公司战略转型以来一直按照投资控股集</w:t>
      </w:r>
      <w:r>
        <w:rPr/>
        <w:t> 团模式运营，公司合并净利润主要来自于各业务板块子公司，考虑到各子公司经营发展需要，</w:t>
      </w:r>
      <w:r>
        <w:rPr>
          <w:rFonts w:ascii="宋体" w:hAnsi="宋体" w:cs="宋体" w:eastAsia="宋体" w:hint="default"/>
        </w:rPr>
        <w:t>2015-2017</w:t>
      </w:r>
      <w:r>
        <w:rPr/>
        <w:t>年度均未实施子公 司向母公司分红，导致母公司本年度实现的净利润为</w:t>
      </w:r>
      <w:r>
        <w:rPr>
          <w:rFonts w:ascii="宋体" w:hAnsi="宋体" w:cs="宋体" w:eastAsia="宋体" w:hint="default"/>
        </w:rPr>
        <w:t>-3,843.73</w:t>
      </w:r>
      <w:r>
        <w:rPr/>
        <w:t>万元，未提取法定盈余公积金，加上年初母公司累计未分配 </w:t>
      </w:r>
      <w:r>
        <w:rPr>
          <w:spacing w:val="-2"/>
        </w:rPr>
        <w:t>利润</w:t>
      </w:r>
      <w:r>
        <w:rPr>
          <w:rFonts w:ascii="宋体" w:hAnsi="宋体" w:cs="宋体" w:eastAsia="宋体" w:hint="default"/>
          <w:spacing w:val="-2"/>
        </w:rPr>
        <w:t>2,686.68</w:t>
      </w:r>
      <w:r>
        <w:rPr>
          <w:spacing w:val="-2"/>
        </w:rPr>
        <w:t>万元，截止报告期末母公司可供投资者分配的利润数为</w:t>
      </w:r>
      <w:r>
        <w:rPr>
          <w:rFonts w:ascii="宋体" w:hAnsi="宋体" w:cs="宋体" w:eastAsia="宋体" w:hint="default"/>
          <w:spacing w:val="-2"/>
        </w:rPr>
        <w:t>-1,157.05</w:t>
      </w:r>
      <w:r>
        <w:rPr>
          <w:spacing w:val="-2"/>
        </w:rPr>
        <w:t>万元。</w:t>
      </w:r>
      <w:r>
        <w:rPr>
          <w:rFonts w:ascii="宋体" w:hAnsi="宋体" w:cs="宋体" w:eastAsia="宋体" w:hint="default"/>
          <w:spacing w:val="-2"/>
        </w:rPr>
        <w:t>2017</w:t>
      </w:r>
      <w:r>
        <w:rPr>
          <w:spacing w:val="-2"/>
        </w:rPr>
        <w:t>年母公司可供分配的利润为负数，</w:t>
      </w:r>
      <w:r>
        <w:rPr>
          <w:spacing w:val="-52"/>
        </w:rPr>
        <w:t> </w:t>
      </w:r>
      <w:r>
        <w:rPr>
          <w:spacing w:val="-2"/>
        </w:rPr>
        <w:t>不符合现金分红条件，同时考虑到目前公司股本规模较大，所以公司</w:t>
      </w:r>
      <w:r>
        <w:rPr>
          <w:rFonts w:ascii="宋体" w:hAnsi="宋体" w:cs="宋体" w:eastAsia="宋体" w:hint="default"/>
          <w:spacing w:val="-2"/>
        </w:rPr>
        <w:t>2017</w:t>
      </w:r>
      <w:r>
        <w:rPr>
          <w:spacing w:val="-2"/>
        </w:rPr>
        <w:t>年度不派发现金红利，不送红股，不以公积金转增</w:t>
      </w:r>
      <w:r>
        <w:rPr>
          <w:spacing w:val="-61"/>
        </w:rPr>
        <w:t> </w:t>
      </w:r>
      <w:r>
        <w:rPr>
          <w:spacing w:val="-61"/>
        </w:rPr>
      </w:r>
      <w:r>
        <w:rPr/>
        <w:t>股本。</w:t>
      </w:r>
    </w:p>
    <w:p>
      <w:pPr>
        <w:pStyle w:val="BodyText"/>
        <w:spacing w:line="240" w:lineRule="auto" w:before="108"/>
        <w:ind w:right="254"/>
        <w:jc w:val="left"/>
      </w:pPr>
      <w:r>
        <w:rPr/>
        <w:t>公司近三年（包括本报告期）普通股现金分红情况表</w:t>
      </w:r>
    </w:p>
    <w:p>
      <w:pPr>
        <w:pStyle w:val="BodyText"/>
        <w:spacing w:line="240" w:lineRule="auto" w:before="115"/>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4"/>
        <w:gridCol w:w="1381"/>
        <w:gridCol w:w="2126"/>
        <w:gridCol w:w="1844"/>
        <w:gridCol w:w="1419"/>
        <w:gridCol w:w="1202"/>
      </w:tblGrid>
      <w:tr>
        <w:trPr>
          <w:trHeight w:val="161" w:hRule="exact"/>
        </w:trPr>
        <w:tc>
          <w:tcPr>
            <w:tcW w:w="1584" w:type="dxa"/>
            <w:vMerge w:val="restart"/>
            <w:tcBorders>
              <w:top w:val="single" w:sz="4" w:space="0" w:color="000000"/>
              <w:left w:val="single" w:sz="4" w:space="0" w:color="000000"/>
              <w:right w:val="single" w:sz="4" w:space="0" w:color="000000"/>
            </w:tcBorders>
            <w:shd w:val="clear" w:color="auto" w:fill="D2D2D2"/>
          </w:tcPr>
          <w:p>
            <w:pPr/>
          </w:p>
        </w:tc>
        <w:tc>
          <w:tcPr>
            <w:tcW w:w="1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72" w:right="62"/>
              <w:jc w:val="center"/>
              <w:rPr>
                <w:rFonts w:ascii="宋体" w:hAnsi="宋体" w:cs="宋体" w:eastAsia="宋体" w:hint="default"/>
                <w:sz w:val="18"/>
                <w:szCs w:val="18"/>
              </w:rPr>
            </w:pPr>
            <w:r>
              <w:rPr>
                <w:rFonts w:ascii="宋体" w:hAnsi="宋体" w:cs="宋体" w:eastAsia="宋体" w:hint="default"/>
                <w:sz w:val="18"/>
                <w:szCs w:val="18"/>
              </w:rPr>
              <w:t>分红年度合并报表中归属 于上市公司普通股股东的 净利润</w:t>
            </w: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07" w:right="105"/>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4" w:type="dxa"/>
            <w:vMerge/>
            <w:tcBorders>
              <w:left w:val="single" w:sz="4" w:space="0" w:color="000000"/>
              <w:bottom w:val="nil" w:sz="6" w:space="0" w:color="auto"/>
              <w:right w:val="single" w:sz="4" w:space="0" w:color="000000"/>
            </w:tcBorders>
            <w:shd w:val="clear" w:color="auto" w:fill="D2D2D2"/>
          </w:tcPr>
          <w:p>
            <w:pPr/>
          </w:p>
        </w:tc>
        <w:tc>
          <w:tcPr>
            <w:tcW w:w="1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2126" w:type="dxa"/>
            <w:vMerge/>
            <w:tcBorders>
              <w:left w:val="single" w:sz="4" w:space="0" w:color="000000"/>
              <w:right w:val="single" w:sz="4" w:space="0" w:color="000000"/>
            </w:tcBorders>
            <w:shd w:val="clear" w:color="auto" w:fill="D2D2D2"/>
          </w:tcPr>
          <w:p>
            <w:pPr/>
          </w:p>
        </w:tc>
        <w:tc>
          <w:tcPr>
            <w:tcW w:w="1844"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54" w:right="74"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20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7" w:right="53"/>
              <w:jc w:val="left"/>
              <w:rPr>
                <w:rFonts w:ascii="宋体" w:hAnsi="宋体" w:cs="宋体" w:eastAsia="宋体" w:hint="default"/>
                <w:sz w:val="18"/>
                <w:szCs w:val="18"/>
              </w:rPr>
            </w:pPr>
            <w:r>
              <w:rPr>
                <w:rFonts w:ascii="宋体" w:hAnsi="宋体" w:cs="宋体" w:eastAsia="宋体" w:hint="default"/>
                <w:sz w:val="18"/>
                <w:szCs w:val="18"/>
              </w:rPr>
              <w:t>以其他方式现 金分红的比例</w:t>
            </w:r>
          </w:p>
        </w:tc>
      </w:tr>
      <w:tr>
        <w:trPr>
          <w:trHeight w:val="394"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381" w:type="dxa"/>
            <w:vMerge/>
            <w:tcBorders>
              <w:left w:val="single" w:sz="4" w:space="0" w:color="000000"/>
              <w:right w:val="single" w:sz="4" w:space="0" w:color="000000"/>
            </w:tcBorders>
            <w:shd w:val="clear" w:color="auto" w:fill="D2D2D2"/>
          </w:tcPr>
          <w:p>
            <w:pPr/>
          </w:p>
        </w:tc>
        <w:tc>
          <w:tcPr>
            <w:tcW w:w="2126" w:type="dxa"/>
            <w:vMerge/>
            <w:tcBorders>
              <w:left w:val="single" w:sz="4" w:space="0" w:color="000000"/>
              <w:right w:val="single" w:sz="4" w:space="0" w:color="000000"/>
            </w:tcBorders>
            <w:shd w:val="clear" w:color="auto" w:fill="D2D2D2"/>
          </w:tcPr>
          <w:p>
            <w:pPr/>
          </w:p>
        </w:tc>
        <w:tc>
          <w:tcPr>
            <w:tcW w:w="1844"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r>
      <w:tr>
        <w:trPr>
          <w:trHeight w:val="156" w:hRule="exact"/>
        </w:trPr>
        <w:tc>
          <w:tcPr>
            <w:tcW w:w="1584" w:type="dxa"/>
            <w:vMerge w:val="restart"/>
            <w:tcBorders>
              <w:top w:val="nil" w:sz="6" w:space="0" w:color="auto"/>
              <w:left w:val="single" w:sz="4" w:space="0" w:color="000000"/>
              <w:right w:val="single" w:sz="4" w:space="0" w:color="000000"/>
            </w:tcBorders>
            <w:shd w:val="clear" w:color="auto" w:fill="D2D2D2"/>
          </w:tcPr>
          <w:p>
            <w:pPr/>
          </w:p>
        </w:tc>
        <w:tc>
          <w:tcPr>
            <w:tcW w:w="1381" w:type="dxa"/>
            <w:vMerge/>
            <w:tcBorders>
              <w:left w:val="single" w:sz="4" w:space="0" w:color="000000"/>
              <w:bottom w:val="nil" w:sz="6" w:space="0" w:color="auto"/>
              <w:right w:val="single" w:sz="4" w:space="0" w:color="000000"/>
            </w:tcBorders>
            <w:shd w:val="clear" w:color="auto" w:fill="D2D2D2"/>
          </w:tcPr>
          <w:p>
            <w:pPr/>
          </w:p>
        </w:tc>
        <w:tc>
          <w:tcPr>
            <w:tcW w:w="2126" w:type="dxa"/>
            <w:vMerge/>
            <w:tcBorders>
              <w:left w:val="single" w:sz="4" w:space="0" w:color="000000"/>
              <w:right w:val="single" w:sz="4" w:space="0" w:color="000000"/>
            </w:tcBorders>
            <w:shd w:val="clear" w:color="auto" w:fill="D2D2D2"/>
          </w:tcPr>
          <w:p>
            <w:pPr/>
          </w:p>
        </w:tc>
        <w:tc>
          <w:tcPr>
            <w:tcW w:w="1844"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584" w:type="dxa"/>
            <w:vMerge/>
            <w:tcBorders>
              <w:left w:val="single" w:sz="4" w:space="0" w:color="000000"/>
              <w:bottom w:val="single" w:sz="4" w:space="0" w:color="000000"/>
              <w:right w:val="single" w:sz="4" w:space="0" w:color="000000"/>
            </w:tcBorders>
            <w:shd w:val="clear" w:color="auto" w:fill="D2D2D2"/>
          </w:tcPr>
          <w:p>
            <w:pPr/>
          </w:p>
        </w:tc>
        <w:tc>
          <w:tcPr>
            <w:tcW w:w="1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6" w:type="dxa"/>
            <w:vMerge/>
            <w:tcBorders>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75,327,297.44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149,987,651.76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18,172,467.25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254"/>
        <w:jc w:val="left"/>
      </w:pPr>
      <w:r>
        <w:rPr/>
        <w:t>公司报告期内盈利且母公司可供普通股股东分配利润为正但未提出普通股现金红利分配预案</w:t>
      </w:r>
    </w:p>
    <w:p>
      <w:pPr>
        <w:pStyle w:val="BodyText"/>
        <w:spacing w:line="240" w:lineRule="auto" w:before="117"/>
        <w:ind w:right="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254"/>
        <w:jc w:val="left"/>
        <w:rPr>
          <w:b w:val="0"/>
          <w:bCs w:val="0"/>
        </w:rPr>
      </w:pPr>
      <w:r>
        <w:rPr/>
        <w:t>二、本报告期利润分配及资本公积金转增股本预案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513" w:right="42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公司计划年度不派发现金红利，不送红股，不以公积金转增股本。</w:t>
      </w:r>
    </w:p>
    <w:p>
      <w:pPr>
        <w:spacing w:line="240" w:lineRule="auto" w:before="4"/>
        <w:rPr>
          <w:rFonts w:ascii="宋体" w:hAnsi="宋体" w:cs="宋体" w:eastAsia="宋体" w:hint="default"/>
          <w:sz w:val="19"/>
          <w:szCs w:val="19"/>
        </w:rPr>
      </w:pPr>
    </w:p>
    <w:p>
      <w:pPr>
        <w:pStyle w:val="Heading2"/>
        <w:spacing w:line="240" w:lineRule="auto"/>
        <w:ind w:right="254"/>
        <w:jc w:val="left"/>
        <w:rPr>
          <w:b w:val="0"/>
          <w:bCs w:val="0"/>
        </w:rPr>
      </w:pP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9" w:lineRule="auto"/>
        <w:ind w:right="94"/>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40"/>
        </w:sectPr>
      </w:pPr>
    </w:p>
    <w:p>
      <w:pPr>
        <w:spacing w:line="240" w:lineRule="auto" w:before="0"/>
        <w:rPr>
          <w:rFonts w:ascii="Times New Roman" w:hAnsi="Times New Roman" w:cs="Times New Roman" w:eastAsia="Times New Roman" w:hint="default"/>
          <w:sz w:val="20"/>
          <w:szCs w:val="20"/>
        </w:rPr>
      </w:pPr>
      <w:r>
        <w:rPr/>
        <w:pict>
          <v:shape style="position:absolute;margin-left:417.53302pt;margin-top:594.315979pt;width:57.2pt;height:69.150pt;mso-position-horizontal-relative:page;mso-position-vertical-relative:page;z-index:-11022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后，</w:t>
                  </w:r>
                </w:p>
              </w:txbxContent>
            </v:textbox>
            <w10:wrap type="none"/>
          </v:shape>
        </w:pict>
      </w:r>
      <w:r>
        <w:rPr/>
        <w:pict>
          <v:group style="position:absolute;margin-left:432.670013pt;margin-top:153.73999pt;width:42.05pt;height:40.950pt;mso-position-horizontal-relative:page;mso-position-vertical-relative:page;z-index:-1102264" coordorigin="8653,3075" coordsize="841,819">
            <v:group style="position:absolute;left:8653;top:3425;width:841;height:468" coordorigin="8653,3425" coordsize="841,468">
              <v:shape style="position:absolute;left:8653;top:3425;width:841;height:468" coordorigin="8653,3425" coordsize="841,468" path="m8653,3893l9494,3893,9494,3425,8653,3425,8653,3893xe" filled="true" fillcolor="#ffffff" stroked="false">
                <v:path arrowok="t"/>
                <v:fill type="solid"/>
              </v:shape>
            </v:group>
            <v:group style="position:absolute;left:8677;top:3075;width:795;height:351" coordorigin="8677,3075" coordsize="795,351">
              <v:shape style="position:absolute;left:8677;top:3075;width:795;height:351" coordorigin="8677,3075" coordsize="795,351" path="m8677,3425l9472,3425,9472,3075,8677,3075,8677,3425xe" filled="true" fillcolor="#ffffff" stroked="false">
                <v:path arrowok="t"/>
                <v:fill type="solid"/>
              </v:shape>
            </v:group>
            <w10:wrap type="none"/>
          </v:group>
        </w:pict>
      </w:r>
      <w:r>
        <w:rPr/>
        <w:pict>
          <v:group style="position:absolute;margin-left:432.670013pt;margin-top:453.289978pt;width:42.05pt;height:210.2pt;mso-position-horizontal-relative:page;mso-position-vertical-relative:page;z-index:-1102240" coordorigin="8653,9066" coordsize="841,4204">
            <v:group style="position:absolute;left:8653;top:9066;width:841;height:2809" coordorigin="8653,9066" coordsize="841,2809">
              <v:shape style="position:absolute;left:8653;top:9066;width:841;height:2809" coordorigin="8653,9066" coordsize="841,2809" path="m8653,11874l9494,11874,9494,9066,8653,9066,8653,11874xe" filled="true" fillcolor="#ffffff" stroked="false">
                <v:path arrowok="t"/>
                <v:fill type="solid"/>
              </v:shape>
            </v:group>
            <v:group style="position:absolute;left:8653;top:11886;width:841;height:1383" coordorigin="8653,11886" coordsize="841,1383">
              <v:shape style="position:absolute;left:8653;top:11886;width:841;height:1383" coordorigin="8653,11886" coordsize="841,1383" path="m8653,13269l9494,13269,9494,11886,8653,11886,8653,1326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854"/>
        <w:gridCol w:w="1133"/>
        <w:gridCol w:w="850"/>
        <w:gridCol w:w="5103"/>
        <w:gridCol w:w="853"/>
        <w:gridCol w:w="850"/>
        <w:gridCol w:w="852"/>
      </w:tblGrid>
      <w:tr>
        <w:trPr>
          <w:trHeight w:val="401" w:hRule="exact"/>
        </w:trPr>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4" w:hRule="exact"/>
        </w:trPr>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3"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96"/>
              <w:jc w:val="both"/>
              <w:rPr>
                <w:rFonts w:ascii="宋体" w:hAnsi="宋体" w:cs="宋体" w:eastAsia="宋体" w:hint="default"/>
                <w:sz w:val="18"/>
                <w:szCs w:val="18"/>
              </w:rPr>
            </w:pPr>
            <w:r>
              <w:rPr>
                <w:rFonts w:ascii="宋体" w:hAnsi="宋体" w:cs="宋体" w:eastAsia="宋体" w:hint="default"/>
                <w:sz w:val="18"/>
                <w:szCs w:val="18"/>
              </w:rPr>
              <w:t>收购报告 书或权益 变动报告 书中所作 承诺</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陈亚妹、乔昕</w:t>
            </w:r>
          </w:p>
        </w:tc>
        <w:tc>
          <w:tcPr>
            <w:tcW w:w="850"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14" w:space="0" w:color="FFFFFF"/>
            </w:tcBorders>
          </w:tcPr>
          <w:p>
            <w:pPr>
              <w:pStyle w:val="TableParagraph"/>
              <w:spacing w:line="314" w:lineRule="auto" w:before="49"/>
              <w:ind w:left="24"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、关于关联交易事项的承诺：对于由于各种合理原因而可能发生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的关联交易将遵循公开、公平、公正的原则，依法签订协议，按 照公允、合理的市场价格与实益达进行交易，并依据有关法律、 </w:t>
            </w:r>
            <w:r>
              <w:rPr>
                <w:rFonts w:ascii="宋体" w:hAnsi="宋体" w:cs="宋体" w:eastAsia="宋体" w:hint="default"/>
                <w:spacing w:val="-4"/>
                <w:sz w:val="18"/>
                <w:szCs w:val="18"/>
              </w:rPr>
              <w:t>法规及规范性文件的规定履行决策程序，依法履行信息披露义务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保证不通过关联交易损害上市公司及其他股东的合法权益。</w:t>
            </w:r>
          </w:p>
        </w:tc>
        <w:tc>
          <w:tcPr>
            <w:tcW w:w="853" w:type="dxa"/>
            <w:tcBorders>
              <w:top w:val="single" w:sz="4" w:space="0" w:color="000000"/>
              <w:left w:val="single" w:sz="14"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03" w:lineRule="exact" w:before="63"/>
              <w:ind w:left="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9"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2"/>
                <w:szCs w:val="2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正在履行 中，未发 生违反承 诺的事 项。</w:t>
            </w:r>
          </w:p>
        </w:tc>
      </w:tr>
      <w:tr>
        <w:trPr>
          <w:trHeight w:val="1651" w:hRule="exact"/>
        </w:trPr>
        <w:tc>
          <w:tcPr>
            <w:tcW w:w="854" w:type="dxa"/>
            <w:vMerge w:val="restart"/>
            <w:tcBorders>
              <w:top w:val="single" w:sz="4" w:space="0" w:color="000000"/>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3" w:right="19"/>
              <w:jc w:val="left"/>
              <w:rPr>
                <w:rFonts w:ascii="宋体" w:hAnsi="宋体" w:cs="宋体" w:eastAsia="宋体"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w:t>
            </w:r>
            <w:r>
              <w:rPr>
                <w:rFonts w:ascii="宋体" w:hAnsi="宋体" w:cs="宋体" w:eastAsia="宋体" w:hint="default"/>
                <w:sz w:val="18"/>
                <w:szCs w:val="18"/>
              </w:rPr>
              <w:t>新余海 和投资管理 中心（有限合 伙）</w:t>
            </w:r>
          </w:p>
        </w:tc>
        <w:tc>
          <w:tcPr>
            <w:tcW w:w="850"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05"/>
              <w:ind w:left="24" w:right="19"/>
              <w:jc w:val="left"/>
              <w:rPr>
                <w:rFonts w:ascii="宋体" w:hAnsi="宋体" w:cs="宋体" w:eastAsia="宋体" w:hint="default"/>
                <w:sz w:val="18"/>
                <w:szCs w:val="18"/>
              </w:rPr>
            </w:pPr>
            <w:r>
              <w:rPr>
                <w:rFonts w:ascii="宋体" w:hAnsi="宋体" w:cs="宋体" w:eastAsia="宋体" w:hint="default"/>
                <w:spacing w:val="-2"/>
                <w:sz w:val="18"/>
                <w:szCs w:val="18"/>
              </w:rPr>
              <w:t>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本企业因本次交易取得的上市公司股份，自股份发行完成之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月内不得转让。</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正在履行 中，未发 生违反承 诺的事 项。</w:t>
            </w:r>
          </w:p>
        </w:tc>
      </w:tr>
      <w:tr>
        <w:trPr>
          <w:trHeight w:val="3574" w:hRule="exact"/>
        </w:trPr>
        <w:tc>
          <w:tcPr>
            <w:tcW w:w="854"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6" w:right="0"/>
              <w:jc w:val="left"/>
              <w:rPr>
                <w:rFonts w:ascii="宋体" w:hAnsi="宋体" w:cs="宋体" w:eastAsia="宋体" w:hint="default"/>
                <w:sz w:val="18"/>
                <w:szCs w:val="18"/>
              </w:rPr>
            </w:pPr>
            <w:r>
              <w:rPr>
                <w:rFonts w:ascii="宋体" w:hAnsi="宋体" w:cs="宋体" w:eastAsia="宋体" w:hint="default"/>
                <w:sz w:val="18"/>
                <w:szCs w:val="18"/>
              </w:rPr>
              <w:t>张伟</w:t>
            </w:r>
          </w:p>
        </w:tc>
        <w:tc>
          <w:tcPr>
            <w:tcW w:w="850" w:type="dxa"/>
            <w:vMerge w:val="restart"/>
            <w:tcBorders>
              <w:top w:val="single" w:sz="4" w:space="0" w:color="000000"/>
              <w:left w:val="single" w:sz="4" w:space="0" w:color="000000"/>
              <w:right w:val="single" w:sz="4" w:space="0" w:color="000000"/>
            </w:tcBorders>
          </w:tcPr>
          <w:p>
            <w:pPr/>
          </w:p>
        </w:tc>
        <w:tc>
          <w:tcPr>
            <w:tcW w:w="5103" w:type="dxa"/>
            <w:vMerge w:val="restart"/>
            <w:tcBorders>
              <w:top w:val="single" w:sz="4" w:space="0" w:color="000000"/>
              <w:left w:val="single" w:sz="4" w:space="0" w:color="000000"/>
              <w:right w:val="single" w:sz="4" w:space="0" w:color="000000"/>
            </w:tcBorders>
          </w:tcPr>
          <w:p>
            <w:pPr>
              <w:pStyle w:val="TableParagraph"/>
              <w:spacing w:line="309"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张伟因本次交易而获得的上市公司股份自本次交易股份发行完成 </w:t>
            </w:r>
            <w:r>
              <w:rPr>
                <w:rFonts w:ascii="宋体" w:hAnsi="宋体" w:cs="宋体" w:eastAsia="宋体" w:hint="default"/>
                <w:spacing w:val="-4"/>
                <w:sz w:val="18"/>
                <w:szCs w:val="18"/>
              </w:rPr>
              <w:t>之日（即该等股份登记至其证券账户之日，下同）起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个月内不 得转让（包括但不限于通过证券市场公开转让、通过协议方式转 </w:t>
            </w:r>
            <w:r>
              <w:rPr>
                <w:rFonts w:ascii="宋体" w:hAnsi="宋体" w:cs="宋体" w:eastAsia="宋体" w:hint="default"/>
                <w:spacing w:val="-4"/>
                <w:sz w:val="18"/>
                <w:szCs w:val="18"/>
              </w:rPr>
              <w:t>让等）、质押或设定其他任何权利负担；</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、自本次交易股份发行</w:t>
            </w:r>
            <w:r>
              <w:rPr>
                <w:rFonts w:ascii="宋体" w:hAnsi="宋体" w:cs="宋体" w:eastAsia="宋体" w:hint="default"/>
                <w:spacing w:val="-62"/>
                <w:sz w:val="18"/>
                <w:szCs w:val="18"/>
              </w:rPr>
              <w:t> </w:t>
            </w:r>
            <w:r>
              <w:rPr>
                <w:rFonts w:ascii="宋体" w:hAnsi="宋体" w:cs="宋体" w:eastAsia="宋体" w:hint="default"/>
                <w:sz w:val="18"/>
                <w:szCs w:val="18"/>
              </w:rPr>
              <w:t>完成之日起满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个月，且经审计机构对顺为广告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年度实际 盈利情况进行审计并出具《专项审核报告》后，张伟已履行完毕 补偿义务或根据实际情况当年度无需进行补偿，张伟当年可解禁</w:t>
            </w:r>
          </w:p>
          <w:p>
            <w:pPr>
              <w:pStyle w:val="TableParagraph"/>
              <w:spacing w:line="309" w:lineRule="auto" w:before="24"/>
              <w:ind w:left="24" w:right="18"/>
              <w:jc w:val="left"/>
              <w:rPr>
                <w:rFonts w:ascii="宋体" w:hAnsi="宋体" w:cs="宋体" w:eastAsia="宋体" w:hint="default"/>
                <w:sz w:val="18"/>
                <w:szCs w:val="18"/>
              </w:rPr>
            </w:pPr>
            <w:r>
              <w:rPr>
                <w:rFonts w:ascii="宋体" w:hAnsi="宋体" w:cs="宋体" w:eastAsia="宋体" w:hint="default"/>
                <w:sz w:val="18"/>
                <w:szCs w:val="18"/>
              </w:rPr>
              <w:t>（解禁是指转让、质押或设定其他任何权利负担，下同）全部取 得股份的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扣除累计已执行补偿的股份数量的余额；</w:t>
            </w:r>
            <w:r>
              <w:rPr>
                <w:rFonts w:ascii="Times New Roman" w:hAnsi="Times New Roman" w:cs="Times New Roman" w:eastAsia="Times New Roman" w:hint="default"/>
                <w:sz w:val="18"/>
                <w:szCs w:val="18"/>
              </w:rPr>
              <w:t>3</w:t>
            </w:r>
            <w:r>
              <w:rPr>
                <w:rFonts w:ascii="宋体" w:hAnsi="宋体" w:cs="宋体" w:eastAsia="宋体" w:hint="default"/>
                <w:sz w:val="18"/>
                <w:szCs w:val="18"/>
              </w:rPr>
              <w:t>、经审 计机构对顺为广告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年度实际盈利情况进行审计并出具《专项</w:t>
            </w:r>
            <w:r>
              <w:rPr>
                <w:rFonts w:ascii="宋体" w:hAnsi="宋体" w:cs="宋体" w:eastAsia="宋体" w:hint="default"/>
                <w:sz w:val="18"/>
                <w:szCs w:val="18"/>
              </w:rPr>
              <w:t> 审核报告》后，张伟已履行完毕补偿义务或根据实际情况当年度 无需进行补偿，张伟当年累计可解禁全部取得股份的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扣除累 </w:t>
            </w:r>
            <w:r>
              <w:rPr>
                <w:rFonts w:ascii="宋体" w:hAnsi="宋体" w:cs="宋体" w:eastAsia="宋体" w:hint="default"/>
                <w:spacing w:val="-5"/>
                <w:sz w:val="18"/>
                <w:szCs w:val="18"/>
              </w:rPr>
              <w:t>计已执行补偿的股份数量的余额；</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、经审计机构对顺为广告</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年度实际盈利情况进行审计并出具《专项审核报告》及《减值测 试报告》后，张伟已履行完毕补偿义务或根据实际情况当年度无 需进行补偿，张伟当年累计可解禁全部取得股份的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扣除累 计已执行补偿的股份数量的余额；此外，根据《重组办法》的规 定，若张伟取得上市公司本次发行股份时，持有的顺为广告</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 股权的时间不足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个月，则张伟取得的上市公司本次发行股份</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自股份发行结束之日起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个月内不得转让。</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4" w:right="96"/>
              <w:jc w:val="left"/>
              <w:rPr>
                <w:rFonts w:ascii="宋体" w:hAnsi="宋体" w:cs="宋体" w:eastAsia="宋体" w:hint="default"/>
                <w:sz w:val="18"/>
                <w:szCs w:val="18"/>
              </w:rPr>
            </w:pPr>
            <w:r>
              <w:rPr>
                <w:rFonts w:ascii="宋体" w:hAnsi="宋体" w:cs="宋体" w:eastAsia="宋体" w:hint="default"/>
                <w:sz w:val="18"/>
                <w:szCs w:val="18"/>
              </w:rPr>
              <w:t>正在履行 中，未发 生违反承 诺的事 项。</w:t>
            </w:r>
          </w:p>
        </w:tc>
      </w:tr>
      <w:tr>
        <w:trPr>
          <w:trHeight w:val="1016" w:hRule="exact"/>
        </w:trPr>
        <w:tc>
          <w:tcPr>
            <w:tcW w:w="8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5" w:right="96"/>
              <w:jc w:val="both"/>
              <w:rPr>
                <w:rFonts w:ascii="宋体" w:hAnsi="宋体" w:cs="宋体" w:eastAsia="宋体" w:hint="default"/>
                <w:sz w:val="18"/>
                <w:szCs w:val="18"/>
              </w:rPr>
            </w:pPr>
            <w:r>
              <w:rPr>
                <w:rFonts w:ascii="宋体" w:hAnsi="宋体" w:cs="宋体" w:eastAsia="宋体" w:hint="default"/>
                <w:sz w:val="18"/>
                <w:szCs w:val="18"/>
              </w:rPr>
              <w:t>资产重组 时所作承 诺</w:t>
            </w:r>
          </w:p>
        </w:tc>
        <w:tc>
          <w:tcPr>
            <w:tcW w:w="1133" w:type="dxa"/>
            <w:vMerge/>
            <w:tcBorders>
              <w:left w:val="single" w:sz="10"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5103"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1740" w:hRule="exact"/>
        </w:trPr>
        <w:tc>
          <w:tcPr>
            <w:tcW w:w="854" w:type="dxa"/>
            <w:vMerge w:val="restart"/>
            <w:tcBorders>
              <w:top w:val="nil" w:sz="6" w:space="0" w:color="auto"/>
              <w:left w:val="single" w:sz="4" w:space="0" w:color="000000"/>
              <w:right w:val="single" w:sz="4" w:space="0" w:color="000000"/>
            </w:tcBorders>
            <w:shd w:val="clear" w:color="auto" w:fill="D2D2D2"/>
          </w:tcPr>
          <w:p>
            <w:pPr/>
          </w:p>
        </w:tc>
        <w:tc>
          <w:tcPr>
            <w:tcW w:w="1133" w:type="dxa"/>
            <w:vMerge/>
            <w:tcBorders>
              <w:left w:val="single" w:sz="10"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103"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r>
        <w:trPr>
          <w:trHeight w:val="3483" w:hRule="exact"/>
        </w:trPr>
        <w:tc>
          <w:tcPr>
            <w:tcW w:w="854"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伏虎</w:t>
            </w:r>
          </w:p>
        </w:tc>
        <w:tc>
          <w:tcPr>
            <w:tcW w:w="850"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伏虎因本次交易而获得的上市公司股份自本次交易股份发行完成 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个月内不得转让、质押或设定其他任何权利负担；</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自本次交易股份发行完成之日起满</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85"/>
                <w:sz w:val="18"/>
                <w:szCs w:val="18"/>
              </w:rPr>
              <w:t>，</w:t>
            </w:r>
            <w:r>
              <w:rPr>
                <w:rFonts w:ascii="宋体" w:hAnsi="宋体" w:cs="宋体" w:eastAsia="宋体" w:hint="default"/>
                <w:sz w:val="18"/>
                <w:szCs w:val="18"/>
              </w:rPr>
              <w:t>且经审计机构</w:t>
            </w:r>
            <w:r>
              <w:rPr>
                <w:rFonts w:ascii="宋体" w:hAnsi="宋体" w:cs="宋体" w:eastAsia="宋体" w:hint="default"/>
                <w:spacing w:val="-3"/>
                <w:sz w:val="18"/>
                <w:szCs w:val="18"/>
              </w:rPr>
              <w:t>对</w:t>
            </w:r>
            <w:r>
              <w:rPr>
                <w:rFonts w:ascii="宋体" w:hAnsi="宋体" w:cs="宋体" w:eastAsia="宋体" w:hint="default"/>
                <w:sz w:val="18"/>
                <w:szCs w:val="18"/>
              </w:rPr>
              <w:t>奇思</w:t>
            </w:r>
          </w:p>
          <w:p>
            <w:pPr>
              <w:pStyle w:val="TableParagraph"/>
              <w:spacing w:line="307"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广告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年度实际盈利情况进行审计并出具《专项审核报告》</w:t>
            </w:r>
            <w:r>
              <w:rPr>
                <w:rFonts w:ascii="宋体" w:hAnsi="宋体" w:cs="宋体" w:eastAsia="宋体" w:hint="default"/>
                <w:sz w:val="18"/>
                <w:szCs w:val="18"/>
              </w:rPr>
              <w:t> 伏虎、逄淑涌、曹建华已履行完毕补偿义务或根据实际情况当年 度无需进行补偿，伏虎当年可解禁全部取得股份的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扣除累计 已执行补偿的股份数量的余额；</w:t>
            </w:r>
            <w:r>
              <w:rPr>
                <w:rFonts w:ascii="Times New Roman" w:hAnsi="Times New Roman" w:cs="Times New Roman" w:eastAsia="Times New Roman" w:hint="default"/>
                <w:sz w:val="18"/>
                <w:szCs w:val="18"/>
              </w:rPr>
              <w:t>3</w:t>
            </w:r>
            <w:r>
              <w:rPr>
                <w:rFonts w:ascii="宋体" w:hAnsi="宋体" w:cs="宋体" w:eastAsia="宋体" w:hint="default"/>
                <w:sz w:val="18"/>
                <w:szCs w:val="18"/>
              </w:rPr>
              <w:t>、自审计机构对奇思广告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年度实际盈利情况进行审计并出具《专项审核报告》后，伏虎、 逄淑涌、曹建华已履行完毕补偿义务或根据实际情况当年度无需 </w:t>
            </w:r>
            <w:r>
              <w:rPr>
                <w:rFonts w:ascii="宋体" w:hAnsi="宋体" w:cs="宋体" w:eastAsia="宋体" w:hint="default"/>
                <w:spacing w:val="-3"/>
                <w:sz w:val="18"/>
                <w:szCs w:val="18"/>
              </w:rPr>
              <w:t>进行补偿，伏虎当年可解禁全部取得股份的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61.6667%</w:t>
            </w:r>
            <w:r>
              <w:rPr>
                <w:rFonts w:ascii="宋体" w:hAnsi="宋体" w:cs="宋体" w:eastAsia="宋体" w:hint="default"/>
                <w:sz w:val="18"/>
                <w:szCs w:val="18"/>
              </w:rPr>
              <w:t>扣除累计已 </w:t>
            </w:r>
            <w:r>
              <w:rPr>
                <w:rFonts w:ascii="宋体" w:hAnsi="宋体" w:cs="宋体" w:eastAsia="宋体" w:hint="default"/>
                <w:spacing w:val="-3"/>
                <w:sz w:val="18"/>
                <w:szCs w:val="18"/>
              </w:rPr>
              <w:t>执行补偿的股份数量的余额；</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、自本次交易股份发行完成之日起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8"/>
              <w:ind w:left="24" w:right="96"/>
              <w:jc w:val="left"/>
              <w:rPr>
                <w:rFonts w:ascii="宋体" w:hAnsi="宋体" w:cs="宋体" w:eastAsia="宋体" w:hint="default"/>
                <w:sz w:val="18"/>
                <w:szCs w:val="18"/>
              </w:rPr>
            </w:pPr>
            <w:r>
              <w:rPr>
                <w:rFonts w:ascii="宋体" w:hAnsi="宋体" w:cs="宋体" w:eastAsia="宋体" w:hint="default"/>
                <w:sz w:val="18"/>
                <w:szCs w:val="18"/>
              </w:rPr>
              <w:t>正在履行 中，未发 生违反承 诺的事 项。</w:t>
            </w:r>
          </w:p>
        </w:tc>
      </w:tr>
    </w:tbl>
    <w:p>
      <w:pPr>
        <w:spacing w:after="0" w:line="319" w:lineRule="auto"/>
        <w:jc w:val="left"/>
        <w:rPr>
          <w:rFonts w:ascii="宋体" w:hAnsi="宋体" w:cs="宋体" w:eastAsia="宋体" w:hint="default"/>
          <w:sz w:val="18"/>
          <w:szCs w:val="18"/>
        </w:rPr>
        <w:sectPr>
          <w:pgSz w:w="11910" w:h="16840"/>
          <w:pgMar w:header="745" w:footer="980" w:top="1060" w:bottom="1160" w:left="600" w:right="580"/>
        </w:sectPr>
      </w:pPr>
    </w:p>
    <w:p>
      <w:pPr>
        <w:spacing w:line="240" w:lineRule="auto" w:before="0"/>
        <w:rPr>
          <w:rFonts w:ascii="Times New Roman" w:hAnsi="Times New Roman" w:cs="Times New Roman" w:eastAsia="Times New Roman" w:hint="default"/>
          <w:sz w:val="20"/>
          <w:szCs w:val="20"/>
        </w:rPr>
      </w:pPr>
      <w:r>
        <w:rPr/>
        <w:pict>
          <v:shape style="position:absolute;margin-left:426.549988pt;margin-top:215.419983pt;width:48.15pt;height:39pt;mso-position-horizontal-relative:page;mso-position-vertical-relative:page;z-index:-11022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w:t>
                  </w:r>
                </w:p>
              </w:txbxContent>
            </v:textbox>
            <w10:wrap type="none"/>
          </v:shape>
        </w:pict>
      </w:r>
      <w:r>
        <w:rPr/>
        <w:pict>
          <v:shape style="position:absolute;margin-left:426.549988pt;margin-top:329.089996pt;width:48.15pt;height:39pt;mso-position-horizontal-relative:page;mso-position-vertical-relative:page;z-index:-11021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w:t>
                  </w:r>
                </w:p>
              </w:txbxContent>
            </v:textbox>
            <w10:wrap type="none"/>
          </v:shape>
        </w:pict>
      </w:r>
      <w:r>
        <w:rPr/>
        <w:pict>
          <v:group style="position:absolute;margin-left:432.670013pt;margin-top:215.419983pt;width:42.05pt;height:74.8pt;mso-position-horizontal-relative:page;mso-position-vertical-relative:page;z-index:-1102168" coordorigin="8653,4308" coordsize="841,1496">
            <v:group style="position:absolute;left:8653;top:4308;width:841;height:780" coordorigin="8653,4308" coordsize="841,780">
              <v:shape style="position:absolute;left:8653;top:4308;width:841;height:780" coordorigin="8653,4308" coordsize="841,780" path="m8653,5088l9494,5088,9494,4308,8653,4308,8653,5088xe" filled="true" fillcolor="#ffffff" stroked="false">
                <v:path arrowok="t"/>
                <v:fill type="solid"/>
              </v:shape>
            </v:group>
            <v:group style="position:absolute;left:8665;top:5089;width:2;height:704" coordorigin="8665,5089" coordsize="2,704">
              <v:shape style="position:absolute;left:8665;top:5089;width:2;height:704" coordorigin="8665,5089" coordsize="0,704" path="m8665,5089l8665,5792e" filled="false" stroked="true" strokeweight="1.2pt" strokecolor="#ffffff">
                <v:path arrowok="t"/>
              </v:shape>
            </v:group>
            <v:group style="position:absolute;left:8677;top:5088;width:795;height:353" coordorigin="8677,5088" coordsize="795,353">
              <v:shape style="position:absolute;left:8677;top:5088;width:795;height:353" coordorigin="8677,5088" coordsize="795,353" path="m8677,5441l9472,5441,9472,5088,8677,5088,8677,5441xe" filled="true" fillcolor="#ffffff" stroked="false">
                <v:path arrowok="t"/>
                <v:fill type="solid"/>
              </v:shape>
            </v:group>
            <v:group style="position:absolute;left:8677;top:5441;width:795;height:351" coordorigin="8677,5441" coordsize="795,351">
              <v:shape style="position:absolute;left:8677;top:5441;width:795;height:351" coordorigin="8677,5441" coordsize="795,351" path="m8677,5792l9472,5792,9472,5441,8677,5441,8677,5792xe" filled="true" fillcolor="#ffffff" stroked="false">
                <v:path arrowok="t"/>
                <v:fill type="solid"/>
              </v:shape>
            </v:group>
            <w10:wrap type="none"/>
          </v:group>
        </w:pict>
      </w:r>
      <w:r>
        <w:rPr/>
        <w:pict>
          <v:group style="position:absolute;margin-left:432.670013pt;margin-top:329.089996pt;width:42.05pt;height:39pt;mso-position-horizontal-relative:page;mso-position-vertical-relative:page;z-index:-1102144" coordorigin="8653,6582" coordsize="841,780">
            <v:shape style="position:absolute;left:8653;top:6582;width:841;height:780" coordorigin="8653,6582" coordsize="841,780" path="m8653,7362l9494,7362,9494,6582,8653,6582,8653,736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854"/>
        <w:gridCol w:w="1133"/>
        <w:gridCol w:w="850"/>
        <w:gridCol w:w="5103"/>
        <w:gridCol w:w="853"/>
        <w:gridCol w:w="850"/>
        <w:gridCol w:w="852"/>
      </w:tblGrid>
      <w:tr>
        <w:trPr>
          <w:trHeight w:val="320" w:hRule="exact"/>
        </w:trPr>
        <w:tc>
          <w:tcPr>
            <w:tcW w:w="854" w:type="dxa"/>
            <w:vMerge w:val="restart"/>
            <w:tcBorders>
              <w:top w:val="single" w:sz="4" w:space="0" w:color="000000"/>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个月，且经审计机构对奇思广告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年度实际盈利情况进</w:t>
            </w:r>
          </w:p>
        </w:tc>
        <w:tc>
          <w:tcPr>
            <w:tcW w:w="85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行审计并出具《专项审核报告》及《减值测试报告》后，伏虎、</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逄淑涌、曹建华已履行完毕补偿义务或根据实际情况当年度无需</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进行补偿，伏虎当年可解禁全部取得股份的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扣除累计已执</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行补偿的股份数量的余额；截至本报告书签署日，伏虎共持有奇</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思广告</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65</w:t>
            </w:r>
            <w:r>
              <w:rPr>
                <w:rFonts w:ascii="宋体" w:hAnsi="宋体" w:cs="宋体" w:eastAsia="宋体" w:hint="default"/>
                <w:sz w:val="18"/>
                <w:szCs w:val="18"/>
              </w:rPr>
              <w:t>％的股权</w:t>
            </w:r>
            <w:r>
              <w:rPr>
                <w:rFonts w:ascii="宋体" w:hAnsi="宋体" w:cs="宋体" w:eastAsia="宋体" w:hint="default"/>
                <w:spacing w:val="-85"/>
                <w:sz w:val="18"/>
                <w:szCs w:val="18"/>
              </w:rPr>
              <w:t>，</w:t>
            </w:r>
            <w:r>
              <w:rPr>
                <w:rFonts w:ascii="宋体" w:hAnsi="宋体" w:cs="宋体" w:eastAsia="宋体" w:hint="default"/>
                <w:sz w:val="18"/>
                <w:szCs w:val="18"/>
              </w:rPr>
              <w:t>其中所</w:t>
            </w:r>
            <w:r>
              <w:rPr>
                <w:rFonts w:ascii="宋体" w:hAnsi="宋体" w:cs="宋体" w:eastAsia="宋体" w:hint="default"/>
                <w:spacing w:val="-3"/>
                <w:sz w:val="18"/>
                <w:szCs w:val="18"/>
              </w:rPr>
              <w:t>持</w:t>
            </w:r>
            <w:r>
              <w:rPr>
                <w:rFonts w:ascii="宋体" w:hAnsi="宋体" w:cs="宋体" w:eastAsia="宋体" w:hint="default"/>
                <w:sz w:val="18"/>
                <w:szCs w:val="18"/>
              </w:rPr>
              <w:t>奇思广告</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25</w:t>
            </w:r>
            <w:r>
              <w:rPr>
                <w:rFonts w:ascii="宋体" w:hAnsi="宋体" w:cs="宋体" w:eastAsia="宋体" w:hint="default"/>
                <w:sz w:val="18"/>
                <w:szCs w:val="18"/>
              </w:rPr>
              <w:t>％股权的持有时</w:t>
            </w:r>
            <w:r>
              <w:rPr>
                <w:rFonts w:ascii="宋体" w:hAnsi="宋体" w:cs="宋体" w:eastAsia="宋体" w:hint="default"/>
                <w:spacing w:val="-3"/>
                <w:sz w:val="18"/>
                <w:szCs w:val="18"/>
              </w:rPr>
              <w:t>间</w:t>
            </w:r>
            <w:r>
              <w:rPr>
                <w:rFonts w:ascii="宋体" w:hAnsi="宋体" w:cs="宋体" w:eastAsia="宋体" w:hint="default"/>
                <w:sz w:val="18"/>
                <w:szCs w:val="18"/>
              </w:rPr>
              <w:t>不足</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r>
              <w:rPr>
                <w:rFonts w:ascii="宋体" w:hAnsi="宋体" w:cs="宋体" w:eastAsia="宋体" w:hint="default"/>
                <w:spacing w:val="-85"/>
                <w:sz w:val="18"/>
                <w:szCs w:val="18"/>
              </w:rPr>
              <w:t>。</w:t>
            </w:r>
            <w:r>
              <w:rPr>
                <w:rFonts w:ascii="宋体" w:hAnsi="宋体" w:cs="宋体" w:eastAsia="宋体" w:hint="default"/>
                <w:sz w:val="18"/>
                <w:szCs w:val="18"/>
              </w:rPr>
              <w:t>上市公司和奇思广</w:t>
            </w:r>
            <w:r>
              <w:rPr>
                <w:rFonts w:ascii="宋体" w:hAnsi="宋体" w:cs="宋体" w:eastAsia="宋体" w:hint="default"/>
                <w:spacing w:val="-3"/>
                <w:sz w:val="18"/>
                <w:szCs w:val="18"/>
              </w:rPr>
              <w:t>告</w:t>
            </w:r>
            <w:r>
              <w:rPr>
                <w:rFonts w:ascii="宋体" w:hAnsi="宋体" w:cs="宋体" w:eastAsia="宋体" w:hint="default"/>
                <w:sz w:val="18"/>
                <w:szCs w:val="18"/>
              </w:rPr>
              <w:t>股东认可上市公司以现金对价和锁</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定期超过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个月的股份对价收购伏虎前述持有的奇思广告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55"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的股权。</w:t>
            </w: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r>
        <w:trPr>
          <w:trHeight w:val="355" w:hRule="exact"/>
        </w:trPr>
        <w:tc>
          <w:tcPr>
            <w:tcW w:w="854"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逄淑涌因本次交易而获得的上市公司股份自本次交易股份发行完</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03" w:lineRule="exact"/>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149"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成之日起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个月内不得转让、质押或设定其他任何权利负担；</w:t>
            </w:r>
            <w:r>
              <w:rPr>
                <w:rFonts w:ascii="Times New Roman" w:hAnsi="Times New Roman" w:cs="Times New Roman" w:eastAsia="Times New Roman" w:hint="default"/>
                <w:spacing w:val="-4"/>
                <w:sz w:val="18"/>
                <w:szCs w:val="18"/>
              </w:rPr>
              <w:t>2</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自本次交易股份发行完成之日起满</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85"/>
                <w:sz w:val="18"/>
                <w:szCs w:val="18"/>
              </w:rPr>
              <w:t>，</w:t>
            </w:r>
            <w:r>
              <w:rPr>
                <w:rFonts w:ascii="宋体" w:hAnsi="宋体" w:cs="宋体" w:eastAsia="宋体" w:hint="default"/>
                <w:sz w:val="18"/>
                <w:szCs w:val="18"/>
              </w:rPr>
              <w:t>且经审计机构</w:t>
            </w:r>
            <w:r>
              <w:rPr>
                <w:rFonts w:ascii="宋体" w:hAnsi="宋体" w:cs="宋体" w:eastAsia="宋体" w:hint="default"/>
                <w:spacing w:val="-3"/>
                <w:sz w:val="18"/>
                <w:szCs w:val="18"/>
              </w:rPr>
              <w:t>对</w:t>
            </w:r>
            <w:r>
              <w:rPr>
                <w:rFonts w:ascii="宋体" w:hAnsi="宋体" w:cs="宋体" w:eastAsia="宋体" w:hint="default"/>
                <w:sz w:val="18"/>
                <w:szCs w:val="18"/>
              </w:rPr>
              <w:t>奇思</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中，未发</w:t>
            </w: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逄淑涌</w:t>
            </w: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广告</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年度实际盈利情况</w:t>
            </w:r>
            <w:r>
              <w:rPr>
                <w:rFonts w:ascii="宋体" w:hAnsi="宋体" w:cs="宋体" w:eastAsia="宋体" w:hint="default"/>
                <w:spacing w:val="-3"/>
                <w:sz w:val="18"/>
                <w:szCs w:val="18"/>
              </w:rPr>
              <w:t>进</w:t>
            </w:r>
            <w:r>
              <w:rPr>
                <w:rFonts w:ascii="宋体" w:hAnsi="宋体" w:cs="宋体" w:eastAsia="宋体" w:hint="default"/>
                <w:sz w:val="18"/>
                <w:szCs w:val="18"/>
              </w:rPr>
              <w:t>行审计并出</w:t>
            </w:r>
            <w:r>
              <w:rPr>
                <w:rFonts w:ascii="宋体" w:hAnsi="宋体" w:cs="宋体" w:eastAsia="宋体" w:hint="default"/>
                <w:spacing w:val="-87"/>
                <w:sz w:val="18"/>
                <w:szCs w:val="18"/>
              </w:rPr>
              <w:t>具</w:t>
            </w:r>
            <w:r>
              <w:rPr>
                <w:rFonts w:ascii="宋体" w:hAnsi="宋体" w:cs="宋体" w:eastAsia="宋体" w:hint="default"/>
                <w:sz w:val="18"/>
                <w:szCs w:val="18"/>
              </w:rPr>
              <w:t>《专项审核报告</w:t>
            </w:r>
            <w:r>
              <w:rPr>
                <w:rFonts w:ascii="宋体" w:hAnsi="宋体" w:cs="宋体" w:eastAsia="宋体" w:hint="default"/>
                <w:spacing w:val="-87"/>
                <w:sz w:val="18"/>
                <w:szCs w:val="18"/>
              </w:rPr>
              <w:t>》</w:t>
            </w:r>
            <w:r>
              <w:rPr>
                <w:rFonts w:ascii="宋体" w:hAnsi="宋体" w:cs="宋体" w:eastAsia="宋体" w:hint="default"/>
                <w:sz w:val="18"/>
                <w:szCs w:val="18"/>
              </w:rPr>
              <w:t>后</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生违反承</w:t>
            </w: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伏虎、逄淑涌、曹建华已履行完毕补偿义务或根据实际情况当年</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诺的事</w:t>
            </w: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度无需进行补偿，逄淑涌当年可解禁全部取得股份的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扣除</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项。</w:t>
            </w:r>
          </w:p>
        </w:tc>
      </w:tr>
      <w:tr>
        <w:trPr>
          <w:trHeight w:val="353"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累计已执行补偿的股份数量的余额；</w:t>
            </w:r>
          </w:p>
        </w:tc>
        <w:tc>
          <w:tcPr>
            <w:tcW w:w="853" w:type="dxa"/>
            <w:vMerge/>
            <w:tcBorders>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854"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曹建华因本次交易而获得的上市公司股份自本次交易股份发行完</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成之日起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个月内不得转让、质押或设定其他任何权利负担；</w:t>
            </w:r>
            <w:r>
              <w:rPr>
                <w:rFonts w:ascii="Times New Roman" w:hAnsi="Times New Roman" w:cs="Times New Roman" w:eastAsia="Times New Roman" w:hint="default"/>
                <w:spacing w:val="-4"/>
                <w:sz w:val="18"/>
                <w:szCs w:val="18"/>
              </w:rPr>
              <w:t>2</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931"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曹建华</w:t>
            </w: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自本次交易股份发行完成之日起满</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85"/>
                <w:sz w:val="18"/>
                <w:szCs w:val="18"/>
              </w:rPr>
              <w:t>，</w:t>
            </w:r>
            <w:r>
              <w:rPr>
                <w:rFonts w:ascii="宋体" w:hAnsi="宋体" w:cs="宋体" w:eastAsia="宋体" w:hint="default"/>
                <w:sz w:val="18"/>
                <w:szCs w:val="18"/>
              </w:rPr>
              <w:t>且经审计机构</w:t>
            </w:r>
            <w:r>
              <w:rPr>
                <w:rFonts w:ascii="宋体" w:hAnsi="宋体" w:cs="宋体" w:eastAsia="宋体" w:hint="default"/>
                <w:spacing w:val="-3"/>
                <w:sz w:val="18"/>
                <w:szCs w:val="18"/>
              </w:rPr>
              <w:t>对</w:t>
            </w:r>
            <w:r>
              <w:rPr>
                <w:rFonts w:ascii="宋体" w:hAnsi="宋体" w:cs="宋体" w:eastAsia="宋体" w:hint="default"/>
                <w:sz w:val="18"/>
                <w:szCs w:val="18"/>
              </w:rPr>
              <w:t>奇思</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广告</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年度实际盈利情况进行审计并出具《专项审核报告》及</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《减值测试报告》后，伏虎、逄淑涌、曹建华已履行完毕补偿义</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96"/>
              <w:jc w:val="both"/>
              <w:rPr>
                <w:rFonts w:ascii="宋体" w:hAnsi="宋体" w:cs="宋体" w:eastAsia="宋体" w:hint="default"/>
                <w:sz w:val="18"/>
                <w:szCs w:val="18"/>
              </w:rPr>
            </w:pPr>
            <w:r>
              <w:rPr>
                <w:rFonts w:ascii="宋体" w:hAnsi="宋体" w:cs="宋体" w:eastAsia="宋体" w:hint="default"/>
                <w:sz w:val="18"/>
                <w:szCs w:val="18"/>
              </w:rPr>
              <w:t>中，未发 生违反承 诺的事</w:t>
            </w: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务或根据实际情况当年度无需进行补偿，曹建华当年累计可解禁</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项。</w:t>
            </w:r>
          </w:p>
        </w:tc>
      </w:tr>
      <w:tr>
        <w:trPr>
          <w:trHeight w:val="360"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全部取得股份的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扣除累计已执行补偿的股份数量的余额；</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854"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袁琪因本次交易而获得的上市公司股份自本次交易股份发行完成</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187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袁琪</w:t>
            </w: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个月内不得转让、质押或设定其他任何权利负担；</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、自本次交易股份发行完成之日起满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个月，且经审计机构对</w:t>
            </w:r>
          </w:p>
          <w:p>
            <w:pPr>
              <w:pStyle w:val="TableParagraph"/>
              <w:spacing w:line="312" w:lineRule="auto" w:before="63"/>
              <w:ind w:left="24" w:right="27"/>
              <w:jc w:val="left"/>
              <w:rPr>
                <w:rFonts w:ascii="宋体" w:hAnsi="宋体" w:cs="宋体" w:eastAsia="宋体" w:hint="default"/>
                <w:sz w:val="18"/>
                <w:szCs w:val="18"/>
              </w:rPr>
            </w:pPr>
            <w:r>
              <w:rPr>
                <w:rFonts w:ascii="宋体" w:hAnsi="宋体" w:cs="宋体" w:eastAsia="宋体" w:hint="default"/>
                <w:sz w:val="18"/>
                <w:szCs w:val="18"/>
              </w:rPr>
              <w:t>利宣广告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年度实际盈利情况进行审计并出具《专项审核报 告》及《减值测试报告》后，袁琪、张晓艳已履行完毕补偿义务 或根据实际情况当年度无需进行补偿，袁琪当年累计可解禁（解 禁是指转让、质押或设定其他任何权利负担，下同）全部取得股</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正在履行 中，未发 生违反承 诺的事 项。</w:t>
            </w:r>
          </w:p>
        </w:tc>
      </w:tr>
      <w:tr>
        <w:trPr>
          <w:trHeight w:val="35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扣除累计已执行补偿的股份数量的余额。</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854"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张晓艳本次认购取得的实益达新股，按如下条件解除锁定：</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5"/>
                <w:sz w:val="18"/>
                <w:szCs w:val="18"/>
              </w:rPr>
              <w:t>、</w:t>
            </w:r>
            <w:r>
              <w:rPr>
                <w:rFonts w:ascii="宋体" w:hAnsi="宋体" w:cs="宋体" w:eastAsia="宋体" w:hint="default"/>
                <w:sz w:val="18"/>
                <w:szCs w:val="18"/>
              </w:rPr>
              <w:t>因本次交易而获得的上市公司股份自本次交易股份发行完成之</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个月内不得转让、质押或设定其他任何权利负担；</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1868"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张晓艳</w:t>
            </w: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、自本次交易股份发行完成之日起满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个月，且经审计机构对</w:t>
            </w:r>
          </w:p>
          <w:p>
            <w:pPr>
              <w:pStyle w:val="TableParagraph"/>
              <w:spacing w:line="304" w:lineRule="auto" w:before="63"/>
              <w:ind w:left="24" w:right="18"/>
              <w:jc w:val="left"/>
              <w:rPr>
                <w:rFonts w:ascii="宋体" w:hAnsi="宋体" w:cs="宋体" w:eastAsia="宋体" w:hint="default"/>
                <w:sz w:val="18"/>
                <w:szCs w:val="18"/>
              </w:rPr>
            </w:pPr>
            <w:r>
              <w:rPr>
                <w:rFonts w:ascii="宋体" w:hAnsi="宋体" w:cs="宋体" w:eastAsia="宋体" w:hint="default"/>
                <w:sz w:val="18"/>
                <w:szCs w:val="18"/>
              </w:rPr>
              <w:t>利宣广告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年度实际盈利情况进行审计并出具《专项审核报 告》后，袁琪、张晓艳已履行完毕补偿义务或根据实际情况当年 度无需进行补偿，张晓艳当年可解禁全部取得股份的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扣除累 </w:t>
            </w:r>
            <w:r>
              <w:rPr>
                <w:rFonts w:ascii="宋体" w:hAnsi="宋体" w:cs="宋体" w:eastAsia="宋体" w:hint="default"/>
                <w:spacing w:val="-5"/>
                <w:sz w:val="18"/>
                <w:szCs w:val="18"/>
              </w:rPr>
              <w:t>计已执行补偿的股份数量的余额；</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、经审计机构对利宣广告</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年度实际盈利情况进行审计并出具《专项审核报告》后，袁琪、</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9" w:lineRule="auto" w:before="161"/>
              <w:ind w:left="24" w:right="96"/>
              <w:jc w:val="left"/>
              <w:rPr>
                <w:rFonts w:ascii="宋体" w:hAnsi="宋体" w:cs="宋体" w:eastAsia="宋体" w:hint="default"/>
                <w:sz w:val="18"/>
                <w:szCs w:val="18"/>
              </w:rPr>
            </w:pPr>
            <w:r>
              <w:rPr>
                <w:rFonts w:ascii="宋体" w:hAnsi="宋体" w:cs="宋体" w:eastAsia="宋体" w:hint="default"/>
                <w:sz w:val="18"/>
                <w:szCs w:val="18"/>
              </w:rPr>
              <w:t>正在履行 中，未发 生违反承 诺的事 项。</w:t>
            </w: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张晓艳已履行完毕补偿义务或根据实际情况当年度无需进行补</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偿，张晓艳当年可解禁全部取得股份的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扣除累计已执行补</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854"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偿的股份数量的余额。</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600" w:right="580"/>
        </w:sectPr>
      </w:pPr>
    </w:p>
    <w:p>
      <w:pPr>
        <w:spacing w:line="240" w:lineRule="auto" w:before="0"/>
        <w:rPr>
          <w:rFonts w:ascii="Times New Roman" w:hAnsi="Times New Roman" w:cs="Times New Roman" w:eastAsia="Times New Roman" w:hint="default"/>
          <w:sz w:val="20"/>
          <w:szCs w:val="20"/>
        </w:rPr>
      </w:pPr>
      <w:r>
        <w:rPr/>
        <w:pict>
          <v:shape style="position:absolute;margin-left:327.5pt;margin-top:333.889984pt;width:147.2pt;height:226.25pt;mso-position-horizontal-relative:page;mso-position-vertical-relative:page;z-index:-11021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5"/>
                    <w:ind w:left="0" w:right="0"/>
                    <w:jc w:val="left"/>
                  </w:pPr>
                  <w:r>
                    <w:rPr/>
                    <w:t>不干涉实益达的业务活动，</w:t>
                  </w:r>
                </w:p>
              </w:txbxContent>
            </v:textbox>
            <w10:wrap type="none"/>
          </v:shape>
        </w:pict>
      </w:r>
      <w:r>
        <w:rPr/>
        <w:pict>
          <v:group style="position:absolute;margin-left:432.670013pt;margin-top:333.889984pt;width:42.05pt;height:226.25pt;mso-position-horizontal-relative:page;mso-position-vertical-relative:page;z-index:-1102096" coordorigin="8653,6678" coordsize="841,4525">
            <v:shape style="position:absolute;left:8653;top:6678;width:841;height:4525" coordorigin="8653,6678" coordsize="841,4525" path="m8653,11202l9494,11202,9494,6678,8653,6678,8653,1120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854"/>
        <w:gridCol w:w="1133"/>
        <w:gridCol w:w="850"/>
        <w:gridCol w:w="5103"/>
        <w:gridCol w:w="853"/>
        <w:gridCol w:w="850"/>
        <w:gridCol w:w="852"/>
      </w:tblGrid>
      <w:tr>
        <w:trPr>
          <w:trHeight w:val="356" w:hRule="exact"/>
        </w:trPr>
        <w:tc>
          <w:tcPr>
            <w:tcW w:w="854" w:type="dxa"/>
            <w:vMerge w:val="restart"/>
            <w:tcBorders>
              <w:top w:val="single" w:sz="4" w:space="0" w:color="000000"/>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一、关于人员独立性</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、保证实益达的总经理、副总经理、财务负责人和董事会秘书等</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高级管理人员不在本人控制的其他企业中担任除董事以外的其他</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职务，且不在本人控制的其他企业领薪；保证实益达的财务人员</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不在本人控制的其他企业中兼职、领薪。</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、保证本人控制的其他企业完全独立于实益达的劳动、人事及薪</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酬管理体系。</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二、关于资产独立、完整性</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、保证实益达的资产独立于本人及本人控制的其他企业。</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5"/>
                <w:sz w:val="18"/>
                <w:szCs w:val="18"/>
              </w:rPr>
              <w:t>、</w:t>
            </w:r>
            <w:r>
              <w:rPr>
                <w:rFonts w:ascii="宋体" w:hAnsi="宋体" w:cs="宋体" w:eastAsia="宋体" w:hint="default"/>
                <w:sz w:val="18"/>
                <w:szCs w:val="18"/>
              </w:rPr>
              <w:t>保证本人及本人控制的其他企业不以任何方式违规占有实益达</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的资金、资产；不以实益达的资产为本人及本人控制的其他企业</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的债务提供担保。</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三、关于财务独立性</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1565"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7"/>
              <w:jc w:val="both"/>
              <w:rPr>
                <w:rFonts w:ascii="宋体" w:hAnsi="宋体" w:cs="宋体" w:eastAsia="宋体" w:hint="default"/>
                <w:sz w:val="18"/>
                <w:szCs w:val="18"/>
              </w:rPr>
            </w:pPr>
            <w:r>
              <w:rPr>
                <w:rFonts w:ascii="宋体" w:hAnsi="宋体" w:cs="宋体" w:eastAsia="宋体" w:hint="default"/>
                <w:sz w:val="18"/>
                <w:szCs w:val="18"/>
              </w:rPr>
              <w:t>张伟、伏虎、 逄淑涌、曹建 华、袁琪、张 晓艳</w:t>
            </w: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307" w:lineRule="auto" w:before="10"/>
              <w:ind w:left="24"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、保证本人及本人控制的其他企业不与实益达及下属子公司共用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一个银行账户。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、保证本人及本人控制的其他企业不违法干预实益达的资金使用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调度。</w:t>
            </w:r>
          </w:p>
          <w:p>
            <w:pPr>
              <w:pStyle w:val="TableParagraph"/>
              <w:spacing w:line="240" w:lineRule="auto" w:before="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、不干涉实益达依法独立纳税。</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96"/>
              <w:jc w:val="left"/>
              <w:rPr>
                <w:rFonts w:ascii="宋体" w:hAnsi="宋体" w:cs="宋体" w:eastAsia="宋体" w:hint="default"/>
                <w:sz w:val="18"/>
                <w:szCs w:val="18"/>
              </w:rPr>
            </w:pPr>
            <w:r>
              <w:rPr>
                <w:rFonts w:ascii="宋体" w:hAnsi="宋体" w:cs="宋体" w:eastAsia="宋体" w:hint="default"/>
                <w:sz w:val="18"/>
                <w:szCs w:val="18"/>
              </w:rPr>
              <w:t>正在履行 中，未发 生违反承 诺的事 项。</w:t>
            </w: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四、关于机构独立性</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保证本人及本人控制的其他企业与实益达之间不产生机构混同的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情形，不影响实益达的机构独立性。</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五、关于业务独立性</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、保证本人及本人控制的其他企业独立于实益达的业务。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7"/>
                <w:sz w:val="18"/>
                <w:szCs w:val="18"/>
              </w:rPr>
              <w:t>、</w:t>
            </w:r>
            <w:r>
              <w:rPr>
                <w:rFonts w:ascii="宋体" w:hAnsi="宋体" w:cs="宋体" w:eastAsia="宋体" w:hint="default"/>
                <w:sz w:val="18"/>
                <w:szCs w:val="18"/>
              </w:rPr>
              <w:t>保证本人除通过行使股东权利之外，</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本人不超越董事会、股东大会，直接或间接干预实益达的决策和</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经营。</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85"/>
                <w:sz w:val="18"/>
                <w:szCs w:val="18"/>
              </w:rPr>
              <w:t>、</w:t>
            </w:r>
            <w:r>
              <w:rPr>
                <w:rFonts w:ascii="宋体" w:hAnsi="宋体" w:cs="宋体" w:eastAsia="宋体" w:hint="default"/>
                <w:sz w:val="18"/>
                <w:szCs w:val="18"/>
              </w:rPr>
              <w:t>保证本人及本人控制的其他企业不在中国境内外以任何方式从</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事与实益达相竞争的业务。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、保证尽量减少本人及本人控制的其他企业与实益达的关联交</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易；若有不可避免的关联交易，将依法签订协议，并将按照有关</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法律、法规</w:t>
            </w:r>
            <w:r>
              <w:rPr>
                <w:rFonts w:ascii="宋体" w:hAnsi="宋体" w:cs="宋体" w:eastAsia="宋体" w:hint="default"/>
                <w:spacing w:val="-92"/>
                <w:sz w:val="18"/>
                <w:szCs w:val="18"/>
              </w:rPr>
              <w:t>、</w:t>
            </w:r>
            <w:r>
              <w:rPr>
                <w:rFonts w:ascii="宋体" w:hAnsi="宋体" w:cs="宋体" w:eastAsia="宋体" w:hint="default"/>
                <w:sz w:val="18"/>
                <w:szCs w:val="18"/>
              </w:rPr>
              <w:t>《公司章程》等</w:t>
            </w:r>
            <w:r>
              <w:rPr>
                <w:rFonts w:ascii="宋体" w:hAnsi="宋体" w:cs="宋体" w:eastAsia="宋体" w:hint="default"/>
                <w:spacing w:val="2"/>
                <w:sz w:val="18"/>
                <w:szCs w:val="18"/>
              </w:rPr>
              <w:t>规</w:t>
            </w:r>
            <w:r>
              <w:rPr>
                <w:rFonts w:ascii="宋体" w:hAnsi="宋体" w:cs="宋体" w:eastAsia="宋体" w:hint="default"/>
                <w:sz w:val="18"/>
                <w:szCs w:val="18"/>
              </w:rPr>
              <w:t>定依法履行程序。</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854"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、本人及本人控制的其他企业不得以任何形式（包括但不限于在</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中国境内或境外自行或与他人合资、合作、联营、投资、兼并、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受托经营等方式）直接或间接地从事、参与或协助他人从事任何</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与上市公司及其下属公司届时正在从事的业务有直接或间接竞争</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1570"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3" w:right="17"/>
              <w:jc w:val="both"/>
              <w:rPr>
                <w:rFonts w:ascii="宋体" w:hAnsi="宋体" w:cs="宋体" w:eastAsia="宋体" w:hint="default"/>
                <w:sz w:val="18"/>
                <w:szCs w:val="18"/>
              </w:rPr>
            </w:pPr>
            <w:r>
              <w:rPr>
                <w:rFonts w:ascii="宋体" w:hAnsi="宋体" w:cs="宋体" w:eastAsia="宋体" w:hint="default"/>
                <w:sz w:val="18"/>
                <w:szCs w:val="18"/>
              </w:rPr>
              <w:t>张伟、伏虎、 逄淑涌、曹建 华、袁琪、张 晓艳</w:t>
            </w: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314" w:lineRule="auto" w:before="20"/>
              <w:ind w:left="24" w:right="20"/>
              <w:jc w:val="left"/>
              <w:rPr>
                <w:rFonts w:ascii="宋体" w:hAnsi="宋体" w:cs="宋体" w:eastAsia="宋体" w:hint="default"/>
                <w:sz w:val="18"/>
                <w:szCs w:val="18"/>
              </w:rPr>
            </w:pPr>
            <w:r>
              <w:rPr>
                <w:rFonts w:ascii="宋体" w:hAnsi="宋体" w:cs="宋体" w:eastAsia="宋体" w:hint="default"/>
                <w:sz w:val="18"/>
                <w:szCs w:val="18"/>
              </w:rPr>
              <w:t>关系的相同或相似的业务或其他经营活动，也不得直接或间接投 资任何与上市公司及其下属公司届时正在从事的业务有直接或间 接竞争关系的经济实体；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、如本人及本人控制的其他企业未来从任何第三方获得的任何商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业机会与上市公司及其下属公司主营业务有竞争或可能有竞争，</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4" w:right="96"/>
              <w:jc w:val="left"/>
              <w:rPr>
                <w:rFonts w:ascii="宋体" w:hAnsi="宋体" w:cs="宋体" w:eastAsia="宋体" w:hint="default"/>
                <w:sz w:val="18"/>
                <w:szCs w:val="18"/>
              </w:rPr>
            </w:pPr>
            <w:r>
              <w:rPr>
                <w:rFonts w:ascii="宋体" w:hAnsi="宋体" w:cs="宋体" w:eastAsia="宋体" w:hint="default"/>
                <w:sz w:val="18"/>
                <w:szCs w:val="18"/>
              </w:rPr>
              <w:t>正在履行 中，未发 生违反承 诺的事 项。</w:t>
            </w: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则本人及本人控制的其他企业将立即通知上市公司，在征得第三</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方允诺后，尽力将该商业机会给予上市公司及其下属公司；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85"/>
                <w:sz w:val="18"/>
                <w:szCs w:val="18"/>
              </w:rPr>
              <w:t>、</w:t>
            </w:r>
            <w:r>
              <w:rPr>
                <w:rFonts w:ascii="宋体" w:hAnsi="宋体" w:cs="宋体" w:eastAsia="宋体" w:hint="default"/>
                <w:sz w:val="18"/>
                <w:szCs w:val="18"/>
              </w:rPr>
              <w:t>如上市公司及其下属公司未来拟从事的业务与本人及本人控制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854"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的其他企业的业务构成直接或间接的竞争关系，本人届时将以适</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600" w:right="580"/>
        </w:sectPr>
      </w:pPr>
    </w:p>
    <w:p>
      <w:pPr>
        <w:spacing w:line="240" w:lineRule="auto" w:before="0"/>
        <w:rPr>
          <w:rFonts w:ascii="Times New Roman" w:hAnsi="Times New Roman" w:cs="Times New Roman" w:eastAsia="Times New Roman" w:hint="default"/>
          <w:sz w:val="20"/>
          <w:szCs w:val="20"/>
        </w:rPr>
      </w:pPr>
      <w:r>
        <w:rPr/>
        <w:pict>
          <v:group style="position:absolute;margin-left:432.670013pt;margin-top:334.489990pt;width:42.05pt;height:118.95pt;mso-position-horizontal-relative:page;mso-position-vertical-relative:page;z-index:-1102072" coordorigin="8653,6690" coordsize="841,2379">
            <v:group style="position:absolute;left:8653;top:7040;width:841;height:2028" coordorigin="8653,7040" coordsize="841,2028">
              <v:shape style="position:absolute;left:8653;top:7040;width:841;height:2028" coordorigin="8653,7040" coordsize="841,2028" path="m8653,9068l9494,9068,9494,7040,8653,7040,8653,9068xe" filled="true" fillcolor="#ffffff" stroked="false">
                <v:path arrowok="t"/>
                <v:fill type="solid"/>
              </v:shape>
            </v:group>
            <v:group style="position:absolute;left:8677;top:6690;width:795;height:351" coordorigin="8677,6690" coordsize="795,351">
              <v:shape style="position:absolute;left:8677;top:6690;width:795;height:351" coordorigin="8677,6690" coordsize="795,351" path="m8677,7040l9472,7040,9472,6690,8677,6690,8677,704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854"/>
        <w:gridCol w:w="1133"/>
        <w:gridCol w:w="850"/>
        <w:gridCol w:w="5103"/>
        <w:gridCol w:w="853"/>
        <w:gridCol w:w="850"/>
        <w:gridCol w:w="852"/>
      </w:tblGrid>
      <w:tr>
        <w:trPr>
          <w:trHeight w:val="320" w:hRule="exact"/>
        </w:trPr>
        <w:tc>
          <w:tcPr>
            <w:tcW w:w="854" w:type="dxa"/>
            <w:vMerge w:val="restart"/>
            <w:tcBorders>
              <w:top w:val="single" w:sz="4" w:space="0" w:color="000000"/>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当方式</w:t>
            </w:r>
            <w:r>
              <w:rPr>
                <w:rFonts w:ascii="Times New Roman" w:hAnsi="Times New Roman" w:cs="Times New Roman" w:eastAsia="Times New Roman" w:hint="default"/>
                <w:sz w:val="18"/>
                <w:szCs w:val="18"/>
              </w:rPr>
              <w:t>(</w:t>
            </w:r>
            <w:r>
              <w:rPr>
                <w:rFonts w:ascii="宋体" w:hAnsi="宋体" w:cs="宋体" w:eastAsia="宋体" w:hint="default"/>
                <w:sz w:val="18"/>
                <w:szCs w:val="18"/>
              </w:rPr>
              <w:t>包括但不限于转让相关企业股权或终止上述业务运营</w:t>
            </w:r>
            <w:r>
              <w:rPr>
                <w:rFonts w:ascii="Times New Roman" w:hAnsi="Times New Roman" w:cs="Times New Roman" w:eastAsia="Times New Roman" w:hint="default"/>
                <w:sz w:val="18"/>
                <w:szCs w:val="18"/>
              </w:rPr>
              <w:t>)</w:t>
            </w:r>
            <w:r>
              <w:rPr>
                <w:rFonts w:ascii="宋体" w:hAnsi="宋体" w:cs="宋体" w:eastAsia="宋体" w:hint="default"/>
                <w:sz w:val="18"/>
                <w:szCs w:val="18"/>
              </w:rPr>
              <w:t>解</w:t>
            </w:r>
          </w:p>
        </w:tc>
        <w:tc>
          <w:tcPr>
            <w:tcW w:w="85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决；</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85"/>
                <w:sz w:val="18"/>
                <w:szCs w:val="18"/>
              </w:rPr>
              <w:t>、</w:t>
            </w:r>
            <w:r>
              <w:rPr>
                <w:rFonts w:ascii="宋体" w:hAnsi="宋体" w:cs="宋体" w:eastAsia="宋体" w:hint="default"/>
                <w:sz w:val="18"/>
                <w:szCs w:val="18"/>
              </w:rPr>
              <w:t>本人保证绝不利用对上市公司及其下属公司的了解和知悉的信</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息协助第三方从事、参与或投资与上市公司及其下属公司相竞争</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的业务或项目；</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85"/>
                <w:sz w:val="18"/>
                <w:szCs w:val="18"/>
              </w:rPr>
              <w:t>、</w:t>
            </w:r>
            <w:r>
              <w:rPr>
                <w:rFonts w:ascii="宋体" w:hAnsi="宋体" w:cs="宋体" w:eastAsia="宋体" w:hint="default"/>
                <w:sz w:val="18"/>
                <w:szCs w:val="18"/>
              </w:rPr>
              <w:t>本人保证将赔偿上市公司及其下属公司因本人违反</w:t>
            </w:r>
            <w:r>
              <w:rPr>
                <w:rFonts w:ascii="宋体" w:hAnsi="宋体" w:cs="宋体" w:eastAsia="宋体" w:hint="default"/>
                <w:spacing w:val="1"/>
                <w:sz w:val="18"/>
                <w:szCs w:val="18"/>
              </w:rPr>
              <w:t>本</w:t>
            </w:r>
            <w:r>
              <w:rPr>
                <w:rFonts w:ascii="宋体" w:hAnsi="宋体" w:cs="宋体" w:eastAsia="宋体" w:hint="default"/>
                <w:sz w:val="18"/>
                <w:szCs w:val="18"/>
              </w:rPr>
              <w:t>承诺而遭</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受或产生的任何损失或开支。</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85"/>
                <w:sz w:val="18"/>
                <w:szCs w:val="18"/>
              </w:rPr>
              <w:t>、</w:t>
            </w:r>
            <w:r>
              <w:rPr>
                <w:rFonts w:ascii="宋体" w:hAnsi="宋体" w:cs="宋体" w:eastAsia="宋体" w:hint="default"/>
                <w:sz w:val="18"/>
                <w:szCs w:val="18"/>
              </w:rPr>
              <w:t>本人将督促与本人存在关联关系的自然人和企业同受本承诺函</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55"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约束。</w:t>
            </w: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r>
        <w:trPr>
          <w:trHeight w:val="360" w:hRule="exact"/>
        </w:trPr>
        <w:tc>
          <w:tcPr>
            <w:tcW w:w="854"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、自承诺函出具日及顺为广告</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股权转让给实益达的工商变</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更登记完成之日起</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个月内，未经实益达及顺为广告的同意，不</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得：</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85"/>
                <w:sz w:val="18"/>
                <w:szCs w:val="18"/>
              </w:rPr>
              <w:t>）</w:t>
            </w:r>
            <w:r>
              <w:rPr>
                <w:rFonts w:ascii="宋体" w:hAnsi="宋体" w:cs="宋体" w:eastAsia="宋体" w:hint="default"/>
                <w:sz w:val="18"/>
                <w:szCs w:val="18"/>
              </w:rPr>
              <w:t>从事与顺为广告相同或类似的业务或通过</w:t>
            </w:r>
            <w:r>
              <w:rPr>
                <w:rFonts w:ascii="宋体" w:hAnsi="宋体" w:cs="宋体" w:eastAsia="宋体" w:hint="default"/>
                <w:spacing w:val="1"/>
                <w:sz w:val="18"/>
                <w:szCs w:val="18"/>
              </w:rPr>
              <w:t>直</w:t>
            </w:r>
            <w:r>
              <w:rPr>
                <w:rFonts w:ascii="宋体" w:hAnsi="宋体" w:cs="宋体" w:eastAsia="宋体" w:hint="default"/>
                <w:sz w:val="18"/>
                <w:szCs w:val="18"/>
              </w:rPr>
              <w:t>接或间接控制的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其他经营主体从事该等业务；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85"/>
                <w:sz w:val="18"/>
                <w:szCs w:val="18"/>
              </w:rPr>
              <w:t>）</w:t>
            </w:r>
            <w:r>
              <w:rPr>
                <w:rFonts w:ascii="宋体" w:hAnsi="宋体" w:cs="宋体" w:eastAsia="宋体" w:hint="default"/>
                <w:sz w:val="18"/>
                <w:szCs w:val="18"/>
              </w:rPr>
              <w:t>在其他与顺为广告有竞争关系的公司任职或者担任任何形式</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936"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姚俊</w:t>
            </w: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14" w:space="0" w:color="FFFFFF"/>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的顾问；</w:t>
            </w:r>
          </w:p>
          <w:p>
            <w:pPr>
              <w:pStyle w:val="TableParagraph"/>
              <w:spacing w:line="300" w:lineRule="auto" w:before="76"/>
              <w:ind w:left="24" w:right="7"/>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）以顺为广告以外的名义为顺为广告现有及潜在客户提供相同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或相似的产品或服务以及（</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）通过近亲属持股或安排、委托持股</w:t>
            </w:r>
          </w:p>
        </w:tc>
        <w:tc>
          <w:tcPr>
            <w:tcW w:w="853" w:type="dxa"/>
            <w:tcBorders>
              <w:top w:val="nil" w:sz="6" w:space="0" w:color="auto"/>
              <w:left w:val="single" w:sz="14" w:space="0" w:color="FFFFFF"/>
              <w:bottom w:val="nil" w:sz="6" w:space="0" w:color="auto"/>
              <w:right w:val="single" w:sz="4" w:space="0" w:color="000000"/>
            </w:tcBorders>
          </w:tcPr>
          <w:p>
            <w:pPr>
              <w:pStyle w:val="TableParagraph"/>
              <w:spacing w:line="240" w:lineRule="auto" w:before="161"/>
              <w:ind w:left="1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03" w:lineRule="exact" w:before="63"/>
              <w:ind w:left="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9"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96"/>
              <w:jc w:val="both"/>
              <w:rPr>
                <w:rFonts w:ascii="宋体" w:hAnsi="宋体" w:cs="宋体" w:eastAsia="宋体" w:hint="default"/>
                <w:sz w:val="18"/>
                <w:szCs w:val="18"/>
              </w:rPr>
            </w:pPr>
            <w:r>
              <w:rPr>
                <w:rFonts w:ascii="宋体" w:hAnsi="宋体" w:cs="宋体" w:eastAsia="宋体" w:hint="default"/>
                <w:sz w:val="18"/>
                <w:szCs w:val="18"/>
              </w:rPr>
              <w:t>中，未发 生违反承 诺的事</w:t>
            </w: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信托持股、协议、默契等任何形式的安排规避前述（</w:t>
            </w: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项。</w:t>
            </w: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的约定。如无特别约定，前款所述之相同或类似的业务是指互联</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网媒体营销代理业务（不含包括</w:t>
            </w:r>
            <w:r>
              <w:rPr>
                <w:rFonts w:ascii="宋体" w:hAnsi="宋体" w:cs="宋体" w:eastAsia="宋体" w:hint="default"/>
                <w:spacing w:val="-45"/>
                <w:sz w:val="18"/>
                <w:szCs w:val="18"/>
              </w:rPr>
              <w:t> </w:t>
            </w:r>
            <w:r>
              <w:rPr>
                <w:rFonts w:ascii="Times New Roman" w:hAnsi="Times New Roman" w:cs="Times New Roman" w:eastAsia="Times New Roman" w:hint="default"/>
                <w:w w:val="99"/>
                <w:sz w:val="18"/>
                <w:szCs w:val="18"/>
              </w:rPr>
              <w:t>D</w:t>
            </w:r>
            <w:r>
              <w:rPr>
                <w:rFonts w:ascii="Times New Roman" w:hAnsi="Times New Roman" w:cs="Times New Roman" w:eastAsia="Times New Roman" w:hint="default"/>
                <w:spacing w:val="-2"/>
                <w:w w:val="99"/>
                <w:sz w:val="18"/>
                <w:szCs w:val="18"/>
              </w:rPr>
              <w:t>S</w:t>
            </w:r>
            <w:r>
              <w:rPr>
                <w:rFonts w:ascii="Times New Roman" w:hAnsi="Times New Roman" w:cs="Times New Roman" w:eastAsia="Times New Roman" w:hint="default"/>
                <w:w w:val="99"/>
                <w:sz w:val="18"/>
                <w:szCs w:val="18"/>
              </w:rPr>
              <w:t>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在内的程序化交易业</w:t>
            </w:r>
            <w:r>
              <w:rPr>
                <w:rFonts w:ascii="宋体" w:hAnsi="宋体" w:cs="宋体" w:eastAsia="宋体" w:hint="default"/>
                <w:spacing w:val="-3"/>
                <w:sz w:val="18"/>
                <w:szCs w:val="18"/>
              </w:rPr>
              <w:t>务</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如违反前述保证的，除相关所得归入顺为广告或公司所有外，还</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应将其于本次交易中所获对价的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作为赔偿金以现金方式支付</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给实益达。</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54"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、本次交易完成后，本人及本人控制的其他企业与上市公司之间</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将尽量减少、避免关联交易。在进行确有必要且无法规避的关联</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交易时，保证按市场化原则和公允价格进行公平操作，按相关法</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律、法规、规章等规范性文件及上市公司章程的规定履行关联交</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易的决策程序及信息披露义务，并保证以市场公允价格与上市公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司及下属子公司进行交易，不利用该等交易从事任何损害上市公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7"/>
              <w:jc w:val="both"/>
              <w:rPr>
                <w:rFonts w:ascii="宋体" w:hAnsi="宋体" w:cs="宋体" w:eastAsia="宋体" w:hint="default"/>
                <w:sz w:val="18"/>
                <w:szCs w:val="18"/>
              </w:rPr>
            </w:pPr>
            <w:r>
              <w:rPr>
                <w:rFonts w:ascii="宋体" w:hAnsi="宋体" w:cs="宋体" w:eastAsia="宋体" w:hint="default"/>
                <w:sz w:val="18"/>
                <w:szCs w:val="18"/>
              </w:rPr>
              <w:t>张伟、伏虎、 逄淑涌、曹建 华、袁琪、张 晓艳</w:t>
            </w: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4" w:right="20"/>
              <w:jc w:val="left"/>
              <w:rPr>
                <w:rFonts w:ascii="宋体" w:hAnsi="宋体" w:cs="宋体" w:eastAsia="宋体" w:hint="default"/>
                <w:sz w:val="18"/>
                <w:szCs w:val="18"/>
              </w:rPr>
            </w:pPr>
            <w:r>
              <w:rPr>
                <w:rFonts w:ascii="宋体" w:hAnsi="宋体" w:cs="宋体" w:eastAsia="宋体" w:hint="default"/>
                <w:sz w:val="18"/>
                <w:szCs w:val="18"/>
              </w:rPr>
              <w:t>司及下属子公司利益的行为。本人保证不会通过关联交易损害上 市公司及其他股东的合法权益。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、本人承诺不利用上市公司股东地位，谋求上市公司及下属子公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司在业务合作等方面给予本人及本人投资的其他企业优于市场第 三方的权利，或谋求与上市公司及下属子公司达成交易的优先权</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96"/>
              <w:jc w:val="left"/>
              <w:rPr>
                <w:rFonts w:ascii="宋体" w:hAnsi="宋体" w:cs="宋体" w:eastAsia="宋体" w:hint="default"/>
                <w:sz w:val="18"/>
                <w:szCs w:val="18"/>
              </w:rPr>
            </w:pPr>
            <w:r>
              <w:rPr>
                <w:rFonts w:ascii="宋体" w:hAnsi="宋体" w:cs="宋体" w:eastAsia="宋体" w:hint="default"/>
                <w:sz w:val="18"/>
                <w:szCs w:val="18"/>
              </w:rPr>
              <w:t>正在履行 中，未发 生违反承 诺的事 项。</w:t>
            </w: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利，损害上市公司及其他股东的合法利益。</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、本人将杜绝一切非法占用上市公司的资金、资产的行为，在任</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何情况下，不要求上市公司向本人及其关联方提供任何形式的担</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保</w:t>
            </w:r>
            <w:r>
              <w:rPr>
                <w:rFonts w:ascii="宋体" w:hAnsi="宋体" w:cs="宋体" w:eastAsia="宋体" w:hint="default"/>
                <w:spacing w:val="1"/>
                <w:sz w:val="18"/>
                <w:szCs w:val="18"/>
              </w:rPr>
              <w:t> </w:t>
            </w:r>
            <w:r>
              <w:rPr>
                <w:rFonts w:ascii="宋体" w:hAnsi="宋体" w:cs="宋体" w:eastAsia="宋体" w:hint="default"/>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85"/>
                <w:sz w:val="18"/>
                <w:szCs w:val="18"/>
              </w:rPr>
              <w:t>、</w:t>
            </w:r>
            <w:r>
              <w:rPr>
                <w:rFonts w:ascii="宋体" w:hAnsi="宋体" w:cs="宋体" w:eastAsia="宋体" w:hint="default"/>
                <w:sz w:val="18"/>
                <w:szCs w:val="18"/>
              </w:rPr>
              <w:t>本人保证将赔偿上市公司及其下属公司因本人违反本承诺而遭</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受或产生的任何损失或开支。</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854"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7"/>
              <w:jc w:val="left"/>
              <w:rPr>
                <w:rFonts w:ascii="宋体" w:hAnsi="宋体" w:cs="宋体" w:eastAsia="宋体" w:hint="default"/>
                <w:sz w:val="18"/>
                <w:szCs w:val="18"/>
              </w:rPr>
            </w:pPr>
            <w:r>
              <w:rPr>
                <w:rFonts w:ascii="宋体" w:hAnsi="宋体" w:cs="宋体" w:eastAsia="宋体" w:hint="default"/>
                <w:sz w:val="18"/>
                <w:szCs w:val="18"/>
              </w:rPr>
              <w:t>张伟、姚俊、 伏虎、逄淑</w:t>
            </w:r>
          </w:p>
        </w:tc>
        <w:tc>
          <w:tcPr>
            <w:tcW w:w="850"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27"/>
              <w:jc w:val="left"/>
              <w:rPr>
                <w:rFonts w:ascii="宋体" w:hAnsi="宋体" w:cs="宋体" w:eastAsia="宋体" w:hint="default"/>
                <w:sz w:val="18"/>
                <w:szCs w:val="18"/>
              </w:rPr>
            </w:pPr>
            <w:r>
              <w:rPr>
                <w:rFonts w:ascii="宋体" w:hAnsi="宋体" w:cs="宋体" w:eastAsia="宋体" w:hint="default"/>
                <w:sz w:val="18"/>
                <w:szCs w:val="18"/>
              </w:rPr>
              <w:t>一、本人已经依法向本次交易标的缴纳注册资本，享有作为本次 交易标的股东的一切股东权益，有权依法处分本人持有的本次交</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96"/>
              <w:jc w:val="left"/>
              <w:rPr>
                <w:rFonts w:ascii="宋体" w:hAnsi="宋体" w:cs="宋体" w:eastAsia="宋体" w:hint="default"/>
                <w:sz w:val="18"/>
                <w:szCs w:val="18"/>
              </w:rPr>
            </w:pPr>
            <w:r>
              <w:rPr>
                <w:rFonts w:ascii="宋体" w:hAnsi="宋体" w:cs="宋体" w:eastAsia="宋体" w:hint="default"/>
                <w:sz w:val="18"/>
                <w:szCs w:val="18"/>
              </w:rPr>
              <w:t>正在履行 中，未发</w:t>
            </w:r>
          </w:p>
        </w:tc>
      </w:tr>
    </w:tbl>
    <w:p>
      <w:pPr>
        <w:spacing w:after="0" w:line="316" w:lineRule="auto"/>
        <w:jc w:val="left"/>
        <w:rPr>
          <w:rFonts w:ascii="宋体" w:hAnsi="宋体" w:cs="宋体" w:eastAsia="宋体" w:hint="default"/>
          <w:sz w:val="18"/>
          <w:szCs w:val="18"/>
        </w:rPr>
        <w:sectPr>
          <w:pgSz w:w="11910" w:h="16840"/>
          <w:pgMar w:header="745" w:footer="980" w:top="1060" w:bottom="1160" w:left="600" w:right="580"/>
        </w:sectPr>
      </w:pPr>
    </w:p>
    <w:p>
      <w:pPr>
        <w:spacing w:line="240" w:lineRule="auto" w:before="0"/>
        <w:rPr>
          <w:rFonts w:ascii="Times New Roman" w:hAnsi="Times New Roman" w:cs="Times New Roman" w:eastAsia="Times New Roman" w:hint="default"/>
          <w:sz w:val="20"/>
          <w:szCs w:val="20"/>
        </w:rPr>
      </w:pPr>
      <w:r>
        <w:rPr/>
        <w:pict>
          <v:shape style="position:absolute;margin-left:417.433014pt;margin-top:630.075989pt;width:57.3pt;height:45.9pt;mso-position-horizontal-relative:page;mso-position-vertical-relative:page;z-index:-11020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pStyle w:val="BodyText"/>
                    <w:spacing w:line="240" w:lineRule="auto"/>
                    <w:ind w:left="0" w:right="0"/>
                    <w:jc w:val="left"/>
                  </w:pPr>
                  <w:r>
                    <w:rPr/>
                    <w:t>诺，</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854"/>
        <w:gridCol w:w="1133"/>
        <w:gridCol w:w="850"/>
        <w:gridCol w:w="5103"/>
        <w:gridCol w:w="853"/>
        <w:gridCol w:w="850"/>
        <w:gridCol w:w="852"/>
      </w:tblGrid>
      <w:tr>
        <w:trPr>
          <w:trHeight w:val="3795" w:hRule="exact"/>
        </w:trPr>
        <w:tc>
          <w:tcPr>
            <w:tcW w:w="854" w:type="dxa"/>
            <w:vMerge w:val="restart"/>
            <w:tcBorders>
              <w:top w:val="single" w:sz="4" w:space="0" w:color="000000"/>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涌、曹建华、 袁琪、张晓艳</w:t>
            </w:r>
          </w:p>
        </w:tc>
        <w:tc>
          <w:tcPr>
            <w:tcW w:w="850"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7"/>
              <w:jc w:val="left"/>
              <w:rPr>
                <w:rFonts w:ascii="宋体" w:hAnsi="宋体" w:cs="宋体" w:eastAsia="宋体" w:hint="default"/>
                <w:sz w:val="18"/>
                <w:szCs w:val="18"/>
              </w:rPr>
            </w:pPr>
            <w:r>
              <w:rPr>
                <w:rFonts w:ascii="宋体" w:hAnsi="宋体" w:cs="宋体" w:eastAsia="宋体" w:hint="default"/>
                <w:sz w:val="18"/>
                <w:szCs w:val="18"/>
              </w:rPr>
              <w:t>易标的股权。 二、在本人将所持本次交易标的的股份过户至实益达名下之前， 本人所持有本次交易标的的股权不存在质押或者其他第三方权 益。 三、在本人将所持本次交易标的的股份过户至实益达名下之前， 本人所持有本次交易标的的股份不存在权属纠纷或者被司法冻结 的情形。 四、在本人将所持本次交易标的的股份过户至实益达名下之前， 本人所持有本次交易标的的股份不存在信托、委托持股或者其他 类似安排持有本次交易标的股份的情形。 五、截至本承诺出具之日，本人签署的合同或协议不存在任何阻 碍本人转让所持本次交易标的股份的限制性条款。</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96"/>
              <w:jc w:val="left"/>
              <w:rPr>
                <w:rFonts w:ascii="宋体" w:hAnsi="宋体" w:cs="宋体" w:eastAsia="宋体" w:hint="default"/>
                <w:sz w:val="18"/>
                <w:szCs w:val="18"/>
              </w:rPr>
            </w:pPr>
            <w:r>
              <w:rPr>
                <w:rFonts w:ascii="宋体" w:hAnsi="宋体" w:cs="宋体" w:eastAsia="宋体" w:hint="default"/>
                <w:sz w:val="18"/>
                <w:szCs w:val="18"/>
              </w:rPr>
              <w:t>生违反承 诺的事 项。</w:t>
            </w:r>
          </w:p>
        </w:tc>
      </w:tr>
      <w:tr>
        <w:trPr>
          <w:trHeight w:val="3521" w:hRule="exact"/>
        </w:trPr>
        <w:tc>
          <w:tcPr>
            <w:tcW w:w="854"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伏虎、逄淑 涌、曹建华</w:t>
            </w:r>
          </w:p>
        </w:tc>
        <w:tc>
          <w:tcPr>
            <w:tcW w:w="850"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截至本声明与承诺出具日，本人（含本人关联方，下同）不存在 </w:t>
            </w:r>
            <w:r>
              <w:rPr>
                <w:rFonts w:ascii="宋体" w:hAnsi="宋体" w:cs="宋体" w:eastAsia="宋体" w:hint="default"/>
                <w:spacing w:val="-7"/>
                <w:sz w:val="18"/>
                <w:szCs w:val="18"/>
              </w:rPr>
              <w:t>非经营性占用实益达（含子公司，下同）、奇思广告资金、资产的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情形。本人未来亦不会非经营性占用实益达、奇思广告的资金、 资产。</w:t>
            </w:r>
            <w:r>
              <w:rPr>
                <w:rFonts w:ascii="宋体" w:hAnsi="宋体" w:cs="宋体" w:eastAsia="宋体" w:hint="default"/>
                <w:spacing w:val="-35"/>
                <w:sz w:val="18"/>
                <w:szCs w:val="18"/>
              </w:rPr>
              <w:t> </w:t>
            </w:r>
            <w:r>
              <w:rPr>
                <w:rFonts w:ascii="宋体" w:hAnsi="宋体" w:cs="宋体" w:eastAsia="宋体" w:hint="default"/>
                <w:spacing w:val="-2"/>
                <w:sz w:val="18"/>
                <w:szCs w:val="18"/>
              </w:rPr>
              <w:t>如违反上述承诺给实益达或奇思广告造成损失，自实益达</w:t>
            </w:r>
            <w:r>
              <w:rPr>
                <w:rFonts w:ascii="宋体" w:hAnsi="宋体" w:cs="宋体" w:eastAsia="宋体" w:hint="default"/>
                <w:sz w:val="18"/>
                <w:szCs w:val="18"/>
              </w:rPr>
              <w:t> 或奇思广告书面通知之日起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日内以现金赔偿或补偿由此给实 益达或奇思广告造成的所有直接或间接损失，包括但不限于本人 通过隐瞒或其他不正当手段占用、占有实益达或奇思广告资产造 成的损失，或是本人通过隐瞒或其他不正当手段使实益达与本人 的关联交易不公允造成的损失，或者是其他因为本人非经营性占 用实益达或标奇思广告资金、资产造成的损失，及因非经营性资 金占用问题被监管部门处罚等原因造成的损失。</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96"/>
              <w:jc w:val="left"/>
              <w:rPr>
                <w:rFonts w:ascii="宋体" w:hAnsi="宋体" w:cs="宋体" w:eastAsia="宋体" w:hint="default"/>
                <w:sz w:val="18"/>
                <w:szCs w:val="18"/>
              </w:rPr>
            </w:pPr>
            <w:r>
              <w:rPr>
                <w:rFonts w:ascii="宋体" w:hAnsi="宋体" w:cs="宋体" w:eastAsia="宋体" w:hint="default"/>
                <w:sz w:val="18"/>
                <w:szCs w:val="18"/>
              </w:rPr>
              <w:t>正在履行 中，未发 生违反承 诺的事 项。</w:t>
            </w:r>
          </w:p>
        </w:tc>
      </w:tr>
      <w:tr>
        <w:trPr>
          <w:trHeight w:val="3836" w:hRule="exact"/>
        </w:trPr>
        <w:tc>
          <w:tcPr>
            <w:tcW w:w="854"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7"/>
              <w:jc w:val="left"/>
              <w:rPr>
                <w:rFonts w:ascii="宋体" w:hAnsi="宋体" w:cs="宋体" w:eastAsia="宋体" w:hint="default"/>
                <w:sz w:val="18"/>
                <w:szCs w:val="18"/>
              </w:rPr>
            </w:pPr>
            <w:r>
              <w:rPr>
                <w:rFonts w:ascii="宋体" w:hAnsi="宋体" w:cs="宋体" w:eastAsia="宋体" w:hint="default"/>
                <w:sz w:val="18"/>
                <w:szCs w:val="18"/>
              </w:rPr>
              <w:t>张伟、姚俊、 袁琪、张晓艳</w:t>
            </w:r>
          </w:p>
        </w:tc>
        <w:tc>
          <w:tcPr>
            <w:tcW w:w="850"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本人（含本人关联方，下同）承诺于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日前偿还本 人对标的公司（指本人作为股东的标的公司，下同）的全部非经 营性占款；本人承诺未来不会非经营性占用实益达（含子公司， </w:t>
            </w:r>
            <w:r>
              <w:rPr>
                <w:rFonts w:ascii="宋体" w:hAnsi="宋体" w:cs="宋体" w:eastAsia="宋体" w:hint="default"/>
                <w:spacing w:val="-4"/>
                <w:sz w:val="18"/>
                <w:szCs w:val="18"/>
              </w:rPr>
              <w:t>下同）、标的公司（含子公司，下同）的资金、资产。</w:t>
            </w:r>
            <w:r>
              <w:rPr>
                <w:rFonts w:ascii="宋体" w:hAnsi="宋体" w:cs="宋体" w:eastAsia="宋体" w:hint="default"/>
                <w:spacing w:val="7"/>
                <w:sz w:val="18"/>
                <w:szCs w:val="18"/>
              </w:rPr>
              <w:t> </w:t>
            </w:r>
            <w:r>
              <w:rPr>
                <w:rFonts w:ascii="宋体" w:hAnsi="宋体" w:cs="宋体" w:eastAsia="宋体" w:hint="default"/>
                <w:sz w:val="18"/>
                <w:szCs w:val="18"/>
              </w:rPr>
              <w:t>如违反上</w:t>
            </w:r>
            <w:r>
              <w:rPr>
                <w:rFonts w:ascii="宋体" w:hAnsi="宋体" w:cs="宋体" w:eastAsia="宋体" w:hint="default"/>
                <w:sz w:val="18"/>
                <w:szCs w:val="18"/>
              </w:rPr>
              <w:t> 述承诺给实益达或标的公司造成损失，自实益达或标的公司书面 通知之日起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日内以现金赔偿或补偿由此给实益达或标的公司 造成的所有直接或间接损失，包括但不限于本人通过隐瞒或其他 不正当手段占用、占有实益达或标的公司资产造成的损失，或是 本人通过隐瞒或其他不正当手段使实益达与本人的关联交易不公 允造成的损失，或者是其他因为本人非经营性占用实益达或标的 公司资金、资产造成的损失，及因非经营性资金占用问题被监管 部门处罚等原因造成的损失。</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96"/>
              <w:jc w:val="left"/>
              <w:rPr>
                <w:rFonts w:ascii="宋体" w:hAnsi="宋体" w:cs="宋体" w:eastAsia="宋体" w:hint="default"/>
                <w:sz w:val="18"/>
                <w:szCs w:val="18"/>
              </w:rPr>
            </w:pPr>
            <w:r>
              <w:rPr>
                <w:rFonts w:ascii="宋体" w:hAnsi="宋体" w:cs="宋体" w:eastAsia="宋体" w:hint="default"/>
                <w:sz w:val="18"/>
                <w:szCs w:val="18"/>
              </w:rPr>
              <w:t>正在履行 中，未发 生违反承 诺的事 项。</w:t>
            </w:r>
          </w:p>
        </w:tc>
      </w:tr>
      <w:tr>
        <w:trPr>
          <w:trHeight w:val="2547" w:hRule="exact"/>
        </w:trPr>
        <w:tc>
          <w:tcPr>
            <w:tcW w:w="854"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张伟、姚俊、 伏虎、逄淑 涌、曹建华、 袁琪、张晓艳</w:t>
            </w:r>
          </w:p>
        </w:tc>
        <w:tc>
          <w:tcPr>
            <w:tcW w:w="850"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一、业绩承诺</w:t>
            </w:r>
          </w:p>
          <w:p>
            <w:pPr>
              <w:pStyle w:val="TableParagraph"/>
              <w:spacing w:line="312" w:lineRule="auto" w:before="76"/>
              <w:ind w:left="24"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张伟承诺：顺为广告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年度实现的净 利润分别不低于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3,250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4,225</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万元；姚俊承</w:t>
            </w:r>
            <w:r>
              <w:rPr>
                <w:rFonts w:ascii="宋体" w:hAnsi="宋体" w:cs="宋体" w:eastAsia="宋体" w:hint="default"/>
                <w:sz w:val="18"/>
                <w:szCs w:val="18"/>
              </w:rPr>
              <w:t> 如张伟未能依约履行包括及时进行盈利预测补偿在内的义务和责 任的，姚俊将就张伟在《盈利预测补偿协议》项下的所有义务和 责任承担连带保证责任；伏虎、逄淑涌、曹建华承诺：奇思广告 </w:t>
            </w:r>
            <w:r>
              <w:rPr>
                <w:rFonts w:ascii="Times New Roman" w:hAnsi="Times New Roman" w:cs="Times New Roman" w:eastAsia="Times New Roman" w:hint="default"/>
                <w:sz w:val="18"/>
                <w:szCs w:val="18"/>
              </w:rPr>
              <w:t>2015 </w:t>
            </w:r>
            <w:r>
              <w:rPr>
                <w:rFonts w:ascii="宋体" w:hAnsi="宋体" w:cs="宋体" w:eastAsia="宋体" w:hint="default"/>
                <w:spacing w:val="-3"/>
                <w:sz w:val="18"/>
                <w:szCs w:val="18"/>
              </w:rPr>
              <w:t>年度、</w:t>
            </w:r>
            <w:r>
              <w:rPr>
                <w:rFonts w:ascii="Times New Roman" w:hAnsi="Times New Roman" w:cs="Times New Roman" w:eastAsia="Times New Roman" w:hint="default"/>
                <w:spacing w:val="-3"/>
                <w:sz w:val="18"/>
                <w:szCs w:val="18"/>
              </w:rPr>
              <w:t>2016 </w:t>
            </w:r>
            <w:r>
              <w:rPr>
                <w:rFonts w:ascii="宋体" w:hAnsi="宋体" w:cs="宋体" w:eastAsia="宋体" w:hint="default"/>
                <w:spacing w:val="-4"/>
                <w:sz w:val="18"/>
                <w:szCs w:val="18"/>
              </w:rPr>
              <w:t>年度、</w:t>
            </w:r>
            <w:r>
              <w:rPr>
                <w:rFonts w:ascii="Times New Roman" w:hAnsi="Times New Roman" w:cs="Times New Roman" w:eastAsia="Times New Roman" w:hint="default"/>
                <w:spacing w:val="-4"/>
                <w:sz w:val="18"/>
                <w:szCs w:val="18"/>
              </w:rPr>
              <w:t>2017 </w:t>
            </w:r>
            <w:r>
              <w:rPr>
                <w:rFonts w:ascii="宋体" w:hAnsi="宋体" w:cs="宋体" w:eastAsia="宋体" w:hint="default"/>
                <w:sz w:val="18"/>
                <w:szCs w:val="18"/>
              </w:rPr>
              <w:t>年度实现的净利润分别不低于</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1,800</w:t>
            </w:r>
          </w:p>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万元、</w:t>
            </w:r>
            <w:r>
              <w:rPr>
                <w:rFonts w:ascii="Times New Roman" w:hAnsi="Times New Roman" w:cs="Times New Roman" w:eastAsia="Times New Roman" w:hint="default"/>
                <w:spacing w:val="-9"/>
                <w:sz w:val="18"/>
                <w:szCs w:val="18"/>
              </w:rPr>
              <w:t>2,340 </w:t>
            </w:r>
            <w:r>
              <w:rPr>
                <w:rFonts w:ascii="宋体" w:hAnsi="宋体" w:cs="宋体" w:eastAsia="宋体" w:hint="default"/>
                <w:sz w:val="18"/>
                <w:szCs w:val="18"/>
              </w:rPr>
              <w:t>万元和 </w:t>
            </w:r>
            <w:r>
              <w:rPr>
                <w:rFonts w:ascii="Times New Roman" w:hAnsi="Times New Roman" w:cs="Times New Roman" w:eastAsia="Times New Roman" w:hint="default"/>
                <w:sz w:val="18"/>
                <w:szCs w:val="18"/>
              </w:rPr>
              <w:t>3,042 </w:t>
            </w:r>
            <w:r>
              <w:rPr>
                <w:rFonts w:ascii="宋体" w:hAnsi="宋体" w:cs="宋体" w:eastAsia="宋体" w:hint="default"/>
                <w:spacing w:val="-13"/>
                <w:sz w:val="18"/>
                <w:szCs w:val="18"/>
              </w:rPr>
              <w:t>万元；袁琪、张晓艳承诺：利宣广告</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2015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917"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pict>
                <v:group style="width:42.05pt;height:45.9pt;mso-position-horizontal-relative:char;mso-position-vertical-relative:line" coordorigin="0,0" coordsize="841,918">
                  <v:group style="position:absolute;left:0;top:0;width:841;height:918" coordorigin="0,0" coordsize="841,918">
                    <v:shape style="position:absolute;left:0;top:0;width:841;height:918" coordorigin="0,0" coordsize="841,918" path="m0,917l840,917,840,0,0,0,0,917xe" filled="true" fillcolor="#ffffff" stroked="false">
                      <v:path arrowok="t"/>
                      <v:fill type="solid"/>
                    </v:shape>
                  </v:group>
                </v:group>
              </w:pict>
            </w:r>
            <w:r>
              <w:rPr>
                <w:rFonts w:ascii="Times New Roman" w:hAnsi="Times New Roman" w:cs="Times New Roman" w:eastAsia="Times New Roman" w:hint="default"/>
                <w:position w:val="-17"/>
                <w:sz w:val="20"/>
                <w:szCs w:val="20"/>
              </w:rPr>
            </w:r>
          </w:p>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正在履行 中，未发 生违反承 诺的事 项。</w:t>
            </w:r>
          </w:p>
        </w:tc>
      </w:tr>
    </w:tbl>
    <w:p>
      <w:pPr>
        <w:spacing w:after="0" w:line="316" w:lineRule="auto"/>
        <w:jc w:val="left"/>
        <w:rPr>
          <w:rFonts w:ascii="宋体" w:hAnsi="宋体" w:cs="宋体" w:eastAsia="宋体" w:hint="default"/>
          <w:sz w:val="18"/>
          <w:szCs w:val="18"/>
        </w:rPr>
        <w:sectPr>
          <w:pgSz w:w="11910" w:h="16840"/>
          <w:pgMar w:header="745" w:footer="980" w:top="1060" w:bottom="1160" w:left="600" w:right="580"/>
        </w:sectPr>
      </w:pPr>
    </w:p>
    <w:p>
      <w:pPr>
        <w:spacing w:line="240" w:lineRule="auto" w:before="0"/>
        <w:rPr>
          <w:rFonts w:ascii="Times New Roman" w:hAnsi="Times New Roman" w:cs="Times New Roman" w:eastAsia="Times New Roman" w:hint="default"/>
          <w:sz w:val="20"/>
          <w:szCs w:val="20"/>
        </w:rPr>
      </w:pPr>
      <w:r>
        <w:rPr/>
        <w:pict>
          <v:shape style="position:absolute;margin-left:300.377014pt;margin-top:72.47998pt;width:174.35pt;height:329.7pt;mso-position-horizontal-relative:page;mso-position-vertical-relative:page;z-index:-1102000" type="#_x0000_t202" filled="false" stroked="false">
            <v:textbox inset="0,0,0,0">
              <w:txbxContent>
                <w:p>
                  <w:pPr>
                    <w:pStyle w:val="BodyText"/>
                    <w:spacing w:line="240" w:lineRule="auto" w:before="8"/>
                    <w:ind w:left="0" w:right="0" w:firstLine="2161"/>
                    <w:jc w:val="left"/>
                  </w:pPr>
                  <w:r>
                    <w:rPr/>
                    <w:t>万元、</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6"/>
                      <w:szCs w:val="26"/>
                    </w:rPr>
                  </w:pPr>
                </w:p>
                <w:p>
                  <w:pPr>
                    <w:pStyle w:val="BodyText"/>
                    <w:spacing w:line="240" w:lineRule="auto"/>
                    <w:ind w:left="0" w:right="0"/>
                    <w:jc w:val="left"/>
                  </w:pPr>
                  <w:r>
                    <w:rPr/>
                    <w:t>则应当使用相应的现金予以补足，</w:t>
                  </w:r>
                </w:p>
              </w:txbxContent>
            </v:textbox>
            <w10:wrap type="none"/>
          </v:shape>
        </w:pict>
      </w:r>
      <w:r>
        <w:rPr/>
        <w:pict>
          <v:shape style="position:absolute;margin-left:408.476013pt;margin-top:402.649994pt;width:66.25pt;height:162.9pt;mso-position-horizontal-relative:page;mso-position-vertical-relative:page;z-index:-11019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pStyle w:val="BodyText"/>
                    <w:spacing w:line="240" w:lineRule="auto"/>
                    <w:ind w:left="0" w:right="0"/>
                    <w:jc w:val="left"/>
                  </w:pPr>
                  <w:r>
                    <w:rPr/>
                    <w:t>职务；</w:t>
                  </w:r>
                </w:p>
              </w:txbxContent>
            </v:textbox>
            <w10:wrap type="none"/>
          </v:shape>
        </w:pict>
      </w:r>
      <w:r>
        <w:rPr/>
        <w:pict>
          <v:shape style="position:absolute;margin-left:300.382996pt;margin-top:600.675964pt;width:174.35pt;height:162.9pt;mso-position-horizontal-relative:page;mso-position-vertical-relative:page;z-index:-11019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2"/>
                      <w:szCs w:val="22"/>
                    </w:rPr>
                  </w:pPr>
                </w:p>
                <w:p>
                  <w:pPr>
                    <w:pStyle w:val="BodyText"/>
                    <w:spacing w:line="240" w:lineRule="auto"/>
                    <w:ind w:left="0" w:right="0"/>
                    <w:jc w:val="left"/>
                  </w:pPr>
                  <w:r>
                    <w:rPr/>
                    <w:t>产被本人及其关联方占用的情形；</w:t>
                  </w:r>
                </w:p>
              </w:txbxContent>
            </v:textbox>
            <w10:wrap type="none"/>
          </v:shape>
        </w:pict>
      </w:r>
      <w:r>
        <w:rPr/>
        <w:pict>
          <v:group style="position:absolute;margin-left:432.670013pt;margin-top:72.47998pt;width:42.05pt;height:493.05pt;mso-position-horizontal-relative:page;mso-position-vertical-relative:page;z-index:-1101928" coordorigin="8653,1450" coordsize="841,9861">
            <v:group style="position:absolute;left:8653;top:1450;width:841;height:6594" coordorigin="8653,1450" coordsize="841,6594">
              <v:shape style="position:absolute;left:8653;top:1450;width:841;height:6594" coordorigin="8653,1450" coordsize="841,6594" path="m8653,8043l9494,8043,9494,1450,8653,1450,8653,8043xe" filled="true" fillcolor="#ffffff" stroked="false">
                <v:path arrowok="t"/>
                <v:fill type="solid"/>
              </v:shape>
            </v:group>
            <v:group style="position:absolute;left:8653;top:8053;width:841;height:3258" coordorigin="8653,8053" coordsize="841,3258">
              <v:shape style="position:absolute;left:8653;top:8053;width:841;height:3258" coordorigin="8653,8053" coordsize="841,3258" path="m8653,11310l9494,11310,9494,8053,8653,8053,8653,11310xe" filled="true" fillcolor="#ffffff" stroked="false">
                <v:path arrowok="t"/>
                <v:fill type="solid"/>
              </v:shape>
            </v:group>
            <w10:wrap type="none"/>
          </v:group>
        </w:pict>
      </w:r>
      <w:r>
        <w:rPr/>
        <w:pict>
          <v:group style="position:absolute;margin-left:432.670013pt;margin-top:600.675964pt;width:42.05pt;height:162.9pt;mso-position-horizontal-relative:page;mso-position-vertical-relative:page;z-index:-1101904" coordorigin="8653,12014" coordsize="841,3258">
            <v:shape style="position:absolute;left:8653;top:12014;width:841;height:3258" coordorigin="8653,12014" coordsize="841,3258" path="m8653,15271l9494,15271,9494,12014,8653,12014,8653,1527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854"/>
        <w:gridCol w:w="1133"/>
        <w:gridCol w:w="850"/>
        <w:gridCol w:w="5103"/>
        <w:gridCol w:w="853"/>
        <w:gridCol w:w="850"/>
        <w:gridCol w:w="852"/>
      </w:tblGrid>
      <w:tr>
        <w:trPr>
          <w:trHeight w:val="320" w:hRule="exact"/>
        </w:trPr>
        <w:tc>
          <w:tcPr>
            <w:tcW w:w="854" w:type="dxa"/>
            <w:vMerge w:val="restart"/>
            <w:tcBorders>
              <w:top w:val="single" w:sz="4" w:space="0" w:color="000000"/>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年度、</w:t>
            </w:r>
            <w:r>
              <w:rPr>
                <w:rFonts w:ascii="Times New Roman" w:hAnsi="Times New Roman" w:cs="Times New Roman" w:eastAsia="Times New Roman" w:hint="default"/>
                <w:spacing w:val="-10"/>
                <w:sz w:val="18"/>
                <w:szCs w:val="18"/>
              </w:rPr>
              <w:t>2016 </w:t>
            </w:r>
            <w:r>
              <w:rPr>
                <w:rFonts w:ascii="宋体" w:hAnsi="宋体" w:cs="宋体" w:eastAsia="宋体" w:hint="default"/>
                <w:spacing w:val="-10"/>
                <w:sz w:val="18"/>
                <w:szCs w:val="18"/>
              </w:rPr>
              <w:t>年度、</w:t>
            </w:r>
            <w:r>
              <w:rPr>
                <w:rFonts w:ascii="Times New Roman" w:hAnsi="Times New Roman" w:cs="Times New Roman" w:eastAsia="Times New Roman" w:hint="default"/>
                <w:spacing w:val="-10"/>
                <w:sz w:val="18"/>
                <w:szCs w:val="18"/>
              </w:rPr>
              <w:t>2017 </w:t>
            </w:r>
            <w:r>
              <w:rPr>
                <w:rFonts w:ascii="宋体" w:hAnsi="宋体" w:cs="宋体" w:eastAsia="宋体" w:hint="default"/>
                <w:sz w:val="18"/>
                <w:szCs w:val="18"/>
              </w:rPr>
              <w:t>年度实现的净利润分别不低于</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1,000</w:t>
            </w:r>
          </w:p>
        </w:tc>
        <w:tc>
          <w:tcPr>
            <w:tcW w:w="85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1,300 </w:t>
            </w:r>
            <w:r>
              <w:rPr>
                <w:rFonts w:ascii="宋体" w:hAnsi="宋体" w:cs="宋体" w:eastAsia="宋体" w:hint="default"/>
                <w:sz w:val="18"/>
                <w:szCs w:val="18"/>
              </w:rPr>
              <w:t>万元和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1,690 </w:t>
            </w:r>
            <w:r>
              <w:rPr>
                <w:rFonts w:ascii="宋体" w:hAnsi="宋体" w:cs="宋体" w:eastAsia="宋体" w:hint="default"/>
                <w:sz w:val="18"/>
                <w:szCs w:val="18"/>
              </w:rPr>
              <w:t>万元。</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二、盈利承诺期内实际净利润未达到承诺净利润的补偿</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如顺为广告、奇思广告、利宣广告在盈利承诺期内的任一年度：</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累积实际净利润未达到累积承诺净利润的，则获得股份对价的交</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易对方应当向上市公司进行补偿，当年补偿的股份数量按照如下</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方式计算：当年应补偿的股份数量＝（截至当期期末累积承诺净</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利润－截至当期期末累积实际净利润）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盈利承诺期间内各年的</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承诺净利润总和</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本次发行股份及支付现金购买资产交易总价</w:t>
            </w:r>
            <w:r>
              <w:rPr>
                <w:rFonts w:ascii="Times New Roman" w:hAnsi="Times New Roman" w:cs="Times New Roman" w:eastAsia="Times New Roman" w:hint="default"/>
                <w:sz w:val="18"/>
                <w:szCs w:val="18"/>
              </w:rPr>
              <w:t>÷</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新股发行价格－已补偿股份数量－（已补偿的现金总额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新股发行</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价格</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如果张伟</w:t>
            </w:r>
            <w:r>
              <w:rPr>
                <w:rFonts w:ascii="宋体" w:hAnsi="宋体" w:cs="宋体" w:eastAsia="宋体" w:hint="default"/>
                <w:spacing w:val="-15"/>
                <w:sz w:val="18"/>
                <w:szCs w:val="18"/>
              </w:rPr>
              <w:t>，</w:t>
            </w:r>
            <w:r>
              <w:rPr>
                <w:rFonts w:ascii="宋体" w:hAnsi="宋体" w:cs="宋体" w:eastAsia="宋体" w:hint="default"/>
                <w:sz w:val="18"/>
                <w:szCs w:val="18"/>
              </w:rPr>
              <w:t>伏虎</w:t>
            </w:r>
            <w:r>
              <w:rPr>
                <w:rFonts w:ascii="宋体" w:hAnsi="宋体" w:cs="宋体" w:eastAsia="宋体" w:hint="default"/>
                <w:spacing w:val="-15"/>
                <w:sz w:val="18"/>
                <w:szCs w:val="18"/>
              </w:rPr>
              <w:t>、</w:t>
            </w:r>
            <w:r>
              <w:rPr>
                <w:rFonts w:ascii="宋体" w:hAnsi="宋体" w:cs="宋体" w:eastAsia="宋体" w:hint="default"/>
                <w:sz w:val="18"/>
                <w:szCs w:val="18"/>
              </w:rPr>
              <w:t>逄</w:t>
            </w:r>
            <w:r>
              <w:rPr>
                <w:rFonts w:ascii="宋体" w:hAnsi="宋体" w:cs="宋体" w:eastAsia="宋体" w:hint="default"/>
                <w:spacing w:val="2"/>
                <w:sz w:val="18"/>
                <w:szCs w:val="18"/>
              </w:rPr>
              <w:t>淑</w:t>
            </w:r>
            <w:r>
              <w:rPr>
                <w:rFonts w:ascii="宋体" w:hAnsi="宋体" w:cs="宋体" w:eastAsia="宋体" w:hint="default"/>
                <w:sz w:val="18"/>
                <w:szCs w:val="18"/>
              </w:rPr>
              <w:t>涌</w:t>
            </w:r>
            <w:r>
              <w:rPr>
                <w:rFonts w:ascii="宋体" w:hAnsi="宋体" w:cs="宋体" w:eastAsia="宋体" w:hint="default"/>
                <w:spacing w:val="-15"/>
                <w:sz w:val="18"/>
                <w:szCs w:val="18"/>
              </w:rPr>
              <w:t>、</w:t>
            </w:r>
            <w:r>
              <w:rPr>
                <w:rFonts w:ascii="宋体" w:hAnsi="宋体" w:cs="宋体" w:eastAsia="宋体" w:hint="default"/>
                <w:sz w:val="18"/>
                <w:szCs w:val="18"/>
              </w:rPr>
              <w:t>曹建华</w:t>
            </w:r>
            <w:r>
              <w:rPr>
                <w:rFonts w:ascii="宋体" w:hAnsi="宋体" w:cs="宋体" w:eastAsia="宋体" w:hint="default"/>
                <w:spacing w:val="-15"/>
                <w:sz w:val="18"/>
                <w:szCs w:val="18"/>
              </w:rPr>
              <w:t>，</w:t>
            </w:r>
            <w:r>
              <w:rPr>
                <w:rFonts w:ascii="宋体" w:hAnsi="宋体" w:cs="宋体" w:eastAsia="宋体" w:hint="default"/>
                <w:sz w:val="18"/>
                <w:szCs w:val="18"/>
              </w:rPr>
              <w:t>袁琪</w:t>
            </w:r>
            <w:r>
              <w:rPr>
                <w:rFonts w:ascii="宋体" w:hAnsi="宋体" w:cs="宋体" w:eastAsia="宋体" w:hint="default"/>
                <w:spacing w:val="-15"/>
                <w:sz w:val="18"/>
                <w:szCs w:val="18"/>
              </w:rPr>
              <w:t>、</w:t>
            </w:r>
            <w:r>
              <w:rPr>
                <w:rFonts w:ascii="宋体" w:hAnsi="宋体" w:cs="宋体" w:eastAsia="宋体" w:hint="default"/>
                <w:sz w:val="18"/>
                <w:szCs w:val="18"/>
              </w:rPr>
              <w:t>张晓艳</w:t>
            </w:r>
            <w:r>
              <w:rPr>
                <w:rFonts w:ascii="宋体" w:hAnsi="宋体" w:cs="宋体" w:eastAsia="宋体" w:hint="default"/>
                <w:spacing w:val="2"/>
                <w:sz w:val="18"/>
                <w:szCs w:val="18"/>
              </w:rPr>
              <w:t>没</w:t>
            </w:r>
            <w:r>
              <w:rPr>
                <w:rFonts w:ascii="宋体" w:hAnsi="宋体" w:cs="宋体" w:eastAsia="宋体" w:hint="default"/>
                <w:sz w:val="18"/>
                <w:szCs w:val="18"/>
              </w:rPr>
              <w:t>有足</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够的上市公司股票用于补偿的，</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具体计算公式如下：当年应补偿现金数</w:t>
            </w:r>
            <w:r>
              <w:rPr>
                <w:rFonts w:ascii="Times New Roman" w:hAnsi="Times New Roman" w:cs="Times New Roman" w:eastAsia="Times New Roman" w:hint="default"/>
                <w:sz w:val="18"/>
                <w:szCs w:val="18"/>
              </w:rPr>
              <w:t>=</w:t>
            </w:r>
            <w:r>
              <w:rPr>
                <w:rFonts w:ascii="宋体" w:hAnsi="宋体" w:cs="宋体" w:eastAsia="宋体" w:hint="default"/>
                <w:sz w:val="18"/>
                <w:szCs w:val="18"/>
              </w:rPr>
              <w:t>（截至当期期末累积承</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诺净利润－截至当期期末累积实际净利润）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盈利承诺期间内各</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年的承诺净利润总和</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本次发行股份及支付现金购买资产交易总</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价－（已补偿股份数量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新股发行价格）－已补偿现金数。上市</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公司在盈利承诺期内实施转增或股票股利分配的，则补偿股份数</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量相应调整为：补偿股份数量（调整后）</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当年应补偿股份数</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＋转增或送股比例</w:t>
            </w:r>
            <w:r>
              <w:rPr>
                <w:rFonts w:ascii="宋体" w:hAnsi="宋体" w:cs="宋体" w:eastAsia="宋体" w:hint="default"/>
                <w:spacing w:val="-92"/>
                <w:sz w:val="18"/>
                <w:szCs w:val="18"/>
              </w:rPr>
              <w:t>）</w:t>
            </w:r>
            <w:r>
              <w:rPr>
                <w:rFonts w:ascii="宋体" w:hAnsi="宋体" w:cs="宋体" w:eastAsia="宋体" w:hint="default"/>
                <w:spacing w:val="-85"/>
                <w:sz w:val="18"/>
                <w:szCs w:val="18"/>
              </w:rPr>
              <w:t>。</w:t>
            </w:r>
            <w:r>
              <w:rPr>
                <w:rFonts w:ascii="宋体" w:hAnsi="宋体" w:cs="宋体" w:eastAsia="宋体" w:hint="default"/>
                <w:sz w:val="18"/>
                <w:szCs w:val="18"/>
              </w:rPr>
              <w:t>上市公</w:t>
            </w:r>
            <w:r>
              <w:rPr>
                <w:rFonts w:ascii="宋体" w:hAnsi="宋体" w:cs="宋体" w:eastAsia="宋体" w:hint="default"/>
                <w:spacing w:val="2"/>
                <w:sz w:val="18"/>
                <w:szCs w:val="18"/>
              </w:rPr>
              <w:t>司</w:t>
            </w:r>
            <w:r>
              <w:rPr>
                <w:rFonts w:ascii="宋体" w:hAnsi="宋体" w:cs="宋体" w:eastAsia="宋体" w:hint="default"/>
                <w:sz w:val="18"/>
                <w:szCs w:val="18"/>
              </w:rPr>
              <w:t>就补偿股份数已分配的现金股利张</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伟应作相应返还，计算公式为：返还金额</w:t>
            </w:r>
            <w:r>
              <w:rPr>
                <w:rFonts w:ascii="Times New Roman" w:hAnsi="Times New Roman" w:cs="Times New Roman" w:eastAsia="Times New Roman" w:hint="default"/>
                <w:sz w:val="18"/>
                <w:szCs w:val="18"/>
              </w:rPr>
              <w:t>=</w:t>
            </w:r>
            <w:r>
              <w:rPr>
                <w:rFonts w:ascii="宋体" w:hAnsi="宋体" w:cs="宋体" w:eastAsia="宋体" w:hint="default"/>
                <w:sz w:val="18"/>
                <w:szCs w:val="18"/>
              </w:rPr>
              <w:t>截至补偿前每股已获</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55" w:hRule="exact"/>
        </w:trPr>
        <w:tc>
          <w:tcPr>
            <w:tcW w:w="854"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得的现金股利</w:t>
            </w:r>
            <w:r>
              <w:rPr>
                <w:rFonts w:ascii="Times New Roman" w:hAnsi="Times New Roman" w:cs="Times New Roman" w:eastAsia="Times New Roman" w:hint="default"/>
                <w:sz w:val="18"/>
                <w:szCs w:val="18"/>
              </w:rPr>
              <w:t>×</w:t>
            </w:r>
            <w:r>
              <w:rPr>
                <w:rFonts w:ascii="宋体" w:hAnsi="宋体" w:cs="宋体" w:eastAsia="宋体" w:hint="default"/>
                <w:sz w:val="18"/>
                <w:szCs w:val="18"/>
              </w:rPr>
              <w:t>当年应补偿股份数量。</w:t>
            </w: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r>
        <w:trPr>
          <w:trHeight w:val="355" w:hRule="exact"/>
        </w:trPr>
        <w:tc>
          <w:tcPr>
            <w:tcW w:w="8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一、保持上市公司独立性的承诺</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854" w:type="dxa"/>
            <w:tcBorders>
              <w:top w:val="nil" w:sz="6" w:space="0" w:color="auto"/>
              <w:left w:val="single" w:sz="4" w:space="0" w:color="000000"/>
              <w:bottom w:val="nil" w:sz="6" w:space="0" w:color="auto"/>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作为上市公司控股股东</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实际控制人，为了维持本次交易后的上市</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4" w:type="dxa"/>
            <w:tcBorders>
              <w:top w:val="nil" w:sz="6" w:space="0" w:color="auto"/>
              <w:left w:val="single" w:sz="4" w:space="0" w:color="000000"/>
              <w:bottom w:val="nil" w:sz="6" w:space="0" w:color="auto"/>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公司人员独立、资产独立、业务独立、财务独立、机构独立，本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4" w:type="dxa"/>
            <w:tcBorders>
              <w:top w:val="nil" w:sz="6" w:space="0" w:color="auto"/>
              <w:left w:val="single" w:sz="4" w:space="0" w:color="000000"/>
              <w:bottom w:val="nil" w:sz="6" w:space="0" w:color="auto"/>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人承诺如下：</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4" w:type="dxa"/>
            <w:tcBorders>
              <w:top w:val="nil" w:sz="6" w:space="0" w:color="auto"/>
              <w:left w:val="single" w:sz="4" w:space="0" w:color="000000"/>
              <w:bottom w:val="nil" w:sz="6" w:space="0" w:color="auto"/>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（一）保证上市公司人员独立</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4" w:type="dxa"/>
            <w:tcBorders>
              <w:top w:val="nil" w:sz="6" w:space="0" w:color="auto"/>
              <w:left w:val="single" w:sz="4" w:space="0" w:color="000000"/>
              <w:bottom w:val="nil" w:sz="6" w:space="0" w:color="auto"/>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、保证上市公司的总经理、副总经理、财务总监、董事会秘书等</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4" w:type="dxa"/>
            <w:tcBorders>
              <w:top w:val="nil" w:sz="6" w:space="0" w:color="auto"/>
              <w:left w:val="single" w:sz="4" w:space="0" w:color="000000"/>
              <w:bottom w:val="nil" w:sz="6" w:space="0" w:color="auto"/>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高级管理人员均专职在上市公司任职并领取薪酬，不在本人及其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4" w:type="dxa"/>
            <w:tcBorders>
              <w:top w:val="nil" w:sz="6" w:space="0" w:color="auto"/>
              <w:left w:val="single" w:sz="4" w:space="0" w:color="000000"/>
              <w:bottom w:val="nil" w:sz="6" w:space="0" w:color="auto"/>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关联自然人、关联企业、关联法人担任除董事、监事以外的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4" w:type="dxa"/>
            <w:tcBorders>
              <w:top w:val="nil" w:sz="6" w:space="0" w:color="auto"/>
              <w:left w:val="single" w:sz="4" w:space="0" w:color="000000"/>
              <w:bottom w:val="nil" w:sz="6" w:space="0" w:color="auto"/>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、保证上市公司的劳动、人事及工资管理与本人及其关联方之间</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1565" w:hRule="exact"/>
        </w:trPr>
        <w:tc>
          <w:tcPr>
            <w:tcW w:w="8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52"/>
              <w:ind w:left="25" w:right="96"/>
              <w:jc w:val="both"/>
              <w:rPr>
                <w:rFonts w:ascii="宋体" w:hAnsi="宋体" w:cs="宋体" w:eastAsia="宋体" w:hint="default"/>
                <w:sz w:val="18"/>
                <w:szCs w:val="18"/>
              </w:rPr>
            </w:pPr>
            <w:r>
              <w:rPr>
                <w:rFonts w:ascii="宋体" w:hAnsi="宋体" w:cs="宋体" w:eastAsia="宋体" w:hint="default"/>
                <w:sz w:val="18"/>
                <w:szCs w:val="18"/>
              </w:rPr>
              <w:t>首次公开 发行或再 融资时所 作承诺</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w:t>
            </w:r>
            <w:r>
              <w:rPr>
                <w:rFonts w:ascii="宋体" w:hAnsi="宋体" w:cs="宋体" w:eastAsia="宋体" w:hint="default"/>
                <w:sz w:val="18"/>
                <w:szCs w:val="18"/>
              </w:rPr>
              <w:t>乔昕</w:t>
            </w: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312" w:lineRule="auto" w:before="15"/>
              <w:ind w:left="24" w:right="18"/>
              <w:jc w:val="left"/>
              <w:rPr>
                <w:rFonts w:ascii="宋体" w:hAnsi="宋体" w:cs="宋体" w:eastAsia="宋体" w:hint="default"/>
                <w:sz w:val="18"/>
                <w:szCs w:val="18"/>
              </w:rPr>
            </w:pPr>
            <w:r>
              <w:rPr>
                <w:rFonts w:ascii="宋体" w:hAnsi="宋体" w:cs="宋体" w:eastAsia="宋体" w:hint="default"/>
                <w:sz w:val="18"/>
                <w:szCs w:val="18"/>
              </w:rPr>
              <w:t>完全独立；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、本人向上市公司推荐董事、监事、经理等高级管理人员人选均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通过合法程序进行，不干预上市公司董事会和股东大会行使职权 作出人事任免决定。</w:t>
            </w:r>
          </w:p>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（二）保证上市公司资产独立完整</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正在履行 中，未发 生违反承 诺的事 项。</w:t>
            </w:r>
          </w:p>
        </w:tc>
      </w:tr>
      <w:tr>
        <w:trPr>
          <w:trHeight w:val="317" w:hRule="exact"/>
        </w:trPr>
        <w:tc>
          <w:tcPr>
            <w:tcW w:w="854" w:type="dxa"/>
            <w:tcBorders>
              <w:top w:val="nil" w:sz="6" w:space="0" w:color="auto"/>
              <w:left w:val="single" w:sz="4" w:space="0" w:color="000000"/>
              <w:bottom w:val="nil" w:sz="6" w:space="0" w:color="auto"/>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5"/>
                <w:sz w:val="18"/>
                <w:szCs w:val="18"/>
              </w:rPr>
              <w:t>、</w:t>
            </w:r>
            <w:r>
              <w:rPr>
                <w:rFonts w:ascii="宋体" w:hAnsi="宋体" w:cs="宋体" w:eastAsia="宋体" w:hint="default"/>
                <w:sz w:val="18"/>
                <w:szCs w:val="18"/>
              </w:rPr>
              <w:t>保证上市公司具有独立的与经营有关的业务体系和独立完整的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4" w:type="dxa"/>
            <w:tcBorders>
              <w:top w:val="nil" w:sz="6" w:space="0" w:color="auto"/>
              <w:left w:val="single" w:sz="4" w:space="0" w:color="000000"/>
              <w:bottom w:val="nil" w:sz="6" w:space="0" w:color="auto"/>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4" w:type="dxa"/>
            <w:tcBorders>
              <w:top w:val="nil" w:sz="6" w:space="0" w:color="auto"/>
              <w:left w:val="single" w:sz="4" w:space="0" w:color="000000"/>
              <w:bottom w:val="nil" w:sz="6" w:space="0" w:color="auto"/>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7"/>
                <w:sz w:val="18"/>
                <w:szCs w:val="18"/>
              </w:rPr>
              <w:t>、</w:t>
            </w:r>
            <w:r>
              <w:rPr>
                <w:rFonts w:ascii="宋体" w:hAnsi="宋体" w:cs="宋体" w:eastAsia="宋体" w:hint="default"/>
                <w:sz w:val="18"/>
                <w:szCs w:val="18"/>
              </w:rPr>
              <w:t>保证上市公司不存在资金</w:t>
            </w:r>
            <w:r>
              <w:rPr>
                <w:rFonts w:ascii="宋体" w:hAnsi="宋体" w:cs="宋体" w:eastAsia="宋体" w:hint="default"/>
                <w:spacing w:val="-87"/>
                <w:sz w:val="18"/>
                <w:szCs w:val="18"/>
              </w:rPr>
              <w:t>、</w:t>
            </w:r>
            <w:r>
              <w:rPr>
                <w:rFonts w:ascii="宋体" w:hAnsi="宋体" w:cs="宋体" w:eastAsia="宋体" w:hint="default"/>
                <w:sz w:val="18"/>
                <w:szCs w:val="18"/>
              </w:rPr>
              <w:t>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4" w:type="dxa"/>
            <w:tcBorders>
              <w:top w:val="nil" w:sz="6" w:space="0" w:color="auto"/>
              <w:left w:val="single" w:sz="4" w:space="0" w:color="000000"/>
              <w:bottom w:val="nil" w:sz="6" w:space="0" w:color="auto"/>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、保证上市公司的住所独立于本人及其关联方。</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4" w:type="dxa"/>
            <w:tcBorders>
              <w:top w:val="nil" w:sz="6" w:space="0" w:color="auto"/>
              <w:left w:val="single" w:sz="4" w:space="0" w:color="000000"/>
              <w:bottom w:val="nil" w:sz="6" w:space="0" w:color="auto"/>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（三）保证上市公司财务独立</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4" w:type="dxa"/>
            <w:tcBorders>
              <w:top w:val="nil" w:sz="6" w:space="0" w:color="auto"/>
              <w:left w:val="single" w:sz="4" w:space="0" w:color="000000"/>
              <w:bottom w:val="nil" w:sz="6" w:space="0" w:color="auto"/>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、保证上市公司建立独立的财务部门和独立的财务核算体系，具</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4" w:type="dxa"/>
            <w:tcBorders>
              <w:top w:val="nil" w:sz="6" w:space="0" w:color="auto"/>
              <w:left w:val="single" w:sz="4" w:space="0" w:color="000000"/>
              <w:bottom w:val="nil" w:sz="6" w:space="0" w:color="auto"/>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有规范、独立的财务会计制度；</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4" w:type="dxa"/>
            <w:tcBorders>
              <w:top w:val="nil" w:sz="6" w:space="0" w:color="auto"/>
              <w:left w:val="single" w:sz="4" w:space="0" w:color="000000"/>
              <w:bottom w:val="nil" w:sz="6" w:space="0" w:color="auto"/>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、保证上市公司独立在银行开户，不与本人及其关联方共用银行</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8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账户；</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600" w:right="5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854"/>
        <w:gridCol w:w="1133"/>
        <w:gridCol w:w="850"/>
        <w:gridCol w:w="5103"/>
        <w:gridCol w:w="853"/>
        <w:gridCol w:w="850"/>
        <w:gridCol w:w="852"/>
      </w:tblGrid>
      <w:tr>
        <w:trPr>
          <w:trHeight w:val="320" w:hRule="exact"/>
        </w:trPr>
        <w:tc>
          <w:tcPr>
            <w:tcW w:w="854" w:type="dxa"/>
            <w:vMerge w:val="restart"/>
            <w:tcBorders>
              <w:top w:val="single" w:sz="4" w:space="0" w:color="000000"/>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、保证上市公司的财务人员不在本人及其关联方兼职、领薪；</w:t>
            </w:r>
          </w:p>
        </w:tc>
        <w:tc>
          <w:tcPr>
            <w:tcW w:w="85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、保证上市公司依法独立纳税；</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、保证上市公司能够独立作出财务决策，本人及其关联方不干预</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上市公司的资金使用。</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（四）保证上市公司机构独立</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、保证上市公司建立健全法人治理结构，拥有独立、完整的组织</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、保证上市公司的股东大会、董事会、独立董事、监事会、总经</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理等依照法律、法规和实益达公司章程独立行使职权。</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（五）保证上市公司业务独立</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、保证上市公司拥有独立开展经营活动的资产、人员、资质和能</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力，具有面向市场独立自主持续经营的能力；</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、保证本人除通过</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行使股东权利之外，不对上市公司的业务活动进行干预；</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85"/>
                <w:sz w:val="18"/>
                <w:szCs w:val="18"/>
              </w:rPr>
              <w:t>、</w:t>
            </w:r>
            <w:r>
              <w:rPr>
                <w:rFonts w:ascii="宋体" w:hAnsi="宋体" w:cs="宋体" w:eastAsia="宋体" w:hint="default"/>
                <w:sz w:val="18"/>
                <w:szCs w:val="18"/>
              </w:rPr>
              <w:t>保证本人及其控制的其他企业避免从事与上市公司具有实质性</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竞争的业务；</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、保证尽量减少、避免本人及其控制的其他企业与上市公司的关</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联交易；在进行确有必要且无法避免的关联交易时，保证按市场</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化原则和公允价格进行公平操作，并按相关法律法规以及规范性</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文件和实益达公司章程的规定履行交易程序及信息披露义务。</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二、避免同业竞争的承诺</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5"/>
                <w:sz w:val="18"/>
                <w:szCs w:val="18"/>
              </w:rPr>
              <w:t>、</w:t>
            </w:r>
            <w:r>
              <w:rPr>
                <w:rFonts w:ascii="宋体" w:hAnsi="宋体" w:cs="宋体" w:eastAsia="宋体" w:hint="default"/>
                <w:sz w:val="18"/>
                <w:szCs w:val="18"/>
              </w:rPr>
              <w:t>本人及本人直接或间接控制的其他企业目前没有从事与实益达</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或顺为广告、奇思广告、利宣广告主营业务相同或构成竞争的业</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务，也未直接或以投资控股、参股、合资、联营或其它形式经营</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或为他人经营任何与实益达或顺为广告、奇思广告、利宣广告的</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主营业务相同、相近或构成竞争的业务。</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5"/>
                <w:sz w:val="18"/>
                <w:szCs w:val="18"/>
              </w:rPr>
              <w:t>、</w:t>
            </w:r>
            <w:r>
              <w:rPr>
                <w:rFonts w:ascii="宋体" w:hAnsi="宋体" w:cs="宋体" w:eastAsia="宋体" w:hint="default"/>
                <w:sz w:val="18"/>
                <w:szCs w:val="18"/>
              </w:rPr>
              <w:t>为避免本人及本人控制的其他企业与上市公司及其下属公司的</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潜在同业竞争，本人及本人控制的其他企业不得以任何形式（包</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括但不限于在中国境内或境外自行或与他人合资、合作、联营、</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投资、兼并、受托经营等方式）直接或间接地从事、参与或协助</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他人从事任何与上市公司及其下属公司届时正在从事的业务有直</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接或间接竞争关系的相同或相似的业务或其他经营活动，也不得</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直接或间接投资任何与上市公司及其下属公司届时正在从事的业</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务有直接或间接竞争关系的经济实体；</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85"/>
                <w:sz w:val="18"/>
                <w:szCs w:val="18"/>
              </w:rPr>
              <w:t>、</w:t>
            </w:r>
            <w:r>
              <w:rPr>
                <w:rFonts w:ascii="宋体" w:hAnsi="宋体" w:cs="宋体" w:eastAsia="宋体" w:hint="default"/>
                <w:sz w:val="18"/>
                <w:szCs w:val="18"/>
              </w:rPr>
              <w:t>如本人及本人控制的其他企业未来从任何第三方获得的任何商</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业机会与上市公司及其下属公司主营业务有竞争或可能有竞争，</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则本人及本人控制的其他企业将立即通知上市公司，在征得第三</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方允诺后，尽力将该商业机会给予上市公司及其下属公司；</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85"/>
                <w:sz w:val="18"/>
                <w:szCs w:val="18"/>
              </w:rPr>
              <w:t>、</w:t>
            </w:r>
            <w:r>
              <w:rPr>
                <w:rFonts w:ascii="宋体" w:hAnsi="宋体" w:cs="宋体" w:eastAsia="宋体" w:hint="default"/>
                <w:sz w:val="18"/>
                <w:szCs w:val="18"/>
              </w:rPr>
              <w:t>如上市公司及其下属公司未来拟从事的业务与本人及本人控制</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的其他企业的业务构成直接或间接的竞争关系，本人届时将以适</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当方式</w:t>
            </w:r>
            <w:r>
              <w:rPr>
                <w:rFonts w:ascii="Times New Roman" w:hAnsi="Times New Roman" w:cs="Times New Roman" w:eastAsia="Times New Roman" w:hint="default"/>
                <w:sz w:val="18"/>
                <w:szCs w:val="18"/>
              </w:rPr>
              <w:t>(</w:t>
            </w:r>
            <w:r>
              <w:rPr>
                <w:rFonts w:ascii="宋体" w:hAnsi="宋体" w:cs="宋体" w:eastAsia="宋体" w:hint="default"/>
                <w:sz w:val="18"/>
                <w:szCs w:val="18"/>
              </w:rPr>
              <w:t>包括但不限于转让相关企业股权或终止上述业务运营</w:t>
            </w:r>
            <w:r>
              <w:rPr>
                <w:rFonts w:ascii="Times New Roman" w:hAnsi="Times New Roman" w:cs="Times New Roman" w:eastAsia="Times New Roman" w:hint="default"/>
                <w:sz w:val="18"/>
                <w:szCs w:val="18"/>
              </w:rPr>
              <w:t>)</w:t>
            </w:r>
            <w:r>
              <w:rPr>
                <w:rFonts w:ascii="宋体" w:hAnsi="宋体" w:cs="宋体" w:eastAsia="宋体" w:hint="default"/>
                <w:sz w:val="18"/>
                <w:szCs w:val="18"/>
              </w:rPr>
              <w:t>解</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决；</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85"/>
                <w:sz w:val="18"/>
                <w:szCs w:val="18"/>
              </w:rPr>
              <w:t>、</w:t>
            </w:r>
            <w:r>
              <w:rPr>
                <w:rFonts w:ascii="宋体" w:hAnsi="宋体" w:cs="宋体" w:eastAsia="宋体" w:hint="default"/>
                <w:sz w:val="18"/>
                <w:szCs w:val="18"/>
              </w:rPr>
              <w:t>本人保证绝不利用对上市公司及其下属公司的了解和知悉的信</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息协助第三方从事、参与或投资与上市公司及其下属公司相竞争</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9" w:hRule="exact"/>
        </w:trPr>
        <w:tc>
          <w:tcPr>
            <w:tcW w:w="854"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的业务或项目；</w:t>
            </w: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600" w:right="5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854"/>
        <w:gridCol w:w="1133"/>
        <w:gridCol w:w="850"/>
        <w:gridCol w:w="5103"/>
        <w:gridCol w:w="853"/>
        <w:gridCol w:w="850"/>
        <w:gridCol w:w="852"/>
      </w:tblGrid>
      <w:tr>
        <w:trPr>
          <w:trHeight w:val="7227" w:hRule="exact"/>
        </w:trPr>
        <w:tc>
          <w:tcPr>
            <w:tcW w:w="854" w:type="dxa"/>
            <w:vMerge w:val="restart"/>
            <w:tcBorders>
              <w:top w:val="single" w:sz="4" w:space="0" w:color="000000"/>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4"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、本人保证将赔偿上市公司及其下属公司因本人违反本承诺而遭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受或产生的任何损失或开支。 </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、本人将督促与本人存在关联关系的自然人和企业同受本承诺函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约束。</w:t>
            </w:r>
          </w:p>
          <w:p>
            <w:pPr>
              <w:pStyle w:val="TableParagraph"/>
              <w:spacing w:line="314" w:lineRule="auto" w:before="26"/>
              <w:ind w:left="24" w:right="20"/>
              <w:jc w:val="left"/>
              <w:rPr>
                <w:rFonts w:ascii="宋体" w:hAnsi="宋体" w:cs="宋体" w:eastAsia="宋体" w:hint="default"/>
                <w:sz w:val="18"/>
                <w:szCs w:val="18"/>
              </w:rPr>
            </w:pPr>
            <w:r>
              <w:rPr>
                <w:rFonts w:ascii="宋体" w:hAnsi="宋体" w:cs="宋体" w:eastAsia="宋体" w:hint="default"/>
                <w:sz w:val="18"/>
                <w:szCs w:val="18"/>
              </w:rPr>
              <w:t>三、减少及规范关联交易的承诺函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、本次交易完成后，本人及本人控制的其他企业与上市公司之间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将尽量减少、避免关联交易。在进行确有必要且无法规避的关联 交易时，保证按市场化原则和公允价格进行公平操作，按相关法 律、法规、规章等规范性文件及上市公司章程的规定履行关联交 易的决策程序及信息披露义务，并保证以市场公允价格与上市公 司及下属子公司进行交易，不利用该等交易从事任何损害上市公 司及下属子公司利益的行为。本人保证不会通过关联交易损害上 市公司及其他股东的合法权益。 </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、本人承诺不利用上市公司控股股东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实际控制人地位及重大影 响，谋求上市公司及下属子公司在业务合作等方面给予本人及本 人投资的其他企业优于市场第三方的权利，或谋求与上市公司及 下属子公司达成交易的优先权利，损害上市公司及其他股东的合 法利益。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、本人将杜绝一切非法占用上市公司的资金、资产的行为，在任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何情况下，不要求上市公司向本人及其关联方提供任何形式的担 保。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、本人保证将赔偿上市公司及其下属公司因本人违反本承诺而遭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受或产生的任何损失或开支。</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6603" w:hRule="exact"/>
        </w:trPr>
        <w:tc>
          <w:tcPr>
            <w:tcW w:w="854"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4" w:lineRule="auto"/>
              <w:ind w:left="23" w:right="197"/>
              <w:jc w:val="left"/>
              <w:rPr>
                <w:rFonts w:ascii="宋体" w:hAnsi="宋体" w:cs="宋体" w:eastAsia="宋体" w:hint="default"/>
                <w:sz w:val="18"/>
                <w:szCs w:val="18"/>
              </w:rPr>
            </w:pPr>
            <w:r>
              <w:rPr>
                <w:rFonts w:ascii="宋体" w:hAnsi="宋体" w:cs="宋体" w:eastAsia="宋体" w:hint="default"/>
                <w:sz w:val="18"/>
                <w:szCs w:val="18"/>
              </w:rPr>
              <w:t>新余海和投 资管理中心</w:t>
            </w:r>
          </w:p>
          <w:p>
            <w:pPr>
              <w:pStyle w:val="TableParagraph"/>
              <w:spacing w:line="316" w:lineRule="auto" w:before="20"/>
              <w:ind w:left="23" w:right="17"/>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16"/>
                <w:sz w:val="18"/>
                <w:szCs w:val="18"/>
              </w:rPr>
              <w:t>伙）、张伟、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伏虎、姚俊、 逄淑涌、曹建</w:t>
            </w:r>
            <w:r>
              <w:rPr>
                <w:rFonts w:ascii="宋体" w:hAnsi="宋体" w:cs="宋体" w:eastAsia="宋体" w:hint="default"/>
                <w:sz w:val="18"/>
                <w:szCs w:val="18"/>
              </w:rPr>
              <w:t> 华、袁琪、张 晓艳、上海季 子投资管理 有限公司、新 余益瑞投资 合伙企业（有 </w:t>
            </w:r>
            <w:r>
              <w:rPr>
                <w:rFonts w:ascii="宋体" w:hAnsi="宋体" w:cs="宋体" w:eastAsia="宋体" w:hint="default"/>
                <w:spacing w:val="-16"/>
                <w:sz w:val="18"/>
                <w:szCs w:val="18"/>
              </w:rPr>
              <w:t>限合伙）、陈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世蓉、薛桂香</w:t>
            </w:r>
          </w:p>
        </w:tc>
        <w:tc>
          <w:tcPr>
            <w:tcW w:w="850"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10" w:space="0" w:color="FFFFFF"/>
            </w:tcBorders>
          </w:tcPr>
          <w:p>
            <w:pPr>
              <w:pStyle w:val="TableParagraph"/>
              <w:spacing w:line="312" w:lineRule="auto" w:before="49"/>
              <w:ind w:left="24" w:right="-29"/>
              <w:jc w:val="left"/>
              <w:rPr>
                <w:rFonts w:ascii="宋体" w:hAnsi="宋体" w:cs="宋体" w:eastAsia="宋体" w:hint="default"/>
                <w:sz w:val="18"/>
                <w:szCs w:val="18"/>
              </w:rPr>
            </w:pPr>
            <w:r>
              <w:rPr>
                <w:rFonts w:ascii="宋体" w:hAnsi="宋体" w:cs="宋体" w:eastAsia="宋体" w:hint="default"/>
                <w:spacing w:val="-2"/>
                <w:sz w:val="18"/>
                <w:szCs w:val="18"/>
              </w:rPr>
              <w:t>一、本人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本企业已向公司及为本次交易提供审计、评估、法律及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财务顾问专业服务的中介机构提供了有关本次交易的相关信息和 </w:t>
            </w:r>
            <w:r>
              <w:rPr>
                <w:rFonts w:ascii="宋体" w:hAnsi="宋体" w:cs="宋体" w:eastAsia="宋体" w:hint="default"/>
                <w:spacing w:val="-6"/>
                <w:sz w:val="18"/>
                <w:szCs w:val="18"/>
              </w:rPr>
              <w:t>文件（包括但不限于原始书面材料、副本材料或口头证言等），本</w:t>
            </w:r>
            <w:r>
              <w:rPr>
                <w:rFonts w:ascii="宋体" w:hAnsi="宋体" w:cs="宋体" w:eastAsia="宋体" w:hint="default"/>
                <w:sz w:val="18"/>
                <w:szCs w:val="18"/>
              </w:rPr>
              <w:t> </w:t>
            </w:r>
            <w:r>
              <w:rPr>
                <w:rFonts w:ascii="宋体" w:hAnsi="宋体" w:cs="宋体" w:eastAsia="宋体" w:hint="default"/>
                <w:spacing w:val="-2"/>
                <w:sz w:val="18"/>
                <w:szCs w:val="18"/>
              </w:rPr>
              <w:t>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本企业保证：所提供的文件资料的副本或复印件与正本或原件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一致，且该等文件资料的签字与印章都是真实的；保证所提供信 息和文件真实、准确和完整，不存在虚假记载、误导性陈述或者 重大遗漏，并对所提供信息的真实性、准确性和完整性承担个别 及连带的法律责任。 二、在参与本次交易期间，本人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本企业将依照相关法律、法规、 规章、中国证券监督管理委员会和深圳证券交易所的有关规定， </w:t>
            </w:r>
            <w:r>
              <w:rPr>
                <w:rFonts w:ascii="宋体" w:hAnsi="宋体" w:cs="宋体" w:eastAsia="宋体" w:hint="default"/>
                <w:spacing w:val="-4"/>
                <w:sz w:val="18"/>
                <w:szCs w:val="18"/>
              </w:rPr>
              <w:t>及时向公司披露有关本次交易的信息，并保证该等信息的真实性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准确性和完整性，保证该等信息不存在虚假记载、误导性陈述或 者重大遗漏。 </w:t>
            </w:r>
            <w:r>
              <w:rPr>
                <w:rFonts w:ascii="宋体" w:hAnsi="宋体" w:cs="宋体" w:eastAsia="宋体" w:hint="default"/>
                <w:spacing w:val="-2"/>
                <w:sz w:val="18"/>
                <w:szCs w:val="18"/>
              </w:rPr>
              <w:t>三、如本人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本企业因涉嫌所提供或披露的信息存在虚假记载、误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导性陈述或重大遗漏，被司法机关立案侦查或者被中国证监会立</w:t>
            </w:r>
            <w:r>
              <w:rPr>
                <w:rFonts w:ascii="宋体" w:hAnsi="宋体" w:cs="宋体" w:eastAsia="宋体" w:hint="default"/>
                <w:sz w:val="18"/>
                <w:szCs w:val="18"/>
              </w:rPr>
              <w:t> </w:t>
            </w:r>
            <w:r>
              <w:rPr>
                <w:rFonts w:ascii="宋体" w:hAnsi="宋体" w:cs="宋体" w:eastAsia="宋体" w:hint="default"/>
                <w:spacing w:val="-2"/>
                <w:sz w:val="18"/>
                <w:szCs w:val="18"/>
              </w:rPr>
              <w:t>案调查的，在形成调查结论之前，本人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本企业不转让在实益达拥</w:t>
            </w:r>
            <w:r>
              <w:rPr>
                <w:rFonts w:ascii="宋体" w:hAnsi="宋体" w:cs="宋体" w:eastAsia="宋体" w:hint="default"/>
                <w:spacing w:val="-76"/>
                <w:sz w:val="18"/>
                <w:szCs w:val="18"/>
              </w:rPr>
              <w:t> </w:t>
            </w:r>
            <w:r>
              <w:rPr>
                <w:rFonts w:ascii="宋体" w:hAnsi="宋体" w:cs="宋体" w:eastAsia="宋体" w:hint="default"/>
                <w:sz w:val="18"/>
                <w:szCs w:val="18"/>
              </w:rPr>
              <w:t>有权益的股份，并于收到立案稽查通知的两个交易日内将暂停转 让的书面申请和股票账户提交实益达董事会，由实益达董事会代 </w:t>
            </w:r>
            <w:r>
              <w:rPr>
                <w:rFonts w:ascii="宋体" w:hAnsi="宋体" w:cs="宋体" w:eastAsia="宋体" w:hint="default"/>
                <w:spacing w:val="-2"/>
                <w:sz w:val="18"/>
                <w:szCs w:val="18"/>
              </w:rPr>
              <w:t>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本企业向深圳证券交易所和登记结算公司申请锁定；如本人</w:t>
            </w:r>
          </w:p>
          <w:p>
            <w:pPr>
              <w:pStyle w:val="TableParagraph"/>
              <w:spacing w:line="300" w:lineRule="auto" w:before="3"/>
              <w:ind w:left="24" w:right="1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本企业未在两个交易日内提交锁定申请的，则授权实益达董事会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核实后直接向深圳证券交易所和登记结算公司报送本人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p>
        </w:tc>
        <w:tc>
          <w:tcPr>
            <w:tcW w:w="85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12" w:lineRule="exact"/>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148"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9" w:lineRule="exact"/>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703" w:lineRule="exact"/>
              <w:ind w:left="19"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39.75pt;height:35.2pt;mso-position-horizontal-relative:char;mso-position-vertical-relative:line" coordorigin="0,0" coordsize="795,704">
                  <v:group style="position:absolute;left:0;top:0;width:795;height:351" coordorigin="0,0" coordsize="795,351">
                    <v:shape style="position:absolute;left:0;top:0;width:795;height:351" coordorigin="0,0" coordsize="795,351" path="m0,350l795,350,795,0,0,0,0,350xe" filled="true" fillcolor="#ffffff" stroked="false">
                      <v:path arrowok="t"/>
                      <v:fill type="solid"/>
                    </v:shape>
                  </v:group>
                  <v:group style="position:absolute;left:0;top:350;width:795;height:353" coordorigin="0,350" coordsize="795,353">
                    <v:shape style="position:absolute;left:0;top:350;width:795;height:353" coordorigin="0,350" coordsize="795,353" path="m0,703l795,703,795,350,0,350,0,703xe" filled="true" fillcolor="#ffffff" stroked="false">
                      <v:path arrowok="t"/>
                      <v:fill type="solid"/>
                    </v:shape>
                  </v:group>
                </v:group>
              </w:pict>
            </w:r>
            <w:r>
              <w:rPr>
                <w:rFonts w:ascii="Times New Roman" w:hAnsi="Times New Roman" w:cs="Times New Roman" w:eastAsia="Times New Roman" w:hint="default"/>
                <w:position w:val="-13"/>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正在履行 中，未发 生违反承 诺的事 项。</w:t>
            </w:r>
          </w:p>
        </w:tc>
      </w:tr>
    </w:tbl>
    <w:p>
      <w:pPr>
        <w:spacing w:after="0" w:line="316" w:lineRule="auto"/>
        <w:jc w:val="left"/>
        <w:rPr>
          <w:rFonts w:ascii="宋体" w:hAnsi="宋体" w:cs="宋体" w:eastAsia="宋体" w:hint="default"/>
          <w:sz w:val="18"/>
          <w:szCs w:val="18"/>
        </w:rPr>
        <w:sectPr>
          <w:pgSz w:w="11910" w:h="16840"/>
          <w:pgMar w:header="745" w:footer="980" w:top="1060" w:bottom="1160" w:left="600" w:right="580"/>
        </w:sectPr>
      </w:pPr>
    </w:p>
    <w:p>
      <w:pPr>
        <w:spacing w:line="240" w:lineRule="auto" w:before="0"/>
        <w:rPr>
          <w:rFonts w:ascii="Times New Roman" w:hAnsi="Times New Roman" w:cs="Times New Roman" w:eastAsia="Times New Roman" w:hint="default"/>
          <w:sz w:val="20"/>
          <w:szCs w:val="20"/>
        </w:rPr>
      </w:pPr>
      <w:r>
        <w:rPr/>
        <w:pict>
          <v:shape style="position:absolute;margin-left:426.429993pt;margin-top:72.475983pt;width:48.3pt;height:80.1pt;mso-position-horizontal-relative:page;mso-position-vertical-relative:page;z-index:-11018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9"/>
                      <w:szCs w:val="19"/>
                    </w:rPr>
                  </w:pPr>
                </w:p>
                <w:p>
                  <w:pPr>
                    <w:pStyle w:val="BodyText"/>
                    <w:spacing w:line="240" w:lineRule="auto"/>
                    <w:ind w:left="0" w:right="0"/>
                    <w:jc w:val="left"/>
                  </w:pPr>
                  <w:r>
                    <w:rPr/>
                    <w:t>。</w:t>
                  </w:r>
                </w:p>
              </w:txbxContent>
            </v:textbox>
            <w10:wrap type="none"/>
          </v:shape>
        </w:pict>
      </w:r>
      <w:r>
        <w:rPr/>
        <w:pict>
          <v:shape style="position:absolute;margin-left:101.784004pt;margin-top:250.585983pt;width:75.25pt;height:78.05pt;mso-position-horizontal-relative:page;mso-position-vertical-relative:page;z-index:-11018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0"/>
                      <w:szCs w:val="20"/>
                    </w:rPr>
                  </w:pPr>
                </w:p>
                <w:p>
                  <w:pPr>
                    <w:pStyle w:val="BodyText"/>
                    <w:spacing w:line="240" w:lineRule="auto"/>
                    <w:ind w:left="0" w:right="0"/>
                    <w:jc w:val="left"/>
                  </w:pPr>
                  <w:r>
                    <w:rPr/>
                    <w:t>陈世蓉；</w:t>
                  </w:r>
                </w:p>
              </w:txbxContent>
            </v:textbox>
            <w10:wrap type="none"/>
          </v:shape>
        </w:pict>
      </w:r>
      <w:r>
        <w:rPr/>
        <w:pict>
          <v:shape style="position:absolute;margin-left:300.412994pt;margin-top:153.019989pt;width:174.3pt;height:70.2pt;mso-position-horizontal-relative:page;mso-position-vertical-relative:page;z-index:-11017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重大资产重组配套融资认购对象，</w:t>
                  </w:r>
                </w:p>
              </w:txbxContent>
            </v:textbox>
            <w10:wrap type="none"/>
          </v:shape>
        </w:pict>
      </w:r>
      <w:r>
        <w:rPr/>
        <w:pict>
          <v:group style="position:absolute;margin-left:432.670013pt;margin-top:72.475983pt;width:42.05pt;height:150.75pt;mso-position-horizontal-relative:page;mso-position-vertical-relative:page;z-index:-1101760" coordorigin="8653,1450" coordsize="841,3015">
            <v:group style="position:absolute;left:8653;top:1450;width:841;height:1602" coordorigin="8653,1450" coordsize="841,1602">
              <v:shape style="position:absolute;left:8653;top:1450;width:841;height:1602" coordorigin="8653,1450" coordsize="841,1602" path="m8653,3051l9494,3051,9494,1450,8653,1450,8653,3051xe" filled="true" fillcolor="#ffffff" stroked="false">
                <v:path arrowok="t"/>
                <v:fill type="solid"/>
              </v:shape>
            </v:group>
            <v:group style="position:absolute;left:8653;top:3060;width:841;height:1404" coordorigin="8653,3060" coordsize="841,1404">
              <v:shape style="position:absolute;left:8653;top:3060;width:841;height:1404" coordorigin="8653,3060" coordsize="841,1404" path="m8653,4464l9494,4464,9494,3060,8653,3060,8653,446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854"/>
        <w:gridCol w:w="1133"/>
        <w:gridCol w:w="850"/>
        <w:gridCol w:w="5103"/>
        <w:gridCol w:w="853"/>
        <w:gridCol w:w="850"/>
        <w:gridCol w:w="852"/>
      </w:tblGrid>
      <w:tr>
        <w:trPr>
          <w:trHeight w:val="315" w:hRule="exact"/>
        </w:trPr>
        <w:tc>
          <w:tcPr>
            <w:tcW w:w="854" w:type="dxa"/>
            <w:vMerge w:val="restart"/>
            <w:tcBorders>
              <w:top w:val="single" w:sz="4" w:space="0" w:color="000000"/>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的身份信息和账户信息并申请锁定；如实益达董事会未向深圳证</w:t>
            </w:r>
          </w:p>
        </w:tc>
        <w:tc>
          <w:tcPr>
            <w:tcW w:w="85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券交易所和登记结算公司报送本人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本企业的身份信息和账户信</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息的</w:t>
            </w:r>
            <w:r>
              <w:rPr>
                <w:rFonts w:ascii="宋体" w:hAnsi="宋体" w:cs="宋体" w:eastAsia="宋体" w:hint="default"/>
                <w:spacing w:val="-85"/>
                <w:sz w:val="18"/>
                <w:szCs w:val="18"/>
              </w:rPr>
              <w:t>，</w:t>
            </w:r>
            <w:r>
              <w:rPr>
                <w:rFonts w:ascii="宋体" w:hAnsi="宋体" w:cs="宋体" w:eastAsia="宋体" w:hint="default"/>
                <w:sz w:val="18"/>
                <w:szCs w:val="18"/>
              </w:rPr>
              <w:t>则授权深圳证券交易所和登记结算公司直接锁定相关股份</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如调查结论发现存在违法违规情节，本人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本企业承诺锁定股份自</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55" w:hRule="exact"/>
        </w:trPr>
        <w:tc>
          <w:tcPr>
            <w:tcW w:w="85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愿用于相关投资者赔偿安排。</w:t>
            </w: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r>
        <w:trPr>
          <w:trHeight w:val="355" w:hRule="exact"/>
        </w:trPr>
        <w:tc>
          <w:tcPr>
            <w:tcW w:w="854"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1560"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42pt;height:78.05pt;mso-position-horizontal-relative:char;mso-position-vertical-relative:line" coordorigin="0,0" coordsize="840,1561">
                  <v:group style="position:absolute;left:0;top:0;width:840;height:1561" coordorigin="0,0" coordsize="840,1561">
                    <v:shape style="position:absolute;left:0;top:0;width:840;height:1561" coordorigin="0,0" coordsize="840,1561" path="m0,1560l840,1560,840,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关于募集配套资金来源的承诺：</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2809"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z w:val="18"/>
                <w:szCs w:val="18"/>
              </w:rPr>
              <w:t>乔昕；新余海 和投资管理 中心（有限合 </w:t>
            </w:r>
            <w:r>
              <w:rPr>
                <w:rFonts w:ascii="宋体" w:hAnsi="宋体" w:cs="宋体" w:eastAsia="宋体" w:hint="default"/>
                <w:spacing w:val="-16"/>
                <w:sz w:val="18"/>
                <w:szCs w:val="18"/>
              </w:rPr>
              <w:t>伙）；新余益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瑞投资合伙 企业（有限合</w:t>
            </w:r>
            <w:r>
              <w:rPr>
                <w:rFonts w:ascii="宋体" w:hAnsi="宋体" w:cs="宋体" w:eastAsia="宋体" w:hint="default"/>
                <w:sz w:val="18"/>
                <w:szCs w:val="18"/>
              </w:rPr>
              <w:t> </w:t>
            </w:r>
            <w:r>
              <w:rPr>
                <w:rFonts w:ascii="宋体" w:hAnsi="宋体" w:cs="宋体" w:eastAsia="宋体" w:hint="default"/>
                <w:spacing w:val="-31"/>
                <w:sz w:val="18"/>
                <w:szCs w:val="18"/>
              </w:rPr>
              <w:t>伙）；</w:t>
            </w:r>
          </w:p>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薛桂香</w:t>
            </w: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4"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本企业作为实益达本次</w:t>
            </w:r>
            <w:r>
              <w:rPr>
                <w:rFonts w:ascii="宋体" w:hAnsi="宋体" w:cs="宋体" w:eastAsia="宋体" w:hint="default"/>
                <w:spacing w:val="-88"/>
                <w:sz w:val="18"/>
                <w:szCs w:val="18"/>
              </w:rPr>
              <w:t> </w:t>
            </w:r>
            <w:r>
              <w:rPr>
                <w:rFonts w:ascii="宋体" w:hAnsi="宋体" w:cs="宋体" w:eastAsia="宋体" w:hint="default"/>
                <w:sz w:val="18"/>
                <w:szCs w:val="18"/>
              </w:rPr>
              <w:t>以现金方式参与实益达本次重大资产重组，即以现金方式认购实 </w:t>
            </w:r>
            <w:r>
              <w:rPr>
                <w:rFonts w:ascii="宋体" w:hAnsi="宋体" w:cs="宋体" w:eastAsia="宋体" w:hint="default"/>
                <w:spacing w:val="-2"/>
                <w:sz w:val="18"/>
                <w:szCs w:val="18"/>
              </w:rPr>
              <w:t>益达向本人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本企业非公开发行的股票。本次用于认购实益达向本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本企业非公开发行股票的现金部分全部来源于本人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本企业合 法、可自由支配的自有资金，前述资金无任何直接或间接来自于 实益达及其下属公司。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、在按照《股份认购协议》约定需缴纳认购资金的场合，本企业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将通过及时缴足认缴出资并增加出资或其他合法形式，确保海和 投资支付认购资金前有足够的资金能力，能够及时、足额支付认</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正在履行 中，未发 生违反承 诺的事 项。</w:t>
            </w:r>
          </w:p>
        </w:tc>
      </w:tr>
      <w:tr>
        <w:trPr>
          <w:trHeight w:val="35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购资金。</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854"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关于提供或披露信息的相关承诺如本人因涉嫌所提供或披露的信</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息存在虚假记载、误导性陈述或重大遗漏，被司法机关立案侦查</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或者被中国证监会立案调查的，在形成调查结论之前，本人不转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23" w:right="46"/>
              <w:jc w:val="left"/>
              <w:rPr>
                <w:rFonts w:ascii="宋体" w:hAnsi="宋体" w:cs="宋体" w:eastAsia="宋体" w:hint="default"/>
                <w:sz w:val="18"/>
                <w:szCs w:val="18"/>
              </w:rPr>
            </w:pPr>
            <w:r>
              <w:rPr>
                <w:rFonts w:ascii="宋体" w:hAnsi="宋体" w:cs="宋体" w:eastAsia="宋体" w:hint="default"/>
                <w:sz w:val="18"/>
                <w:szCs w:val="18"/>
              </w:rPr>
              <w:t>陈晓燕</w:t>
            </w:r>
            <w:r>
              <w:rPr>
                <w:rFonts w:ascii="Times New Roman" w:hAnsi="Times New Roman" w:cs="Times New Roman" w:eastAsia="Times New Roman" w:hint="default"/>
                <w:sz w:val="18"/>
                <w:szCs w:val="18"/>
              </w:rPr>
              <w:t>;</w:t>
            </w:r>
            <w:r>
              <w:rPr>
                <w:rFonts w:ascii="宋体" w:hAnsi="宋体" w:cs="宋体" w:eastAsia="宋体" w:hint="default"/>
                <w:sz w:val="18"/>
                <w:szCs w:val="18"/>
              </w:rPr>
              <w:t>陈亚 妹</w:t>
            </w:r>
            <w:r>
              <w:rPr>
                <w:rFonts w:ascii="Times New Roman" w:hAnsi="Times New Roman" w:cs="Times New Roman" w:eastAsia="Times New Roman" w:hint="default"/>
                <w:sz w:val="18"/>
                <w:szCs w:val="18"/>
              </w:rPr>
              <w:t>;</w:t>
            </w:r>
            <w:r>
              <w:rPr>
                <w:rFonts w:ascii="宋体" w:hAnsi="宋体" w:cs="宋体" w:eastAsia="宋体" w:hint="default"/>
                <w:sz w:val="18"/>
                <w:szCs w:val="18"/>
              </w:rPr>
              <w:t>洪兵</w:t>
            </w:r>
            <w:r>
              <w:rPr>
                <w:rFonts w:ascii="Times New Roman" w:hAnsi="Times New Roman" w:cs="Times New Roman" w:eastAsia="Times New Roman" w:hint="default"/>
                <w:sz w:val="18"/>
                <w:szCs w:val="18"/>
              </w:rPr>
              <w:t>;</w:t>
            </w:r>
            <w:r>
              <w:rPr>
                <w:rFonts w:ascii="宋体" w:hAnsi="宋体" w:cs="宋体" w:eastAsia="宋体" w:hint="default"/>
                <w:sz w:val="18"/>
                <w:szCs w:val="18"/>
              </w:rPr>
              <w:t>胡宜</w:t>
            </w:r>
            <w:r>
              <w:rPr>
                <w:rFonts w:ascii="Times New Roman" w:hAnsi="Times New Roman" w:cs="Times New Roman" w:eastAsia="Times New Roman" w:hint="default"/>
                <w:sz w:val="18"/>
                <w:szCs w:val="18"/>
              </w:rPr>
              <w:t>; </w:t>
            </w:r>
            <w:r>
              <w:rPr>
                <w:rFonts w:ascii="宋体" w:hAnsi="宋体" w:cs="宋体" w:eastAsia="宋体" w:hint="default"/>
                <w:sz w:val="18"/>
                <w:szCs w:val="18"/>
              </w:rPr>
              <w:t>刘爱民</w:t>
            </w:r>
            <w:r>
              <w:rPr>
                <w:rFonts w:ascii="Times New Roman" w:hAnsi="Times New Roman" w:cs="Times New Roman" w:eastAsia="Times New Roman" w:hint="default"/>
                <w:sz w:val="18"/>
                <w:szCs w:val="18"/>
              </w:rPr>
              <w:t>;</w:t>
            </w: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r>
              <w:rPr>
                <w:rFonts w:ascii="宋体" w:hAnsi="宋体" w:cs="宋体" w:eastAsia="宋体" w:hint="default"/>
                <w:sz w:val="18"/>
                <w:szCs w:val="18"/>
              </w:rPr>
              <w:t>唐忠诚</w:t>
            </w:r>
            <w:r>
              <w:rPr>
                <w:rFonts w:ascii="Times New Roman" w:hAnsi="Times New Roman" w:cs="Times New Roman" w:eastAsia="Times New Roman" w:hint="default"/>
                <w:sz w:val="18"/>
                <w:szCs w:val="18"/>
              </w:rPr>
              <w:t>;</w:t>
            </w:r>
            <w:r>
              <w:rPr>
                <w:rFonts w:ascii="宋体" w:hAnsi="宋体" w:cs="宋体" w:eastAsia="宋体" w:hint="default"/>
                <w:sz w:val="18"/>
                <w:szCs w:val="18"/>
              </w:rPr>
              <w:t>陶向 南</w:t>
            </w:r>
            <w:r>
              <w:rPr>
                <w:rFonts w:ascii="Times New Roman" w:hAnsi="Times New Roman" w:cs="Times New Roman" w:eastAsia="Times New Roman" w:hint="default"/>
                <w:sz w:val="18"/>
                <w:szCs w:val="18"/>
              </w:rPr>
              <w:t>;</w:t>
            </w:r>
            <w:r>
              <w:rPr>
                <w:rFonts w:ascii="宋体" w:hAnsi="宋体" w:cs="宋体" w:eastAsia="宋体" w:hint="default"/>
                <w:sz w:val="18"/>
                <w:szCs w:val="18"/>
              </w:rPr>
              <w:t>曾惠明</w:t>
            </w:r>
            <w:r>
              <w:rPr>
                <w:rFonts w:ascii="Times New Roman" w:hAnsi="Times New Roman" w:cs="Times New Roman" w:eastAsia="Times New Roman" w:hint="default"/>
                <w:sz w:val="18"/>
                <w:szCs w:val="18"/>
              </w:rPr>
              <w:t>;</w:t>
            </w:r>
            <w:r>
              <w:rPr>
                <w:rFonts w:ascii="宋体" w:hAnsi="宋体" w:cs="宋体" w:eastAsia="宋体" w:hint="default"/>
                <w:sz w:val="18"/>
                <w:szCs w:val="18"/>
              </w:rPr>
              <w:t>张 维</w:t>
            </w:r>
            <w:r>
              <w:rPr>
                <w:rFonts w:ascii="Times New Roman" w:hAnsi="Times New Roman" w:cs="Times New Roman" w:eastAsia="Times New Roman" w:hint="default"/>
                <w:sz w:val="18"/>
                <w:szCs w:val="18"/>
              </w:rPr>
              <w:t>;</w:t>
            </w:r>
            <w:r>
              <w:rPr>
                <w:rFonts w:ascii="宋体" w:hAnsi="宋体" w:cs="宋体" w:eastAsia="宋体" w:hint="default"/>
                <w:sz w:val="18"/>
                <w:szCs w:val="18"/>
              </w:rPr>
              <w:t>朱蕾</w:t>
            </w: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6"/>
              <w:jc w:val="both"/>
              <w:rPr>
                <w:rFonts w:ascii="宋体" w:hAnsi="宋体" w:cs="宋体" w:eastAsia="宋体" w:hint="default"/>
                <w:sz w:val="18"/>
                <w:szCs w:val="18"/>
              </w:rPr>
            </w:pPr>
            <w:r>
              <w:rPr>
                <w:rFonts w:ascii="宋体" w:hAnsi="宋体" w:cs="宋体" w:eastAsia="宋体" w:hint="default"/>
                <w:sz w:val="18"/>
                <w:szCs w:val="18"/>
              </w:rPr>
              <w:t>让在实益达拥有权益的股份，并于收到立案稽查通知的两个交易 日内将暂停转让的书面申请和股票账户提交实益达董事会，由实 益达董事会代本人向深圳证券交易所和登记结算公司申请锁定； 如本人未在两个交易日内提交锁定申请的，则授权实益达董事会 核实后直接向深圳证券交易所和登记结算公司报送本人的身份信 息和账户信息并申请锁定；如实益达董事会未向深圳证券交易所 和登记结算公司报送本人的身份信息和账户信息的，则授权深圳</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96"/>
              <w:jc w:val="left"/>
              <w:rPr>
                <w:rFonts w:ascii="宋体" w:hAnsi="宋体" w:cs="宋体" w:eastAsia="宋体" w:hint="default"/>
                <w:sz w:val="18"/>
                <w:szCs w:val="18"/>
              </w:rPr>
            </w:pPr>
            <w:r>
              <w:rPr>
                <w:rFonts w:ascii="宋体" w:hAnsi="宋体" w:cs="宋体" w:eastAsia="宋体" w:hint="default"/>
                <w:sz w:val="18"/>
                <w:szCs w:val="18"/>
              </w:rPr>
              <w:t>正在履行 中，未发 生违反承 诺的事 项。</w:t>
            </w: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证券交易所和登记结算公司直接锁定相关股份。如调查结论发现</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存在违法违规情节，本人承诺锁定股份自愿用于相关投资者赔偿</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安排。</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54"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85"/>
                <w:sz w:val="18"/>
                <w:szCs w:val="18"/>
              </w:rPr>
              <w:t>）</w:t>
            </w:r>
            <w:r>
              <w:rPr>
                <w:rFonts w:ascii="宋体" w:hAnsi="宋体" w:cs="宋体" w:eastAsia="宋体" w:hint="default"/>
                <w:sz w:val="18"/>
                <w:szCs w:val="18"/>
              </w:rPr>
              <w:t>如果日后有关政府主管部门要求无锡实益达电子有限公司按</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照《出让合同》的约定缴付全部土地使用权出让金人民币</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9,388,730</w:t>
            </w:r>
            <w:r>
              <w:rPr>
                <w:rFonts w:ascii="Times New Roman" w:hAnsi="Times New Roman" w:cs="Times New Roman" w:eastAsia="Times New Roman" w:hint="default"/>
                <w:spacing w:val="15"/>
                <w:sz w:val="18"/>
                <w:szCs w:val="18"/>
              </w:rPr>
              <w:t> </w:t>
            </w:r>
            <w:r>
              <w:rPr>
                <w:rFonts w:ascii="宋体" w:hAnsi="宋体" w:cs="宋体" w:eastAsia="宋体" w:hint="default"/>
                <w:spacing w:val="-2"/>
                <w:sz w:val="18"/>
                <w:szCs w:val="18"/>
              </w:rPr>
              <w:t>元，则乔昕、陈亚妹将对无锡实益达欠缴的土地使用权</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936"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w:t>
            </w:r>
            <w:r>
              <w:rPr>
                <w:rFonts w:ascii="宋体" w:hAnsi="宋体" w:cs="宋体" w:eastAsia="宋体" w:hint="default"/>
                <w:sz w:val="18"/>
                <w:szCs w:val="18"/>
              </w:rPr>
              <w:t>乔昕</w:t>
            </w: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出让金人民币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6,259,130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元承担连带责任；</w:t>
            </w:r>
          </w:p>
          <w:p>
            <w:pPr>
              <w:pStyle w:val="TableParagraph"/>
              <w:spacing w:line="300" w:lineRule="auto" w:before="63"/>
              <w:ind w:left="24" w:right="2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）如果日后有关政府主管部门因无锡实益达公司未能缴足土地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使用权出让金而要求其支付相应的滞纳金及</w:t>
            </w:r>
            <w:r>
              <w:rPr>
                <w:rFonts w:ascii="Times New Roman" w:hAnsi="Times New Roman" w:cs="Times New Roman" w:eastAsia="Times New Roman" w:hint="default"/>
                <w:sz w:val="18"/>
                <w:szCs w:val="18"/>
              </w:rPr>
              <w:t>/</w:t>
            </w:r>
            <w:r>
              <w:rPr>
                <w:rFonts w:ascii="宋体" w:hAnsi="宋体" w:cs="宋体" w:eastAsia="宋体" w:hint="default"/>
                <w:sz w:val="18"/>
                <w:szCs w:val="18"/>
              </w:rPr>
              <w:t>或要求其承担其它</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96"/>
              <w:jc w:val="both"/>
              <w:rPr>
                <w:rFonts w:ascii="宋体" w:hAnsi="宋体" w:cs="宋体" w:eastAsia="宋体" w:hint="default"/>
                <w:sz w:val="18"/>
                <w:szCs w:val="18"/>
              </w:rPr>
            </w:pPr>
            <w:r>
              <w:rPr>
                <w:rFonts w:ascii="宋体" w:hAnsi="宋体" w:cs="宋体" w:eastAsia="宋体" w:hint="default"/>
                <w:sz w:val="18"/>
                <w:szCs w:val="18"/>
              </w:rPr>
              <w:t>中，未发 生违反承 诺的事</w:t>
            </w:r>
          </w:p>
        </w:tc>
      </w:tr>
      <w:tr>
        <w:trPr>
          <w:trHeight w:val="30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任何经济处罚，则乔昕、陈亚妹将以连带责任方式代无锡实益达</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项。</w:t>
            </w:r>
          </w:p>
        </w:tc>
      </w:tr>
      <w:tr>
        <w:trPr>
          <w:trHeight w:val="317"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公司支付该等滞纳金及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或承担其它任何经济处罚，且不向无锡实</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益达公司进行追偿。</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r>
        <w:trPr>
          <w:trHeight w:val="371" w:hRule="exact"/>
        </w:trPr>
        <w:tc>
          <w:tcPr>
            <w:tcW w:w="854"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w:t>
            </w:r>
            <w:r>
              <w:rPr>
                <w:rFonts w:ascii="宋体" w:hAnsi="宋体" w:cs="宋体" w:eastAsia="宋体" w:hint="default"/>
                <w:sz w:val="18"/>
                <w:szCs w:val="18"/>
              </w:rPr>
              <w:t>拉萨</w:t>
            </w:r>
          </w:p>
        </w:tc>
        <w:tc>
          <w:tcPr>
            <w:tcW w:w="850" w:type="dxa"/>
            <w:vMerge w:val="restart"/>
            <w:tcBorders>
              <w:top w:val="single" w:sz="4" w:space="0" w:color="000000"/>
              <w:left w:val="single" w:sz="4" w:space="0" w:color="000000"/>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若日后国家税务主管部门要求公司补缴因享受有关税收优惠政策</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935" w:hRule="exact"/>
        </w:trPr>
        <w:tc>
          <w:tcPr>
            <w:tcW w:w="854"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316" w:lineRule="auto" w:before="14"/>
              <w:ind w:left="23" w:right="96"/>
              <w:jc w:val="both"/>
              <w:rPr>
                <w:rFonts w:ascii="宋体" w:hAnsi="宋体" w:cs="宋体" w:eastAsia="宋体" w:hint="default"/>
                <w:sz w:val="18"/>
                <w:szCs w:val="18"/>
              </w:rPr>
            </w:pPr>
            <w:r>
              <w:rPr>
                <w:rFonts w:ascii="宋体" w:hAnsi="宋体" w:cs="宋体" w:eastAsia="宋体" w:hint="default"/>
                <w:sz w:val="18"/>
                <w:szCs w:val="18"/>
              </w:rPr>
              <w:t>市冠德成科 技发展有限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乔昕</w:t>
            </w:r>
            <w:r>
              <w:rPr>
                <w:rFonts w:ascii="Times New Roman" w:hAnsi="Times New Roman" w:cs="Times New Roman" w:eastAsia="Times New Roman" w:hint="default"/>
                <w:sz w:val="18"/>
                <w:szCs w:val="18"/>
              </w:rPr>
              <w:t>;</w:t>
            </w:r>
            <w:r>
              <w:rPr>
                <w:rFonts w:ascii="宋体" w:hAnsi="宋体" w:cs="宋体" w:eastAsia="宋体" w:hint="default"/>
                <w:sz w:val="18"/>
                <w:szCs w:val="18"/>
              </w:rPr>
              <w:t>新</w:t>
            </w:r>
          </w:p>
        </w:tc>
        <w:tc>
          <w:tcPr>
            <w:tcW w:w="850"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316" w:lineRule="auto" w:before="14"/>
              <w:ind w:left="24" w:right="27"/>
              <w:jc w:val="both"/>
              <w:rPr>
                <w:rFonts w:ascii="宋体" w:hAnsi="宋体" w:cs="宋体" w:eastAsia="宋体" w:hint="default"/>
                <w:sz w:val="18"/>
                <w:szCs w:val="18"/>
              </w:rPr>
            </w:pPr>
            <w:r>
              <w:rPr>
                <w:rFonts w:ascii="宋体" w:hAnsi="宋体" w:cs="宋体" w:eastAsia="宋体" w:hint="default"/>
                <w:sz w:val="18"/>
                <w:szCs w:val="18"/>
              </w:rPr>
              <w:t>而免缴及少缴的企业所得税，则陈亚妹、乔昕、新余天道酬勤投 资发展有限公司（前身系深圳市恒顺昌投资发展有限公司）和拉 萨市冠德成科技发展有限公司（前身系深圳市冠德成科技发展有</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中，未发 生违反承 诺的事</w:t>
            </w:r>
          </w:p>
        </w:tc>
      </w:tr>
      <w:tr>
        <w:trPr>
          <w:trHeight w:val="345" w:hRule="exact"/>
        </w:trPr>
        <w:tc>
          <w:tcPr>
            <w:tcW w:w="854"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余天道酬勤</w:t>
            </w:r>
          </w:p>
        </w:tc>
        <w:tc>
          <w:tcPr>
            <w:tcW w:w="850" w:type="dxa"/>
            <w:vMerge/>
            <w:tcBorders>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限公司）将以连带责任方式，无条件全额承担公司在上市前应补</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项。</w:t>
            </w:r>
          </w:p>
        </w:tc>
      </w:tr>
    </w:tbl>
    <w:p>
      <w:pPr>
        <w:spacing w:after="0" w:line="231" w:lineRule="exact"/>
        <w:jc w:val="left"/>
        <w:rPr>
          <w:rFonts w:ascii="宋体" w:hAnsi="宋体" w:cs="宋体" w:eastAsia="宋体" w:hint="default"/>
          <w:sz w:val="18"/>
          <w:szCs w:val="18"/>
        </w:rPr>
        <w:sectPr>
          <w:pgSz w:w="11910" w:h="16840"/>
          <w:pgMar w:header="745" w:footer="980" w:top="1060" w:bottom="1160" w:left="600" w:right="5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854"/>
        <w:gridCol w:w="1133"/>
        <w:gridCol w:w="850"/>
        <w:gridCol w:w="5103"/>
        <w:gridCol w:w="853"/>
        <w:gridCol w:w="850"/>
        <w:gridCol w:w="852"/>
      </w:tblGrid>
      <w:tr>
        <w:trPr>
          <w:trHeight w:val="675" w:hRule="exact"/>
        </w:trPr>
        <w:tc>
          <w:tcPr>
            <w:tcW w:w="854" w:type="dxa"/>
            <w:vMerge w:val="restart"/>
            <w:tcBorders>
              <w:top w:val="single" w:sz="4" w:space="0" w:color="000000"/>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7"/>
              <w:jc w:val="left"/>
              <w:rPr>
                <w:rFonts w:ascii="宋体" w:hAnsi="宋体" w:cs="宋体" w:eastAsia="宋体" w:hint="default"/>
                <w:sz w:val="18"/>
                <w:szCs w:val="18"/>
              </w:rPr>
            </w:pPr>
            <w:r>
              <w:rPr>
                <w:rFonts w:ascii="宋体" w:hAnsi="宋体" w:cs="宋体" w:eastAsia="宋体" w:hint="default"/>
                <w:sz w:val="18"/>
                <w:szCs w:val="18"/>
              </w:rPr>
              <w:t>投资发展有 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缴的税款及</w:t>
            </w:r>
            <w:r>
              <w:rPr>
                <w:rFonts w:ascii="Times New Roman" w:hAnsi="Times New Roman" w:cs="Times New Roman" w:eastAsia="Times New Roman" w:hint="default"/>
                <w:sz w:val="18"/>
                <w:szCs w:val="18"/>
              </w:rPr>
              <w:t>/</w:t>
            </w:r>
            <w:r>
              <w:rPr>
                <w:rFonts w:ascii="宋体" w:hAnsi="宋体" w:cs="宋体" w:eastAsia="宋体" w:hint="default"/>
                <w:sz w:val="18"/>
                <w:szCs w:val="18"/>
              </w:rPr>
              <w:t>或因此所产生的所有相关费用。</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854"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w:t>
            </w:r>
            <w:r>
              <w:rPr>
                <w:rFonts w:ascii="宋体" w:hAnsi="宋体" w:cs="宋体" w:eastAsia="宋体" w:hint="default"/>
                <w:sz w:val="18"/>
                <w:szCs w:val="18"/>
              </w:rPr>
              <w:t>拉萨 市冠德成科 技发展有限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乔昕</w:t>
            </w:r>
            <w:r>
              <w:rPr>
                <w:rFonts w:ascii="Times New Roman" w:hAnsi="Times New Roman" w:cs="Times New Roman" w:eastAsia="Times New Roman" w:hint="default"/>
                <w:sz w:val="18"/>
                <w:szCs w:val="18"/>
              </w:rPr>
              <w:t>;</w:t>
            </w:r>
            <w:r>
              <w:rPr>
                <w:rFonts w:ascii="宋体" w:hAnsi="宋体" w:cs="宋体" w:eastAsia="宋体" w:hint="default"/>
                <w:sz w:val="18"/>
                <w:szCs w:val="18"/>
              </w:rPr>
              <w:t>新 余天道酬勤 投资发展有 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00" w:lineRule="auto"/>
              <w:ind w:left="24" w:right="19"/>
              <w:jc w:val="both"/>
              <w:rPr>
                <w:rFonts w:ascii="宋体" w:hAnsi="宋体" w:cs="宋体" w:eastAsia="宋体" w:hint="default"/>
                <w:sz w:val="18"/>
                <w:szCs w:val="18"/>
              </w:rPr>
            </w:pPr>
            <w:r>
              <w:rPr>
                <w:rFonts w:ascii="宋体" w:hAnsi="宋体" w:cs="宋体" w:eastAsia="宋体" w:hint="default"/>
                <w:spacing w:val="-2"/>
                <w:sz w:val="18"/>
                <w:szCs w:val="18"/>
              </w:rPr>
              <w:t>在作为公司股东期间，其不会在中国境内或境外，以任何方式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包</w:t>
            </w:r>
            <w:r>
              <w:rPr>
                <w:rFonts w:ascii="宋体" w:hAnsi="宋体" w:cs="宋体" w:eastAsia="宋体" w:hint="default"/>
                <w:spacing w:val="-85"/>
                <w:sz w:val="18"/>
                <w:szCs w:val="18"/>
              </w:rPr>
              <w:t> </w:t>
            </w:r>
            <w:r>
              <w:rPr>
                <w:rFonts w:ascii="宋体" w:hAnsi="宋体" w:cs="宋体" w:eastAsia="宋体" w:hint="default"/>
                <w:spacing w:val="-2"/>
                <w:sz w:val="18"/>
                <w:szCs w:val="18"/>
              </w:rPr>
              <w:t>括但不限于独资、合资、合作经营或者承包、租赁经营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直接或者</w:t>
            </w:r>
            <w:r>
              <w:rPr>
                <w:rFonts w:ascii="宋体" w:hAnsi="宋体" w:cs="宋体" w:eastAsia="宋体" w:hint="default"/>
                <w:spacing w:val="-86"/>
                <w:sz w:val="18"/>
                <w:szCs w:val="18"/>
              </w:rPr>
              <w:t> </w:t>
            </w:r>
            <w:r>
              <w:rPr>
                <w:rFonts w:ascii="宋体" w:hAnsi="宋体" w:cs="宋体" w:eastAsia="宋体" w:hint="default"/>
                <w:sz w:val="18"/>
                <w:szCs w:val="18"/>
              </w:rPr>
              <w:t>间接从事对公司的生产经营构成或可能构成竞争的业务或活动。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96"/>
              <w:jc w:val="left"/>
              <w:rPr>
                <w:rFonts w:ascii="宋体" w:hAnsi="宋体" w:cs="宋体" w:eastAsia="宋体" w:hint="default"/>
                <w:sz w:val="18"/>
                <w:szCs w:val="18"/>
              </w:rPr>
            </w:pPr>
            <w:r>
              <w:rPr>
                <w:rFonts w:ascii="宋体" w:hAnsi="宋体" w:cs="宋体" w:eastAsia="宋体" w:hint="default"/>
                <w:sz w:val="18"/>
                <w:szCs w:val="18"/>
              </w:rPr>
              <w:t>正在履行 中，未发 生违反承 诺的事 项。</w:t>
            </w:r>
          </w:p>
        </w:tc>
      </w:tr>
      <w:tr>
        <w:trPr>
          <w:trHeight w:val="1652" w:hRule="exact"/>
        </w:trPr>
        <w:tc>
          <w:tcPr>
            <w:tcW w:w="854"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w:t>
            </w:r>
            <w:r>
              <w:rPr>
                <w:rFonts w:ascii="宋体" w:hAnsi="宋体" w:cs="宋体" w:eastAsia="宋体" w:hint="default"/>
                <w:sz w:val="18"/>
                <w:szCs w:val="18"/>
              </w:rPr>
              <w:t>乔昕</w:t>
            </w:r>
          </w:p>
        </w:tc>
        <w:tc>
          <w:tcPr>
            <w:tcW w:w="850"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2" w:lineRule="auto"/>
              <w:ind w:left="24" w:right="27"/>
              <w:jc w:val="both"/>
              <w:rPr>
                <w:rFonts w:ascii="宋体" w:hAnsi="宋体" w:cs="宋体" w:eastAsia="宋体" w:hint="default"/>
                <w:sz w:val="18"/>
                <w:szCs w:val="18"/>
              </w:rPr>
            </w:pPr>
            <w:r>
              <w:rPr>
                <w:rFonts w:ascii="宋体" w:hAnsi="宋体" w:cs="宋体" w:eastAsia="宋体" w:hint="default"/>
                <w:sz w:val="18"/>
                <w:szCs w:val="18"/>
              </w:rPr>
              <w:t>若日后国家税务主管部门要求深圳市汇大光电科技有限公司补缴 因享受有关税收政策而免缴及少缴的企业所得税，则实际控制人 将以连带责任方式，无条件全额承担汇大光电</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2009-2011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年期间 应补缴的税款及</w:t>
            </w:r>
            <w:r>
              <w:rPr>
                <w:rFonts w:ascii="Times New Roman" w:hAnsi="Times New Roman" w:cs="Times New Roman" w:eastAsia="Times New Roman" w:hint="default"/>
                <w:sz w:val="18"/>
                <w:szCs w:val="18"/>
              </w:rPr>
              <w:t>/</w:t>
            </w:r>
            <w:r>
              <w:rPr>
                <w:rFonts w:ascii="宋体" w:hAnsi="宋体" w:cs="宋体" w:eastAsia="宋体" w:hint="default"/>
                <w:sz w:val="18"/>
                <w:szCs w:val="18"/>
              </w:rPr>
              <w:t>或因此所产生的相关费用。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正在履行 中，未发 生违反承 诺的事 项。</w:t>
            </w:r>
          </w:p>
        </w:tc>
      </w:tr>
      <w:tr>
        <w:trPr>
          <w:trHeight w:val="1649" w:hRule="exact"/>
        </w:trPr>
        <w:tc>
          <w:tcPr>
            <w:tcW w:w="854"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97"/>
              <w:jc w:val="both"/>
              <w:rPr>
                <w:rFonts w:ascii="宋体" w:hAnsi="宋体" w:cs="宋体" w:eastAsia="宋体" w:hint="default"/>
                <w:sz w:val="18"/>
                <w:szCs w:val="18"/>
              </w:rPr>
            </w:pPr>
            <w:r>
              <w:rPr>
                <w:rFonts w:ascii="宋体" w:hAnsi="宋体" w:cs="宋体" w:eastAsia="宋体" w:hint="default"/>
                <w:sz w:val="18"/>
                <w:szCs w:val="18"/>
              </w:rPr>
              <w:t>上海季子投 资管理有限 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7"/>
              <w:jc w:val="both"/>
              <w:rPr>
                <w:rFonts w:ascii="宋体" w:hAnsi="宋体" w:cs="宋体" w:eastAsia="宋体" w:hint="default"/>
                <w:sz w:val="18"/>
                <w:szCs w:val="18"/>
              </w:rPr>
            </w:pPr>
            <w:r>
              <w:rPr>
                <w:rFonts w:ascii="宋体" w:hAnsi="宋体" w:cs="宋体" w:eastAsia="宋体" w:hint="default"/>
                <w:sz w:val="18"/>
                <w:szCs w:val="18"/>
              </w:rPr>
              <w:t>本次用于认购实益达向本公司非公开发行股票的现金部分全部来 源于本公司作为管理人的季子天增地长一期资产管理计划的委托 人的资金。</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正在履行 中，未发 生违反承 诺的事 项。</w:t>
            </w:r>
          </w:p>
        </w:tc>
      </w:tr>
      <w:tr>
        <w:trPr>
          <w:trHeight w:val="715" w:hRule="exact"/>
        </w:trPr>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96"/>
              <w:jc w:val="left"/>
              <w:rPr>
                <w:rFonts w:ascii="宋体" w:hAnsi="宋体" w:cs="宋体" w:eastAsia="宋体" w:hint="default"/>
                <w:sz w:val="18"/>
                <w:szCs w:val="18"/>
              </w:rPr>
            </w:pPr>
            <w:r>
              <w:rPr>
                <w:rFonts w:ascii="宋体" w:hAnsi="宋体" w:cs="宋体" w:eastAsia="宋体" w:hint="default"/>
                <w:sz w:val="18"/>
                <w:szCs w:val="18"/>
              </w:rPr>
              <w:t>股权激励 承诺</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25" w:right="96"/>
              <w:jc w:val="both"/>
              <w:rPr>
                <w:rFonts w:ascii="宋体" w:hAnsi="宋体" w:cs="宋体" w:eastAsia="宋体" w:hint="default"/>
                <w:sz w:val="18"/>
                <w:szCs w:val="18"/>
              </w:rPr>
            </w:pPr>
            <w:r>
              <w:rPr>
                <w:rFonts w:ascii="宋体" w:hAnsi="宋体" w:cs="宋体" w:eastAsia="宋体" w:hint="default"/>
                <w:sz w:val="18"/>
                <w:szCs w:val="18"/>
              </w:rPr>
              <w:t>其他对公 司中小股 东所作承 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97"/>
              <w:jc w:val="both"/>
              <w:rPr>
                <w:rFonts w:ascii="宋体" w:hAnsi="宋体" w:cs="宋体" w:eastAsia="宋体" w:hint="default"/>
                <w:sz w:val="18"/>
                <w:szCs w:val="18"/>
              </w:rPr>
            </w:pPr>
            <w:r>
              <w:rPr>
                <w:rFonts w:ascii="宋体" w:hAnsi="宋体" w:cs="宋体" w:eastAsia="宋体" w:hint="default"/>
                <w:sz w:val="18"/>
                <w:szCs w:val="18"/>
              </w:rPr>
              <w:t>深圳市麦达 数字股份有 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公司本次使用部分闲置募集资金暂时补充流动资金保证符合下列 条件：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、不会改变或变相改变募集资金用途，不会影响募集资金投资项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目计划的正常进行。</w:t>
            </w:r>
          </w:p>
          <w:p>
            <w:pPr>
              <w:pStyle w:val="TableParagraph"/>
              <w:spacing w:line="309" w:lineRule="auto" w:before="22"/>
              <w:ind w:left="24" w:right="27"/>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个月内未进行任何风险投资，并承诺在未来募集资金 暂时补充流动资金期间不进行风险投资、不对控股子公司以外的 对象提供财务资助。</w:t>
            </w:r>
          </w:p>
          <w:p>
            <w:pPr>
              <w:pStyle w:val="TableParagraph"/>
              <w:spacing w:line="240" w:lineRule="auto" w:before="24"/>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、单次补充流动资金时间不得超过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p>
            <w:pPr>
              <w:pStyle w:val="TableParagraph"/>
              <w:spacing w:line="309" w:lineRule="auto" w:before="63"/>
              <w:ind w:left="24" w:right="2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、仅限于与主营业务相关的生产经营使用，不得通过直接或间接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安排用于新股配售、申购，或用于股票及其衍生品种、可转换公 司债券等的交易。</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2017-05-3</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96"/>
              <w:jc w:val="left"/>
              <w:rPr>
                <w:rFonts w:ascii="宋体" w:hAnsi="宋体" w:cs="宋体" w:eastAsia="宋体" w:hint="default"/>
                <w:sz w:val="18"/>
                <w:szCs w:val="18"/>
              </w:rPr>
            </w:pPr>
            <w:r>
              <w:rPr>
                <w:rFonts w:ascii="宋体" w:hAnsi="宋体" w:cs="宋体" w:eastAsia="宋体" w:hint="default"/>
                <w:sz w:val="18"/>
                <w:szCs w:val="18"/>
              </w:rPr>
              <w:t>已履行完 毕，未发 生违反承 诺的事 项。</w:t>
            </w:r>
          </w:p>
        </w:tc>
      </w:tr>
      <w:tr>
        <w:trPr>
          <w:trHeight w:val="1652" w:hRule="exact"/>
        </w:trPr>
        <w:tc>
          <w:tcPr>
            <w:tcW w:w="854"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97"/>
              <w:jc w:val="both"/>
              <w:rPr>
                <w:rFonts w:ascii="宋体" w:hAnsi="宋体" w:cs="宋体" w:eastAsia="宋体" w:hint="default"/>
                <w:sz w:val="18"/>
                <w:szCs w:val="18"/>
              </w:rPr>
            </w:pPr>
            <w:r>
              <w:rPr>
                <w:rFonts w:ascii="宋体" w:hAnsi="宋体" w:cs="宋体" w:eastAsia="宋体" w:hint="default"/>
                <w:sz w:val="18"/>
                <w:szCs w:val="18"/>
              </w:rPr>
              <w:t>深圳市麦达 数字股份有 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14" w:space="0" w:color="FFFFF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7"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、本次使用募集资金永久补充流动资金前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个月内公司不存在 </w:t>
            </w:r>
            <w:r>
              <w:rPr>
                <w:rFonts w:ascii="宋体" w:hAnsi="宋体" w:cs="宋体" w:eastAsia="宋体" w:hint="default"/>
                <w:spacing w:val="-4"/>
                <w:sz w:val="18"/>
                <w:szCs w:val="18"/>
              </w:rPr>
              <w:t>从事风险投资的情况，未对控股子公司以外的对象提供财务资助；</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、本次使用募集资金永久补充流动资金后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个月内不进行风险 投资、不为控股子公司以外的对象提供财务资助。</w:t>
            </w:r>
          </w:p>
        </w:tc>
        <w:tc>
          <w:tcPr>
            <w:tcW w:w="853" w:type="dxa"/>
            <w:tcBorders>
              <w:top w:val="single" w:sz="4" w:space="0" w:color="000000"/>
              <w:left w:val="single" w:sz="14"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352" w:lineRule="exact"/>
              <w:ind w:left="13"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39.75pt;height:17.650pt;mso-position-horizontal-relative:char;mso-position-vertical-relative:line" coordorigin="0,0" coordsize="795,353">
                  <v:group style="position:absolute;left:0;top:0;width:795;height:353" coordorigin="0,0" coordsize="795,353">
                    <v:shape style="position:absolute;left:0;top:0;width:795;height:353" coordorigin="0,0" coordsize="795,353" path="m0,353l795,353,795,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2018-02-2</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正在履行 中，未发 生违反承 诺的事 项。</w:t>
            </w:r>
          </w:p>
        </w:tc>
      </w:tr>
      <w:tr>
        <w:trPr>
          <w:trHeight w:val="713" w:hRule="exact"/>
        </w:trPr>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96"/>
              <w:jc w:val="left"/>
              <w:rPr>
                <w:rFonts w:ascii="宋体" w:hAnsi="宋体" w:cs="宋体" w:eastAsia="宋体" w:hint="default"/>
                <w:sz w:val="18"/>
                <w:szCs w:val="18"/>
              </w:rPr>
            </w:pPr>
            <w:r>
              <w:rPr>
                <w:rFonts w:ascii="宋体" w:hAnsi="宋体" w:cs="宋体" w:eastAsia="宋体" w:hint="default"/>
                <w:sz w:val="18"/>
                <w:szCs w:val="18"/>
              </w:rPr>
              <w:t>承诺是否 按时履行</w:t>
            </w:r>
          </w:p>
        </w:tc>
        <w:tc>
          <w:tcPr>
            <w:tcW w:w="964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600" w:right="580"/>
        </w:sectPr>
      </w:pPr>
    </w:p>
    <w:p>
      <w:pPr>
        <w:spacing w:line="240" w:lineRule="auto" w:before="2"/>
        <w:rPr>
          <w:rFonts w:ascii="Times New Roman" w:hAnsi="Times New Roman" w:cs="Times New Roman" w:eastAsia="Times New Roman" w:hint="default"/>
          <w:sz w:val="28"/>
          <w:szCs w:val="28"/>
        </w:rPr>
      </w:pPr>
    </w:p>
    <w:p>
      <w:pPr>
        <w:pStyle w:val="Heading3"/>
        <w:spacing w:line="259" w:lineRule="auto" w:before="36"/>
        <w:ind w:right="15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06"/>
        <w:gridCol w:w="821"/>
        <w:gridCol w:w="850"/>
        <w:gridCol w:w="994"/>
        <w:gridCol w:w="1133"/>
        <w:gridCol w:w="2410"/>
        <w:gridCol w:w="994"/>
        <w:gridCol w:w="105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6" w:hanging="89"/>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5" w:right="43"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9" w:right="58" w:hanging="180"/>
              <w:jc w:val="left"/>
              <w:rPr>
                <w:rFonts w:ascii="宋体" w:hAnsi="宋体" w:cs="宋体" w:eastAsia="宋体" w:hint="default"/>
                <w:sz w:val="18"/>
                <w:szCs w:val="18"/>
              </w:rPr>
            </w:pPr>
            <w:r>
              <w:rPr>
                <w:rFonts w:ascii="宋体" w:hAnsi="宋体" w:cs="宋体" w:eastAsia="宋体" w:hint="default"/>
                <w:sz w:val="18"/>
                <w:szCs w:val="18"/>
              </w:rPr>
              <w:t>预测终止 时间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 w:right="38"/>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08"/>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未达预测的原因（如适用）</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4" w:right="39" w:hanging="272"/>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5" w:right="72" w:hanging="272"/>
              <w:jc w:val="left"/>
              <w:rPr>
                <w:rFonts w:ascii="宋体" w:hAnsi="宋体" w:cs="宋体" w:eastAsia="宋体" w:hint="default"/>
                <w:sz w:val="18"/>
                <w:szCs w:val="18"/>
              </w:rPr>
            </w:pPr>
            <w:r>
              <w:rPr>
                <w:rFonts w:ascii="宋体" w:hAnsi="宋体" w:cs="宋体" w:eastAsia="宋体" w:hint="default"/>
                <w:sz w:val="18"/>
                <w:szCs w:val="18"/>
              </w:rPr>
              <w:t>原预测披露 索引</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顺为广告</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3,826.92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行业发展增速放缓，当期未达 成，但累积已达成业绩承诺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详见巨潮资 讯网</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奇思广告</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2,966.17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行业发展增速放缓，当期未达 成，但累积已达成业绩承诺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详见巨潮资 讯网</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利宣广告</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1,617.93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行业发展增速放缓，当期未达 成，但累积已达成业绩承诺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详见巨潮资 讯网</w:t>
            </w:r>
          </w:p>
        </w:tc>
      </w:tr>
    </w:tbl>
    <w:p>
      <w:pPr>
        <w:pStyle w:val="BodyText"/>
        <w:spacing w:line="240" w:lineRule="auto" w:before="49"/>
        <w:ind w:right="153"/>
        <w:jc w:val="left"/>
      </w:pPr>
      <w:r>
        <w:rPr/>
        <w:t>公司股东、交易对手方在报告年度经营业绩做出的承诺情况</w:t>
      </w:r>
    </w:p>
    <w:p>
      <w:pPr>
        <w:pStyle w:val="BodyText"/>
        <w:spacing w:line="300" w:lineRule="auto" w:before="115"/>
        <w:ind w:left="510" w:right="0" w:hanging="3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根据公司与张伟、伏虎、逄淑涌、曹建华、袁琪、张晓艳分别签订的《盈利预测补偿协议》，以及姚俊出具的《个人连</w:t>
      </w:r>
    </w:p>
    <w:p>
      <w:pPr>
        <w:pStyle w:val="BodyText"/>
        <w:spacing w:line="343" w:lineRule="auto" w:before="70"/>
        <w:ind w:right="148"/>
        <w:jc w:val="both"/>
      </w:pPr>
      <w:r>
        <w:rPr>
          <w:spacing w:val="-4"/>
        </w:rPr>
        <w:t>带责任保证函》，张伟承诺：顺为广告</w:t>
      </w:r>
      <w:r>
        <w:rPr>
          <w:rFonts w:ascii="Times New Roman" w:hAnsi="Times New Roman" w:cs="Times New Roman" w:eastAsia="Times New Roman" w:hint="default"/>
          <w:spacing w:val="-4"/>
        </w:rPr>
        <w:t>2015</w:t>
      </w:r>
      <w:r>
        <w:rPr>
          <w:spacing w:val="-4"/>
        </w:rPr>
        <w:t>年度、</w:t>
      </w:r>
      <w:r>
        <w:rPr>
          <w:rFonts w:ascii="Times New Roman" w:hAnsi="Times New Roman" w:cs="Times New Roman" w:eastAsia="Times New Roman" w:hint="default"/>
          <w:spacing w:val="-4"/>
        </w:rPr>
        <w:t>2016</w:t>
      </w:r>
      <w:r>
        <w:rPr>
          <w:spacing w:val="-4"/>
        </w:rPr>
        <w:t>年度、</w:t>
      </w:r>
      <w:r>
        <w:rPr>
          <w:rFonts w:ascii="Times New Roman" w:hAnsi="Times New Roman" w:cs="Times New Roman" w:eastAsia="Times New Roman" w:hint="default"/>
          <w:spacing w:val="-4"/>
        </w:rPr>
        <w:t>2017</w:t>
      </w:r>
      <w:r>
        <w:rPr>
          <w:spacing w:val="-4"/>
        </w:rPr>
        <w:t>年度实现的净利润分别不低于</w:t>
      </w:r>
      <w:r>
        <w:rPr>
          <w:rFonts w:ascii="Times New Roman" w:hAnsi="Times New Roman" w:cs="Times New Roman" w:eastAsia="Times New Roman" w:hint="default"/>
          <w:spacing w:val="-4"/>
        </w:rPr>
        <w:t>2,500</w:t>
      </w:r>
      <w:r>
        <w:rPr>
          <w:spacing w:val="-4"/>
        </w:rPr>
        <w:t>万元、</w:t>
      </w:r>
      <w:r>
        <w:rPr>
          <w:rFonts w:ascii="Times New Roman" w:hAnsi="Times New Roman" w:cs="Times New Roman" w:eastAsia="Times New Roman" w:hint="default"/>
          <w:spacing w:val="-4"/>
        </w:rPr>
        <w:t>3,250</w:t>
      </w:r>
      <w:r>
        <w:rPr>
          <w:spacing w:val="-4"/>
        </w:rPr>
        <w:t>万元和</w:t>
      </w:r>
      <w:r>
        <w:rPr>
          <w:rFonts w:ascii="Times New Roman" w:hAnsi="Times New Roman" w:cs="Times New Roman" w:eastAsia="Times New Roman" w:hint="default"/>
          <w:spacing w:val="-4"/>
        </w:rPr>
        <w:t>4,225</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spacing w:val="-2"/>
        </w:rPr>
        <w:t>万元，若顺为广告在盈利承诺期内的任一年度累积实际净利润未达到累积承诺净利润的，则张伟应当向公司进行补偿；姚俊</w:t>
      </w:r>
      <w:r>
        <w:rPr>
          <w:spacing w:val="-63"/>
        </w:rPr>
        <w:t> </w:t>
      </w:r>
      <w:r>
        <w:rPr>
          <w:spacing w:val="-63"/>
        </w:rPr>
      </w:r>
      <w:r>
        <w:rPr>
          <w:spacing w:val="-2"/>
        </w:rPr>
        <w:t>承诺，如张伟未能依约履行包括及时进行盈利预测补偿在内的义务和责任的，姚俊将就张伟在《盈利预测补偿协议》项下的</w:t>
      </w:r>
      <w:r>
        <w:rPr>
          <w:spacing w:val="-64"/>
        </w:rPr>
        <w:t> </w:t>
      </w:r>
      <w:r>
        <w:rPr>
          <w:spacing w:val="-64"/>
        </w:rPr>
      </w:r>
      <w:r>
        <w:rPr>
          <w:spacing w:val="-2"/>
        </w:rPr>
        <w:t>所有义务和责任承担连带保证责任；伏虎、逄淑涌、曹建华承诺：奇思广告</w:t>
      </w:r>
      <w:r>
        <w:rPr>
          <w:rFonts w:ascii="Times New Roman" w:hAnsi="Times New Roman" w:cs="Times New Roman" w:eastAsia="Times New Roman" w:hint="default"/>
          <w:spacing w:val="-2"/>
        </w:rPr>
        <w:t>2015</w:t>
      </w:r>
      <w:r>
        <w:rPr>
          <w:spacing w:val="-2"/>
        </w:rPr>
        <w:t>年度、</w:t>
      </w:r>
      <w:r>
        <w:rPr>
          <w:rFonts w:ascii="Times New Roman" w:hAnsi="Times New Roman" w:cs="Times New Roman" w:eastAsia="Times New Roman" w:hint="default"/>
          <w:spacing w:val="-2"/>
        </w:rPr>
        <w:t>2016</w:t>
      </w:r>
      <w:r>
        <w:rPr>
          <w:spacing w:val="-2"/>
        </w:rPr>
        <w:t>年度、</w:t>
      </w:r>
      <w:r>
        <w:rPr>
          <w:rFonts w:ascii="Times New Roman" w:hAnsi="Times New Roman" w:cs="Times New Roman" w:eastAsia="Times New Roman" w:hint="default"/>
          <w:spacing w:val="-2"/>
        </w:rPr>
        <w:t>2017</w:t>
      </w:r>
      <w:r>
        <w:rPr>
          <w:spacing w:val="-2"/>
        </w:rPr>
        <w:t>年度实现的净利润分</w:t>
      </w:r>
      <w:r>
        <w:rPr>
          <w:spacing w:val="-60"/>
        </w:rPr>
        <w:t> </w:t>
      </w:r>
      <w:r>
        <w:rPr>
          <w:spacing w:val="-60"/>
        </w:rPr>
      </w:r>
      <w:r>
        <w:rPr>
          <w:spacing w:val="-1"/>
        </w:rPr>
        <w:t>别不低于</w:t>
      </w:r>
      <w:r>
        <w:rPr>
          <w:rFonts w:ascii="Times New Roman" w:hAnsi="Times New Roman" w:cs="Times New Roman" w:eastAsia="Times New Roman" w:hint="default"/>
          <w:spacing w:val="-1"/>
        </w:rPr>
        <w:t>1,800</w:t>
      </w:r>
      <w:r>
        <w:rPr>
          <w:spacing w:val="-1"/>
        </w:rPr>
        <w:t>万元、</w:t>
      </w:r>
      <w:r>
        <w:rPr>
          <w:rFonts w:ascii="Times New Roman" w:hAnsi="Times New Roman" w:cs="Times New Roman" w:eastAsia="Times New Roman" w:hint="default"/>
          <w:spacing w:val="-1"/>
        </w:rPr>
        <w:t>2,340</w:t>
      </w:r>
      <w:r>
        <w:rPr>
          <w:spacing w:val="-1"/>
        </w:rPr>
        <w:t>万元和</w:t>
      </w:r>
      <w:r>
        <w:rPr>
          <w:rFonts w:ascii="Times New Roman" w:hAnsi="Times New Roman" w:cs="Times New Roman" w:eastAsia="Times New Roman" w:hint="default"/>
          <w:spacing w:val="-1"/>
        </w:rPr>
        <w:t>3,042</w:t>
      </w:r>
      <w:r>
        <w:rPr>
          <w:spacing w:val="-1"/>
        </w:rPr>
        <w:t>万元，若奇思广告在盈利承诺期内的任一年度累积实际净利润未达到累积承诺净利润</w:t>
      </w:r>
      <w:r>
        <w:rPr>
          <w:spacing w:val="-74"/>
        </w:rPr>
        <w:t> </w:t>
      </w:r>
      <w:r>
        <w:rPr>
          <w:spacing w:val="-74"/>
        </w:rPr>
      </w:r>
      <w:r>
        <w:rPr>
          <w:spacing w:val="-2"/>
        </w:rPr>
        <w:t>的，则伏虎、逄淑涌、曹建华应当向公司进行补偿；袁琪、张晓艳承诺：利宣广告</w:t>
      </w:r>
      <w:r>
        <w:rPr>
          <w:rFonts w:ascii="Times New Roman" w:hAnsi="Times New Roman" w:cs="Times New Roman" w:eastAsia="Times New Roman" w:hint="default"/>
          <w:spacing w:val="-2"/>
        </w:rPr>
        <w:t>2015</w:t>
      </w:r>
      <w:r>
        <w:rPr>
          <w:spacing w:val="-2"/>
        </w:rPr>
        <w:t>年度、</w:t>
      </w:r>
      <w:r>
        <w:rPr>
          <w:rFonts w:ascii="Times New Roman" w:hAnsi="Times New Roman" w:cs="Times New Roman" w:eastAsia="Times New Roman" w:hint="default"/>
          <w:spacing w:val="-2"/>
        </w:rPr>
        <w:t>2016</w:t>
      </w:r>
      <w:r>
        <w:rPr>
          <w:spacing w:val="-2"/>
        </w:rPr>
        <w:t>年度、</w:t>
      </w:r>
      <w:r>
        <w:rPr>
          <w:rFonts w:ascii="Times New Roman" w:hAnsi="Times New Roman" w:cs="Times New Roman" w:eastAsia="Times New Roman" w:hint="default"/>
          <w:spacing w:val="-2"/>
        </w:rPr>
        <w:t>2017</w:t>
      </w:r>
      <w:r>
        <w:rPr>
          <w:spacing w:val="-2"/>
        </w:rPr>
        <w:t>年度实现的净</w:t>
      </w:r>
      <w:r>
        <w:rPr>
          <w:spacing w:val="-58"/>
        </w:rPr>
        <w:t> </w:t>
      </w:r>
      <w:r>
        <w:rPr>
          <w:spacing w:val="-58"/>
        </w:rPr>
      </w:r>
      <w:r>
        <w:rPr>
          <w:spacing w:val="-1"/>
        </w:rPr>
        <w:t>利润分别不低于</w:t>
      </w:r>
      <w:r>
        <w:rPr>
          <w:rFonts w:ascii="Times New Roman" w:hAnsi="Times New Roman" w:cs="Times New Roman" w:eastAsia="Times New Roman" w:hint="default"/>
          <w:spacing w:val="-1"/>
        </w:rPr>
        <w:t>1,000</w:t>
      </w:r>
      <w:r>
        <w:rPr>
          <w:spacing w:val="-1"/>
        </w:rPr>
        <w:t>万元、</w:t>
      </w:r>
      <w:r>
        <w:rPr>
          <w:rFonts w:ascii="Times New Roman" w:hAnsi="Times New Roman" w:cs="Times New Roman" w:eastAsia="Times New Roman" w:hint="default"/>
          <w:spacing w:val="-1"/>
        </w:rPr>
        <w:t>1,300</w:t>
      </w:r>
      <w:r>
        <w:rPr>
          <w:spacing w:val="-1"/>
        </w:rPr>
        <w:t>万元和</w:t>
      </w:r>
      <w:r>
        <w:rPr>
          <w:rFonts w:ascii="Times New Roman" w:hAnsi="Times New Roman" w:cs="Times New Roman" w:eastAsia="Times New Roman" w:hint="default"/>
          <w:spacing w:val="-1"/>
        </w:rPr>
        <w:t>1,690</w:t>
      </w:r>
      <w:r>
        <w:rPr>
          <w:spacing w:val="-1"/>
        </w:rPr>
        <w:t>万元，若利宣广告在盈利承诺期内的任一年度累积实际净利润未达到累积承诺</w:t>
      </w:r>
      <w:r>
        <w:rPr>
          <w:spacing w:val="-74"/>
        </w:rPr>
        <w:t> </w:t>
      </w:r>
      <w:r>
        <w:rPr>
          <w:spacing w:val="-74"/>
        </w:rPr>
      </w:r>
      <w:r>
        <w:rPr/>
        <w:t>净利润的，则袁琪、张晓艳应当向公司进行补偿。</w:t>
      </w:r>
    </w:p>
    <w:p>
      <w:pPr>
        <w:pStyle w:val="BodyText"/>
        <w:spacing w:line="338" w:lineRule="auto" w:before="38"/>
        <w:ind w:right="150" w:firstLine="358"/>
        <w:jc w:val="both"/>
      </w:pPr>
      <w:r>
        <w:rPr>
          <w:spacing w:val="-2"/>
        </w:rPr>
        <w:t>顺为广告、奇思广告和利宣广告在三年业绩承诺期内累积实现的净利润（按扣除非常性损益前后孰低）分别为</w:t>
      </w:r>
      <w:r>
        <w:rPr>
          <w:rFonts w:ascii="Times New Roman" w:hAnsi="Times New Roman" w:cs="Times New Roman" w:eastAsia="Times New Roman" w:hint="default"/>
          <w:spacing w:val="-2"/>
        </w:rPr>
        <w:t>10,229.77</w:t>
      </w:r>
      <w:r>
        <w:rPr>
          <w:rFonts w:ascii="Times New Roman" w:hAnsi="Times New Roman" w:cs="Times New Roman" w:eastAsia="Times New Roman" w:hint="default"/>
        </w:rPr>
        <w:t> </w:t>
      </w:r>
      <w:r>
        <w:rPr>
          <w:spacing w:val="-1"/>
        </w:rPr>
        <w:t>万元、</w:t>
      </w:r>
      <w:r>
        <w:rPr>
          <w:rFonts w:ascii="Times New Roman" w:hAnsi="Times New Roman" w:cs="Times New Roman" w:eastAsia="Times New Roman" w:hint="default"/>
          <w:spacing w:val="-1"/>
        </w:rPr>
        <w:t>8,133.19</w:t>
      </w:r>
      <w:r>
        <w:rPr>
          <w:spacing w:val="-1"/>
        </w:rPr>
        <w:t>万元、</w:t>
      </w:r>
      <w:r>
        <w:rPr>
          <w:rFonts w:ascii="Times New Roman" w:hAnsi="Times New Roman" w:cs="Times New Roman" w:eastAsia="Times New Roman" w:hint="default"/>
          <w:spacing w:val="-1"/>
        </w:rPr>
        <w:t>4,089.35</w:t>
      </w:r>
      <w:r>
        <w:rPr>
          <w:spacing w:val="-1"/>
        </w:rPr>
        <w:t>万元，超出三年累积承诺净利润的金额分别为</w:t>
      </w:r>
      <w:r>
        <w:rPr>
          <w:rFonts w:ascii="Times New Roman" w:hAnsi="Times New Roman" w:cs="Times New Roman" w:eastAsia="Times New Roman" w:hint="default"/>
          <w:spacing w:val="-1"/>
        </w:rPr>
        <w:t>254.77</w:t>
      </w:r>
      <w:r>
        <w:rPr>
          <w:spacing w:val="-1"/>
        </w:rPr>
        <w:t>万元、</w:t>
      </w:r>
      <w:r>
        <w:rPr>
          <w:rFonts w:ascii="Times New Roman" w:hAnsi="Times New Roman" w:cs="Times New Roman" w:eastAsia="Times New Roman" w:hint="default"/>
          <w:spacing w:val="-1"/>
        </w:rPr>
        <w:t>951.19</w:t>
      </w:r>
      <w:r>
        <w:rPr>
          <w:spacing w:val="-1"/>
        </w:rPr>
        <w:t>万元、</w:t>
      </w:r>
      <w:r>
        <w:rPr>
          <w:rFonts w:ascii="Times New Roman" w:hAnsi="Times New Roman" w:cs="Times New Roman" w:eastAsia="Times New Roman" w:hint="default"/>
          <w:spacing w:val="-1"/>
        </w:rPr>
        <w:t>99.35</w:t>
      </w:r>
      <w:r>
        <w:rPr>
          <w:spacing w:val="-1"/>
        </w:rPr>
        <w:t>万元，交易对手</w:t>
      </w:r>
      <w:r>
        <w:rPr>
          <w:spacing w:val="-68"/>
        </w:rPr>
        <w:t> </w:t>
      </w:r>
      <w:r>
        <w:rPr>
          <w:spacing w:val="-68"/>
        </w:rPr>
      </w:r>
      <w:r>
        <w:rPr/>
        <w:t>方无需向公司补偿。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2"/>
        <w:spacing w:line="240" w:lineRule="auto"/>
        <w:ind w:right="153"/>
        <w:jc w:val="left"/>
        <w:rPr>
          <w:b w:val="0"/>
          <w:bCs w:val="0"/>
        </w:rPr>
      </w:pPr>
      <w:r>
        <w:rPr/>
        <w:t>四、控股股东及其关联方对上市公司的非经营性占用资金情况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3" w:right="14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宋体" w:hAnsi="宋体" w:cs="宋体" w:eastAsia="宋体" w:hint="default"/>
        </w:rPr>
        <w:t>1</w:t>
      </w:r>
      <w:r>
        <w:rPr/>
        <w:t>、</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10</w:t>
      </w:r>
      <w:r>
        <w:rPr/>
        <w:t>日，财政部公布了修订后的《企业会计准则第</w:t>
      </w:r>
      <w:r>
        <w:rPr>
          <w:rFonts w:ascii="宋体" w:hAnsi="宋体" w:cs="宋体" w:eastAsia="宋体" w:hint="default"/>
        </w:rPr>
        <w:t>16</w:t>
      </w:r>
      <w:r>
        <w:rPr/>
        <w:t>号——政府补助》，该准则修订自</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12</w:t>
      </w:r>
      <w:r>
        <w:rPr/>
        <w:t>日起施</w:t>
      </w:r>
    </w:p>
    <w:p>
      <w:pPr>
        <w:spacing w:after="0" w:line="30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2"/>
          <w:szCs w:val="22"/>
        </w:rPr>
      </w:pPr>
    </w:p>
    <w:p>
      <w:pPr>
        <w:pStyle w:val="BodyText"/>
        <w:spacing w:line="357" w:lineRule="auto" w:before="44"/>
        <w:ind w:right="153"/>
        <w:jc w:val="left"/>
        <w:rPr>
          <w:rFonts w:ascii="宋体" w:hAnsi="宋体" w:cs="宋体" w:eastAsia="宋体" w:hint="default"/>
        </w:rPr>
      </w:pPr>
      <w:r>
        <w:rPr>
          <w:spacing w:val="-2"/>
        </w:rPr>
        <w:t>行，同时要求企业对</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日存在的政府补助采用未来适用法处理，对</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日至该准则施行日之间新增的政府补</w:t>
      </w:r>
      <w:r>
        <w:rPr>
          <w:spacing w:val="-57"/>
        </w:rPr>
        <w:t> </w:t>
      </w:r>
      <w:r>
        <w:rPr>
          <w:spacing w:val="-57"/>
        </w:rPr>
      </w:r>
      <w:r>
        <w:rPr/>
        <w:t>助根据修订后的准则进行调整。</w:t>
      </w:r>
      <w:r>
        <w:rPr>
          <w:rFonts w:ascii="宋体" w:hAnsi="宋体" w:cs="宋体" w:eastAsia="宋体" w:hint="default"/>
        </w:rPr>
        <w:t> </w:t>
      </w:r>
    </w:p>
    <w:p>
      <w:pPr>
        <w:pStyle w:val="BodyText"/>
        <w:spacing w:line="357" w:lineRule="auto" w:before="26"/>
        <w:ind w:right="144" w:firstLine="360"/>
        <w:jc w:val="left"/>
        <w:rPr>
          <w:rFonts w:ascii="宋体" w:hAnsi="宋体" w:cs="宋体" w:eastAsia="宋体" w:hint="default"/>
        </w:rPr>
      </w:pPr>
      <w:r>
        <w:rPr/>
        <w:t>本公司自</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12</w:t>
      </w:r>
      <w:r>
        <w:rPr/>
        <w:t>日开始采用该修订后的准则，上述会计政策变化的主要内容为：与企业日常活动相关的政府补助 计入其他收益；与企业日常活动无关的政府补助计入营业外收支。</w:t>
      </w:r>
      <w:r>
        <w:rPr>
          <w:rFonts w:ascii="宋体" w:hAnsi="宋体" w:cs="宋体" w:eastAsia="宋体" w:hint="default"/>
        </w:rPr>
        <w:t> </w:t>
      </w:r>
    </w:p>
    <w:p>
      <w:pPr>
        <w:pStyle w:val="BodyText"/>
        <w:spacing w:line="355" w:lineRule="auto" w:before="26"/>
        <w:ind w:right="0" w:firstLine="360"/>
        <w:jc w:val="left"/>
        <w:rPr>
          <w:rFonts w:ascii="宋体" w:hAnsi="宋体" w:cs="宋体" w:eastAsia="宋体" w:hint="default"/>
        </w:rPr>
      </w:pPr>
      <w:r>
        <w:rPr>
          <w:spacing w:val="-2"/>
        </w:rPr>
        <w:t>本公司已根据《企业会计准则第</w:t>
      </w:r>
      <w:r>
        <w:rPr>
          <w:rFonts w:ascii="宋体" w:hAnsi="宋体" w:cs="宋体" w:eastAsia="宋体" w:hint="default"/>
          <w:spacing w:val="-2"/>
        </w:rPr>
        <w:t>16</w:t>
      </w:r>
      <w:r>
        <w:rPr>
          <w:spacing w:val="-2"/>
        </w:rPr>
        <w:t>号——政府补助》的规定，对于该规定影响的财务报表列报项目金额进行了调整，将</w:t>
      </w:r>
      <w:r>
        <w:rPr/>
        <w:t> </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日期间发生的与公司日常相关的政府补助</w:t>
      </w:r>
      <w:r>
        <w:rPr>
          <w:rFonts w:ascii="宋体" w:hAnsi="宋体" w:cs="宋体" w:eastAsia="宋体" w:hint="default"/>
        </w:rPr>
        <w:t>5,392,632.56</w:t>
      </w:r>
      <w:r>
        <w:rPr/>
        <w:t>元从“营业外收入”调整至“其他收 </w:t>
      </w:r>
      <w:r>
        <w:rPr>
          <w:spacing w:val="-2"/>
        </w:rPr>
        <w:t>益”，对于</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日期间发生的交易，不予追溯调整；对于</w:t>
      </w:r>
      <w:r>
        <w:rPr>
          <w:rFonts w:ascii="宋体" w:hAnsi="宋体" w:cs="宋体" w:eastAsia="宋体" w:hint="default"/>
          <w:spacing w:val="-2"/>
        </w:rPr>
        <w:t>2016</w:t>
      </w:r>
      <w:r>
        <w:rPr>
          <w:spacing w:val="-2"/>
        </w:rPr>
        <w:t>年财务报表中可比期间的财务报表也不予追</w:t>
      </w:r>
      <w:r>
        <w:rPr>
          <w:spacing w:val="-56"/>
        </w:rPr>
        <w:t> </w:t>
      </w:r>
      <w:r>
        <w:rPr>
          <w:spacing w:val="-56"/>
        </w:rPr>
      </w:r>
      <w:r>
        <w:rPr/>
        <w:t>溯调整。</w:t>
      </w:r>
      <w:r>
        <w:rPr>
          <w:rFonts w:ascii="宋体" w:hAnsi="宋体" w:cs="宋体" w:eastAsia="宋体" w:hint="default"/>
        </w:rPr>
        <w:t> </w:t>
      </w:r>
    </w:p>
    <w:p>
      <w:pPr>
        <w:pStyle w:val="BodyText"/>
        <w:spacing w:line="240" w:lineRule="auto" w:before="28"/>
        <w:ind w:left="513" w:right="0"/>
        <w:jc w:val="left"/>
      </w:pPr>
      <w:r>
        <w:rPr>
          <w:rFonts w:ascii="宋体" w:hAnsi="宋体" w:cs="宋体" w:eastAsia="宋体" w:hint="default"/>
        </w:rPr>
        <w:t>2</w:t>
      </w:r>
      <w:r>
        <w:rPr/>
        <w:t>、</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28</w:t>
      </w:r>
      <w:r>
        <w:rPr/>
        <w:t>日，财政部发布了《企业会计准则第</w:t>
      </w:r>
      <w:r>
        <w:rPr>
          <w:rFonts w:ascii="宋体" w:hAnsi="宋体" w:cs="宋体" w:eastAsia="宋体" w:hint="default"/>
        </w:rPr>
        <w:t>42</w:t>
      </w:r>
      <w:r>
        <w:rPr/>
        <w:t>号——持有待售的非流动资产、处置组和终止经营》，该准则自</w:t>
      </w:r>
    </w:p>
    <w:p>
      <w:pPr>
        <w:pStyle w:val="BodyText"/>
        <w:spacing w:line="357" w:lineRule="auto" w:before="115"/>
        <w:ind w:right="146"/>
        <w:jc w:val="both"/>
        <w:rPr>
          <w:rFonts w:ascii="宋体" w:hAnsi="宋体" w:cs="宋体" w:eastAsia="宋体" w:hint="default"/>
        </w:rPr>
      </w:pP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28</w:t>
      </w:r>
      <w:r>
        <w:rPr/>
        <w:t>日起施行。本公司根据该准则及财政部《关于修订印发一般企业财务报表格式的通知》（财会〔</w:t>
      </w:r>
      <w:r>
        <w:rPr>
          <w:rFonts w:ascii="宋体" w:hAnsi="宋体" w:cs="宋体" w:eastAsia="宋体" w:hint="default"/>
        </w:rPr>
        <w:t>2017</w:t>
      </w:r>
      <w:r>
        <w:rPr/>
        <w:t>〕</w:t>
      </w:r>
      <w:r>
        <w:rPr>
          <w:rFonts w:ascii="宋体" w:hAnsi="宋体" w:cs="宋体" w:eastAsia="宋体" w:hint="default"/>
        </w:rPr>
        <w:t>30</w:t>
      </w:r>
      <w:r>
        <w:rPr/>
        <w:t>号的</w:t>
      </w:r>
      <w:r>
        <w:rPr>
          <w:spacing w:val="-3"/>
        </w:rPr>
        <w:t> </w:t>
      </w:r>
      <w:r>
        <w:rPr>
          <w:spacing w:val="-2"/>
        </w:rPr>
        <w:t>规定，在利润表中新增了“资产处置收益”项目，并对净利润按经营持续性进行分类列报。本公司按照《企业会计准则第</w:t>
      </w:r>
      <w:r>
        <w:rPr>
          <w:rFonts w:ascii="宋体" w:hAnsi="宋体" w:cs="宋体" w:eastAsia="宋体" w:hint="default"/>
          <w:spacing w:val="-2"/>
        </w:rPr>
        <w:t>30</w:t>
      </w:r>
      <w:r>
        <w:rPr>
          <w:rFonts w:ascii="宋体" w:hAnsi="宋体" w:cs="宋体" w:eastAsia="宋体" w:hint="default"/>
          <w:spacing w:val="-59"/>
        </w:rPr>
        <w:t> </w:t>
      </w:r>
      <w:r>
        <w:rPr/>
        <w:t>号——财务报表列报》等的相关规定，对可比期间的比较数据进行调整。</w:t>
      </w:r>
      <w:r>
        <w:rPr>
          <w:rFonts w:ascii="宋体" w:hAnsi="宋体" w:cs="宋体" w:eastAsia="宋体" w:hint="default"/>
        </w:rPr>
        <w:t> </w:t>
      </w:r>
    </w:p>
    <w:p>
      <w:pPr>
        <w:pStyle w:val="BodyText"/>
        <w:spacing w:line="355" w:lineRule="auto" w:before="27"/>
        <w:ind w:right="151" w:firstLine="360"/>
        <w:jc w:val="both"/>
        <w:rPr>
          <w:rFonts w:ascii="宋体" w:hAnsi="宋体" w:cs="宋体" w:eastAsia="宋体" w:hint="default"/>
        </w:rPr>
      </w:pPr>
      <w:r>
        <w:rPr>
          <w:spacing w:val="-2"/>
        </w:rPr>
        <w:t>本公司已根据《企业会计准则第</w:t>
      </w:r>
      <w:r>
        <w:rPr>
          <w:rFonts w:ascii="宋体" w:hAnsi="宋体" w:cs="宋体" w:eastAsia="宋体" w:hint="default"/>
          <w:spacing w:val="-2"/>
        </w:rPr>
        <w:t>42</w:t>
      </w:r>
      <w:r>
        <w:rPr>
          <w:spacing w:val="-2"/>
        </w:rPr>
        <w:t>号——持有待售的非流动资产、处置组和终止经营》的规定，对于该规定影响的财务</w:t>
      </w:r>
      <w:r>
        <w:rPr/>
        <w:t> 报表列报项目金额进行了调整，将</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日期间发生的非流动资产处置收益</w:t>
      </w:r>
      <w:r>
        <w:rPr>
          <w:rFonts w:ascii="宋体" w:hAnsi="宋体" w:cs="宋体" w:eastAsia="宋体" w:hint="default"/>
        </w:rPr>
        <w:t>-5,203,450.14</w:t>
      </w:r>
      <w:r>
        <w:rPr/>
        <w:t>元从“营 </w:t>
      </w:r>
      <w:r>
        <w:rPr>
          <w:spacing w:val="-2"/>
        </w:rPr>
        <w:t>业外收入”和“营业外支出”调整至“资产处置收益”，对于</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日期间发生的非流动资产处置收</w:t>
      </w:r>
      <w:r>
        <w:rPr>
          <w:spacing w:val="-58"/>
        </w:rPr>
        <w:t> </w:t>
      </w:r>
      <w:r>
        <w:rPr/>
        <w:t>益</w:t>
      </w:r>
      <w:r>
        <w:rPr>
          <w:rFonts w:ascii="宋体" w:hAnsi="宋体" w:cs="宋体" w:eastAsia="宋体" w:hint="default"/>
        </w:rPr>
        <w:t>1,519,876.28</w:t>
      </w:r>
      <w:r>
        <w:rPr/>
        <w:t>元从“营业外收入”和“营业外支出”调整至“资产处置收益”。</w:t>
      </w:r>
      <w:r>
        <w:rPr>
          <w:rFonts w:ascii="宋体" w:hAnsi="宋体" w:cs="宋体" w:eastAsia="宋体" w:hint="default"/>
        </w:rPr>
        <w:t> </w:t>
      </w:r>
    </w:p>
    <w:p>
      <w:pPr>
        <w:pStyle w:val="BodyText"/>
        <w:spacing w:line="240" w:lineRule="auto" w:before="28"/>
        <w:ind w:left="513" w:right="153"/>
        <w:jc w:val="left"/>
      </w:pPr>
      <w:r>
        <w:rPr/>
        <w:t>本次会计政策变更业经公司于</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18</w:t>
      </w:r>
      <w:r>
        <w:rPr/>
        <w:t>日召开的第五届董事会第三次会议审议通过。</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2"/>
        <w:spacing w:line="240" w:lineRule="auto"/>
        <w:ind w:right="0"/>
        <w:jc w:val="both"/>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45" w:lineRule="auto" w:before="63"/>
        <w:ind w:right="148" w:firstLine="504"/>
        <w:jc w:val="both"/>
      </w:pPr>
      <w:r>
        <w:rPr/>
        <w:t>报告期内公司新设全资子公司前海麦达和无锡益锡电子有限公司、全资孙公司</w:t>
      </w:r>
      <w:r>
        <w:rPr>
          <w:rFonts w:ascii="Times New Roman" w:hAnsi="Times New Roman" w:cs="Times New Roman" w:eastAsia="Times New Roman" w:hint="default"/>
        </w:rPr>
        <w:t>Mindata Holding</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
        </w:rPr>
        <w:t>Co.,Ltd</w:t>
      </w:r>
      <w:r>
        <w:rPr>
          <w:spacing w:val="-3"/>
        </w:rPr>
        <w:t>、控股孙公司实</w:t>
      </w:r>
      <w:r>
        <w:rPr/>
        <w:t> </w:t>
      </w:r>
      <w:r>
        <w:rPr>
          <w:spacing w:val="-2"/>
        </w:rPr>
        <w:t>益达技术（香港）有限公司和实益达智能（香港）有限公司，增资控股北京麦达（原北京微联达网络技术有限公司），将以</w:t>
      </w:r>
      <w:r>
        <w:rPr>
          <w:spacing w:val="-65"/>
        </w:rPr>
        <w:t> </w:t>
      </w:r>
      <w:r>
        <w:rPr>
          <w:spacing w:val="-65"/>
        </w:rPr>
      </w:r>
      <w:r>
        <w:rPr/>
        <w:t>上公司纳入合并报表。</w:t>
      </w:r>
    </w:p>
    <w:p>
      <w:pPr>
        <w:pStyle w:val="BodyText"/>
        <w:spacing w:line="240" w:lineRule="auto" w:before="35"/>
        <w:ind w:left="657" w:right="153"/>
        <w:jc w:val="left"/>
      </w:pPr>
      <w:r>
        <w:rPr/>
        <w:t>报告期内注销深圳市哇塞宝贝网络科技有限公司和深圳市昇泰物业有限公司，期末不再纳入合并报表范围。</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2"/>
        <w:spacing w:line="240" w:lineRule="auto"/>
        <w:ind w:right="0"/>
        <w:jc w:val="both"/>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张兴、吴金娥</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hAnsi="宋体" w:cs="宋体" w:eastAsia="宋体" w:hint="default"/>
                <w:sz w:val="18"/>
                <w:szCs w:val="18"/>
              </w:rPr>
              <w:t>张兴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年，吴金娥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49"/>
        <w:ind w:right="153"/>
        <w:jc w:val="left"/>
      </w:pPr>
      <w:r>
        <w:rPr/>
        <w:t>当期是否改聘会计师事务所</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40" w:lineRule="auto" w:before="44"/>
        <w:ind w:right="53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39"/>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十一、破产重整相关事项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7"/>
        <w:rPr>
          <w:rFonts w:ascii="宋体" w:hAnsi="宋体" w:cs="宋体" w:eastAsia="宋体" w:hint="default"/>
          <w:sz w:val="19"/>
          <w:szCs w:val="19"/>
        </w:rPr>
      </w:pPr>
    </w:p>
    <w:p>
      <w:pPr>
        <w:pStyle w:val="Heading2"/>
        <w:spacing w:line="240" w:lineRule="auto"/>
        <w:ind w:right="0"/>
        <w:jc w:val="both"/>
        <w:rPr>
          <w:b w:val="0"/>
          <w:bCs w:val="0"/>
        </w:rPr>
      </w:pPr>
      <w:r>
        <w:rPr/>
        <w:t>十二、重大诉讼、仲裁事项</w:t>
      </w:r>
      <w:r>
        <w:rPr>
          <w:b w:val="0"/>
          <w:bCs w:val="0"/>
        </w:rPr>
      </w:r>
    </w:p>
    <w:p>
      <w:pPr>
        <w:spacing w:line="240" w:lineRule="auto" w:before="2"/>
        <w:rPr>
          <w:rFonts w:ascii="宋体" w:hAnsi="宋体" w:cs="宋体" w:eastAsia="宋体" w:hint="default"/>
          <w:b/>
          <w:bCs/>
          <w:sz w:val="34"/>
          <w:szCs w:val="34"/>
        </w:rPr>
      </w:pPr>
    </w:p>
    <w:p>
      <w:pPr>
        <w:pStyle w:val="BodyText"/>
        <w:spacing w:line="240" w:lineRule="auto"/>
        <w:ind w:left="513" w:right="0"/>
        <w:jc w:val="left"/>
      </w:pPr>
      <w:r>
        <w:rPr/>
        <w:t>因客户</w:t>
      </w:r>
      <w:r>
        <w:rPr>
          <w:spacing w:val="-59"/>
        </w:rPr>
        <w:t> </w:t>
      </w:r>
      <w:r>
        <w:rPr>
          <w:rFonts w:ascii="Times New Roman" w:hAnsi="Times New Roman" w:cs="Times New Roman" w:eastAsia="Times New Roman" w:hint="default"/>
          <w:spacing w:val="2"/>
          <w:w w:val="99"/>
        </w:rPr>
        <w:t>P</w:t>
      </w:r>
      <w:r>
        <w:rPr>
          <w:rFonts w:ascii="Times New Roman" w:hAnsi="Times New Roman" w:cs="Times New Roman" w:eastAsia="Times New Roman" w:hint="default"/>
        </w:rPr>
        <w:t>ERC</w:t>
      </w:r>
      <w:r>
        <w:rPr>
          <w:rFonts w:ascii="Times New Roman" w:hAnsi="Times New Roman" w:cs="Times New Roman" w:eastAsia="Times New Roman" w:hint="default"/>
          <w:spacing w:val="-2"/>
        </w:rPr>
        <w:t>E</w:t>
      </w:r>
      <w:r>
        <w:rPr>
          <w:rFonts w:ascii="Times New Roman" w:hAnsi="Times New Roman" w:cs="Times New Roman" w:eastAsia="Times New Roman" w:hint="default"/>
          <w:spacing w:val="2"/>
          <w:w w:val="99"/>
        </w:rPr>
        <w:t>P</w:t>
      </w:r>
      <w:r>
        <w:rPr>
          <w:rFonts w:ascii="Times New Roman" w:hAnsi="Times New Roman" w:cs="Times New Roman" w:eastAsia="Times New Roman" w:hint="default"/>
          <w:spacing w:val="-2"/>
        </w:rPr>
        <w:t>T</w:t>
      </w:r>
      <w:r>
        <w:rPr>
          <w:rFonts w:ascii="Times New Roman" w:hAnsi="Times New Roman" w:cs="Times New Roman" w:eastAsia="Times New Roman" w:hint="default"/>
          <w:w w:val="99"/>
        </w:rPr>
        <w:t>ION</w:t>
      </w:r>
      <w:r>
        <w:rPr>
          <w:rFonts w:ascii="Times New Roman" w:hAnsi="Times New Roman" w:cs="Times New Roman" w:eastAsia="Times New Roman" w:hint="default"/>
          <w:spacing w:val="-1"/>
        </w:rPr>
        <w:t> </w:t>
      </w:r>
      <w:r>
        <w:rPr>
          <w:rFonts w:ascii="Times New Roman" w:hAnsi="Times New Roman" w:cs="Times New Roman" w:eastAsia="Times New Roman" w:hint="default"/>
          <w:w w:val="99"/>
        </w:rPr>
        <w:t>DI</w:t>
      </w:r>
      <w:r>
        <w:rPr>
          <w:rFonts w:ascii="Times New Roman" w:hAnsi="Times New Roman" w:cs="Times New Roman" w:eastAsia="Times New Roman" w:hint="default"/>
          <w:spacing w:val="-4"/>
          <w:w w:val="99"/>
        </w:rPr>
        <w:t>G</w:t>
      </w:r>
      <w:r>
        <w:rPr>
          <w:rFonts w:ascii="Times New Roman" w:hAnsi="Times New Roman" w:cs="Times New Roman" w:eastAsia="Times New Roman" w:hint="default"/>
          <w:w w:val="99"/>
        </w:rPr>
        <w:t>I</w:t>
      </w:r>
      <w:r>
        <w:rPr>
          <w:rFonts w:ascii="Times New Roman" w:hAnsi="Times New Roman" w:cs="Times New Roman" w:eastAsia="Times New Roman" w:hint="default"/>
          <w:spacing w:val="-14"/>
          <w:w w:val="99"/>
        </w:rPr>
        <w:t>T</w:t>
      </w:r>
      <w:r>
        <w:rPr>
          <w:rFonts w:ascii="Times New Roman" w:hAnsi="Times New Roman" w:cs="Times New Roman" w:eastAsia="Times New Roman" w:hint="default"/>
          <w:w w:val="99"/>
        </w:rPr>
        <w:t>AL</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2"/>
        </w:rPr>
        <w:t>L</w:t>
      </w:r>
      <w:r>
        <w:rPr>
          <w:rFonts w:ascii="Times New Roman" w:hAnsi="Times New Roman" w:cs="Times New Roman" w:eastAsia="Times New Roman" w:hint="default"/>
          <w:w w:val="99"/>
        </w:rPr>
        <w:t>IM</w:t>
      </w:r>
      <w:r>
        <w:rPr>
          <w:rFonts w:ascii="Times New Roman" w:hAnsi="Times New Roman" w:cs="Times New Roman" w:eastAsia="Times New Roman" w:hint="default"/>
          <w:w w:val="99"/>
        </w:rPr>
        <w:t>I</w:t>
      </w:r>
      <w:r>
        <w:rPr>
          <w:rFonts w:ascii="Times New Roman" w:hAnsi="Times New Roman" w:cs="Times New Roman" w:eastAsia="Times New Roman" w:hint="default"/>
          <w:spacing w:val="-2"/>
          <w:w w:val="99"/>
        </w:rPr>
        <w:t>T</w:t>
      </w:r>
      <w:r>
        <w:rPr>
          <w:rFonts w:ascii="Times New Roman" w:hAnsi="Times New Roman" w:cs="Times New Roman" w:eastAsia="Times New Roman" w:hint="default"/>
          <w:w w:val="99"/>
        </w:rPr>
        <w:t>ED/</w:t>
      </w:r>
      <w:r>
        <w:rPr>
          <w:rFonts w:ascii="Times New Roman" w:hAnsi="Times New Roman" w:cs="Times New Roman" w:eastAsia="Times New Roman" w:hint="default"/>
          <w:spacing w:val="3"/>
          <w:w w:val="99"/>
        </w:rPr>
        <w:t>P</w:t>
      </w:r>
      <w:r>
        <w:rPr>
          <w:rFonts w:ascii="Times New Roman" w:hAnsi="Times New Roman" w:cs="Times New Roman" w:eastAsia="Times New Roman" w:hint="default"/>
          <w:w w:val="99"/>
        </w:rPr>
        <w:t>D</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2"/>
        </w:rPr>
        <w:t>T</w:t>
      </w:r>
      <w:r>
        <w:rPr>
          <w:rFonts w:ascii="Times New Roman" w:hAnsi="Times New Roman" w:cs="Times New Roman" w:eastAsia="Times New Roman" w:hint="default"/>
          <w:w w:val="99"/>
        </w:rPr>
        <w:t>R</w:t>
      </w:r>
      <w:r>
        <w:rPr>
          <w:rFonts w:ascii="Times New Roman" w:hAnsi="Times New Roman" w:cs="Times New Roman" w:eastAsia="Times New Roman" w:hint="default"/>
          <w:spacing w:val="-3"/>
          <w:w w:val="99"/>
        </w:rPr>
        <w:t>A</w:t>
      </w:r>
      <w:r>
        <w:rPr>
          <w:rFonts w:ascii="Times New Roman" w:hAnsi="Times New Roman" w:cs="Times New Roman" w:eastAsia="Times New Roman" w:hint="default"/>
          <w:w w:val="99"/>
        </w:rPr>
        <w:t>DI</w:t>
      </w:r>
      <w:r>
        <w:rPr>
          <w:rFonts w:ascii="Times New Roman" w:hAnsi="Times New Roman" w:cs="Times New Roman" w:eastAsia="Times New Roman" w:hint="default"/>
          <w:spacing w:val="1"/>
          <w:w w:val="99"/>
        </w:rPr>
        <w:t>N</w:t>
      </w:r>
      <w:r>
        <w:rPr>
          <w:rFonts w:ascii="Times New Roman" w:hAnsi="Times New Roman" w:cs="Times New Roman" w:eastAsia="Times New Roman" w:hint="default"/>
          <w:w w:val="99"/>
        </w:rPr>
        <w:t>G</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2"/>
        </w:rPr>
        <w:t>(</w:t>
      </w:r>
      <w:r>
        <w:rPr>
          <w:rFonts w:ascii="Times New Roman" w:hAnsi="Times New Roman" w:cs="Times New Roman" w:eastAsia="Times New Roman" w:hint="default"/>
          <w:w w:val="99"/>
        </w:rPr>
        <w:t>H</w:t>
      </w:r>
      <w:r>
        <w:rPr>
          <w:rFonts w:ascii="Times New Roman" w:hAnsi="Times New Roman" w:cs="Times New Roman" w:eastAsia="Times New Roman" w:hint="default"/>
          <w:spacing w:val="1"/>
          <w:w w:val="99"/>
        </w:rPr>
        <w:t>ON</w:t>
      </w:r>
      <w:r>
        <w:rPr>
          <w:rFonts w:ascii="Times New Roman" w:hAnsi="Times New Roman" w:cs="Times New Roman" w:eastAsia="Times New Roman" w:hint="default"/>
          <w:w w:val="99"/>
        </w:rPr>
        <w:t>G</w:t>
      </w:r>
      <w:r>
        <w:rPr>
          <w:rFonts w:ascii="Times New Roman" w:hAnsi="Times New Roman" w:cs="Times New Roman" w:eastAsia="Times New Roman" w:hint="default"/>
          <w:spacing w:val="-3"/>
        </w:rPr>
        <w:t> </w:t>
      </w:r>
      <w:r>
        <w:rPr>
          <w:rFonts w:ascii="Times New Roman" w:hAnsi="Times New Roman" w:cs="Times New Roman" w:eastAsia="Times New Roman" w:hint="default"/>
          <w:w w:val="99"/>
        </w:rPr>
        <w:t>K</w:t>
      </w:r>
      <w:r>
        <w:rPr>
          <w:rFonts w:ascii="Times New Roman" w:hAnsi="Times New Roman" w:cs="Times New Roman" w:eastAsia="Times New Roman" w:hint="default"/>
          <w:spacing w:val="-1"/>
          <w:w w:val="99"/>
        </w:rPr>
        <w:t>O</w:t>
      </w:r>
      <w:r>
        <w:rPr>
          <w:rFonts w:ascii="Times New Roman" w:hAnsi="Times New Roman" w:cs="Times New Roman" w:eastAsia="Times New Roman" w:hint="default"/>
          <w:spacing w:val="1"/>
          <w:w w:val="99"/>
        </w:rPr>
        <w:t>N</w:t>
      </w:r>
      <w:r>
        <w:rPr>
          <w:rFonts w:ascii="Times New Roman" w:hAnsi="Times New Roman" w:cs="Times New Roman" w:eastAsia="Times New Roman" w:hint="default"/>
          <w:w w:val="99"/>
        </w:rPr>
        <w:t>G)</w:t>
      </w:r>
      <w:r>
        <w:rPr>
          <w:rFonts w:ascii="Times New Roman" w:hAnsi="Times New Roman" w:cs="Times New Roman" w:eastAsia="Times New Roman" w:hint="default"/>
        </w:rPr>
        <w:t> </w:t>
      </w:r>
      <w:r>
        <w:rPr>
          <w:rFonts w:ascii="Times New Roman" w:hAnsi="Times New Roman" w:cs="Times New Roman" w:eastAsia="Times New Roman" w:hint="default"/>
          <w:spacing w:val="-2"/>
        </w:rPr>
        <w:t>L</w:t>
      </w:r>
      <w:r>
        <w:rPr>
          <w:rFonts w:ascii="Times New Roman" w:hAnsi="Times New Roman" w:cs="Times New Roman" w:eastAsia="Times New Roman" w:hint="default"/>
          <w:w w:val="99"/>
        </w:rPr>
        <w:t>IM</w:t>
      </w:r>
      <w:r>
        <w:rPr>
          <w:rFonts w:ascii="Times New Roman" w:hAnsi="Times New Roman" w:cs="Times New Roman" w:eastAsia="Times New Roman" w:hint="default"/>
          <w:spacing w:val="2"/>
          <w:w w:val="99"/>
        </w:rPr>
        <w:t>I</w:t>
      </w:r>
      <w:r>
        <w:rPr>
          <w:rFonts w:ascii="Times New Roman" w:hAnsi="Times New Roman" w:cs="Times New Roman" w:eastAsia="Times New Roman" w:hint="default"/>
          <w:spacing w:val="-2"/>
          <w:w w:val="99"/>
        </w:rPr>
        <w:t>T</w:t>
      </w:r>
      <w:r>
        <w:rPr>
          <w:rFonts w:ascii="Times New Roman" w:hAnsi="Times New Roman" w:cs="Times New Roman" w:eastAsia="Times New Roman" w:hint="default"/>
          <w:w w:val="99"/>
        </w:rPr>
        <w:t>ED</w:t>
      </w:r>
      <w:r>
        <w:rPr>
          <w:rFonts w:ascii="Times New Roman" w:hAnsi="Times New Roman" w:cs="Times New Roman" w:eastAsia="Times New Roman" w:hint="default"/>
          <w:spacing w:val="-13"/>
          <w:w w:val="99"/>
        </w:rPr>
        <w:t> </w:t>
      </w:r>
      <w:r>
        <w:rPr>
          <w:w w:val="99"/>
        </w:rPr>
        <w:t>逾期支</w:t>
      </w:r>
      <w:r>
        <w:rPr>
          <w:spacing w:val="2"/>
          <w:w w:val="99"/>
        </w:rPr>
        <w:t>付</w:t>
      </w:r>
      <w:r>
        <w:rPr>
          <w:w w:val="99"/>
        </w:rPr>
        <w:t>货款</w:t>
      </w:r>
      <w:r>
        <w:rPr>
          <w:spacing w:val="-92"/>
          <w:w w:val="99"/>
        </w:rPr>
        <w:t>，</w:t>
      </w:r>
      <w:r>
        <w:rPr>
          <w:w w:val="99"/>
        </w:rPr>
        <w:t>经公司多次索要无果，</w:t>
      </w:r>
      <w:r>
        <w:rPr/>
      </w:r>
    </w:p>
    <w:p>
      <w:pPr>
        <w:pStyle w:val="BodyText"/>
        <w:spacing w:line="386" w:lineRule="auto" w:before="149"/>
        <w:ind w:right="191"/>
        <w:jc w:val="both"/>
      </w:pPr>
      <w:r>
        <w:rPr/>
        <w:t>公司于</w:t>
      </w:r>
      <w:r>
        <w:rPr>
          <w:spacing w:val="-42"/>
        </w:rPr>
        <w:t> </w:t>
      </w:r>
      <w:r>
        <w:rPr>
          <w:rFonts w:ascii="Times New Roman" w:hAnsi="Times New Roman" w:cs="Times New Roman" w:eastAsia="Times New Roman" w:hint="default"/>
        </w:rPr>
        <w:t>2013 </w:t>
      </w:r>
      <w:r>
        <w:rPr/>
        <w:t>年</w:t>
      </w:r>
      <w:r>
        <w:rPr>
          <w:spacing w:val="-4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43"/>
        </w:rPr>
        <w:t> </w:t>
      </w:r>
      <w:r>
        <w:rPr>
          <w:rFonts w:ascii="Times New Roman" w:hAnsi="Times New Roman" w:cs="Times New Roman" w:eastAsia="Times New Roman" w:hint="default"/>
          <w:spacing w:val="-1"/>
        </w:rPr>
        <w:t>14</w:t>
      </w:r>
      <w:r>
        <w:rPr>
          <w:rFonts w:ascii="Times New Roman" w:hAnsi="Times New Roman" w:cs="Times New Roman" w:eastAsia="Times New Roman" w:hint="default"/>
          <w:spacing w:val="3"/>
        </w:rPr>
        <w:t> </w:t>
      </w:r>
      <w:r>
        <w:rPr>
          <w:spacing w:val="-9"/>
        </w:rPr>
        <w:t>日向香港高等法院提交《申索陈述书》，并于</w:t>
      </w:r>
      <w:r>
        <w:rPr>
          <w:spacing w:val="-4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spacing w:val="-1"/>
        </w:rPr>
        <w:t>30</w:t>
      </w:r>
      <w:r>
        <w:rPr>
          <w:rFonts w:ascii="Times New Roman" w:hAnsi="Times New Roman" w:cs="Times New Roman" w:eastAsia="Times New Roman" w:hint="default"/>
          <w:spacing w:val="3"/>
        </w:rPr>
        <w:t> </w:t>
      </w:r>
      <w:r>
        <w:rPr>
          <w:spacing w:val="-1"/>
        </w:rPr>
        <w:t>日正式向香港高等法院提交简易程序申</w:t>
      </w:r>
      <w:r>
        <w:rPr/>
        <w:t> 请，索偿货款及业务往来过程中的各项款项合计</w:t>
      </w:r>
      <w:r>
        <w:rPr>
          <w:spacing w:val="-51"/>
        </w:rPr>
        <w:t> </w:t>
      </w:r>
      <w:r>
        <w:rPr>
          <w:rFonts w:ascii="Times New Roman" w:hAnsi="Times New Roman" w:cs="Times New Roman" w:eastAsia="Times New Roman" w:hint="default"/>
        </w:rPr>
        <w:t>USD292.31</w:t>
      </w:r>
      <w:r>
        <w:rPr>
          <w:rFonts w:ascii="Times New Roman" w:hAnsi="Times New Roman" w:cs="Times New Roman" w:eastAsia="Times New Roman" w:hint="default"/>
          <w:spacing w:val="-7"/>
        </w:rPr>
        <w:t> </w:t>
      </w:r>
      <w:r>
        <w:rPr>
          <w:spacing w:val="-6"/>
        </w:rPr>
        <w:t>万元，</w:t>
      </w:r>
      <w:r>
        <w:rPr>
          <w:rFonts w:ascii="Times New Roman" w:hAnsi="Times New Roman" w:cs="Times New Roman" w:eastAsia="Times New Roman" w:hint="default"/>
          <w:spacing w:val="-6"/>
        </w:rPr>
        <w:t>2015</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16</w:t>
      </w:r>
      <w:r>
        <w:rPr>
          <w:rFonts w:ascii="Times New Roman" w:hAnsi="Times New Roman" w:cs="Times New Roman" w:eastAsia="Times New Roman" w:hint="default"/>
          <w:spacing w:val="-6"/>
        </w:rPr>
        <w:t> </w:t>
      </w:r>
      <w:r>
        <w:rPr/>
        <w:t>日公司收到香港高等法院不予进入简易程 序的裁定，截止报告期末，本案件尚在普通程序审理中。</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月，公司获悉客户已申请破产，公司已向客户的清盘人 申报债权。</w:t>
      </w:r>
    </w:p>
    <w:p>
      <w:pPr>
        <w:spacing w:line="240" w:lineRule="auto" w:before="12"/>
        <w:rPr>
          <w:rFonts w:ascii="宋体" w:hAnsi="宋体" w:cs="宋体" w:eastAsia="宋体" w:hint="default"/>
          <w:sz w:val="15"/>
          <w:szCs w:val="15"/>
        </w:rPr>
      </w:pPr>
    </w:p>
    <w:p>
      <w:pPr>
        <w:pStyle w:val="Heading2"/>
        <w:spacing w:line="240" w:lineRule="auto"/>
        <w:ind w:right="0"/>
        <w:jc w:val="both"/>
        <w:rPr>
          <w:b w:val="0"/>
          <w:bCs w:val="0"/>
        </w:rPr>
      </w:pPr>
      <w:r>
        <w:rPr/>
        <w:t>十三、处罚及整改情况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9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63"/>
        <w:ind w:left="513" w:right="254"/>
        <w:jc w:val="left"/>
      </w:pPr>
      <w:r>
        <w:rPr>
          <w:rFonts w:ascii="Times New Roman" w:hAnsi="Times New Roman" w:cs="Times New Roman" w:eastAsia="Times New Roman" w:hint="default"/>
        </w:rPr>
        <w:t>1</w:t>
      </w:r>
      <w:r>
        <w:rPr/>
        <w:t>、股权激励计划事宜</w:t>
      </w:r>
    </w:p>
    <w:p>
      <w:pPr>
        <w:pStyle w:val="BodyText"/>
        <w:spacing w:line="240" w:lineRule="auto" w:before="101"/>
        <w:ind w:left="369" w:right="254"/>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年度股权激励计划的限制性股票及股票期权回购注销：</w:t>
      </w:r>
    </w:p>
    <w:p>
      <w:pPr>
        <w:pStyle w:val="BodyText"/>
        <w:spacing w:line="343" w:lineRule="auto" w:before="101"/>
        <w:ind w:right="192" w:firstLine="360"/>
        <w:jc w:val="both"/>
      </w:pP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24</w:t>
      </w:r>
      <w:r>
        <w:rPr>
          <w:spacing w:val="-2"/>
        </w:rPr>
        <w:t>日召开第四届董事会第三十四次会议，审议通过了《关于回购注销已离职激励对象的限制性股票</w:t>
      </w:r>
      <w:r>
        <w:rPr/>
        <w:t> </w:t>
      </w:r>
      <w:r>
        <w:rPr>
          <w:spacing w:val="-2"/>
        </w:rPr>
        <w:t>的议案》，同意公司将因离职而不再符合激励条件的原限制性股票激励对象赵作荣先生已获授但尚未解锁的全部限制性股票</w:t>
      </w:r>
      <w:r>
        <w:rPr>
          <w:spacing w:val="-64"/>
        </w:rPr>
        <w:t> </w:t>
      </w:r>
      <w:r>
        <w:rPr>
          <w:spacing w:val="-64"/>
        </w:rPr>
      </w:r>
      <w:r>
        <w:rPr/>
        <w:t>合计</w:t>
      </w:r>
      <w:r>
        <w:rPr>
          <w:rFonts w:ascii="Times New Roman" w:hAnsi="Times New Roman" w:cs="Times New Roman" w:eastAsia="Times New Roman" w:hint="default"/>
        </w:rPr>
        <w:t>6</w:t>
      </w:r>
      <w:r>
        <w:rPr/>
        <w:t>万股进行回购注销，回购价格为</w:t>
      </w:r>
      <w:r>
        <w:rPr>
          <w:rFonts w:ascii="Times New Roman" w:hAnsi="Times New Roman" w:cs="Times New Roman" w:eastAsia="Times New Roman" w:hint="default"/>
        </w:rPr>
        <w:t>2</w:t>
      </w:r>
      <w:r>
        <w:rPr/>
        <w:t>元</w:t>
      </w:r>
      <w:r>
        <w:rPr>
          <w:rFonts w:ascii="Times New Roman" w:hAnsi="Times New Roman" w:cs="Times New Roman" w:eastAsia="Times New Roman" w:hint="default"/>
        </w:rPr>
        <w:t>/</w:t>
      </w:r>
      <w:r>
        <w:rPr/>
        <w:t>股。截至报告期末，本次回购注销已完成，公司总股本由</w:t>
      </w:r>
      <w:r>
        <w:rPr>
          <w:rFonts w:ascii="Times New Roman" w:hAnsi="Times New Roman" w:cs="Times New Roman" w:eastAsia="Times New Roman" w:hint="default"/>
        </w:rPr>
        <w:t>57,638.2117</w:t>
      </w:r>
      <w:r>
        <w:rPr/>
        <w:t>万股减少为 </w:t>
      </w:r>
      <w:r>
        <w:rPr>
          <w:rFonts w:ascii="Times New Roman" w:hAnsi="Times New Roman" w:cs="Times New Roman" w:eastAsia="Times New Roman" w:hint="default"/>
        </w:rPr>
        <w:t>57,632.2117</w:t>
      </w:r>
      <w:r>
        <w:rPr/>
        <w:t>万股，注册资本也相应由</w:t>
      </w:r>
      <w:r>
        <w:rPr>
          <w:rFonts w:ascii="Times New Roman" w:hAnsi="Times New Roman" w:cs="Times New Roman" w:eastAsia="Times New Roman" w:hint="default"/>
        </w:rPr>
        <w:t>57,638.2117</w:t>
      </w:r>
      <w:r>
        <w:rPr/>
        <w:t>万元减少为</w:t>
      </w:r>
      <w:r>
        <w:rPr>
          <w:rFonts w:ascii="Times New Roman" w:hAnsi="Times New Roman" w:cs="Times New Roman" w:eastAsia="Times New Roman" w:hint="default"/>
        </w:rPr>
        <w:t>57,632.2117</w:t>
      </w:r>
      <w:r>
        <w:rPr/>
        <w:t>万元。</w:t>
      </w:r>
    </w:p>
    <w:p>
      <w:pPr>
        <w:pStyle w:val="BodyText"/>
        <w:spacing w:line="338" w:lineRule="auto" w:before="15"/>
        <w:ind w:right="189" w:firstLine="360"/>
        <w:jc w:val="both"/>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日召开第四届董事会第三十五次会议，审议通过了《关于注销</w:t>
      </w:r>
      <w:r>
        <w:rPr>
          <w:rFonts w:ascii="Times New Roman" w:hAnsi="Times New Roman" w:cs="Times New Roman" w:eastAsia="Times New Roman" w:hint="default"/>
        </w:rPr>
        <w:t>/</w:t>
      </w:r>
      <w:r>
        <w:rPr/>
        <w:t>回购注销未达行权</w:t>
      </w:r>
      <w:r>
        <w:rPr>
          <w:rFonts w:ascii="Times New Roman" w:hAnsi="Times New Roman" w:cs="Times New Roman" w:eastAsia="Times New Roman" w:hint="default"/>
        </w:rPr>
        <w:t>/</w:t>
      </w:r>
      <w:r>
        <w:rPr/>
        <w:t>解锁条件的股 票期权和限制性股票的议案》，因公司股权激励计划首次授予部分的第三个行权</w:t>
      </w:r>
      <w:r>
        <w:rPr>
          <w:rFonts w:ascii="Times New Roman" w:hAnsi="Times New Roman" w:cs="Times New Roman" w:eastAsia="Times New Roman" w:hint="default"/>
        </w:rPr>
        <w:t>/</w:t>
      </w:r>
      <w:r>
        <w:rPr/>
        <w:t>解锁期未达到行权</w:t>
      </w:r>
      <w:r>
        <w:rPr>
          <w:rFonts w:ascii="Times New Roman" w:hAnsi="Times New Roman" w:cs="Times New Roman" w:eastAsia="Times New Roman" w:hint="default"/>
        </w:rPr>
        <w:t>/</w:t>
      </w:r>
      <w:r>
        <w:rPr/>
        <w:t>解锁条件，公司决定注 销激励对象所持有的未达到行权条件的股票期权</w:t>
      </w:r>
      <w:r>
        <w:rPr>
          <w:rFonts w:ascii="Times New Roman" w:hAnsi="Times New Roman" w:cs="Times New Roman" w:eastAsia="Times New Roman" w:hint="default"/>
        </w:rPr>
        <w:t>49.2</w:t>
      </w:r>
      <w:r>
        <w:rPr/>
        <w:t>万份，并回购注销激励对象持有的未达到解锁条件的限制性股票</w:t>
      </w:r>
      <w:r>
        <w:rPr>
          <w:rFonts w:ascii="Times New Roman" w:hAnsi="Times New Roman" w:cs="Times New Roman" w:eastAsia="Times New Roman" w:hint="default"/>
        </w:rPr>
        <w:t>53.2</w:t>
      </w:r>
      <w:r>
        <w:rPr/>
        <w:t>万</w:t>
      </w:r>
    </w:p>
    <w:p>
      <w:pPr>
        <w:spacing w:after="0" w:line="338" w:lineRule="auto"/>
        <w:jc w:val="both"/>
        <w:sectPr>
          <w:pgSz w:w="11910" w:h="16840"/>
          <w:pgMar w:header="745" w:footer="980" w:top="1060" w:bottom="1160" w:left="980" w:right="940"/>
        </w:sectPr>
      </w:pPr>
    </w:p>
    <w:p>
      <w:pPr>
        <w:spacing w:line="240" w:lineRule="auto" w:before="8"/>
        <w:rPr>
          <w:rFonts w:ascii="宋体" w:hAnsi="宋体" w:cs="宋体" w:eastAsia="宋体" w:hint="default"/>
          <w:sz w:val="22"/>
          <w:szCs w:val="22"/>
        </w:rPr>
      </w:pPr>
    </w:p>
    <w:p>
      <w:pPr>
        <w:pStyle w:val="BodyText"/>
        <w:spacing w:line="348" w:lineRule="auto" w:before="44"/>
        <w:ind w:right="188"/>
        <w:jc w:val="both"/>
      </w:pPr>
      <w:r>
        <w:rPr>
          <w:spacing w:val="-2"/>
        </w:rPr>
        <w:t>股；因公司股权激励计划预留授予部分的第二个解锁期未达到解锁条件，公司决定回购注销激励对象持有的未达到解锁条件</w:t>
      </w:r>
      <w:r>
        <w:rPr>
          <w:spacing w:val="-64"/>
        </w:rPr>
        <w:t> </w:t>
      </w:r>
      <w:r>
        <w:rPr>
          <w:spacing w:val="-64"/>
        </w:rPr>
      </w:r>
      <w:r>
        <w:rPr>
          <w:spacing w:val="-2"/>
        </w:rPr>
        <w:t>的限制性股票</w:t>
      </w:r>
      <w:r>
        <w:rPr>
          <w:rFonts w:ascii="Times New Roman" w:hAnsi="Times New Roman" w:cs="Times New Roman" w:eastAsia="Times New Roman" w:hint="default"/>
          <w:spacing w:val="-2"/>
        </w:rPr>
        <w:t>5000</w:t>
      </w:r>
      <w:r>
        <w:rPr>
          <w:spacing w:val="-2"/>
        </w:rPr>
        <w:t>股。截至报告期末，本次回购注销已完成，公司总股本由</w:t>
      </w:r>
      <w:r>
        <w:rPr>
          <w:rFonts w:ascii="Times New Roman" w:hAnsi="Times New Roman" w:cs="Times New Roman" w:eastAsia="Times New Roman" w:hint="default"/>
          <w:spacing w:val="-2"/>
        </w:rPr>
        <w:t>57,632.2117</w:t>
      </w:r>
      <w:r>
        <w:rPr>
          <w:spacing w:val="-2"/>
        </w:rPr>
        <w:t>万股减少至</w:t>
      </w:r>
      <w:r>
        <w:rPr>
          <w:rFonts w:ascii="Times New Roman" w:hAnsi="Times New Roman" w:cs="Times New Roman" w:eastAsia="Times New Roman" w:hint="default"/>
          <w:spacing w:val="-2"/>
        </w:rPr>
        <w:t>57,578.5117</w:t>
      </w:r>
      <w:r>
        <w:rPr>
          <w:spacing w:val="-2"/>
        </w:rPr>
        <w:t>万股，注册资</w:t>
      </w:r>
      <w:r>
        <w:rPr>
          <w:spacing w:val="-44"/>
        </w:rPr>
        <w:t> </w:t>
      </w:r>
      <w:r>
        <w:rPr>
          <w:spacing w:val="-44"/>
        </w:rPr>
      </w:r>
      <w:r>
        <w:rPr/>
        <w:t>本也相应由</w:t>
      </w:r>
      <w:r>
        <w:rPr>
          <w:rFonts w:ascii="Times New Roman" w:hAnsi="Times New Roman" w:cs="Times New Roman" w:eastAsia="Times New Roman" w:hint="default"/>
        </w:rPr>
        <w:t>57,632.2117</w:t>
      </w:r>
      <w:r>
        <w:rPr/>
        <w:t>万元减少为</w:t>
      </w:r>
      <w:r>
        <w:rPr>
          <w:rFonts w:ascii="Times New Roman" w:hAnsi="Times New Roman" w:cs="Times New Roman" w:eastAsia="Times New Roman" w:hint="default"/>
        </w:rPr>
        <w:t>57,578.5117</w:t>
      </w:r>
      <w:r>
        <w:rPr/>
        <w:t>万元。</w:t>
      </w:r>
    </w:p>
    <w:p>
      <w:pPr>
        <w:pStyle w:val="BodyText"/>
        <w:spacing w:line="240" w:lineRule="auto" w:before="11"/>
        <w:ind w:left="369" w:right="254"/>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年度限制性股票激励计划：</w:t>
      </w:r>
    </w:p>
    <w:p>
      <w:pPr>
        <w:pStyle w:val="BodyText"/>
        <w:spacing w:line="343" w:lineRule="auto" w:before="101"/>
        <w:ind w:right="94"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日，公司第四届董事会第三十七次会议审议通过了《关于公司</w:t>
      </w:r>
      <w:r>
        <w:rPr>
          <w:rFonts w:ascii="Times New Roman" w:hAnsi="Times New Roman" w:cs="Times New Roman" w:eastAsia="Times New Roman" w:hint="default"/>
        </w:rPr>
        <w:t>&lt;2017</w:t>
      </w:r>
      <w:r>
        <w:rPr/>
        <w:t>年度限制性股票激励计划（草案）</w:t>
      </w:r>
      <w:r>
        <w:rPr>
          <w:rFonts w:ascii="Times New Roman" w:hAnsi="Times New Roman" w:cs="Times New Roman" w:eastAsia="Times New Roman" w:hint="default"/>
        </w:rPr>
        <w:t>&gt; </w:t>
      </w:r>
      <w:r>
        <w:rPr/>
        <w:t>及其摘要的议案》等相关议案，公司此次股权激励计划激励对象以公司本部及子公司的中高级管理人员和核心技术（业务） </w:t>
      </w:r>
      <w:r>
        <w:rPr>
          <w:spacing w:val="-2"/>
        </w:rPr>
        <w:t>人员为主，同时考虑公司董事会认定需要激励的其他员工。本次股权激励计划的股份来源为定向增发，拟授予的限制性股票</w:t>
      </w:r>
      <w:r>
        <w:rPr>
          <w:spacing w:val="-63"/>
        </w:rPr>
        <w:t> </w:t>
      </w:r>
      <w:r>
        <w:rPr>
          <w:spacing w:val="-63"/>
        </w:rPr>
      </w:r>
      <w:r>
        <w:rPr/>
        <w:t>为</w:t>
      </w:r>
      <w:r>
        <w:rPr>
          <w:rFonts w:ascii="Times New Roman" w:hAnsi="Times New Roman" w:cs="Times New Roman" w:eastAsia="Times New Roman" w:hint="default"/>
        </w:rPr>
        <w:t>403.4674</w:t>
      </w:r>
      <w:r>
        <w:rPr/>
        <w:t>万股，占本激励计划草案公告时公司股本总额</w:t>
      </w:r>
      <w:r>
        <w:rPr>
          <w:rFonts w:ascii="Times New Roman" w:hAnsi="Times New Roman" w:cs="Times New Roman" w:eastAsia="Times New Roman" w:hint="default"/>
        </w:rPr>
        <w:t>57,638.2117</w:t>
      </w:r>
      <w:r>
        <w:rPr/>
        <w:t>万股的</w:t>
      </w:r>
      <w:r>
        <w:rPr>
          <w:rFonts w:ascii="Times New Roman" w:hAnsi="Times New Roman" w:cs="Times New Roman" w:eastAsia="Times New Roman" w:hint="default"/>
        </w:rPr>
        <w:t>0.7%</w:t>
      </w:r>
      <w:r>
        <w:rPr/>
        <w:t>。其中首次授予</w:t>
      </w:r>
      <w:r>
        <w:rPr>
          <w:rFonts w:ascii="Times New Roman" w:hAnsi="Times New Roman" w:cs="Times New Roman" w:eastAsia="Times New Roman" w:hint="default"/>
        </w:rPr>
        <w:t>363.1207</w:t>
      </w:r>
      <w:r>
        <w:rPr/>
        <w:t>万份，占本激励计 划草案公告时公司股本总额的</w:t>
      </w:r>
      <w:r>
        <w:rPr>
          <w:rFonts w:ascii="Times New Roman" w:hAnsi="Times New Roman" w:cs="Times New Roman" w:eastAsia="Times New Roman" w:hint="default"/>
        </w:rPr>
        <w:t>0.63%</w:t>
      </w:r>
      <w:r>
        <w:rPr/>
        <w:t>；预留</w:t>
      </w:r>
      <w:r>
        <w:rPr>
          <w:rFonts w:ascii="Times New Roman" w:hAnsi="Times New Roman" w:cs="Times New Roman" w:eastAsia="Times New Roman" w:hint="default"/>
        </w:rPr>
        <w:t>40.3467</w:t>
      </w:r>
      <w:r>
        <w:rPr/>
        <w:t>万份，占本激励计划草案公告时公司股本总额的</w:t>
      </w:r>
      <w:r>
        <w:rPr>
          <w:rFonts w:ascii="Times New Roman" w:hAnsi="Times New Roman" w:cs="Times New Roman" w:eastAsia="Times New Roman" w:hint="default"/>
        </w:rPr>
        <w:t>0.07%</w:t>
      </w:r>
      <w:r>
        <w:rPr/>
        <w:t>，预留部分占本次 授予权益总额的</w:t>
      </w:r>
      <w:r>
        <w:rPr>
          <w:rFonts w:ascii="Times New Roman" w:hAnsi="Times New Roman" w:cs="Times New Roman" w:eastAsia="Times New Roman" w:hint="default"/>
        </w:rPr>
        <w:t>10%</w:t>
      </w:r>
      <w:r>
        <w:rPr/>
        <w:t>。限制性股票首次授予价格为</w:t>
      </w:r>
      <w:r>
        <w:rPr>
          <w:rFonts w:ascii="Times New Roman" w:hAnsi="Times New Roman" w:cs="Times New Roman" w:eastAsia="Times New Roman" w:hint="default"/>
        </w:rPr>
        <w:t>5.45</w:t>
      </w:r>
      <w:r>
        <w:rPr/>
        <w:t>元</w:t>
      </w:r>
      <w:r>
        <w:rPr>
          <w:rFonts w:ascii="Times New Roman" w:hAnsi="Times New Roman" w:cs="Times New Roman" w:eastAsia="Times New Roman" w:hint="default"/>
        </w:rPr>
        <w:t>/</w:t>
      </w:r>
      <w:r>
        <w:rPr/>
        <w:t>股，预留限制性股票的授予价格在该部分限制性股票授予时由董事 会确定。</w:t>
      </w:r>
    </w:p>
    <w:p>
      <w:pPr>
        <w:pStyle w:val="BodyText"/>
        <w:spacing w:line="340" w:lineRule="auto" w:before="37"/>
        <w:ind w:right="94" w:firstLine="288"/>
        <w:jc w:val="left"/>
      </w:pPr>
      <w:r>
        <w:rPr/>
        <w:t>本激励计划有效期自限制性股票首次授予之日起至激励对象获授的限制性股票全部解除限售或回购注销之日止，最长不 </w:t>
      </w:r>
      <w:r>
        <w:rPr>
          <w:spacing w:val="-2"/>
        </w:rPr>
        <w:t>超过</w:t>
      </w:r>
      <w:r>
        <w:rPr>
          <w:rFonts w:ascii="Times New Roman" w:hAnsi="Times New Roman" w:cs="Times New Roman" w:eastAsia="Times New Roman" w:hint="default"/>
          <w:spacing w:val="-2"/>
        </w:rPr>
        <w:t>36</w:t>
      </w:r>
      <w:r>
        <w:rPr>
          <w:spacing w:val="-2"/>
        </w:rPr>
        <w:t>个月。本激励计划首次授予的限制性股票自授予日起满</w:t>
      </w:r>
      <w:r>
        <w:rPr>
          <w:rFonts w:ascii="Times New Roman" w:hAnsi="Times New Roman" w:cs="Times New Roman" w:eastAsia="Times New Roman" w:hint="default"/>
          <w:spacing w:val="-2"/>
        </w:rPr>
        <w:t>12</w:t>
      </w:r>
      <w:r>
        <w:rPr>
          <w:spacing w:val="-2"/>
        </w:rPr>
        <w:t>个月后，满足解除限售条件的，激励对象可以在未来</w:t>
      </w:r>
      <w:r>
        <w:rPr>
          <w:rFonts w:ascii="Times New Roman" w:hAnsi="Times New Roman" w:cs="Times New Roman" w:eastAsia="Times New Roman" w:hint="default"/>
          <w:spacing w:val="-2"/>
        </w:rPr>
        <w:t>36</w:t>
      </w:r>
      <w:r>
        <w:rPr>
          <w:spacing w:val="-2"/>
        </w:rPr>
        <w:t>个月</w:t>
      </w:r>
      <w:r>
        <w:rPr>
          <w:spacing w:val="-59"/>
        </w:rPr>
        <w:t> </w:t>
      </w:r>
      <w:r>
        <w:rPr>
          <w:spacing w:val="-2"/>
        </w:rPr>
        <w:t>内按</w:t>
      </w:r>
      <w:r>
        <w:rPr>
          <w:rFonts w:ascii="Times New Roman" w:hAnsi="Times New Roman" w:cs="Times New Roman" w:eastAsia="Times New Roman" w:hint="default"/>
          <w:spacing w:val="-2"/>
        </w:rPr>
        <w:t>50%</w:t>
      </w:r>
      <w:r>
        <w:rPr>
          <w:spacing w:val="-2"/>
        </w:rPr>
        <w:t>、</w:t>
      </w:r>
      <w:r>
        <w:rPr>
          <w:rFonts w:ascii="Times New Roman" w:hAnsi="Times New Roman" w:cs="Times New Roman" w:eastAsia="Times New Roman" w:hint="default"/>
          <w:spacing w:val="-2"/>
        </w:rPr>
        <w:t>50%</w:t>
      </w:r>
      <w:r>
        <w:rPr>
          <w:spacing w:val="-2"/>
        </w:rPr>
        <w:t>的比例分两期解除限售；预留的限制性股票自该部分授予日起满</w:t>
      </w:r>
      <w:r>
        <w:rPr>
          <w:rFonts w:ascii="Times New Roman" w:hAnsi="Times New Roman" w:cs="Times New Roman" w:eastAsia="Times New Roman" w:hint="default"/>
          <w:spacing w:val="-2"/>
        </w:rPr>
        <w:t>12</w:t>
      </w:r>
      <w:r>
        <w:rPr>
          <w:spacing w:val="-2"/>
        </w:rPr>
        <w:t>个月后，激励对象在解除限售期内按</w:t>
      </w:r>
      <w:r>
        <w:rPr>
          <w:rFonts w:ascii="Times New Roman" w:hAnsi="Times New Roman" w:cs="Times New Roman" w:eastAsia="Times New Roman" w:hint="default"/>
          <w:spacing w:val="-2"/>
        </w:rPr>
        <w:t>50%</w:t>
      </w:r>
      <w:r>
        <w:rPr>
          <w:spacing w:val="-2"/>
        </w:rPr>
        <w:t>、</w:t>
      </w:r>
      <w:r>
        <w:rPr>
          <w:spacing w:val="-57"/>
        </w:rPr>
        <w:t> </w:t>
      </w:r>
      <w:r>
        <w:rPr>
          <w:rFonts w:ascii="Times New Roman" w:hAnsi="Times New Roman" w:cs="Times New Roman" w:eastAsia="Times New Roman" w:hint="default"/>
        </w:rPr>
        <w:t>50%</w:t>
      </w:r>
      <w:r>
        <w:rPr/>
        <w:t>的比例分两期解除限售。详见公司于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日刊载于巨潮资讯网的《深圳市麦达数字股份有限公司</w:t>
      </w:r>
      <w:r>
        <w:rPr>
          <w:rFonts w:ascii="Times New Roman" w:hAnsi="Times New Roman" w:cs="Times New Roman" w:eastAsia="Times New Roman" w:hint="default"/>
        </w:rPr>
        <w:t>2017</w:t>
      </w:r>
      <w:r>
        <w:rPr/>
        <w:t>年度限制性 股票激励计划（草案）》及其摘要。</w:t>
      </w:r>
    </w:p>
    <w:p>
      <w:pPr>
        <w:pStyle w:val="BodyText"/>
        <w:spacing w:line="338" w:lineRule="auto" w:before="39"/>
        <w:ind w:right="194"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日，公司</w:t>
      </w:r>
      <w:r>
        <w:rPr>
          <w:rFonts w:ascii="Times New Roman" w:hAnsi="Times New Roman" w:cs="Times New Roman" w:eastAsia="Times New Roman" w:hint="default"/>
        </w:rPr>
        <w:t>2016</w:t>
      </w:r>
      <w:r>
        <w:rPr/>
        <w:t>年度股东大会审议通过了本次股权激励计划。详见公司于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日刊载于证券时报、 中国证券报和巨潮资讯网的《</w:t>
      </w:r>
      <w:r>
        <w:rPr>
          <w:rFonts w:ascii="Times New Roman" w:hAnsi="Times New Roman" w:cs="Times New Roman" w:eastAsia="Times New Roman" w:hint="default"/>
        </w:rPr>
        <w:t>2016</w:t>
      </w:r>
      <w:r>
        <w:rPr/>
        <w:t>年度股东大会决议公告》（公告编号：</w:t>
      </w:r>
      <w:r>
        <w:rPr>
          <w:rFonts w:ascii="Times New Roman" w:hAnsi="Times New Roman" w:cs="Times New Roman" w:eastAsia="Times New Roman" w:hint="default"/>
        </w:rPr>
        <w:t>2017-043</w:t>
      </w:r>
      <w:r>
        <w:rPr/>
        <w:t>）。</w:t>
      </w:r>
    </w:p>
    <w:p>
      <w:pPr>
        <w:pStyle w:val="BodyText"/>
        <w:spacing w:line="338" w:lineRule="auto" w:before="19"/>
        <w:ind w:right="191"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日，公司召开第四届董事会第三十九次会议，在股东大会授权权限范围内审议通过了《关于向</w:t>
      </w:r>
      <w:r>
        <w:rPr>
          <w:rFonts w:ascii="Times New Roman" w:hAnsi="Times New Roman" w:cs="Times New Roman" w:eastAsia="Times New Roman" w:hint="default"/>
        </w:rPr>
        <w:t>2017</w:t>
      </w:r>
      <w:r>
        <w:rPr/>
        <w:t>年度</w:t>
      </w:r>
      <w:r>
        <w:rPr>
          <w:spacing w:val="-3"/>
        </w:rPr>
        <w:t> </w:t>
      </w:r>
      <w:r>
        <w:rPr>
          <w:spacing w:val="-2"/>
        </w:rPr>
        <w:t>限制性股票激励计划激励对象授予限制性股票的议案》，董事会认为公司</w:t>
      </w:r>
      <w:r>
        <w:rPr>
          <w:rFonts w:ascii="Times New Roman" w:hAnsi="Times New Roman" w:cs="Times New Roman" w:eastAsia="Times New Roman" w:hint="default"/>
          <w:spacing w:val="-2"/>
        </w:rPr>
        <w:t>2017</w:t>
      </w:r>
      <w:r>
        <w:rPr>
          <w:spacing w:val="-2"/>
        </w:rPr>
        <w:t>年股权激励计划首次授予限制性股票的授予条</w:t>
      </w:r>
      <w:r>
        <w:rPr>
          <w:spacing w:val="-61"/>
        </w:rPr>
        <w:t> </w:t>
      </w:r>
      <w:r>
        <w:rPr>
          <w:spacing w:val="-61"/>
        </w:rPr>
      </w:r>
      <w:r>
        <w:rPr>
          <w:spacing w:val="-1"/>
        </w:rPr>
        <w:t>件已经成就，同意向</w:t>
      </w:r>
      <w:r>
        <w:rPr>
          <w:rFonts w:ascii="Times New Roman" w:hAnsi="Times New Roman" w:cs="Times New Roman" w:eastAsia="Times New Roman" w:hint="default"/>
          <w:spacing w:val="-1"/>
        </w:rPr>
        <w:t>44</w:t>
      </w:r>
      <w:r>
        <w:rPr>
          <w:spacing w:val="-1"/>
        </w:rPr>
        <w:t>名激励对象授予限制性股票</w:t>
      </w:r>
      <w:r>
        <w:rPr>
          <w:rFonts w:ascii="Times New Roman" w:hAnsi="Times New Roman" w:cs="Times New Roman" w:eastAsia="Times New Roman" w:hint="default"/>
          <w:spacing w:val="-1"/>
        </w:rPr>
        <w:t>363.1207</w:t>
      </w:r>
      <w:r>
        <w:rPr>
          <w:spacing w:val="-1"/>
        </w:rPr>
        <w:t>万股，授予价格为</w:t>
      </w:r>
      <w:r>
        <w:rPr>
          <w:rFonts w:ascii="Times New Roman" w:hAnsi="Times New Roman" w:cs="Times New Roman" w:eastAsia="Times New Roman" w:hint="default"/>
          <w:spacing w:val="-1"/>
        </w:rPr>
        <w:t>5.45</w:t>
      </w:r>
      <w:r>
        <w:rPr>
          <w:spacing w:val="-1"/>
        </w:rPr>
        <w:t>元</w:t>
      </w:r>
      <w:r>
        <w:rPr>
          <w:rFonts w:ascii="Times New Roman" w:hAnsi="Times New Roman" w:cs="Times New Roman" w:eastAsia="Times New Roman" w:hint="default"/>
          <w:spacing w:val="-1"/>
        </w:rPr>
        <w:t>/</w:t>
      </w:r>
      <w:r>
        <w:rPr>
          <w:spacing w:val="-1"/>
        </w:rPr>
        <w:t>股，授予日为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5</w:t>
      </w:r>
      <w:r>
        <w:rPr>
          <w:spacing w:val="-1"/>
        </w:rPr>
        <w:t>日。公司独立</w:t>
      </w:r>
      <w:r>
        <w:rPr>
          <w:spacing w:val="-78"/>
        </w:rPr>
        <w:t> </w:t>
      </w:r>
      <w:r>
        <w:rPr>
          <w:spacing w:val="-78"/>
        </w:rPr>
      </w:r>
      <w:r>
        <w:rPr>
          <w:spacing w:val="-2"/>
        </w:rPr>
        <w:t>董事及聘请的法律顾问均发表了意见。详见公司于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7</w:t>
      </w:r>
      <w:r>
        <w:rPr>
          <w:spacing w:val="-2"/>
        </w:rPr>
        <w:t>日刊载于证券时报、中国证券报和巨潮资讯网的《关于向</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年度限制性股票激励计划激励对象授予限制性股票的公告》（公告编号：</w:t>
      </w:r>
      <w:r>
        <w:rPr>
          <w:rFonts w:ascii="Times New Roman" w:hAnsi="Times New Roman" w:cs="Times New Roman" w:eastAsia="Times New Roman" w:hint="default"/>
        </w:rPr>
        <w:t>2017-047</w:t>
      </w:r>
      <w:r>
        <w:rPr/>
        <w:t>）。</w:t>
      </w:r>
    </w:p>
    <w:p>
      <w:pPr>
        <w:pStyle w:val="BodyText"/>
        <w:spacing w:line="336" w:lineRule="auto" w:before="20"/>
        <w:ind w:right="189" w:firstLine="360"/>
        <w:jc w:val="both"/>
      </w:pPr>
      <w:r>
        <w:rPr>
          <w:rFonts w:ascii="Times New Roman" w:hAnsi="Times New Roman" w:cs="Times New Roman" w:eastAsia="Times New Roman" w:hint="default"/>
          <w:spacing w:val="-1"/>
        </w:rPr>
        <w:t>4</w:t>
      </w:r>
      <w:r>
        <w:rPr>
          <w:spacing w:val="-1"/>
        </w:rPr>
        <w:t>）截至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15</w:t>
      </w:r>
      <w:r>
        <w:rPr>
          <w:spacing w:val="-1"/>
        </w:rPr>
        <w:t>日止，公司已收到股权激励对象共</w:t>
      </w:r>
      <w:r>
        <w:rPr>
          <w:rFonts w:ascii="Times New Roman" w:hAnsi="Times New Roman" w:cs="Times New Roman" w:eastAsia="Times New Roman" w:hint="default"/>
          <w:spacing w:val="-1"/>
        </w:rPr>
        <w:t>44</w:t>
      </w:r>
      <w:r>
        <w:rPr>
          <w:spacing w:val="-1"/>
        </w:rPr>
        <w:t>人缴纳的股权激励增资款合计人民币</w:t>
      </w:r>
      <w:r>
        <w:rPr>
          <w:rFonts w:ascii="Times New Roman" w:hAnsi="Times New Roman" w:cs="Times New Roman" w:eastAsia="Times New Roman" w:hint="default"/>
          <w:spacing w:val="-1"/>
        </w:rPr>
        <w:t>19,790,086.55</w:t>
      </w:r>
      <w:r>
        <w:rPr>
          <w:spacing w:val="-1"/>
        </w:rPr>
        <w:t>元，各股东</w:t>
      </w:r>
      <w:r>
        <w:rPr/>
        <w:t> 以货币出资</w:t>
      </w:r>
      <w:r>
        <w:rPr>
          <w:rFonts w:ascii="Times New Roman" w:hAnsi="Times New Roman" w:cs="Times New Roman" w:eastAsia="Times New Roman" w:hint="default"/>
        </w:rPr>
        <w:t>19,790,086.55</w:t>
      </w:r>
      <w:r>
        <w:rPr/>
        <w:t>元，公司增加股本人民币</w:t>
      </w:r>
      <w:r>
        <w:rPr>
          <w:rFonts w:ascii="Times New Roman" w:hAnsi="Times New Roman" w:cs="Times New Roman" w:eastAsia="Times New Roman" w:hint="default"/>
        </w:rPr>
        <w:t>3,631,207.00</w:t>
      </w:r>
      <w:r>
        <w:rPr/>
        <w:t>元，变更后的股本为人民币</w:t>
      </w:r>
      <w:r>
        <w:rPr>
          <w:rFonts w:ascii="Times New Roman" w:hAnsi="Times New Roman" w:cs="Times New Roman" w:eastAsia="Times New Roman" w:hint="default"/>
        </w:rPr>
        <w:t>579,416,324.00</w:t>
      </w:r>
      <w:r>
        <w:rPr/>
        <w:t>元。大华会计师事</w:t>
      </w:r>
      <w:r>
        <w:rPr>
          <w:spacing w:val="-53"/>
        </w:rPr>
        <w:t> </w:t>
      </w:r>
      <w:r>
        <w:rPr>
          <w:spacing w:val="-53"/>
        </w:rPr>
      </w:r>
      <w:r>
        <w:rPr/>
        <w:t>务所（特殊普通合伙）出具了</w:t>
      </w:r>
      <w:r>
        <w:rPr>
          <w:rFonts w:ascii="Times New Roman" w:hAnsi="Times New Roman" w:cs="Times New Roman" w:eastAsia="Times New Roman" w:hint="default"/>
        </w:rPr>
        <w:t>“</w:t>
      </w:r>
      <w:r>
        <w:rPr/>
        <w:t>大华验字【</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000423</w:t>
      </w:r>
      <w:r>
        <w:rPr/>
        <w:t>号</w:t>
      </w:r>
      <w:r>
        <w:rPr>
          <w:rFonts w:ascii="Times New Roman" w:hAnsi="Times New Roman" w:cs="Times New Roman" w:eastAsia="Times New Roman" w:hint="default"/>
        </w:rPr>
        <w:t>”</w:t>
      </w:r>
      <w:r>
        <w:rPr/>
        <w:t>《验资报告》。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日公司完成了限制性股票的授予登</w:t>
      </w:r>
      <w:r>
        <w:rPr>
          <w:spacing w:val="-69"/>
        </w:rPr>
        <w:t> </w:t>
      </w:r>
      <w:r>
        <w:rPr>
          <w:spacing w:val="-69"/>
        </w:rPr>
      </w:r>
      <w:r>
        <w:rPr>
          <w:spacing w:val="-2"/>
        </w:rPr>
        <w:t>记工作，并确定上市日期为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20</w:t>
      </w:r>
      <w:r>
        <w:rPr>
          <w:spacing w:val="-2"/>
        </w:rPr>
        <w:t>日，目前尚在办理工商变更事宜。详见公司于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19</w:t>
      </w:r>
      <w:r>
        <w:rPr>
          <w:spacing w:val="-2"/>
        </w:rPr>
        <w:t>日刊载于证券时报、中国</w:t>
      </w:r>
      <w:r>
        <w:rPr>
          <w:spacing w:val="-54"/>
        </w:rPr>
        <w:t> </w:t>
      </w:r>
      <w:r>
        <w:rPr>
          <w:spacing w:val="-54"/>
        </w:rPr>
      </w:r>
      <w:r>
        <w:rPr/>
        <w:t>证券报和巨潮资讯网的《关于</w:t>
      </w:r>
      <w:r>
        <w:rPr>
          <w:rFonts w:ascii="Times New Roman" w:hAnsi="Times New Roman" w:cs="Times New Roman" w:eastAsia="Times New Roman" w:hint="default"/>
        </w:rPr>
        <w:t>2017</w:t>
      </w:r>
      <w:r>
        <w:rPr/>
        <w:t>年度限制性股票首次授予登记完成的公告》（公告编号：</w:t>
      </w:r>
      <w:r>
        <w:rPr>
          <w:rFonts w:ascii="Times New Roman" w:hAnsi="Times New Roman" w:cs="Times New Roman" w:eastAsia="Times New Roman" w:hint="default"/>
        </w:rPr>
        <w:t>2017-060</w:t>
      </w:r>
      <w:r>
        <w:rPr/>
        <w:t>）。</w:t>
      </w:r>
    </w:p>
    <w:p>
      <w:pPr>
        <w:pStyle w:val="BodyText"/>
        <w:spacing w:line="340" w:lineRule="auto" w:before="21"/>
        <w:ind w:right="94" w:firstLine="307"/>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日，公司召开第五届董事会第六次会议，审议通过了《关于回购注销已离职激励对象的限制性股票的议 </w:t>
      </w:r>
      <w:r>
        <w:rPr>
          <w:spacing w:val="-2"/>
        </w:rPr>
        <w:t>案》，因部分激励对象向公司提出辞职并已获得公司同意，且已办理完毕离职手续，同意公司回购并注销其已获授但尚未解</w:t>
      </w:r>
      <w:r>
        <w:rPr>
          <w:spacing w:val="-64"/>
        </w:rPr>
        <w:t> </w:t>
      </w:r>
      <w:r>
        <w:rPr>
          <w:spacing w:val="-64"/>
        </w:rPr>
      </w:r>
      <w:r>
        <w:rPr/>
        <w:t>锁的合计</w:t>
      </w:r>
      <w:r>
        <w:rPr>
          <w:rFonts w:ascii="Times New Roman" w:hAnsi="Times New Roman" w:cs="Times New Roman" w:eastAsia="Times New Roman" w:hint="default"/>
        </w:rPr>
        <w:t>72,534</w:t>
      </w:r>
      <w:r>
        <w:rPr/>
        <w:t>股限制性股票，回购价格为</w:t>
      </w:r>
      <w:r>
        <w:rPr>
          <w:rFonts w:ascii="Times New Roman" w:hAnsi="Times New Roman" w:cs="Times New Roman" w:eastAsia="Times New Roman" w:hint="default"/>
        </w:rPr>
        <w:t>5.45</w:t>
      </w:r>
      <w:r>
        <w:rPr/>
        <w:t>元</w:t>
      </w:r>
      <w:r>
        <w:rPr>
          <w:rFonts w:ascii="Times New Roman" w:hAnsi="Times New Roman" w:cs="Times New Roman" w:eastAsia="Times New Roman" w:hint="default"/>
        </w:rPr>
        <w:t>/</w:t>
      </w:r>
      <w:r>
        <w:rPr/>
        <w:t>股。本议案已经公司于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日召开的</w:t>
      </w:r>
      <w:r>
        <w:rPr>
          <w:rFonts w:ascii="Times New Roman" w:hAnsi="Times New Roman" w:cs="Times New Roman" w:eastAsia="Times New Roman" w:hint="default"/>
        </w:rPr>
        <w:t>2017</w:t>
      </w:r>
      <w:r>
        <w:rPr/>
        <w:t>年度第五次临时股东大 会审议通过。</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日，大华会计师事务所（特殊普通合伙）出具了《验资报告》（大华验字【</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000921</w:t>
      </w:r>
      <w:r>
        <w:rPr/>
        <w:t>号）。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日，本次回购的限制性股票</w:t>
      </w:r>
      <w:r>
        <w:rPr>
          <w:rFonts w:ascii="Times New Roman" w:hAnsi="Times New Roman" w:cs="Times New Roman" w:eastAsia="Times New Roman" w:hint="default"/>
        </w:rPr>
        <w:t>72,534</w:t>
      </w:r>
      <w:r>
        <w:rPr/>
        <w:t>股已过户至公司开立的证券账户予以注销，公司总股本由</w:t>
      </w:r>
      <w:r>
        <w:rPr>
          <w:rFonts w:ascii="Times New Roman" w:hAnsi="Times New Roman" w:cs="Times New Roman" w:eastAsia="Times New Roman" w:hint="default"/>
        </w:rPr>
        <w:t>57,941.6324</w:t>
      </w:r>
      <w:r>
        <w:rPr/>
        <w:t>万股减 少为</w:t>
      </w:r>
      <w:r>
        <w:rPr>
          <w:rFonts w:ascii="Times New Roman" w:hAnsi="Times New Roman" w:cs="Times New Roman" w:eastAsia="Times New Roman" w:hint="default"/>
        </w:rPr>
        <w:t>57,934.3790</w:t>
      </w:r>
      <w:r>
        <w:rPr/>
        <w:t>万股，注册资本也相应由</w:t>
      </w:r>
      <w:r>
        <w:rPr>
          <w:rFonts w:ascii="Times New Roman" w:hAnsi="Times New Roman" w:cs="Times New Roman" w:eastAsia="Times New Roman" w:hint="default"/>
        </w:rPr>
        <w:t>57,941.6324</w:t>
      </w:r>
      <w:r>
        <w:rPr/>
        <w:t>万元减少为</w:t>
      </w:r>
      <w:r>
        <w:rPr>
          <w:rFonts w:ascii="Times New Roman" w:hAnsi="Times New Roman" w:cs="Times New Roman" w:eastAsia="Times New Roman" w:hint="default"/>
        </w:rPr>
        <w:t>57,934.3790</w:t>
      </w:r>
      <w:r>
        <w:rPr/>
        <w:t>万元。</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212" w:right="0"/>
        <w:jc w:val="left"/>
      </w:pPr>
      <w:r>
        <w:rPr/>
        <w:t>公司报告期未发生与日常经营相关的关联交易。</w:t>
      </w:r>
    </w:p>
    <w:p>
      <w:pPr>
        <w:spacing w:line="240" w:lineRule="auto" w:before="0"/>
        <w:rPr>
          <w:rFonts w:ascii="宋体" w:hAnsi="宋体" w:cs="宋体" w:eastAsia="宋体" w:hint="default"/>
          <w:sz w:val="18"/>
          <w:szCs w:val="18"/>
        </w:rPr>
      </w:pPr>
    </w:p>
    <w:p>
      <w:pPr>
        <w:pStyle w:val="Heading3"/>
        <w:spacing w:line="240" w:lineRule="auto" w:before="120"/>
        <w:ind w:left="212"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212"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3"/>
        <w:spacing w:line="240" w:lineRule="auto"/>
        <w:ind w:left="212"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212"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7"/>
        <w:rPr>
          <w:rFonts w:ascii="宋体" w:hAnsi="宋体" w:cs="宋体" w:eastAsia="宋体" w:hint="default"/>
          <w:sz w:val="21"/>
          <w:szCs w:val="21"/>
        </w:rPr>
      </w:pPr>
    </w:p>
    <w:p>
      <w:pPr>
        <w:pStyle w:val="Heading3"/>
        <w:spacing w:line="240" w:lineRule="auto"/>
        <w:ind w:left="212"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left="212"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3"/>
        <w:rPr>
          <w:rFonts w:ascii="宋体" w:hAnsi="宋体" w:cs="宋体" w:eastAsia="宋体" w:hint="default"/>
          <w:sz w:val="21"/>
          <w:szCs w:val="21"/>
        </w:rPr>
      </w:pPr>
    </w:p>
    <w:p>
      <w:pPr>
        <w:pStyle w:val="Heading3"/>
        <w:spacing w:line="240" w:lineRule="auto"/>
        <w:ind w:left="212"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73" w:right="14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日召开第四届董事会第三十五次会议，审议通过了《关于公司</w:t>
      </w:r>
      <w:r>
        <w:rPr>
          <w:rFonts w:ascii="Times New Roman" w:hAnsi="Times New Roman" w:cs="Times New Roman" w:eastAsia="Times New Roman" w:hint="default"/>
        </w:rPr>
        <w:t>2016</w:t>
      </w:r>
      <w:r>
        <w:rPr/>
        <w:t>年度日常关联交易情况及</w:t>
      </w:r>
      <w:r>
        <w:rPr>
          <w:rFonts w:ascii="Times New Roman" w:hAnsi="Times New Roman" w:cs="Times New Roman" w:eastAsia="Times New Roman" w:hint="default"/>
        </w:rPr>
        <w:t>2017</w:t>
      </w:r>
      <w:r>
        <w:rPr/>
        <w:t>年</w:t>
      </w:r>
    </w:p>
    <w:p>
      <w:pPr>
        <w:pStyle w:val="BodyText"/>
        <w:spacing w:line="228" w:lineRule="exact"/>
        <w:ind w:left="212" w:right="0"/>
        <w:jc w:val="left"/>
      </w:pPr>
      <w:r>
        <w:rPr/>
        <w:t>度日常关联交易预计的议案》，同意子公司汇大光电与关联方电明科技的日常关联交易事项，预计</w:t>
      </w:r>
      <w:r>
        <w:rPr>
          <w:rFonts w:ascii="Times New Roman" w:hAnsi="Times New Roman" w:cs="Times New Roman" w:eastAsia="Times New Roman" w:hint="default"/>
        </w:rPr>
        <w:t>2017</w:t>
      </w:r>
      <w:r>
        <w:rPr/>
        <w:t>年度关联交易总金额</w:t>
      </w:r>
    </w:p>
    <w:p>
      <w:pPr>
        <w:pStyle w:val="BodyText"/>
        <w:spacing w:line="338" w:lineRule="auto" w:before="63"/>
        <w:ind w:left="212" w:right="3429"/>
        <w:jc w:val="left"/>
      </w:pPr>
      <w:r>
        <w:rPr/>
        <w:t>不超过人民币</w:t>
      </w:r>
      <w:r>
        <w:rPr>
          <w:rFonts w:ascii="Times New Roman" w:hAnsi="Times New Roman" w:cs="Times New Roman" w:eastAsia="Times New Roman" w:hint="default"/>
        </w:rPr>
        <w:t>600</w:t>
      </w:r>
      <w:r>
        <w:rPr/>
        <w:t>万元。报告期内，双方实际发生的关联交易金额为</w:t>
      </w:r>
      <w:r>
        <w:rPr>
          <w:rFonts w:ascii="Times New Roman" w:hAnsi="Times New Roman" w:cs="Times New Roman" w:eastAsia="Times New Roman" w:hint="default"/>
        </w:rPr>
        <w:t>205.37</w:t>
      </w:r>
      <w:r>
        <w:rPr/>
        <w:t>万元。 重大关联交易临时报告披露网站相关查询</w:t>
      </w:r>
    </w:p>
    <w:p>
      <w:pPr>
        <w:spacing w:line="240" w:lineRule="auto" w:before="9"/>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835"/>
        <w:gridCol w:w="1702"/>
        <w:gridCol w:w="5245"/>
      </w:tblGrid>
      <w:tr>
        <w:trPr>
          <w:trHeight w:val="404" w:hRule="exact"/>
        </w:trPr>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716"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201"/>
              <w:jc w:val="left"/>
              <w:rPr>
                <w:rFonts w:ascii="宋体" w:hAnsi="宋体" w:cs="宋体" w:eastAsia="宋体" w:hint="default"/>
                <w:sz w:val="18"/>
                <w:szCs w:val="18"/>
              </w:rPr>
            </w:pPr>
            <w:r>
              <w:rPr>
                <w:rFonts w:ascii="宋体" w:hAnsi="宋体" w:cs="宋体" w:eastAsia="宋体" w:hint="default"/>
                <w:sz w:val="18"/>
                <w:szCs w:val="18"/>
              </w:rPr>
              <w:t>子公司汇大光电与关联方电明科 技的日常经营关联交易</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证券时报、中国证券报、巨潮资讯网《关于公司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年度日常</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关联交易情况及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年度日常关联交易预计的公告》</w:t>
            </w:r>
          </w:p>
        </w:tc>
      </w:tr>
    </w:tbl>
    <w:p>
      <w:pPr>
        <w:pStyle w:val="BodyText"/>
        <w:spacing w:line="240" w:lineRule="auto" w:before="49"/>
        <w:ind w:left="212" w:right="0"/>
        <w:jc w:val="left"/>
      </w:pPr>
      <w:r>
        <w:rPr/>
        <w:t>公司报告期无其他重大关联交易。</w:t>
      </w:r>
    </w:p>
    <w:p>
      <w:pPr>
        <w:spacing w:line="240" w:lineRule="auto" w:before="3"/>
        <w:rPr>
          <w:rFonts w:ascii="宋体" w:hAnsi="宋体" w:cs="宋体" w:eastAsia="宋体" w:hint="default"/>
          <w:sz w:val="25"/>
          <w:szCs w:val="25"/>
        </w:rPr>
      </w:pPr>
    </w:p>
    <w:p>
      <w:pPr>
        <w:pStyle w:val="Heading2"/>
        <w:spacing w:line="240" w:lineRule="auto"/>
        <w:ind w:left="212" w:right="0"/>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12"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212"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212"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left="212"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212"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after="0" w:line="338" w:lineRule="auto"/>
        <w:jc w:val="left"/>
        <w:sectPr>
          <w:pgSz w:w="11910" w:h="16840"/>
          <w:pgMar w:header="745" w:footer="980" w:top="1060" w:bottom="1160" w:left="92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租赁情况说明</w:t>
      </w:r>
    </w:p>
    <w:p>
      <w:pPr>
        <w:pStyle w:val="BodyText"/>
        <w:spacing w:line="338" w:lineRule="auto" w:before="2"/>
        <w:ind w:right="159"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日，公司与深圳市三讯电子有限公司（以下简称</w:t>
      </w:r>
      <w:r>
        <w:rPr>
          <w:rFonts w:ascii="Times New Roman" w:hAnsi="Times New Roman" w:cs="Times New Roman" w:eastAsia="Times New Roman" w:hint="default"/>
        </w:rPr>
        <w:t>“</w:t>
      </w:r>
      <w:r>
        <w:rPr/>
        <w:t>三讯</w:t>
      </w:r>
      <w:r>
        <w:rPr>
          <w:rFonts w:ascii="Times New Roman" w:hAnsi="Times New Roman" w:cs="Times New Roman" w:eastAsia="Times New Roman" w:hint="default"/>
        </w:rPr>
        <w:t>”</w:t>
      </w:r>
      <w:r>
        <w:rPr/>
        <w:t>）签署《厂房租赁合同书》，公司将锦龙路园区 厂房租赁给三讯做经营及办公之用，合同期为</w:t>
      </w:r>
      <w:r>
        <w:rPr>
          <w:rFonts w:ascii="Times New Roman" w:hAnsi="Times New Roman" w:cs="Times New Roman" w:eastAsia="Times New Roman" w:hint="default"/>
        </w:rPr>
        <w:t>8</w:t>
      </w:r>
      <w:r>
        <w:rPr/>
        <w:t>年，合同期前</w:t>
      </w:r>
      <w:r>
        <w:rPr>
          <w:rFonts w:ascii="Times New Roman" w:hAnsi="Times New Roman" w:cs="Times New Roman" w:eastAsia="Times New Roman" w:hint="default"/>
        </w:rPr>
        <w:t>60</w:t>
      </w:r>
      <w:r>
        <w:rPr/>
        <w:t>天为免租期（装修等产生的水、电费由三讯承担），合同期 前</w:t>
      </w:r>
      <w:r>
        <w:rPr>
          <w:rFonts w:ascii="Times New Roman" w:hAnsi="Times New Roman" w:cs="Times New Roman" w:eastAsia="Times New Roman" w:hint="default"/>
        </w:rPr>
        <w:t>6</w:t>
      </w:r>
      <w:r>
        <w:rPr/>
        <w:t>年不得解除，合同期满</w:t>
      </w:r>
      <w:r>
        <w:rPr>
          <w:rFonts w:ascii="Times New Roman" w:hAnsi="Times New Roman" w:cs="Times New Roman" w:eastAsia="Times New Roman" w:hint="default"/>
        </w:rPr>
        <w:t>2</w:t>
      </w:r>
      <w:r>
        <w:rPr/>
        <w:t>年内双方需提前</w:t>
      </w:r>
      <w:r>
        <w:rPr>
          <w:rFonts w:ascii="Times New Roman" w:hAnsi="Times New Roman" w:cs="Times New Roman" w:eastAsia="Times New Roman" w:hint="default"/>
        </w:rPr>
        <w:t>6</w:t>
      </w:r>
      <w:r>
        <w:rPr/>
        <w:t>个月通知对方且支付相当于月租金</w:t>
      </w:r>
      <w:r>
        <w:rPr>
          <w:rFonts w:ascii="Times New Roman" w:hAnsi="Times New Roman" w:cs="Times New Roman" w:eastAsia="Times New Roman" w:hint="default"/>
        </w:rPr>
        <w:t>2</w:t>
      </w:r>
      <w:r>
        <w:rPr/>
        <w:t>倍的违约金后可解除合同。</w:t>
      </w:r>
    </w:p>
    <w:p>
      <w:pPr>
        <w:pStyle w:val="BodyText"/>
        <w:spacing w:line="336" w:lineRule="auto" w:before="19"/>
        <w:ind w:right="154"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日，公司与深圳新浩房地产有限公司签署《房屋租赁合同书》，公司租赁深圳市福田区北环大道和彩田</w:t>
      </w:r>
      <w:r>
        <w:rPr/>
        <w:t> 路东南角新浩壹都做经营及办公之用，租赁合同期为</w:t>
      </w:r>
      <w:r>
        <w:rPr>
          <w:rFonts w:ascii="Times New Roman" w:hAnsi="Times New Roman" w:cs="Times New Roman" w:eastAsia="Times New Roman" w:hint="default"/>
        </w:rPr>
        <w:t>5</w:t>
      </w:r>
      <w:r>
        <w:rPr/>
        <w:t>年，租金按月支付。</w:t>
      </w:r>
    </w:p>
    <w:p>
      <w:pPr>
        <w:pStyle w:val="BodyText"/>
        <w:spacing w:line="338" w:lineRule="auto" w:before="21"/>
        <w:ind w:right="154" w:firstLine="360"/>
        <w:jc w:val="both"/>
        <w:rPr>
          <w:rFonts w:ascii="宋体" w:hAnsi="宋体" w:cs="宋体" w:eastAsia="宋体" w:hint="default"/>
        </w:rPr>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日，公司与北京居业置业有限公司签署《金辉大厦写字楼租赁合同》，公司租赁北京朝阳区金辉大厦写</w:t>
      </w:r>
      <w:r>
        <w:rPr/>
        <w:t> 字楼做经营及办公之用，租赁合同期为</w:t>
      </w:r>
      <w:r>
        <w:rPr>
          <w:rFonts w:ascii="Times New Roman" w:hAnsi="Times New Roman" w:cs="Times New Roman" w:eastAsia="Times New Roman" w:hint="default"/>
        </w:rPr>
        <w:t>3</w:t>
      </w:r>
      <w:r>
        <w:rPr/>
        <w:t>年，租金按季度支付。</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5"/>
          <w:szCs w:val="25"/>
        </w:rPr>
      </w:pPr>
    </w:p>
    <w:p>
      <w:pPr>
        <w:pStyle w:val="BodyText"/>
        <w:spacing w:line="240" w:lineRule="auto"/>
        <w:ind w:right="153"/>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53"/>
        <w:jc w:val="left"/>
      </w:pPr>
      <w:r>
        <w:rPr/>
        <w:t>公司报告期不存在为公司带来的损益达到公司报告期利润总额</w:t>
      </w:r>
      <w:r>
        <w:rPr>
          <w:spacing w:val="-44"/>
        </w:rPr>
        <w:t> </w:t>
      </w:r>
      <w:r>
        <w:rPr>
          <w:rFonts w:ascii="Times New Roman" w:hAnsi="Times New Roman" w:cs="Times New Roman" w:eastAsia="Times New Roman" w:hint="default"/>
        </w:rPr>
        <w:t>10%</w:t>
      </w:r>
      <w:r>
        <w:rPr/>
        <w:t>以上的租赁项目。</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7"/>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80"/>
          <w:cols w:num="2" w:equalWidth="0">
            <w:col w:w="1953" w:space="6787"/>
            <w:col w:w="12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0"/>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497,260,000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146,210,000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券商理财产品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448,000,000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311,100,000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945,260,000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457,310,000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53"/>
        <w:jc w:val="left"/>
      </w:pPr>
      <w:r>
        <w:rPr/>
        <w:t>单项金额重大或安全性较低、流动性较差、不保本的高风险委托理财具体情况</w:t>
      </w:r>
    </w:p>
    <w:p>
      <w:pPr>
        <w:pStyle w:val="BodyText"/>
        <w:spacing w:line="340" w:lineRule="auto" w:before="115"/>
        <w:ind w:right="47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39"/>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254"/>
        <w:jc w:val="left"/>
      </w:pPr>
      <w:r>
        <w:rPr/>
        <w:t>公司报告期不存在委托贷款。</w:t>
      </w:r>
    </w:p>
    <w:p>
      <w:pPr>
        <w:spacing w:line="240" w:lineRule="auto" w:before="0"/>
        <w:rPr>
          <w:rFonts w:ascii="宋体" w:hAnsi="宋体" w:cs="宋体" w:eastAsia="宋体" w:hint="default"/>
          <w:sz w:val="18"/>
          <w:szCs w:val="18"/>
        </w:rPr>
      </w:pPr>
    </w:p>
    <w:p>
      <w:pPr>
        <w:pStyle w:val="Heading3"/>
        <w:spacing w:line="240" w:lineRule="auto" w:before="120"/>
        <w:ind w:right="254"/>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254"/>
        <w:jc w:val="left"/>
        <w:rPr>
          <w:b w:val="0"/>
          <w:bCs w:val="0"/>
        </w:rPr>
      </w:pP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54"/>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255" w:firstLine="379"/>
        <w:jc w:val="left"/>
      </w:pPr>
      <w:r>
        <w:rPr/>
        <w:t>作为上市公司，公司始终坚持可持续发展与有效益扩张的原则，努力提升经营业绩、规范运作，不断完善公司治理， 严格防范风险，持续回报股东信任并为股东创造价值。</w:t>
      </w:r>
    </w:p>
    <w:p>
      <w:pPr>
        <w:pStyle w:val="BodyText"/>
        <w:spacing w:line="477" w:lineRule="auto" w:before="55"/>
        <w:ind w:right="94" w:firstLine="379"/>
        <w:jc w:val="left"/>
      </w:pPr>
      <w:r>
        <w:rPr/>
        <w:t>保障股东特别是中小股东的权益，是公司最基本的社会责任。公司严格按照《公司章程》、《股东大会议事规则》的 </w:t>
      </w:r>
      <w:r>
        <w:rPr>
          <w:spacing w:val="-2"/>
        </w:rPr>
        <w:t>规定和要求，规范股东大会的召集、召开、表决程序，通过合法有效的方式，让更多的股东能够参加股东大会，确保股东对</w:t>
      </w:r>
      <w:r>
        <w:rPr>
          <w:spacing w:val="-68"/>
        </w:rPr>
        <w:t> </w:t>
      </w:r>
      <w:r>
        <w:rPr>
          <w:spacing w:val="-68"/>
        </w:rPr>
      </w:r>
      <w:r>
        <w:rPr/>
        <w:t>公司重大事项的知情权、参与权和表决权；认真履行信息披露义务，秉持公平、公正、公开的原则对待全体投资者。</w:t>
      </w:r>
    </w:p>
    <w:p>
      <w:pPr>
        <w:pStyle w:val="BodyText"/>
        <w:spacing w:line="477" w:lineRule="auto" w:before="54"/>
        <w:ind w:right="191" w:firstLine="288"/>
        <w:jc w:val="both"/>
      </w:pPr>
      <w:r>
        <w:rPr>
          <w:spacing w:val="-1"/>
        </w:rPr>
        <w:t>公司结合内部控制设计与运行的实际情况，进一步梳理各业务流程的内部控制制度，评估和确定关键控制活动及控制风</w:t>
      </w:r>
      <w:r>
        <w:rPr/>
        <w:t> </w:t>
      </w:r>
      <w:r>
        <w:rPr>
          <w:spacing w:val="-2"/>
        </w:rPr>
        <w:t>险，制定了应对策略；组织各部门开展自评价工作，识别内部控制缺陷，并依据相应的整改机制进行整改。报告期内，公司</w:t>
      </w:r>
      <w:r>
        <w:rPr>
          <w:spacing w:val="-68"/>
        </w:rPr>
        <w:t> </w:t>
      </w:r>
      <w:r>
        <w:rPr>
          <w:spacing w:val="-68"/>
        </w:rPr>
      </w:r>
      <w:r>
        <w:rPr>
          <w:spacing w:val="-2"/>
        </w:rPr>
        <w:t>已建立了完善的法人治理结构，公司现行的内部控制制度较为完整、合理和健全有效，各项制度得到了有效的实施，为公司</w:t>
      </w:r>
      <w:r>
        <w:rPr>
          <w:spacing w:val="-64"/>
        </w:rPr>
        <w:t> </w:t>
      </w:r>
      <w:r>
        <w:rPr>
          <w:spacing w:val="-64"/>
        </w:rPr>
      </w:r>
      <w:r>
        <w:rPr/>
        <w:t>经营管理的合法合规、资产安全、财务报告及相关信息的真实、完整提供了合理保障。</w:t>
      </w:r>
    </w:p>
    <w:p>
      <w:pPr>
        <w:pStyle w:val="BodyText"/>
        <w:spacing w:line="468" w:lineRule="auto" w:before="54"/>
        <w:ind w:right="190" w:firstLine="288"/>
        <w:jc w:val="both"/>
      </w:pPr>
      <w:r>
        <w:rPr>
          <w:spacing w:val="-1"/>
        </w:rPr>
        <w:t>在维护员工权益方面，公司始终坚持以人为本的核心价值观，视员工为企业生存和发展最宝贵的资源，把人文关怀和企</w:t>
      </w:r>
      <w:r>
        <w:rPr/>
        <w:t> </w:t>
      </w:r>
      <w:r>
        <w:rPr>
          <w:spacing w:val="-2"/>
        </w:rPr>
        <w:t>业文化建设作为公司人力资源体系努力的立足点，以</w:t>
      </w:r>
      <w:r>
        <w:rPr>
          <w:rFonts w:ascii="Times New Roman" w:hAnsi="Times New Roman" w:cs="Times New Roman" w:eastAsia="Times New Roman" w:hint="default"/>
          <w:spacing w:val="-2"/>
        </w:rPr>
        <w:t>“</w:t>
      </w:r>
      <w:r>
        <w:rPr>
          <w:spacing w:val="-2"/>
        </w:rPr>
        <w:t>分享简单的快乐</w:t>
      </w:r>
      <w:r>
        <w:rPr>
          <w:rFonts w:ascii="Times New Roman" w:hAnsi="Times New Roman" w:cs="Times New Roman" w:eastAsia="Times New Roman" w:hint="default"/>
          <w:spacing w:val="-2"/>
        </w:rPr>
        <w:t>”</w:t>
      </w:r>
      <w:r>
        <w:rPr>
          <w:spacing w:val="-2"/>
        </w:rPr>
        <w:t>为出发点，关心员工的工作、生活、健康与回报，切</w:t>
      </w:r>
      <w:r>
        <w:rPr>
          <w:spacing w:val="-46"/>
        </w:rPr>
        <w:t> </w:t>
      </w:r>
      <w:r>
        <w:rPr>
          <w:spacing w:val="-46"/>
        </w:rPr>
      </w:r>
      <w:r>
        <w:rPr>
          <w:spacing w:val="-2"/>
        </w:rPr>
        <w:t>实保护员工的各项权益，提升企业的凝聚力与创造力，实现员工与企业的共同成长。公司将环境保护作为企业可持续发展的</w:t>
      </w:r>
      <w:r>
        <w:rPr>
          <w:spacing w:val="-63"/>
        </w:rPr>
        <w:t> </w:t>
      </w:r>
      <w:r>
        <w:rPr>
          <w:spacing w:val="-63"/>
        </w:rPr>
      </w:r>
      <w:r>
        <w:rPr/>
        <w:t>重要内容，节能环保、可持续发展是一个企业的社会责任，也是践行可持续发展社会的精神的展现。</w:t>
      </w:r>
    </w:p>
    <w:p>
      <w:pPr>
        <w:pStyle w:val="BodyText"/>
        <w:spacing w:line="477" w:lineRule="auto" w:before="61"/>
        <w:ind w:right="94" w:firstLine="379"/>
        <w:jc w:val="left"/>
      </w:pPr>
      <w:r>
        <w:rPr/>
        <w:t>近年来，公司始终坚持绿色发展观，认真落实各项节能环保措施，公司每一步的发展都坚持节能降耗、环境和谐的社 </w:t>
      </w:r>
      <w:r>
        <w:rPr>
          <w:spacing w:val="-2"/>
        </w:rPr>
        <w:t>会环保理念。在日常的经营活动和办公中，公司积极践行低碳、环保、绿色办公理念，公司高度重视和严格控制企业运营对</w:t>
      </w:r>
      <w:r>
        <w:rPr>
          <w:spacing w:val="-65"/>
        </w:rPr>
        <w:t> </w:t>
      </w:r>
      <w:r>
        <w:rPr>
          <w:spacing w:val="-65"/>
        </w:rPr>
      </w:r>
      <w:r>
        <w:rPr>
          <w:spacing w:val="-2"/>
        </w:rPr>
        <w:t>环境的影响，提倡低碳节能和绿色环保，加强办公节能管理，倡导绿色办公。积极推进信息化建设，推进无纸化办公，使用</w:t>
      </w:r>
      <w:r>
        <w:rPr>
          <w:spacing w:val="-68"/>
        </w:rPr>
        <w:t> </w:t>
      </w:r>
      <w:r>
        <w:rPr>
          <w:spacing w:val="-68"/>
        </w:rPr>
      </w:r>
      <w:r>
        <w:rPr/>
        <w:t>费用远程报销系统、报表系统等业务模块。</w:t>
      </w:r>
    </w:p>
    <w:p>
      <w:pPr>
        <w:pStyle w:val="BodyText"/>
        <w:spacing w:line="451" w:lineRule="auto" w:before="54"/>
        <w:ind w:right="94" w:firstLine="379"/>
        <w:jc w:val="left"/>
      </w:pPr>
      <w:r>
        <w:rPr>
          <w:spacing w:val="-1"/>
        </w:rPr>
        <w:t>在</w:t>
      </w:r>
      <w:r>
        <w:rPr>
          <w:rFonts w:ascii="Times New Roman" w:hAnsi="Times New Roman" w:cs="Times New Roman" w:eastAsia="Times New Roman" w:hint="default"/>
          <w:spacing w:val="-1"/>
        </w:rPr>
        <w:t>2018</w:t>
      </w:r>
      <w:r>
        <w:rPr>
          <w:spacing w:val="-1"/>
        </w:rPr>
        <w:t>年，公司将不断完善企业社会责任管理体系，在公司治理上强化组织管理控制能力，完善经营机制和考核机制，</w:t>
      </w:r>
      <w:r>
        <w:rPr/>
        <w:t> 激活企业发展的内生动力，进一步加强社会责任实践，实现经济效益与社会效益的和谐统一。</w:t>
      </w:r>
    </w:p>
    <w:p>
      <w:pPr>
        <w:spacing w:line="240" w:lineRule="auto" w:before="12"/>
        <w:rPr>
          <w:rFonts w:ascii="宋体" w:hAnsi="宋体" w:cs="宋体" w:eastAsia="宋体" w:hint="default"/>
          <w:sz w:val="20"/>
          <w:szCs w:val="20"/>
        </w:rPr>
      </w:pPr>
    </w:p>
    <w:p>
      <w:pPr>
        <w:pStyle w:val="Heading3"/>
        <w:spacing w:line="240" w:lineRule="auto"/>
        <w:ind w:right="254"/>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5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left="252" w:right="4834"/>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left="252" w:right="4834"/>
        <w:jc w:val="left"/>
      </w:pPr>
      <w:r>
        <w:rPr/>
        <w:t>上市公司及其子公司是否属于环境保护部门公布的重点排污单位 否</w:t>
      </w:r>
    </w:p>
    <w:p>
      <w:pPr>
        <w:spacing w:line="240" w:lineRule="auto" w:before="7"/>
        <w:rPr>
          <w:rFonts w:ascii="宋体" w:hAnsi="宋体" w:cs="宋体" w:eastAsia="宋体" w:hint="default"/>
          <w:sz w:val="18"/>
          <w:szCs w:val="18"/>
        </w:rPr>
      </w:pPr>
    </w:p>
    <w:p>
      <w:pPr>
        <w:pStyle w:val="Heading2"/>
        <w:spacing w:line="240" w:lineRule="auto"/>
        <w:ind w:left="252" w:right="4834"/>
        <w:jc w:val="left"/>
        <w:rPr>
          <w:b w:val="0"/>
          <w:bCs w:val="0"/>
        </w:rPr>
      </w:pPr>
      <w:r>
        <w:rPr/>
        <w:t>十九、其他重大事项的说明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52" w:right="48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994"/>
        <w:gridCol w:w="991"/>
        <w:gridCol w:w="5838"/>
        <w:gridCol w:w="2101"/>
      </w:tblGrid>
      <w:tr>
        <w:trPr>
          <w:trHeight w:val="343" w:hRule="exact"/>
        </w:trPr>
        <w:tc>
          <w:tcPr>
            <w:tcW w:w="994" w:type="dxa"/>
            <w:tcBorders>
              <w:top w:val="single" w:sz="4" w:space="0" w:color="000000"/>
              <w:left w:val="single" w:sz="4" w:space="0" w:color="000000"/>
              <w:bottom w:val="single" w:sz="4" w:space="0" w:color="000000"/>
              <w:right w:val="single" w:sz="4" w:space="0" w:color="000000"/>
            </w:tcBorders>
            <w:shd w:val="clear" w:color="auto" w:fill="959595"/>
          </w:tcPr>
          <w:p>
            <w:pPr>
              <w:pStyle w:val="TableParagraph"/>
              <w:spacing w:line="240" w:lineRule="auto" w:before="4"/>
              <w:ind w:left="88" w:right="0"/>
              <w:jc w:val="left"/>
              <w:rPr>
                <w:rFonts w:ascii="宋体" w:hAnsi="宋体" w:cs="宋体" w:eastAsia="宋体" w:hint="default"/>
                <w:sz w:val="20"/>
                <w:szCs w:val="20"/>
              </w:rPr>
            </w:pPr>
            <w:r>
              <w:rPr>
                <w:rFonts w:ascii="宋体" w:hAnsi="宋体" w:cs="宋体" w:eastAsia="宋体" w:hint="default"/>
                <w:b/>
                <w:bCs/>
                <w:sz w:val="20"/>
                <w:szCs w:val="20"/>
              </w:rPr>
              <w:t>公告编号</w:t>
            </w:r>
            <w:r>
              <w:rPr>
                <w:rFonts w:ascii="宋体" w:hAnsi="宋体" w:cs="宋体" w:eastAsia="宋体" w:hint="default"/>
                <w:sz w:val="20"/>
                <w:szCs w:val="20"/>
              </w:rPr>
            </w:r>
          </w:p>
        </w:tc>
        <w:tc>
          <w:tcPr>
            <w:tcW w:w="991" w:type="dxa"/>
            <w:tcBorders>
              <w:top w:val="single" w:sz="4" w:space="0" w:color="000000"/>
              <w:left w:val="single" w:sz="4" w:space="0" w:color="000000"/>
              <w:bottom w:val="single" w:sz="4" w:space="0" w:color="000000"/>
              <w:right w:val="single" w:sz="4" w:space="0" w:color="000000"/>
            </w:tcBorders>
            <w:shd w:val="clear" w:color="auto" w:fill="959595"/>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b/>
                <w:bCs/>
                <w:sz w:val="20"/>
                <w:szCs w:val="20"/>
              </w:rPr>
              <w:t>公告日期</w:t>
            </w:r>
            <w:r>
              <w:rPr>
                <w:rFonts w:ascii="宋体" w:hAnsi="宋体" w:cs="宋体" w:eastAsia="宋体" w:hint="default"/>
                <w:sz w:val="20"/>
                <w:szCs w:val="20"/>
              </w:rPr>
            </w:r>
          </w:p>
        </w:tc>
        <w:tc>
          <w:tcPr>
            <w:tcW w:w="5838" w:type="dxa"/>
            <w:tcBorders>
              <w:top w:val="single" w:sz="4" w:space="0" w:color="000000"/>
              <w:left w:val="single" w:sz="4" w:space="0" w:color="000000"/>
              <w:bottom w:val="single" w:sz="4" w:space="0" w:color="000000"/>
              <w:right w:val="single" w:sz="4" w:space="0" w:color="000000"/>
            </w:tcBorders>
            <w:shd w:val="clear" w:color="auto" w:fill="959595"/>
          </w:tcPr>
          <w:p>
            <w:pPr>
              <w:pStyle w:val="TableParagraph"/>
              <w:spacing w:line="240" w:lineRule="auto" w:before="4"/>
              <w:ind w:left="5" w:right="0"/>
              <w:jc w:val="center"/>
              <w:rPr>
                <w:rFonts w:ascii="宋体" w:hAnsi="宋体" w:cs="宋体" w:eastAsia="宋体" w:hint="default"/>
                <w:sz w:val="20"/>
                <w:szCs w:val="20"/>
              </w:rPr>
            </w:pPr>
            <w:r>
              <w:rPr>
                <w:rFonts w:ascii="宋体" w:hAnsi="宋体" w:cs="宋体" w:eastAsia="宋体" w:hint="default"/>
                <w:b/>
                <w:bCs/>
                <w:sz w:val="20"/>
                <w:szCs w:val="20"/>
              </w:rPr>
              <w:t>文件名称</w:t>
            </w:r>
            <w:r>
              <w:rPr>
                <w:rFonts w:ascii="宋体" w:hAnsi="宋体" w:cs="宋体" w:eastAsia="宋体" w:hint="default"/>
                <w:sz w:val="20"/>
                <w:szCs w:val="20"/>
              </w:rPr>
            </w:r>
          </w:p>
        </w:tc>
        <w:tc>
          <w:tcPr>
            <w:tcW w:w="2101" w:type="dxa"/>
            <w:tcBorders>
              <w:top w:val="single" w:sz="4" w:space="0" w:color="000000"/>
              <w:left w:val="single" w:sz="4" w:space="0" w:color="000000"/>
              <w:bottom w:val="single" w:sz="4" w:space="0" w:color="000000"/>
              <w:right w:val="single" w:sz="4" w:space="0" w:color="000000"/>
            </w:tcBorders>
            <w:shd w:val="clear" w:color="auto" w:fill="959595"/>
          </w:tcPr>
          <w:p>
            <w:pPr>
              <w:pStyle w:val="TableParagraph"/>
              <w:spacing w:line="240" w:lineRule="auto" w:before="4"/>
              <w:ind w:left="646" w:right="0"/>
              <w:jc w:val="left"/>
              <w:rPr>
                <w:rFonts w:ascii="宋体" w:hAnsi="宋体" w:cs="宋体" w:eastAsia="宋体" w:hint="default"/>
                <w:sz w:val="20"/>
                <w:szCs w:val="20"/>
              </w:rPr>
            </w:pPr>
            <w:r>
              <w:rPr>
                <w:rFonts w:ascii="宋体" w:hAnsi="宋体" w:cs="宋体" w:eastAsia="宋体" w:hint="default"/>
                <w:b/>
                <w:bCs/>
                <w:sz w:val="20"/>
                <w:szCs w:val="20"/>
              </w:rPr>
              <w:t>刊登媒体</w:t>
            </w:r>
            <w:r>
              <w:rPr>
                <w:rFonts w:ascii="宋体" w:hAnsi="宋体" w:cs="宋体" w:eastAsia="宋体" w:hint="default"/>
                <w:sz w:val="20"/>
                <w:szCs w:val="20"/>
              </w:rPr>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6" w:right="0"/>
              <w:jc w:val="left"/>
              <w:rPr>
                <w:rFonts w:ascii="Times New Roman" w:hAnsi="Times New Roman" w:cs="Times New Roman" w:eastAsia="Times New Roman" w:hint="default"/>
                <w:sz w:val="18"/>
                <w:szCs w:val="18"/>
              </w:rPr>
            </w:pPr>
            <w:r>
              <w:rPr>
                <w:rFonts w:ascii="Times New Roman"/>
                <w:sz w:val="18"/>
              </w:rPr>
              <w:t>2017-003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2017/1/10</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关于公司实际控制人股份被质押及部分股份解除质押的公告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6" w:right="0"/>
              <w:jc w:val="left"/>
              <w:rPr>
                <w:rFonts w:ascii="Times New Roman" w:hAnsi="Times New Roman" w:cs="Times New Roman" w:eastAsia="Times New Roman" w:hint="default"/>
                <w:sz w:val="18"/>
                <w:szCs w:val="18"/>
              </w:rPr>
            </w:pPr>
            <w:r>
              <w:rPr>
                <w:rFonts w:ascii="Times New Roman"/>
                <w:sz w:val="18"/>
              </w:rPr>
              <w:t>2017-005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2017/1/23</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关于公司实际控制人部分股份解除质押的公告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6" w:right="0"/>
              <w:jc w:val="left"/>
              <w:rPr>
                <w:rFonts w:ascii="Times New Roman" w:hAnsi="Times New Roman" w:cs="Times New Roman" w:eastAsia="Times New Roman" w:hint="default"/>
                <w:sz w:val="18"/>
                <w:szCs w:val="18"/>
              </w:rPr>
            </w:pPr>
            <w:r>
              <w:rPr>
                <w:rFonts w:ascii="Times New Roman"/>
                <w:sz w:val="18"/>
              </w:rPr>
              <w:t>2017-007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2017/2/14</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关于公司实际控制人部分股份被质押的公告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6" w:right="0"/>
              <w:jc w:val="left"/>
              <w:rPr>
                <w:rFonts w:ascii="Times New Roman" w:hAnsi="Times New Roman" w:cs="Times New Roman" w:eastAsia="Times New Roman" w:hint="default"/>
                <w:sz w:val="18"/>
                <w:szCs w:val="18"/>
              </w:rPr>
            </w:pPr>
            <w:r>
              <w:rPr>
                <w:rFonts w:ascii="Times New Roman"/>
                <w:sz w:val="18"/>
              </w:rPr>
              <w:t>2017-008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2017/2/21</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关于公司实际控制人股份被质押及部分股份解除质押的公告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6" w:right="0"/>
              <w:jc w:val="left"/>
              <w:rPr>
                <w:rFonts w:ascii="Times New Roman" w:hAnsi="Times New Roman" w:cs="Times New Roman" w:eastAsia="Times New Roman" w:hint="default"/>
                <w:sz w:val="18"/>
                <w:szCs w:val="18"/>
              </w:rPr>
            </w:pPr>
            <w:r>
              <w:rPr>
                <w:rFonts w:ascii="Times New Roman"/>
                <w:sz w:val="18"/>
              </w:rPr>
              <w:t>2017-011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2017/2/27</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关于计提资产减值准备的公告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6" w:right="0"/>
              <w:jc w:val="left"/>
              <w:rPr>
                <w:rFonts w:ascii="Times New Roman" w:hAnsi="Times New Roman" w:cs="Times New Roman" w:eastAsia="Times New Roman" w:hint="default"/>
                <w:sz w:val="18"/>
                <w:szCs w:val="18"/>
              </w:rPr>
            </w:pPr>
            <w:r>
              <w:rPr>
                <w:rFonts w:ascii="Times New Roman"/>
                <w:sz w:val="18"/>
              </w:rPr>
              <w:t>2017-012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2017/2/27</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关于变更募集资金用途并永久补充流动资金的公告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6" w:right="0"/>
              <w:jc w:val="left"/>
              <w:rPr>
                <w:rFonts w:ascii="Times New Roman" w:hAnsi="Times New Roman" w:cs="Times New Roman" w:eastAsia="Times New Roman" w:hint="default"/>
                <w:sz w:val="18"/>
                <w:szCs w:val="18"/>
              </w:rPr>
            </w:pPr>
            <w:r>
              <w:rPr>
                <w:rFonts w:ascii="Times New Roman"/>
                <w:sz w:val="18"/>
              </w:rPr>
              <w:t>2017-013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2017/2/27</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关于回购注销已离职激励对象的限制性股票的公告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6" w:right="0"/>
              <w:jc w:val="left"/>
              <w:rPr>
                <w:rFonts w:ascii="Times New Roman" w:hAnsi="Times New Roman" w:cs="Times New Roman" w:eastAsia="Times New Roman" w:hint="default"/>
                <w:sz w:val="18"/>
                <w:szCs w:val="18"/>
              </w:rPr>
            </w:pPr>
            <w:r>
              <w:rPr>
                <w:rFonts w:ascii="Times New Roman"/>
                <w:sz w:val="18"/>
              </w:rPr>
              <w:t>2017-014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2017/2/27</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减资公告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6" w:right="0"/>
              <w:jc w:val="left"/>
              <w:rPr>
                <w:rFonts w:ascii="Times New Roman" w:hAnsi="Times New Roman" w:cs="Times New Roman" w:eastAsia="Times New Roman" w:hint="default"/>
                <w:sz w:val="18"/>
                <w:szCs w:val="18"/>
              </w:rPr>
            </w:pPr>
            <w:r>
              <w:rPr>
                <w:rFonts w:ascii="Times New Roman"/>
                <w:sz w:val="18"/>
              </w:rPr>
              <w:t>2017-016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2017/2/28</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年度业绩快报</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6" w:right="0"/>
              <w:jc w:val="left"/>
              <w:rPr>
                <w:rFonts w:ascii="Times New Roman" w:hAnsi="Times New Roman" w:cs="Times New Roman" w:eastAsia="Times New Roman" w:hint="default"/>
                <w:sz w:val="18"/>
                <w:szCs w:val="18"/>
              </w:rPr>
            </w:pPr>
            <w:r>
              <w:rPr>
                <w:rFonts w:ascii="Times New Roman"/>
                <w:sz w:val="18"/>
              </w:rPr>
              <w:t>2017-018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2017/3/28</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年年度报告摘要</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6" w:right="0"/>
              <w:jc w:val="left"/>
              <w:rPr>
                <w:rFonts w:ascii="Times New Roman" w:hAnsi="Times New Roman" w:cs="Times New Roman" w:eastAsia="Times New Roman" w:hint="default"/>
                <w:sz w:val="18"/>
                <w:szCs w:val="18"/>
              </w:rPr>
            </w:pPr>
            <w:r>
              <w:rPr>
                <w:rFonts w:ascii="Times New Roman"/>
                <w:sz w:val="18"/>
              </w:rPr>
              <w:t>2017-021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2017/3/28</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关于续聘会计师事务所的公告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6" w:right="0"/>
              <w:jc w:val="left"/>
              <w:rPr>
                <w:rFonts w:ascii="Times New Roman" w:hAnsi="Times New Roman" w:cs="Times New Roman" w:eastAsia="Times New Roman" w:hint="default"/>
                <w:sz w:val="18"/>
                <w:szCs w:val="18"/>
              </w:rPr>
            </w:pPr>
            <w:r>
              <w:rPr>
                <w:rFonts w:ascii="Times New Roman"/>
                <w:sz w:val="18"/>
              </w:rPr>
              <w:t>2017-022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2017/3/28</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年度报告网上业绩说明会的公告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6" w:right="0"/>
              <w:jc w:val="left"/>
              <w:rPr>
                <w:rFonts w:ascii="Times New Roman" w:hAnsi="Times New Roman" w:cs="Times New Roman" w:eastAsia="Times New Roman" w:hint="default"/>
                <w:sz w:val="18"/>
                <w:szCs w:val="18"/>
              </w:rPr>
            </w:pPr>
            <w:r>
              <w:rPr>
                <w:rFonts w:ascii="Times New Roman"/>
                <w:sz w:val="18"/>
              </w:rPr>
              <w:t>2017-023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2017/3/28</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关于重大资产重组业绩承诺实现情况的说明</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6" w:right="0"/>
              <w:jc w:val="left"/>
              <w:rPr>
                <w:rFonts w:ascii="Times New Roman" w:hAnsi="Times New Roman" w:cs="Times New Roman" w:eastAsia="Times New Roman" w:hint="default"/>
                <w:sz w:val="18"/>
                <w:szCs w:val="18"/>
              </w:rPr>
            </w:pPr>
            <w:r>
              <w:rPr>
                <w:rFonts w:ascii="Times New Roman"/>
                <w:sz w:val="18"/>
              </w:rPr>
              <w:t>2017-024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2017/3/28</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关于注销回购注销未达行权解锁条件的股票期权和限制性股票的公告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6" w:right="0"/>
              <w:jc w:val="left"/>
              <w:rPr>
                <w:rFonts w:ascii="Times New Roman" w:hAnsi="Times New Roman" w:cs="Times New Roman" w:eastAsia="Times New Roman" w:hint="default"/>
                <w:sz w:val="18"/>
                <w:szCs w:val="18"/>
              </w:rPr>
            </w:pPr>
            <w:r>
              <w:rPr>
                <w:rFonts w:ascii="Times New Roman"/>
                <w:sz w:val="18"/>
              </w:rPr>
              <w:t>2017-025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2017/3/28</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减资公告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6" w:right="0"/>
              <w:jc w:val="left"/>
              <w:rPr>
                <w:rFonts w:ascii="Times New Roman" w:hAnsi="Times New Roman" w:cs="Times New Roman" w:eastAsia="Times New Roman" w:hint="default"/>
                <w:sz w:val="18"/>
                <w:szCs w:val="18"/>
              </w:rPr>
            </w:pPr>
            <w:r>
              <w:rPr>
                <w:rFonts w:ascii="Times New Roman"/>
                <w:sz w:val="18"/>
              </w:rPr>
              <w:t>2017-026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2017/3/28</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年度日常关联交易情况及</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年度日常关联交易预计的公告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6" w:right="0"/>
              <w:jc w:val="left"/>
              <w:rPr>
                <w:rFonts w:ascii="Times New Roman" w:hAnsi="Times New Roman" w:cs="Times New Roman" w:eastAsia="Times New Roman" w:hint="default"/>
                <w:sz w:val="18"/>
                <w:szCs w:val="18"/>
              </w:rPr>
            </w:pPr>
            <w:r>
              <w:rPr>
                <w:rFonts w:ascii="Times New Roman"/>
                <w:sz w:val="18"/>
              </w:rPr>
              <w:t>2017-027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2017/3/28</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年度募集资金存放与使用情况专项报告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6" w:right="0"/>
              <w:jc w:val="left"/>
              <w:rPr>
                <w:rFonts w:ascii="Times New Roman" w:hAnsi="Times New Roman" w:cs="Times New Roman" w:eastAsia="Times New Roman" w:hint="default"/>
                <w:sz w:val="18"/>
                <w:szCs w:val="18"/>
              </w:rPr>
            </w:pPr>
            <w:r>
              <w:rPr>
                <w:rFonts w:ascii="Times New Roman"/>
                <w:sz w:val="18"/>
              </w:rPr>
              <w:t>2017-030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2017/4/12</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关于非公开发行限售股上市流通的提示性公告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6" w:right="0"/>
              <w:jc w:val="left"/>
              <w:rPr>
                <w:rFonts w:ascii="Times New Roman" w:hAnsi="Times New Roman" w:cs="Times New Roman" w:eastAsia="Times New Roman" w:hint="default"/>
                <w:sz w:val="18"/>
                <w:szCs w:val="18"/>
              </w:rPr>
            </w:pPr>
            <w:r>
              <w:rPr>
                <w:rFonts w:ascii="Times New Roman"/>
                <w:sz w:val="18"/>
              </w:rPr>
              <w:t>2017-031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2017/4/25</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年第一季度报告正文</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6" w:right="0"/>
              <w:jc w:val="left"/>
              <w:rPr>
                <w:rFonts w:ascii="Times New Roman" w:hAnsi="Times New Roman" w:cs="Times New Roman" w:eastAsia="Times New Roman" w:hint="default"/>
                <w:sz w:val="18"/>
                <w:szCs w:val="18"/>
              </w:rPr>
            </w:pPr>
            <w:r>
              <w:rPr>
                <w:rFonts w:ascii="Times New Roman"/>
                <w:sz w:val="18"/>
              </w:rPr>
              <w:t>2017-034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2017/4/29</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关于公司实际控制人股份被质押的公告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6" w:right="0"/>
              <w:jc w:val="left"/>
              <w:rPr>
                <w:rFonts w:ascii="Times New Roman" w:hAnsi="Times New Roman" w:cs="Times New Roman" w:eastAsia="Times New Roman" w:hint="default"/>
                <w:sz w:val="18"/>
                <w:szCs w:val="18"/>
              </w:rPr>
            </w:pPr>
            <w:r>
              <w:rPr>
                <w:rFonts w:ascii="Times New Roman"/>
                <w:sz w:val="18"/>
              </w:rPr>
              <w:t>2017-035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2017/5/5</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关于公司股价异常波动的公告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6" w:right="0"/>
              <w:jc w:val="left"/>
              <w:rPr>
                <w:rFonts w:ascii="Times New Roman" w:hAnsi="Times New Roman" w:cs="Times New Roman" w:eastAsia="Times New Roman" w:hint="default"/>
                <w:sz w:val="18"/>
                <w:szCs w:val="18"/>
              </w:rPr>
            </w:pPr>
            <w:r>
              <w:rPr>
                <w:rFonts w:ascii="Times New Roman"/>
                <w:sz w:val="18"/>
              </w:rPr>
              <w:t>2017-040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2017/5/13</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独立董事公开征集委托投票权报告书</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6" w:right="0"/>
              <w:jc w:val="left"/>
              <w:rPr>
                <w:rFonts w:ascii="Times New Roman" w:hAnsi="Times New Roman" w:cs="Times New Roman" w:eastAsia="Times New Roman" w:hint="default"/>
                <w:sz w:val="18"/>
                <w:szCs w:val="18"/>
              </w:rPr>
            </w:pPr>
            <w:r>
              <w:rPr>
                <w:rFonts w:ascii="Times New Roman"/>
                <w:sz w:val="18"/>
              </w:rPr>
              <w:t>2017-041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2017/5/24</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关于公司股票交易异常波动的公告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65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6" w:right="0"/>
              <w:jc w:val="left"/>
              <w:rPr>
                <w:rFonts w:ascii="Times New Roman" w:hAnsi="Times New Roman" w:cs="Times New Roman" w:eastAsia="Times New Roman" w:hint="default"/>
                <w:sz w:val="18"/>
                <w:szCs w:val="18"/>
              </w:rPr>
            </w:pPr>
            <w:r>
              <w:rPr>
                <w:rFonts w:ascii="Times New Roman"/>
                <w:sz w:val="18"/>
              </w:rPr>
              <w:t>2017-042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2017/6/1</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58"/>
              <w:jc w:val="left"/>
              <w:rPr>
                <w:rFonts w:ascii="宋体" w:hAnsi="宋体" w:cs="宋体" w:eastAsia="宋体" w:hint="default"/>
                <w:sz w:val="18"/>
                <w:szCs w:val="18"/>
              </w:rPr>
            </w:pPr>
            <w:r>
              <w:rPr>
                <w:rFonts w:ascii="宋体" w:hAnsi="宋体" w:cs="宋体" w:eastAsia="宋体" w:hint="default"/>
                <w:sz w:val="18"/>
                <w:szCs w:val="18"/>
              </w:rPr>
              <w:t>监事会关于公司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年度股权激励计划之激励对象名单的公示情况说明及 核查意见</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65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6" w:right="0"/>
              <w:jc w:val="left"/>
              <w:rPr>
                <w:rFonts w:ascii="Times New Roman" w:hAnsi="Times New Roman" w:cs="Times New Roman" w:eastAsia="Times New Roman" w:hint="default"/>
                <w:sz w:val="18"/>
                <w:szCs w:val="18"/>
              </w:rPr>
            </w:pPr>
            <w:r>
              <w:rPr>
                <w:rFonts w:ascii="Times New Roman"/>
                <w:sz w:val="18"/>
              </w:rPr>
              <w:t>2017-044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2017/6/6</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59"/>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年度限制性股票激励计划内幕信息知情人买卖公司股票情况的自 查报告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6" w:right="0"/>
              <w:jc w:val="left"/>
              <w:rPr>
                <w:rFonts w:ascii="Times New Roman" w:hAnsi="Times New Roman" w:cs="Times New Roman" w:eastAsia="Times New Roman" w:hint="default"/>
                <w:sz w:val="18"/>
                <w:szCs w:val="18"/>
              </w:rPr>
            </w:pPr>
            <w:r>
              <w:rPr>
                <w:rFonts w:ascii="Times New Roman"/>
                <w:sz w:val="18"/>
              </w:rPr>
              <w:t>2017-047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2017/6/7</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关于向</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年度限制性股票激励计划激励对象授予限制性股票的公告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6" w:right="0"/>
              <w:jc w:val="left"/>
              <w:rPr>
                <w:rFonts w:ascii="Times New Roman" w:hAnsi="Times New Roman" w:cs="Times New Roman" w:eastAsia="Times New Roman" w:hint="default"/>
                <w:sz w:val="18"/>
                <w:szCs w:val="18"/>
              </w:rPr>
            </w:pPr>
            <w:r>
              <w:rPr>
                <w:rFonts w:ascii="Times New Roman"/>
                <w:sz w:val="18"/>
              </w:rPr>
              <w:t>2017-049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2017/6/7</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关于公司实际控制人股份被质押的公告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6" w:right="0"/>
              <w:jc w:val="left"/>
              <w:rPr>
                <w:rFonts w:ascii="Times New Roman" w:hAnsi="Times New Roman" w:cs="Times New Roman" w:eastAsia="Times New Roman" w:hint="default"/>
                <w:sz w:val="18"/>
                <w:szCs w:val="18"/>
              </w:rPr>
            </w:pPr>
            <w:r>
              <w:rPr>
                <w:rFonts w:ascii="Times New Roman"/>
                <w:sz w:val="18"/>
              </w:rPr>
              <w:t>2017-051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2017/6/13</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关于股票期权注销完成的公告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6" w:right="0"/>
              <w:jc w:val="left"/>
              <w:rPr>
                <w:rFonts w:ascii="Times New Roman" w:hAnsi="Times New Roman" w:cs="Times New Roman" w:eastAsia="Times New Roman" w:hint="default"/>
                <w:sz w:val="18"/>
                <w:szCs w:val="18"/>
              </w:rPr>
            </w:pPr>
            <w:r>
              <w:rPr>
                <w:rFonts w:ascii="Times New Roman"/>
                <w:sz w:val="18"/>
              </w:rPr>
              <w:t>2017-052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2017/6/22</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关于深圳证券交易所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年年报问询函回复的公告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6" w:right="0"/>
              <w:jc w:val="left"/>
              <w:rPr>
                <w:rFonts w:ascii="Times New Roman" w:hAnsi="Times New Roman" w:cs="Times New Roman" w:eastAsia="Times New Roman" w:hint="default"/>
                <w:sz w:val="18"/>
                <w:szCs w:val="18"/>
              </w:rPr>
            </w:pPr>
            <w:r>
              <w:rPr>
                <w:rFonts w:ascii="Times New Roman"/>
                <w:sz w:val="18"/>
              </w:rPr>
              <w:t>2017-053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2017/6/22</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关于选举第五届监事会职工代表监事的公告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880" w:right="88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994"/>
        <w:gridCol w:w="991"/>
        <w:gridCol w:w="5838"/>
        <w:gridCol w:w="2101"/>
      </w:tblGrid>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2017-057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2017/6/30</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关于限制性股票回购注销完成的公告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2017-058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2017/7/5</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关于募集资金监管专户销户的公告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2017-059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2017/7/18</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2017-060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2017/7/19</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年度限制性股票首次授予登记完成的公告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2017-061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2017/8/1</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关于实际控制人、控股股东股份增持计划的公告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2017-063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2017/8/10</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关于选举并聘任高礼强先生为公司董事、总裁的公告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2017-064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2017/8/17</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关于对外投资的进展公告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2017-065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2017/8/19</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关于与易信视界战略合作实施进展的公告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2017-066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2017/8/22</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年半年度报告摘要</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2017-069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2017/8/22</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年半年度募集资金存放与使用情况专项报告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2017-070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2017/8/22</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关于公司会计政策变更的公告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2017-071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2017/8/22</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关于调整和增加</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年度日常关联交易预计的公告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2017-075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2017/9/9</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关于开展远期外汇交易业务的公告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2017-077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2017/9/9</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关于变更重大资产重组财务顾问主办人的公告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2017-078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2017/9/19</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关于公司所属行业类别变更的公告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2017-079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2017/10/23</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年第三季度报告正文</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2017-084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2017/11/3</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关于延长使用部分自有闲置资金进行现金管理决议有效期的公告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2017-085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2017/11/3</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关于聘任财务负责人的公告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2017-086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2017/11/3</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关于回购注销已离职激励对象的限制性股票的公告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2017-087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2017/11/3</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减资公告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2017-089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2017/11/3</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关于实际控制人、控股股东增持计划完成的公告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2017-090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2017/11/16</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关于公司实际控制人股份被质押的公告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2017-091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2017/11/21</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关于公司实际控制人部分股份解除质押的公告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2017-093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2017/11/24</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关于公司实际控制人股份被质押的公告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2017-094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2017/11/29</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关于公司实际控制人股份被质押的公告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2017-095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2017/12/1</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关于公司实际控制人股份被质押的公告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2017-096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2017/12/20</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关于公司实际控制人部分股份解除质押的公告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2017-098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2017/12/21</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关于公司实际控制人股份被质押的公告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2017/12/23</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关于限制性股票回购注销完成的公告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line="240" w:lineRule="auto" w:before="1"/>
        <w:rPr>
          <w:rFonts w:ascii="宋体" w:hAnsi="宋体" w:cs="宋体" w:eastAsia="宋体" w:hint="default"/>
          <w:sz w:val="18"/>
          <w:szCs w:val="18"/>
        </w:rPr>
      </w:pPr>
    </w:p>
    <w:p>
      <w:pPr>
        <w:pStyle w:val="Heading2"/>
        <w:spacing w:line="240" w:lineRule="auto" w:before="26"/>
        <w:ind w:left="252" w:right="4834"/>
        <w:jc w:val="left"/>
        <w:rPr>
          <w:b w:val="0"/>
          <w:bCs w:val="0"/>
        </w:rPr>
      </w:pPr>
      <w:r>
        <w:rPr/>
        <w:t>二十、公司子公司重大事项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52" w:right="48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233" w:type="dxa"/>
        <w:tblLayout w:type="fixed"/>
        <w:tblCellMar>
          <w:top w:w="0" w:type="dxa"/>
          <w:left w:w="0" w:type="dxa"/>
          <w:bottom w:w="0" w:type="dxa"/>
          <w:right w:w="0" w:type="dxa"/>
        </w:tblCellMar>
        <w:tblLook w:val="01E0"/>
      </w:tblPr>
      <w:tblGrid>
        <w:gridCol w:w="1080"/>
        <w:gridCol w:w="1118"/>
        <w:gridCol w:w="4763"/>
        <w:gridCol w:w="2554"/>
      </w:tblGrid>
      <w:tr>
        <w:trPr>
          <w:trHeight w:val="322" w:hRule="exact"/>
        </w:trPr>
        <w:tc>
          <w:tcPr>
            <w:tcW w:w="10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83"/>
              <w:jc w:val="right"/>
              <w:rPr>
                <w:rFonts w:ascii="宋体" w:hAnsi="宋体" w:cs="宋体" w:eastAsia="宋体" w:hint="default"/>
                <w:sz w:val="18"/>
                <w:szCs w:val="18"/>
              </w:rPr>
            </w:pPr>
            <w:r>
              <w:rPr>
                <w:rFonts w:ascii="宋体" w:hAnsi="宋体" w:cs="宋体" w:eastAsia="宋体" w:hint="default"/>
                <w:b/>
                <w:bCs/>
                <w:w w:val="95"/>
                <w:sz w:val="18"/>
                <w:szCs w:val="18"/>
              </w:rPr>
              <w:t>公告编号</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b/>
                <w:bCs/>
                <w:w w:val="95"/>
                <w:sz w:val="18"/>
                <w:szCs w:val="18"/>
              </w:rPr>
              <w:t>公告日期</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7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92" w:right="0"/>
              <w:jc w:val="center"/>
              <w:rPr>
                <w:rFonts w:ascii="宋体" w:hAnsi="宋体" w:cs="宋体" w:eastAsia="宋体" w:hint="default"/>
                <w:sz w:val="18"/>
                <w:szCs w:val="18"/>
              </w:rPr>
            </w:pPr>
            <w:r>
              <w:rPr>
                <w:rFonts w:ascii="宋体" w:hAnsi="宋体" w:cs="宋体" w:eastAsia="宋体" w:hint="default"/>
                <w:b/>
                <w:bCs/>
                <w:sz w:val="18"/>
                <w:szCs w:val="18"/>
              </w:rPr>
              <w:t>文件名称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92" w:right="0"/>
              <w:jc w:val="center"/>
              <w:rPr>
                <w:rFonts w:ascii="宋体" w:hAnsi="宋体" w:cs="宋体" w:eastAsia="宋体" w:hint="default"/>
                <w:sz w:val="18"/>
                <w:szCs w:val="18"/>
              </w:rPr>
            </w:pPr>
            <w:r>
              <w:rPr>
                <w:rFonts w:ascii="宋体" w:hAnsi="宋体" w:cs="宋体" w:eastAsia="宋体" w:hint="default"/>
                <w:b/>
                <w:bCs/>
                <w:sz w:val="18"/>
                <w:szCs w:val="18"/>
              </w:rPr>
              <w:t>刊登媒体</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pacing w:val="-1"/>
                <w:sz w:val="18"/>
              </w:rPr>
              <w:t>2017-001</w:t>
            </w:r>
            <w:r>
              <w:rPr>
                <w:rFonts w:ascii="宋体"/>
                <w:sz w:val="18"/>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2017/1/3</w:t>
            </w:r>
            <w:r>
              <w:rPr>
                <w:rFonts w:ascii="宋体"/>
                <w:sz w:val="18"/>
              </w:rPr>
              <w:t> </w:t>
            </w:r>
          </w:p>
        </w:tc>
        <w:tc>
          <w:tcPr>
            <w:tcW w:w="4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关于投资设立控股孙公司的公告</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3" w:right="0"/>
              <w:jc w:val="center"/>
              <w:rPr>
                <w:rFonts w:ascii="宋体" w:hAnsi="宋体" w:cs="宋体" w:eastAsia="宋体" w:hint="default"/>
                <w:sz w:val="18"/>
                <w:szCs w:val="18"/>
              </w:rPr>
            </w:pPr>
            <w:hyperlink r:id="rId12">
              <w:r>
                <w:rPr>
                  <w:rFonts w:ascii="宋体"/>
                  <w:sz w:val="18"/>
                </w:rPr>
                <w:t>http://www.cninfo.com.cn/</w:t>
              </w:r>
            </w:hyperlink>
            <w:r>
              <w:rPr>
                <w:rFonts w:ascii="宋体"/>
                <w:sz w:val="18"/>
              </w:rPr>
              <w:t> </w:t>
            </w:r>
          </w:p>
        </w:tc>
      </w:tr>
      <w:tr>
        <w:trPr>
          <w:trHeight w:val="63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3"/>
              <w:jc w:val="right"/>
              <w:rPr>
                <w:rFonts w:ascii="宋体" w:hAnsi="宋体" w:cs="宋体" w:eastAsia="宋体" w:hint="default"/>
                <w:sz w:val="18"/>
                <w:szCs w:val="18"/>
              </w:rPr>
            </w:pPr>
            <w:r>
              <w:rPr>
                <w:rFonts w:ascii="宋体"/>
                <w:spacing w:val="-1"/>
                <w:sz w:val="18"/>
              </w:rPr>
              <w:t>2017-006</w:t>
            </w:r>
            <w:r>
              <w:rPr>
                <w:rFonts w:ascii="宋体"/>
                <w:sz w:val="18"/>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6"/>
              <w:jc w:val="right"/>
              <w:rPr>
                <w:rFonts w:ascii="宋体" w:hAnsi="宋体" w:cs="宋体" w:eastAsia="宋体" w:hint="default"/>
                <w:sz w:val="18"/>
                <w:szCs w:val="18"/>
              </w:rPr>
            </w:pPr>
            <w:r>
              <w:rPr>
                <w:rFonts w:ascii="宋体"/>
                <w:spacing w:val="-1"/>
                <w:sz w:val="18"/>
              </w:rPr>
              <w:t>2017/1/25</w:t>
            </w:r>
            <w:r>
              <w:rPr>
                <w:rFonts w:ascii="宋体"/>
                <w:sz w:val="18"/>
              </w:rPr>
              <w:t> </w:t>
            </w:r>
          </w:p>
        </w:tc>
        <w:tc>
          <w:tcPr>
            <w:tcW w:w="47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45"/>
              <w:jc w:val="left"/>
              <w:rPr>
                <w:rFonts w:ascii="宋体" w:hAnsi="宋体" w:cs="宋体" w:eastAsia="宋体" w:hint="default"/>
                <w:sz w:val="18"/>
                <w:szCs w:val="18"/>
              </w:rPr>
            </w:pPr>
            <w:r>
              <w:rPr>
                <w:rFonts w:ascii="宋体" w:hAnsi="宋体" w:cs="宋体" w:eastAsia="宋体" w:hint="default"/>
                <w:sz w:val="18"/>
                <w:szCs w:val="18"/>
              </w:rPr>
              <w:t>深圳市麦达数字股份有限公司关于控股子公司实益达取得 高新技术企业证书的公告</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3" w:right="0"/>
              <w:jc w:val="center"/>
              <w:rPr>
                <w:rFonts w:ascii="宋体" w:hAnsi="宋体" w:cs="宋体" w:eastAsia="宋体" w:hint="default"/>
                <w:sz w:val="18"/>
                <w:szCs w:val="18"/>
              </w:rPr>
            </w:pPr>
            <w:hyperlink r:id="rId12">
              <w:r>
                <w:rPr>
                  <w:rFonts w:ascii="宋体"/>
                  <w:sz w:val="18"/>
                </w:rPr>
                <w:t>http://www.cninfo.com.cn/</w:t>
              </w:r>
            </w:hyperlink>
            <w:r>
              <w:rPr>
                <w:rFonts w:ascii="宋体"/>
                <w:sz w:val="18"/>
              </w:rPr>
              <w:t> </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pacing w:val="-1"/>
                <w:sz w:val="18"/>
              </w:rPr>
              <w:t>2017-028</w:t>
            </w:r>
            <w:r>
              <w:rPr>
                <w:rFonts w:ascii="宋体"/>
                <w:sz w:val="18"/>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2017/4/7</w:t>
            </w:r>
            <w:r>
              <w:rPr>
                <w:rFonts w:ascii="宋体"/>
                <w:sz w:val="18"/>
              </w:rPr>
              <w:t> </w:t>
            </w:r>
          </w:p>
        </w:tc>
        <w:tc>
          <w:tcPr>
            <w:tcW w:w="4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关于参股公司奇异果互动获准挂牌新三板的公告</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5" w:right="0"/>
              <w:jc w:val="center"/>
              <w:rPr>
                <w:rFonts w:ascii="宋体" w:hAnsi="宋体" w:cs="宋体" w:eastAsia="宋体" w:hint="default"/>
                <w:sz w:val="18"/>
                <w:szCs w:val="18"/>
              </w:rPr>
            </w:pPr>
            <w:hyperlink r:id="rId12">
              <w:r>
                <w:rPr>
                  <w:rFonts w:ascii="宋体"/>
                  <w:sz w:val="18"/>
                </w:rPr>
                <w:t>http://www.cninfo.com.cn/</w:t>
              </w:r>
            </w:hyperlink>
            <w:r>
              <w:rPr>
                <w:rFonts w:ascii="宋体"/>
                <w:sz w:val="18"/>
              </w:rPr>
              <w:t> </w:t>
            </w:r>
          </w:p>
        </w:tc>
      </w:tr>
      <w:tr>
        <w:trPr>
          <w:trHeight w:val="32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spacing w:val="-1"/>
                <w:sz w:val="18"/>
              </w:rPr>
              <w:t>2017-029</w:t>
            </w:r>
            <w:r>
              <w:rPr>
                <w:rFonts w:ascii="宋体"/>
                <w:sz w:val="18"/>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right"/>
              <w:rPr>
                <w:rFonts w:ascii="宋体" w:hAnsi="宋体" w:cs="宋体" w:eastAsia="宋体" w:hint="default"/>
                <w:sz w:val="18"/>
                <w:szCs w:val="18"/>
              </w:rPr>
            </w:pPr>
            <w:r>
              <w:rPr>
                <w:rFonts w:ascii="宋体"/>
                <w:spacing w:val="-1"/>
                <w:sz w:val="18"/>
              </w:rPr>
              <w:t>2017/4/12</w:t>
            </w:r>
            <w:r>
              <w:rPr>
                <w:rFonts w:ascii="宋体"/>
                <w:sz w:val="18"/>
              </w:rPr>
              <w:t> </w:t>
            </w:r>
          </w:p>
        </w:tc>
        <w:tc>
          <w:tcPr>
            <w:tcW w:w="4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关于控股子公司筹划重大事项的公告</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3" w:right="0"/>
              <w:jc w:val="center"/>
              <w:rPr>
                <w:rFonts w:ascii="宋体" w:hAnsi="宋体" w:cs="宋体" w:eastAsia="宋体" w:hint="default"/>
                <w:sz w:val="18"/>
                <w:szCs w:val="18"/>
              </w:rPr>
            </w:pPr>
            <w:hyperlink r:id="rId12">
              <w:r>
                <w:rPr>
                  <w:rFonts w:ascii="宋体"/>
                  <w:sz w:val="18"/>
                </w:rPr>
                <w:t>http://www.cninfo.com.cn/</w:t>
              </w:r>
            </w:hyperlink>
            <w:r>
              <w:rPr>
                <w:rFonts w:ascii="宋体"/>
                <w:sz w:val="18"/>
              </w:rPr>
              <w:t> </w:t>
            </w:r>
          </w:p>
        </w:tc>
      </w:tr>
      <w:tr>
        <w:trPr>
          <w:trHeight w:val="63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3"/>
              <w:jc w:val="right"/>
              <w:rPr>
                <w:rFonts w:ascii="宋体" w:hAnsi="宋体" w:cs="宋体" w:eastAsia="宋体" w:hint="default"/>
                <w:sz w:val="18"/>
                <w:szCs w:val="18"/>
              </w:rPr>
            </w:pPr>
            <w:r>
              <w:rPr>
                <w:rFonts w:ascii="宋体"/>
                <w:spacing w:val="-1"/>
                <w:sz w:val="18"/>
              </w:rPr>
              <w:t>2017-050</w:t>
            </w:r>
            <w:r>
              <w:rPr>
                <w:rFonts w:ascii="宋体"/>
                <w:sz w:val="18"/>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2017/6/8</w:t>
            </w:r>
            <w:r>
              <w:rPr>
                <w:rFonts w:ascii="宋体"/>
                <w:sz w:val="18"/>
              </w:rPr>
              <w:t> </w:t>
            </w:r>
          </w:p>
        </w:tc>
        <w:tc>
          <w:tcPr>
            <w:tcW w:w="47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96"/>
              <w:jc w:val="left"/>
              <w:rPr>
                <w:rFonts w:ascii="宋体" w:hAnsi="宋体" w:cs="宋体" w:eastAsia="宋体" w:hint="default"/>
                <w:sz w:val="18"/>
                <w:szCs w:val="18"/>
              </w:rPr>
            </w:pPr>
            <w:r>
              <w:rPr>
                <w:rFonts w:ascii="宋体" w:hAnsi="宋体" w:cs="宋体" w:eastAsia="宋体" w:hint="default"/>
                <w:sz w:val="18"/>
                <w:szCs w:val="18"/>
              </w:rPr>
              <w:t>关于深圳市六度人和科技有限公司达成</w:t>
            </w:r>
            <w:r>
              <w:rPr>
                <w:rFonts w:ascii="宋体" w:hAnsi="宋体" w:cs="宋体" w:eastAsia="宋体" w:hint="default"/>
                <w:spacing w:val="-67"/>
                <w:sz w:val="18"/>
                <w:szCs w:val="18"/>
              </w:rPr>
              <w:t> </w:t>
            </w:r>
            <w:r>
              <w:rPr>
                <w:rFonts w:ascii="宋体" w:hAnsi="宋体" w:cs="宋体" w:eastAsia="宋体" w:hint="default"/>
                <w:sz w:val="18"/>
                <w:szCs w:val="18"/>
              </w:rPr>
              <w:t>2016</w:t>
            </w:r>
            <w:r>
              <w:rPr>
                <w:rFonts w:ascii="宋体" w:hAnsi="宋体" w:cs="宋体" w:eastAsia="宋体" w:hint="default"/>
                <w:spacing w:val="-66"/>
                <w:sz w:val="18"/>
                <w:szCs w:val="18"/>
              </w:rPr>
              <w:t> </w:t>
            </w:r>
            <w:r>
              <w:rPr>
                <w:rFonts w:ascii="宋体" w:hAnsi="宋体" w:cs="宋体" w:eastAsia="宋体" w:hint="default"/>
                <w:sz w:val="18"/>
                <w:szCs w:val="18"/>
              </w:rPr>
              <w:t>年度业绩承诺 的情况说明</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3" w:right="0"/>
              <w:jc w:val="center"/>
              <w:rPr>
                <w:rFonts w:ascii="宋体" w:hAnsi="宋体" w:cs="宋体" w:eastAsia="宋体" w:hint="default"/>
                <w:sz w:val="18"/>
                <w:szCs w:val="18"/>
              </w:rPr>
            </w:pPr>
            <w:hyperlink r:id="rId12">
              <w:r>
                <w:rPr>
                  <w:rFonts w:ascii="宋体"/>
                  <w:sz w:val="18"/>
                </w:rPr>
                <w:t>http://www.cninfo.com.cn/</w:t>
              </w:r>
            </w:hyperlink>
            <w:r>
              <w:rPr>
                <w:rFonts w:ascii="宋体"/>
                <w:sz w:val="18"/>
              </w:rPr>
              <w:t> </w:t>
            </w:r>
          </w:p>
        </w:tc>
      </w:tr>
    </w:tbl>
    <w:p>
      <w:pPr>
        <w:spacing w:after="0" w:line="240" w:lineRule="auto"/>
        <w:jc w:val="center"/>
        <w:rPr>
          <w:rFonts w:ascii="宋体" w:hAnsi="宋体" w:cs="宋体" w:eastAsia="宋体" w:hint="default"/>
          <w:sz w:val="18"/>
          <w:szCs w:val="18"/>
        </w:rPr>
        <w:sectPr>
          <w:pgSz w:w="11910" w:h="16840"/>
          <w:pgMar w:header="745" w:footer="980" w:top="1060" w:bottom="1160" w:left="880" w:right="880"/>
        </w:sectPr>
      </w:pPr>
    </w:p>
    <w:p>
      <w:pPr>
        <w:spacing w:line="240" w:lineRule="auto" w:before="2"/>
        <w:rPr>
          <w:rFonts w:ascii="宋体" w:hAnsi="宋体" w:cs="宋体" w:eastAsia="宋体" w:hint="default"/>
          <w:sz w:val="28"/>
          <w:szCs w:val="28"/>
        </w:rPr>
      </w:pPr>
    </w:p>
    <w:tbl>
      <w:tblPr>
        <w:tblW w:w="0" w:type="auto"/>
        <w:jc w:val="left"/>
        <w:tblInd w:w="653" w:type="dxa"/>
        <w:tblLayout w:type="fixed"/>
        <w:tblCellMar>
          <w:top w:w="0" w:type="dxa"/>
          <w:left w:w="0" w:type="dxa"/>
          <w:bottom w:w="0" w:type="dxa"/>
          <w:right w:w="0" w:type="dxa"/>
        </w:tblCellMar>
        <w:tblLook w:val="01E0"/>
      </w:tblPr>
      <w:tblGrid>
        <w:gridCol w:w="1080"/>
        <w:gridCol w:w="1118"/>
        <w:gridCol w:w="4763"/>
        <w:gridCol w:w="2554"/>
      </w:tblGrid>
      <w:tr>
        <w:trPr>
          <w:trHeight w:val="317" w:hRule="exact"/>
        </w:trPr>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pacing w:val="-1"/>
                <w:sz w:val="18"/>
              </w:rPr>
              <w:t>2017-097</w:t>
            </w:r>
            <w:r>
              <w:rPr>
                <w:rFonts w:ascii="宋体"/>
                <w:sz w:val="18"/>
              </w:rPr>
              <w:t> </w:t>
            </w:r>
          </w:p>
        </w:tc>
        <w:tc>
          <w:tcPr>
            <w:tcW w:w="11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2017/12/21</w:t>
            </w:r>
            <w:r>
              <w:rPr>
                <w:rFonts w:ascii="宋体"/>
                <w:sz w:val="18"/>
              </w:rPr>
              <w:t> </w:t>
            </w:r>
          </w:p>
        </w:tc>
        <w:tc>
          <w:tcPr>
            <w:tcW w:w="47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关于控股子公司获得发明专利的公告</w:t>
            </w:r>
            <w:r>
              <w:rPr>
                <w:rFonts w:ascii="宋体" w:hAnsi="宋体" w:cs="宋体" w:eastAsia="宋体" w:hint="default"/>
                <w:sz w:val="18"/>
                <w:szCs w:val="18"/>
              </w:rPr>
              <w:t> </w:t>
            </w:r>
          </w:p>
        </w:tc>
        <w:tc>
          <w:tcPr>
            <w:tcW w:w="25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14"/>
              <w:jc w:val="right"/>
              <w:rPr>
                <w:rFonts w:ascii="宋体" w:hAnsi="宋体" w:cs="宋体" w:eastAsia="宋体" w:hint="default"/>
                <w:sz w:val="18"/>
                <w:szCs w:val="18"/>
              </w:rPr>
            </w:pPr>
            <w:hyperlink r:id="rId12">
              <w:r>
                <w:rPr>
                  <w:rFonts w:ascii="宋体"/>
                  <w:spacing w:val="-1"/>
                  <w:sz w:val="18"/>
                </w:rPr>
                <w:t>http://www.cninfo.com.cn/</w:t>
              </w:r>
            </w:hyperlink>
            <w:r>
              <w:rPr>
                <w:rFonts w:ascii="宋体"/>
                <w:sz w:val="18"/>
              </w:rPr>
              <w:t> </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pacing w:val="-1"/>
                <w:sz w:val="18"/>
              </w:rPr>
              <w:t>2017-099</w:t>
            </w:r>
            <w:r>
              <w:rPr>
                <w:rFonts w:ascii="宋体"/>
                <w:sz w:val="18"/>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2017/12/23</w:t>
            </w:r>
            <w:r>
              <w:rPr>
                <w:rFonts w:ascii="宋体"/>
                <w:sz w:val="18"/>
              </w:rPr>
              <w:t> </w:t>
            </w:r>
          </w:p>
        </w:tc>
        <w:tc>
          <w:tcPr>
            <w:tcW w:w="4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关于控股子公司汇大光电取得高新技术企业证书的公告</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
              <w:jc w:val="right"/>
              <w:rPr>
                <w:rFonts w:ascii="宋体" w:hAnsi="宋体" w:cs="宋体" w:eastAsia="宋体" w:hint="default"/>
                <w:sz w:val="18"/>
                <w:szCs w:val="18"/>
              </w:rPr>
            </w:pPr>
            <w:hyperlink r:id="rId12">
              <w:r>
                <w:rPr>
                  <w:rFonts w:ascii="宋体"/>
                  <w:spacing w:val="-1"/>
                  <w:sz w:val="18"/>
                </w:rPr>
                <w:t>http://www.cninfo.com.cn/</w:t>
              </w:r>
            </w:hyperlink>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left="672" w:right="0"/>
        <w:jc w:val="both"/>
        <w:rPr>
          <w:b w:val="0"/>
          <w:bCs w:val="0"/>
        </w:rPr>
      </w:pPr>
      <w:r>
        <w:rPr/>
        <w:t>二十一、</w:t>
      </w:r>
      <w:r>
        <w:rPr>
          <w:spacing w:val="-2"/>
        </w:rPr>
        <w:t> </w:t>
      </w:r>
      <w:r>
        <w:rPr/>
        <w:t>使用自有资金用于现金管理事项</w:t>
      </w:r>
      <w:r>
        <w:rPr>
          <w:b w:val="0"/>
          <w:bCs w:val="0"/>
        </w:rPr>
      </w:r>
    </w:p>
    <w:p>
      <w:pPr>
        <w:spacing w:line="240" w:lineRule="auto" w:before="5"/>
        <w:rPr>
          <w:rFonts w:ascii="宋体" w:hAnsi="宋体" w:cs="宋体" w:eastAsia="宋体" w:hint="default"/>
          <w:b/>
          <w:bCs/>
          <w:sz w:val="23"/>
          <w:szCs w:val="23"/>
        </w:rPr>
      </w:pPr>
    </w:p>
    <w:p>
      <w:pPr>
        <w:spacing w:line="338" w:lineRule="auto" w:before="0"/>
        <w:ind w:left="1052" w:right="614" w:hanging="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、使用自有资金现金管理事宜：</w:t>
      </w:r>
      <w:r>
        <w:rPr>
          <w:rFonts w:ascii="宋体" w:hAnsi="宋体" w:cs="宋体" w:eastAsia="宋体" w:hint="default"/>
          <w:b/>
          <w:bCs/>
          <w:w w:val="99"/>
          <w:sz w:val="18"/>
          <w:szCs w:val="18"/>
        </w:rPr>
        <w:t> </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日召开第四届董事会第二十三次会议，审议通过了《关于使用部分自有闲置资金进行现金管理的议</w:t>
      </w:r>
    </w:p>
    <w:p>
      <w:pPr>
        <w:pStyle w:val="BodyText"/>
        <w:spacing w:line="345" w:lineRule="auto" w:before="19"/>
        <w:ind w:left="672" w:right="547"/>
        <w:jc w:val="both"/>
      </w:pPr>
      <w:r>
        <w:rPr>
          <w:spacing w:val="-1"/>
        </w:rPr>
        <w:t>案》，同意公司在不影响正常经营及业务发展的情况下，使用不超过人民币</w:t>
      </w:r>
      <w:r>
        <w:rPr>
          <w:rFonts w:ascii="Times New Roman" w:hAnsi="Times New Roman" w:cs="Times New Roman" w:eastAsia="Times New Roman" w:hint="default"/>
          <w:spacing w:val="-1"/>
        </w:rPr>
        <w:t>30,000</w:t>
      </w:r>
      <w:r>
        <w:rPr>
          <w:spacing w:val="-1"/>
        </w:rPr>
        <w:t>万元的自有资金购买银行或其他金融机构</w:t>
      </w:r>
      <w:r>
        <w:rPr>
          <w:spacing w:val="-74"/>
        </w:rPr>
        <w:t> </w:t>
      </w:r>
      <w:r>
        <w:rPr>
          <w:spacing w:val="-74"/>
        </w:rPr>
      </w:r>
      <w:r>
        <w:rPr>
          <w:spacing w:val="-2"/>
        </w:rPr>
        <w:t>的保本型理财产品、结构性存款产品等保本型投资产品，有效期至股东大会审议通过之日起十二个月，资金可在上述额度内</w:t>
      </w:r>
      <w:r>
        <w:rPr>
          <w:spacing w:val="-63"/>
        </w:rPr>
        <w:t> </w:t>
      </w:r>
      <w:r>
        <w:rPr>
          <w:spacing w:val="-63"/>
        </w:rPr>
      </w:r>
      <w:r>
        <w:rPr>
          <w:spacing w:val="-5"/>
        </w:rPr>
        <w:t>滚动使用。上述议案已经公司于</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25</w:t>
      </w:r>
      <w:r>
        <w:rPr>
          <w:spacing w:val="-5"/>
        </w:rPr>
        <w:t>日召开的</w:t>
      </w:r>
      <w:r>
        <w:rPr>
          <w:rFonts w:ascii="Times New Roman" w:hAnsi="Times New Roman" w:cs="Times New Roman" w:eastAsia="Times New Roman" w:hint="default"/>
          <w:spacing w:val="-5"/>
        </w:rPr>
        <w:t>2016</w:t>
      </w:r>
      <w:r>
        <w:rPr>
          <w:spacing w:val="-5"/>
        </w:rPr>
        <w:t>年度第一次临时股东大会审议通过。</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15</w:t>
      </w:r>
      <w:r>
        <w:rPr>
          <w:spacing w:val="-5"/>
        </w:rPr>
        <w:t>日，公司召开</w:t>
      </w:r>
      <w:r>
        <w:rPr>
          <w:rFonts w:ascii="Times New Roman" w:hAnsi="Times New Roman" w:cs="Times New Roman" w:eastAsia="Times New Roman" w:hint="default"/>
          <w:spacing w:val="-5"/>
        </w:rPr>
        <w:t>2016</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spacing w:val="-2"/>
        </w:rPr>
        <w:t>年度第二次临时股东大会，审议通过了《关于增加自有资金现金管理额度的议案》，将公司使用自有资金进行现金管理的额</w:t>
      </w:r>
      <w:r>
        <w:rPr>
          <w:spacing w:val="-64"/>
        </w:rPr>
        <w:t> </w:t>
      </w:r>
      <w:r>
        <w:rPr>
          <w:spacing w:val="-64"/>
        </w:rPr>
      </w:r>
      <w:r>
        <w:rPr/>
        <w:t>度提高至</w:t>
      </w:r>
      <w:r>
        <w:rPr>
          <w:rFonts w:ascii="Times New Roman" w:hAnsi="Times New Roman" w:cs="Times New Roman" w:eastAsia="Times New Roman" w:hint="default"/>
        </w:rPr>
        <w:t>60,000</w:t>
      </w:r>
      <w:r>
        <w:rPr/>
        <w:t>万元；</w:t>
      </w:r>
      <w:r>
        <w:rPr>
          <w:spacing w:val="-40"/>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日，公司召开</w:t>
      </w:r>
      <w:r>
        <w:rPr>
          <w:rFonts w:ascii="Times New Roman" w:hAnsi="Times New Roman" w:cs="Times New Roman" w:eastAsia="Times New Roman" w:hint="default"/>
        </w:rPr>
        <w:t>2016</w:t>
      </w:r>
      <w:r>
        <w:rPr/>
        <w:t>年度第三次临时股东大会，审议通过了《关于增加自有资金现金管理 额度的议案》，将公司使用自有资金进行现金管理的额度提高至不超过人民币 </w:t>
      </w:r>
      <w:r>
        <w:rPr>
          <w:rFonts w:ascii="Times New Roman" w:hAnsi="Times New Roman" w:cs="Times New Roman" w:eastAsia="Times New Roman" w:hint="default"/>
        </w:rPr>
        <w:t>100,000</w:t>
      </w:r>
      <w:r>
        <w:rPr>
          <w:rFonts w:ascii="Times New Roman" w:hAnsi="Times New Roman" w:cs="Times New Roman" w:eastAsia="Times New Roman" w:hint="default"/>
          <w:spacing w:val="7"/>
        </w:rPr>
        <w:t> </w:t>
      </w:r>
      <w:r>
        <w:rPr/>
        <w:t>万元。</w:t>
      </w:r>
    </w:p>
    <w:p>
      <w:pPr>
        <w:pStyle w:val="BodyText"/>
        <w:spacing w:line="338" w:lineRule="auto" w:before="13"/>
        <w:ind w:left="672" w:right="0" w:firstLine="288"/>
        <w:jc w:val="left"/>
      </w:pPr>
      <w:r>
        <w:rPr/>
        <w:t>鉴于上述决议有效期将于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日期满，为提高公司自有资金使用效率，提高公司现金资产的收益，公司于</w:t>
      </w:r>
      <w:r>
        <w:rPr>
          <w:rFonts w:ascii="Times New Roman" w:hAnsi="Times New Roman" w:cs="Times New Roman" w:eastAsia="Times New Roman" w:hint="default"/>
        </w:rPr>
        <w:t>2016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日召开第四届董事会第三十三次会议，审议通过了《关于延长使用部分自有闲置资金进行现金管理决议有效期的议</w:t>
      </w:r>
      <w:r>
        <w:rPr>
          <w:spacing w:val="-62"/>
        </w:rPr>
        <w:t> </w:t>
      </w:r>
      <w:r>
        <w:rPr>
          <w:spacing w:val="-62"/>
        </w:rPr>
      </w:r>
      <w:r>
        <w:rPr>
          <w:spacing w:val="-2"/>
        </w:rPr>
        <w:t>案》，同意公司使用部分自有闲置资金进行现金管理的期限到期后继续延长</w:t>
      </w:r>
      <w:r>
        <w:rPr>
          <w:rFonts w:ascii="Times New Roman" w:hAnsi="Times New Roman" w:cs="Times New Roman" w:eastAsia="Times New Roman" w:hint="default"/>
          <w:spacing w:val="-2"/>
        </w:rPr>
        <w:t>12</w:t>
      </w:r>
      <w:r>
        <w:rPr>
          <w:spacing w:val="-2"/>
        </w:rPr>
        <w:t>个月。在额度范围内同意授权公司及子公司董</w:t>
      </w:r>
      <w:r>
        <w:rPr>
          <w:spacing w:val="-64"/>
        </w:rPr>
        <w:t> </w:t>
      </w:r>
      <w:r>
        <w:rPr>
          <w:spacing w:val="-64"/>
        </w:rPr>
      </w:r>
      <w:r>
        <w:rPr>
          <w:spacing w:val="-2"/>
        </w:rPr>
        <w:t>事长行使该项投资决策权并签署相关合同，公司及子公司财务负责人负责组织实施。上述议案已经公司于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6</w:t>
      </w:r>
      <w:r>
        <w:rPr>
          <w:spacing w:val="-2"/>
        </w:rPr>
        <w:t>日召开</w:t>
      </w:r>
      <w:r>
        <w:rPr>
          <w:spacing w:val="-59"/>
        </w:rPr>
        <w:t> </w:t>
      </w:r>
      <w:r>
        <w:rPr>
          <w:spacing w:val="-59"/>
        </w:rPr>
      </w:r>
      <w:r>
        <w:rPr/>
        <w:t>的</w:t>
      </w:r>
      <w:r>
        <w:rPr>
          <w:rFonts w:ascii="Times New Roman" w:hAnsi="Times New Roman" w:cs="Times New Roman" w:eastAsia="Times New Roman" w:hint="default"/>
        </w:rPr>
        <w:t>2017</w:t>
      </w:r>
      <w:r>
        <w:rPr/>
        <w:t>年度第一次临时股东大会审议通过。</w:t>
      </w:r>
    </w:p>
    <w:p>
      <w:pPr>
        <w:pStyle w:val="BodyText"/>
        <w:spacing w:line="336" w:lineRule="auto" w:before="19"/>
        <w:ind w:left="672" w:right="0" w:firstLine="288"/>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1-9</w:t>
      </w:r>
      <w:r>
        <w:rPr>
          <w:spacing w:val="-2"/>
        </w:rPr>
        <w:t>月公司使用自有资金进行现金管理的情况，已在前三季度定期报告中进行过披露，如下仅披露</w:t>
      </w:r>
      <w:r>
        <w:rPr>
          <w:rFonts w:ascii="Times New Roman" w:hAnsi="Times New Roman" w:cs="Times New Roman" w:eastAsia="Times New Roman" w:hint="default"/>
          <w:spacing w:val="-2"/>
        </w:rPr>
        <w:t>2017</w:t>
      </w:r>
      <w:r>
        <w:rPr>
          <w:spacing w:val="-2"/>
        </w:rPr>
        <w:t>年第四季度</w:t>
      </w:r>
      <w:r>
        <w:rPr/>
        <w:t> 使用自有资金进行现金管理的明细：</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275"/>
        <w:gridCol w:w="1418"/>
        <w:gridCol w:w="2269"/>
        <w:gridCol w:w="1419"/>
        <w:gridCol w:w="1133"/>
        <w:gridCol w:w="1135"/>
        <w:gridCol w:w="850"/>
        <w:gridCol w:w="1135"/>
      </w:tblGrid>
      <w:tr>
        <w:trPr>
          <w:trHeight w:val="656" w:hRule="exact"/>
        </w:trPr>
        <w:tc>
          <w:tcPr>
            <w:tcW w:w="12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211" w:right="101" w:hanging="106"/>
              <w:jc w:val="left"/>
              <w:rPr>
                <w:rFonts w:ascii="宋体" w:hAnsi="宋体" w:cs="宋体" w:eastAsia="宋体" w:hint="default"/>
                <w:sz w:val="21"/>
                <w:szCs w:val="21"/>
              </w:rPr>
            </w:pPr>
            <w:r>
              <w:rPr>
                <w:rFonts w:ascii="宋体" w:hAnsi="宋体" w:cs="宋体" w:eastAsia="宋体" w:hint="default"/>
                <w:b/>
                <w:bCs/>
                <w:sz w:val="21"/>
                <w:szCs w:val="21"/>
              </w:rPr>
              <w:t>银行、金融</w:t>
            </w:r>
            <w:r>
              <w:rPr>
                <w:rFonts w:ascii="宋体" w:hAnsi="宋体" w:cs="宋体" w:eastAsia="宋体" w:hint="default"/>
                <w:b/>
                <w:bCs/>
                <w:w w:val="100"/>
                <w:sz w:val="21"/>
                <w:szCs w:val="21"/>
              </w:rPr>
              <w:t> </w:t>
            </w:r>
            <w:r>
              <w:rPr>
                <w:rFonts w:ascii="宋体" w:hAnsi="宋体" w:cs="宋体" w:eastAsia="宋体" w:hint="default"/>
                <w:b/>
                <w:bCs/>
                <w:sz w:val="21"/>
                <w:szCs w:val="21"/>
              </w:rPr>
              <w:t>机构名称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exact" w:before="17"/>
              <w:ind w:left="7" w:right="0"/>
              <w:jc w:val="center"/>
              <w:rPr>
                <w:rFonts w:ascii="宋体" w:hAnsi="宋体" w:cs="宋体" w:eastAsia="宋体" w:hint="default"/>
                <w:sz w:val="21"/>
                <w:szCs w:val="21"/>
              </w:rPr>
            </w:pPr>
            <w:r>
              <w:rPr>
                <w:rFonts w:ascii="宋体" w:hAnsi="宋体" w:cs="宋体" w:eastAsia="宋体" w:hint="default"/>
                <w:b/>
                <w:bCs/>
                <w:sz w:val="21"/>
                <w:szCs w:val="21"/>
              </w:rPr>
              <w:t>本金金额</w:t>
            </w:r>
            <w:r>
              <w:rPr>
                <w:rFonts w:ascii="宋体" w:hAnsi="宋体" w:cs="宋体" w:eastAsia="宋体" w:hint="default"/>
                <w:sz w:val="21"/>
                <w:szCs w:val="21"/>
              </w:rPr>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b/>
                <w:bCs/>
                <w:sz w:val="21"/>
                <w:szCs w:val="21"/>
              </w:rPr>
              <w:t>（元）</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2"/>
              <w:ind w:left="710" w:right="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2"/>
              <w:ind w:left="105" w:right="0"/>
              <w:jc w:val="center"/>
              <w:rPr>
                <w:rFonts w:ascii="宋体" w:hAnsi="宋体" w:cs="宋体" w:eastAsia="宋体" w:hint="default"/>
                <w:sz w:val="21"/>
                <w:szCs w:val="21"/>
              </w:rPr>
            </w:pPr>
            <w:r>
              <w:rPr>
                <w:rFonts w:ascii="宋体" w:hAnsi="宋体" w:cs="宋体" w:eastAsia="宋体" w:hint="default"/>
                <w:b/>
                <w:bCs/>
                <w:sz w:val="21"/>
                <w:szCs w:val="21"/>
              </w:rPr>
              <w:t>产品类型</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2"/>
              <w:ind w:left="105" w:right="0"/>
              <w:jc w:val="center"/>
              <w:rPr>
                <w:rFonts w:ascii="宋体" w:hAnsi="宋体" w:cs="宋体" w:eastAsia="宋体" w:hint="default"/>
                <w:sz w:val="21"/>
                <w:szCs w:val="21"/>
              </w:rPr>
            </w:pPr>
            <w:r>
              <w:rPr>
                <w:rFonts w:ascii="宋体" w:hAnsi="宋体" w:cs="宋体" w:eastAsia="宋体" w:hint="default"/>
                <w:b/>
                <w:bCs/>
                <w:sz w:val="21"/>
                <w:szCs w:val="21"/>
              </w:rPr>
              <w:t>起息日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2"/>
              <w:ind w:left="108" w:right="0"/>
              <w:jc w:val="center"/>
              <w:rPr>
                <w:rFonts w:ascii="宋体" w:hAnsi="宋体" w:cs="宋体" w:eastAsia="宋体" w:hint="default"/>
                <w:sz w:val="21"/>
                <w:szCs w:val="21"/>
              </w:rPr>
            </w:pPr>
            <w:r>
              <w:rPr>
                <w:rFonts w:ascii="宋体" w:hAnsi="宋体" w:cs="宋体" w:eastAsia="宋体" w:hint="default"/>
                <w:b/>
                <w:bCs/>
                <w:sz w:val="21"/>
                <w:szCs w:val="21"/>
              </w:rPr>
              <w:t>到期日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45"/>
              <w:ind w:left="209" w:right="101" w:hanging="107"/>
              <w:jc w:val="left"/>
              <w:rPr>
                <w:rFonts w:ascii="宋体" w:hAnsi="宋体" w:cs="宋体" w:eastAsia="宋体" w:hint="default"/>
                <w:sz w:val="21"/>
                <w:szCs w:val="21"/>
              </w:rPr>
            </w:pPr>
            <w:r>
              <w:rPr>
                <w:rFonts w:ascii="宋体" w:hAnsi="宋体" w:cs="宋体" w:eastAsia="宋体" w:hint="default"/>
                <w:b/>
                <w:bCs/>
                <w:sz w:val="21"/>
                <w:szCs w:val="21"/>
              </w:rPr>
              <w:t>预期收</w:t>
            </w:r>
            <w:r>
              <w:rPr>
                <w:rFonts w:ascii="宋体" w:hAnsi="宋体" w:cs="宋体" w:eastAsia="宋体" w:hint="default"/>
                <w:b/>
                <w:bCs/>
                <w:w w:val="100"/>
                <w:sz w:val="21"/>
                <w:szCs w:val="21"/>
              </w:rPr>
              <w:t> </w:t>
            </w:r>
            <w:r>
              <w:rPr>
                <w:rFonts w:ascii="宋体" w:hAnsi="宋体" w:cs="宋体" w:eastAsia="宋体" w:hint="default"/>
                <w:b/>
                <w:bCs/>
                <w:sz w:val="21"/>
                <w:szCs w:val="21"/>
              </w:rPr>
              <w:t>益率</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exact" w:before="17"/>
              <w:ind w:left="107" w:right="0"/>
              <w:jc w:val="center"/>
              <w:rPr>
                <w:rFonts w:ascii="宋体" w:hAnsi="宋体" w:cs="宋体" w:eastAsia="宋体" w:hint="default"/>
                <w:sz w:val="21"/>
                <w:szCs w:val="21"/>
              </w:rPr>
            </w:pPr>
            <w:r>
              <w:rPr>
                <w:rFonts w:ascii="宋体" w:hAnsi="宋体" w:cs="宋体" w:eastAsia="宋体" w:hint="default"/>
                <w:b/>
                <w:bCs/>
                <w:sz w:val="21"/>
                <w:szCs w:val="21"/>
              </w:rPr>
              <w:t>预计收益</w:t>
            </w:r>
            <w:r>
              <w:rPr>
                <w:rFonts w:ascii="宋体" w:hAnsi="宋体" w:cs="宋体" w:eastAsia="宋体" w:hint="default"/>
                <w:b/>
                <w:bCs/>
                <w:w w:val="99"/>
                <w:sz w:val="21"/>
                <w:szCs w:val="21"/>
              </w:rPr>
              <w:t> </w:t>
            </w:r>
            <w:r>
              <w:rPr>
                <w:rFonts w:ascii="宋体" w:hAnsi="宋体" w:cs="宋体" w:eastAsia="宋体" w:hint="default"/>
                <w:sz w:val="21"/>
                <w:szCs w:val="21"/>
              </w:rPr>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b/>
                <w:bCs/>
                <w:sz w:val="21"/>
                <w:szCs w:val="21"/>
              </w:rPr>
              <w:t>（元）</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39"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79"/>
              <w:jc w:val="right"/>
              <w:rPr>
                <w:rFonts w:ascii="宋体" w:hAnsi="宋体" w:cs="宋体" w:eastAsia="宋体" w:hint="default"/>
                <w:sz w:val="18"/>
                <w:szCs w:val="18"/>
              </w:rPr>
            </w:pPr>
            <w:r>
              <w:rPr>
                <w:rFonts w:ascii="宋体" w:hAnsi="宋体" w:cs="宋体" w:eastAsia="宋体" w:hint="default"/>
                <w:sz w:val="18"/>
                <w:szCs w:val="18"/>
              </w:rPr>
              <w:t>申万宏源</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5"/>
              <w:jc w:val="right"/>
              <w:rPr>
                <w:rFonts w:ascii="宋体" w:hAnsi="宋体" w:cs="宋体" w:eastAsia="宋体" w:hint="default"/>
                <w:sz w:val="18"/>
                <w:szCs w:val="18"/>
              </w:rPr>
            </w:pPr>
            <w:r>
              <w:rPr>
                <w:rFonts w:ascii="宋体"/>
                <w:spacing w:val="-1"/>
                <w:sz w:val="18"/>
              </w:rPr>
              <w:t>80,000,000.00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681" w:right="0"/>
              <w:jc w:val="left"/>
              <w:rPr>
                <w:rFonts w:ascii="宋体" w:hAnsi="宋体" w:cs="宋体" w:eastAsia="宋体" w:hint="default"/>
                <w:sz w:val="18"/>
                <w:szCs w:val="18"/>
              </w:rPr>
            </w:pPr>
            <w:r>
              <w:rPr>
                <w:rFonts w:ascii="宋体" w:hAnsi="宋体" w:cs="宋体" w:eastAsia="宋体" w:hint="default"/>
                <w:sz w:val="18"/>
                <w:szCs w:val="18"/>
              </w:rPr>
              <w:t>金樽</w:t>
            </w:r>
            <w:r>
              <w:rPr>
                <w:rFonts w:ascii="宋体" w:hAnsi="宋体" w:cs="宋体" w:eastAsia="宋体" w:hint="default"/>
                <w:spacing w:val="-45"/>
                <w:sz w:val="18"/>
                <w:szCs w:val="18"/>
              </w:rPr>
              <w:t> </w:t>
            </w:r>
            <w:r>
              <w:rPr>
                <w:rFonts w:ascii="宋体" w:hAnsi="宋体" w:cs="宋体" w:eastAsia="宋体" w:hint="default"/>
                <w:sz w:val="18"/>
                <w:szCs w:val="18"/>
              </w:rPr>
              <w:t>321</w:t>
            </w:r>
            <w:r>
              <w:rPr>
                <w:rFonts w:ascii="宋体" w:hAnsi="宋体" w:cs="宋体" w:eastAsia="宋体" w:hint="default"/>
                <w:spacing w:val="-45"/>
                <w:sz w:val="18"/>
                <w:szCs w:val="18"/>
              </w:rPr>
              <w:t> </w:t>
            </w:r>
            <w:r>
              <w:rPr>
                <w:rFonts w:ascii="宋体" w:hAnsi="宋体" w:cs="宋体" w:eastAsia="宋体" w:hint="default"/>
                <w:spacing w:val="-3"/>
                <w:sz w:val="18"/>
                <w:szCs w:val="18"/>
              </w:rPr>
              <w:t>期</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2" w:right="0"/>
              <w:jc w:val="center"/>
              <w:rPr>
                <w:rFonts w:ascii="宋体" w:hAnsi="宋体" w:cs="宋体" w:eastAsia="宋体" w:hint="default"/>
                <w:sz w:val="18"/>
                <w:szCs w:val="18"/>
              </w:rPr>
            </w:pPr>
            <w:r>
              <w:rPr>
                <w:rFonts w:ascii="宋体" w:hAnsi="宋体" w:cs="宋体" w:eastAsia="宋体" w:hint="default"/>
                <w:sz w:val="18"/>
                <w:szCs w:val="18"/>
              </w:rPr>
              <w:t>保本固定收益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89" w:right="0"/>
              <w:jc w:val="center"/>
              <w:rPr>
                <w:rFonts w:ascii="宋体" w:hAnsi="宋体" w:cs="宋体" w:eastAsia="宋体" w:hint="default"/>
                <w:sz w:val="18"/>
                <w:szCs w:val="18"/>
              </w:rPr>
            </w:pPr>
            <w:r>
              <w:rPr>
                <w:rFonts w:ascii="宋体"/>
                <w:sz w:val="18"/>
              </w:rPr>
              <w:t>2017/11/9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0" w:right="0"/>
              <w:jc w:val="center"/>
              <w:rPr>
                <w:rFonts w:ascii="宋体" w:hAnsi="宋体" w:cs="宋体" w:eastAsia="宋体" w:hint="default"/>
                <w:sz w:val="18"/>
                <w:szCs w:val="18"/>
              </w:rPr>
            </w:pPr>
            <w:r>
              <w:rPr>
                <w:rFonts w:ascii="宋体"/>
                <w:sz w:val="18"/>
              </w:rPr>
              <w:t>2017/12/14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18"/>
                <w:szCs w:val="18"/>
              </w:rPr>
            </w:pPr>
            <w:r>
              <w:rPr>
                <w:rFonts w:ascii="宋体"/>
                <w:sz w:val="18"/>
              </w:rPr>
              <w:t>4.40%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89" w:right="0"/>
              <w:jc w:val="center"/>
              <w:rPr>
                <w:rFonts w:ascii="宋体" w:hAnsi="宋体" w:cs="宋体" w:eastAsia="宋体" w:hint="default"/>
                <w:sz w:val="18"/>
                <w:szCs w:val="18"/>
              </w:rPr>
            </w:pPr>
            <w:r>
              <w:rPr>
                <w:rFonts w:ascii="宋体"/>
                <w:sz w:val="18"/>
              </w:rPr>
              <w:t>327,890.41 </w:t>
            </w:r>
          </w:p>
        </w:tc>
      </w:tr>
      <w:tr>
        <w:trPr>
          <w:trHeight w:val="34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9"/>
              <w:jc w:val="right"/>
              <w:rPr>
                <w:rFonts w:ascii="宋体" w:hAnsi="宋体" w:cs="宋体" w:eastAsia="宋体" w:hint="default"/>
                <w:sz w:val="18"/>
                <w:szCs w:val="18"/>
              </w:rPr>
            </w:pPr>
            <w:r>
              <w:rPr>
                <w:rFonts w:ascii="宋体" w:hAnsi="宋体" w:cs="宋体" w:eastAsia="宋体" w:hint="default"/>
                <w:sz w:val="18"/>
                <w:szCs w:val="18"/>
              </w:rPr>
              <w:t>申万宏源</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5"/>
              <w:jc w:val="right"/>
              <w:rPr>
                <w:rFonts w:ascii="宋体" w:hAnsi="宋体" w:cs="宋体" w:eastAsia="宋体" w:hint="default"/>
                <w:sz w:val="18"/>
                <w:szCs w:val="18"/>
              </w:rPr>
            </w:pPr>
            <w:r>
              <w:rPr>
                <w:rFonts w:ascii="宋体"/>
                <w:spacing w:val="-1"/>
                <w:sz w:val="18"/>
              </w:rPr>
              <w:t>55,000,000.00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81" w:right="0"/>
              <w:jc w:val="left"/>
              <w:rPr>
                <w:rFonts w:ascii="宋体" w:hAnsi="宋体" w:cs="宋体" w:eastAsia="宋体" w:hint="default"/>
                <w:sz w:val="18"/>
                <w:szCs w:val="18"/>
              </w:rPr>
            </w:pPr>
            <w:r>
              <w:rPr>
                <w:rFonts w:ascii="宋体" w:hAnsi="宋体" w:cs="宋体" w:eastAsia="宋体" w:hint="default"/>
                <w:sz w:val="18"/>
                <w:szCs w:val="18"/>
              </w:rPr>
              <w:t>金樽</w:t>
            </w:r>
            <w:r>
              <w:rPr>
                <w:rFonts w:ascii="宋体" w:hAnsi="宋体" w:cs="宋体" w:eastAsia="宋体" w:hint="default"/>
                <w:spacing w:val="-45"/>
                <w:sz w:val="18"/>
                <w:szCs w:val="18"/>
              </w:rPr>
              <w:t> </w:t>
            </w:r>
            <w:r>
              <w:rPr>
                <w:rFonts w:ascii="宋体" w:hAnsi="宋体" w:cs="宋体" w:eastAsia="宋体" w:hint="default"/>
                <w:sz w:val="18"/>
                <w:szCs w:val="18"/>
              </w:rPr>
              <w:t>327</w:t>
            </w:r>
            <w:r>
              <w:rPr>
                <w:rFonts w:ascii="宋体" w:hAnsi="宋体" w:cs="宋体" w:eastAsia="宋体" w:hint="default"/>
                <w:spacing w:val="-45"/>
                <w:sz w:val="18"/>
                <w:szCs w:val="18"/>
              </w:rPr>
              <w:t> </w:t>
            </w:r>
            <w:r>
              <w:rPr>
                <w:rFonts w:ascii="宋体" w:hAnsi="宋体" w:cs="宋体" w:eastAsia="宋体" w:hint="default"/>
                <w:spacing w:val="-3"/>
                <w:sz w:val="18"/>
                <w:szCs w:val="18"/>
              </w:rPr>
              <w:t>期</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hAnsi="宋体" w:cs="宋体" w:eastAsia="宋体" w:hint="default"/>
                <w:sz w:val="18"/>
                <w:szCs w:val="18"/>
              </w:rPr>
              <w:t>保本固定收益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7" w:right="0"/>
              <w:jc w:val="center"/>
              <w:rPr>
                <w:rFonts w:ascii="宋体" w:hAnsi="宋体" w:cs="宋体" w:eastAsia="宋体" w:hint="default"/>
                <w:sz w:val="18"/>
                <w:szCs w:val="18"/>
              </w:rPr>
            </w:pPr>
            <w:r>
              <w:rPr>
                <w:rFonts w:ascii="宋体"/>
                <w:sz w:val="18"/>
              </w:rPr>
              <w:t>2017/11/16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0" w:right="0"/>
              <w:jc w:val="center"/>
              <w:rPr>
                <w:rFonts w:ascii="宋体" w:hAnsi="宋体" w:cs="宋体" w:eastAsia="宋体" w:hint="default"/>
                <w:sz w:val="18"/>
                <w:szCs w:val="18"/>
              </w:rPr>
            </w:pPr>
            <w:r>
              <w:rPr>
                <w:rFonts w:ascii="宋体"/>
                <w:sz w:val="18"/>
              </w:rPr>
              <w:t>2017/12/21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4.45%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9" w:right="0"/>
              <w:jc w:val="center"/>
              <w:rPr>
                <w:rFonts w:ascii="宋体" w:hAnsi="宋体" w:cs="宋体" w:eastAsia="宋体" w:hint="default"/>
                <w:sz w:val="18"/>
                <w:szCs w:val="18"/>
              </w:rPr>
            </w:pPr>
            <w:r>
              <w:rPr>
                <w:rFonts w:ascii="宋体"/>
                <w:sz w:val="18"/>
              </w:rPr>
              <w:t>227,986.30 </w:t>
            </w:r>
          </w:p>
        </w:tc>
      </w:tr>
      <w:tr>
        <w:trPr>
          <w:trHeight w:val="63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中信证券</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30,000,000.00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81" w:right="112" w:hanging="564"/>
              <w:jc w:val="left"/>
              <w:rPr>
                <w:rFonts w:ascii="宋体" w:hAnsi="宋体" w:cs="宋体" w:eastAsia="宋体" w:hint="default"/>
                <w:sz w:val="18"/>
                <w:szCs w:val="18"/>
              </w:rPr>
            </w:pPr>
            <w:r>
              <w:rPr>
                <w:rFonts w:ascii="宋体" w:hAnsi="宋体" w:cs="宋体" w:eastAsia="宋体" w:hint="default"/>
                <w:sz w:val="18"/>
                <w:szCs w:val="18"/>
              </w:rPr>
              <w:t>中信证券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年度第</w:t>
            </w:r>
            <w:r>
              <w:rPr>
                <w:rFonts w:ascii="宋体" w:hAnsi="宋体" w:cs="宋体" w:eastAsia="宋体" w:hint="default"/>
                <w:spacing w:val="-47"/>
                <w:sz w:val="18"/>
                <w:szCs w:val="18"/>
              </w:rPr>
              <w:t> </w:t>
            </w:r>
            <w:r>
              <w:rPr>
                <w:rFonts w:ascii="宋体" w:hAnsi="宋体" w:cs="宋体" w:eastAsia="宋体" w:hint="default"/>
                <w:sz w:val="18"/>
                <w:szCs w:val="18"/>
              </w:rPr>
              <w:t>366 </w:t>
            </w:r>
            <w:r>
              <w:rPr>
                <w:rFonts w:ascii="宋体" w:hAnsi="宋体" w:cs="宋体" w:eastAsia="宋体" w:hint="default"/>
                <w:sz w:val="18"/>
                <w:szCs w:val="18"/>
              </w:rPr>
              <w:t>期收益凭证</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保本固定收益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7" w:right="0"/>
              <w:jc w:val="center"/>
              <w:rPr>
                <w:rFonts w:ascii="宋体" w:hAnsi="宋体" w:cs="宋体" w:eastAsia="宋体" w:hint="default"/>
                <w:sz w:val="18"/>
                <w:szCs w:val="18"/>
              </w:rPr>
            </w:pPr>
            <w:r>
              <w:rPr>
                <w:rFonts w:ascii="宋体"/>
                <w:sz w:val="18"/>
              </w:rPr>
              <w:t>2017/11/20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2" w:right="0"/>
              <w:jc w:val="center"/>
              <w:rPr>
                <w:rFonts w:ascii="宋体" w:hAnsi="宋体" w:cs="宋体" w:eastAsia="宋体" w:hint="default"/>
                <w:sz w:val="18"/>
                <w:szCs w:val="18"/>
              </w:rPr>
            </w:pPr>
            <w:r>
              <w:rPr>
                <w:rFonts w:ascii="宋体"/>
                <w:sz w:val="18"/>
              </w:rPr>
              <w:t>2018/1/22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4.55%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sz w:val="18"/>
              </w:rPr>
              <w:t>231,863.01 </w:t>
            </w:r>
          </w:p>
        </w:tc>
      </w:tr>
      <w:tr>
        <w:trPr>
          <w:trHeight w:val="34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9"/>
              <w:jc w:val="right"/>
              <w:rPr>
                <w:rFonts w:ascii="宋体" w:hAnsi="宋体" w:cs="宋体" w:eastAsia="宋体" w:hint="default"/>
                <w:sz w:val="18"/>
                <w:szCs w:val="18"/>
              </w:rPr>
            </w:pPr>
            <w:r>
              <w:rPr>
                <w:rFonts w:ascii="宋体" w:hAnsi="宋体" w:cs="宋体" w:eastAsia="宋体" w:hint="default"/>
                <w:sz w:val="18"/>
                <w:szCs w:val="18"/>
              </w:rPr>
              <w:t>国信证券</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5"/>
              <w:jc w:val="right"/>
              <w:rPr>
                <w:rFonts w:ascii="宋体" w:hAnsi="宋体" w:cs="宋体" w:eastAsia="宋体" w:hint="default"/>
                <w:sz w:val="18"/>
                <w:szCs w:val="18"/>
              </w:rPr>
            </w:pPr>
            <w:r>
              <w:rPr>
                <w:rFonts w:ascii="宋体"/>
                <w:spacing w:val="-1"/>
                <w:sz w:val="18"/>
              </w:rPr>
              <w:t>20,000,000.00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37"/>
              <w:jc w:val="right"/>
              <w:rPr>
                <w:rFonts w:ascii="宋体" w:hAnsi="宋体" w:cs="宋体" w:eastAsia="宋体" w:hint="default"/>
                <w:sz w:val="18"/>
                <w:szCs w:val="18"/>
              </w:rPr>
            </w:pPr>
            <w:r>
              <w:rPr>
                <w:rFonts w:ascii="宋体" w:hAnsi="宋体" w:cs="宋体" w:eastAsia="宋体" w:hint="default"/>
                <w:sz w:val="18"/>
                <w:szCs w:val="18"/>
              </w:rPr>
              <w:t>金益求金</w:t>
            </w:r>
            <w:r>
              <w:rPr>
                <w:rFonts w:ascii="宋体" w:hAnsi="宋体" w:cs="宋体" w:eastAsia="宋体" w:hint="default"/>
                <w:spacing w:val="-45"/>
                <w:sz w:val="18"/>
                <w:szCs w:val="18"/>
              </w:rPr>
              <w:t> </w:t>
            </w:r>
            <w:r>
              <w:rPr>
                <w:rFonts w:ascii="宋体" w:hAnsi="宋体" w:cs="宋体" w:eastAsia="宋体" w:hint="default"/>
                <w:sz w:val="18"/>
                <w:szCs w:val="18"/>
              </w:rPr>
              <w:t>90</w:t>
            </w:r>
            <w:r>
              <w:rPr>
                <w:rFonts w:ascii="宋体" w:hAnsi="宋体" w:cs="宋体" w:eastAsia="宋体" w:hint="default"/>
                <w:spacing w:val="-47"/>
                <w:sz w:val="18"/>
                <w:szCs w:val="18"/>
              </w:rPr>
              <w:t> </w:t>
            </w:r>
            <w:r>
              <w:rPr>
                <w:rFonts w:ascii="宋体" w:hAnsi="宋体" w:cs="宋体" w:eastAsia="宋体" w:hint="default"/>
                <w:sz w:val="18"/>
                <w:szCs w:val="18"/>
              </w:rPr>
              <w:t>天</w:t>
            </w:r>
            <w:r>
              <w:rPr>
                <w:rFonts w:ascii="宋体" w:hAnsi="宋体" w:cs="宋体" w:eastAsia="宋体" w:hint="default"/>
                <w:spacing w:val="-46"/>
                <w:sz w:val="18"/>
                <w:szCs w:val="18"/>
              </w:rPr>
              <w:t> </w:t>
            </w:r>
            <w:r>
              <w:rPr>
                <w:rFonts w:ascii="宋体" w:hAnsi="宋体" w:cs="宋体" w:eastAsia="宋体" w:hint="default"/>
                <w:sz w:val="18"/>
                <w:szCs w:val="18"/>
              </w:rPr>
              <w:t>1910</w:t>
            </w:r>
            <w:r>
              <w:rPr>
                <w:rFonts w:ascii="宋体" w:hAnsi="宋体" w:cs="宋体" w:eastAsia="宋体" w:hint="default"/>
                <w:spacing w:val="-44"/>
                <w:sz w:val="18"/>
                <w:szCs w:val="18"/>
              </w:rPr>
              <w:t> </w:t>
            </w:r>
            <w:r>
              <w:rPr>
                <w:rFonts w:ascii="宋体" w:hAnsi="宋体" w:cs="宋体" w:eastAsia="宋体" w:hint="default"/>
                <w:spacing w:val="-3"/>
                <w:sz w:val="18"/>
                <w:szCs w:val="18"/>
              </w:rPr>
              <w:t>期</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9" w:right="0"/>
              <w:jc w:val="center"/>
              <w:rPr>
                <w:rFonts w:ascii="宋体" w:hAnsi="宋体" w:cs="宋体" w:eastAsia="宋体" w:hint="default"/>
                <w:sz w:val="18"/>
                <w:szCs w:val="18"/>
              </w:rPr>
            </w:pPr>
            <w:r>
              <w:rPr>
                <w:rFonts w:ascii="宋体"/>
                <w:sz w:val="18"/>
              </w:rPr>
              <w:t>2017/12/5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2018/3/6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4.90%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9" w:right="0"/>
              <w:jc w:val="center"/>
              <w:rPr>
                <w:rFonts w:ascii="宋体" w:hAnsi="宋体" w:cs="宋体" w:eastAsia="宋体" w:hint="default"/>
                <w:sz w:val="18"/>
                <w:szCs w:val="18"/>
              </w:rPr>
            </w:pPr>
            <w:r>
              <w:rPr>
                <w:rFonts w:ascii="宋体"/>
                <w:sz w:val="18"/>
              </w:rPr>
              <w:t>241,643.84 </w:t>
            </w:r>
          </w:p>
        </w:tc>
      </w:tr>
      <w:tr>
        <w:trPr>
          <w:trHeight w:val="34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9"/>
              <w:jc w:val="right"/>
              <w:rPr>
                <w:rFonts w:ascii="宋体" w:hAnsi="宋体" w:cs="宋体" w:eastAsia="宋体" w:hint="default"/>
                <w:sz w:val="18"/>
                <w:szCs w:val="18"/>
              </w:rPr>
            </w:pPr>
            <w:r>
              <w:rPr>
                <w:rFonts w:ascii="宋体" w:hAnsi="宋体" w:cs="宋体" w:eastAsia="宋体" w:hint="default"/>
                <w:sz w:val="18"/>
                <w:szCs w:val="18"/>
              </w:rPr>
              <w:t>国信证券</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5"/>
              <w:jc w:val="right"/>
              <w:rPr>
                <w:rFonts w:ascii="宋体" w:hAnsi="宋体" w:cs="宋体" w:eastAsia="宋体" w:hint="default"/>
                <w:sz w:val="18"/>
                <w:szCs w:val="18"/>
              </w:rPr>
            </w:pPr>
            <w:r>
              <w:rPr>
                <w:rFonts w:ascii="宋体"/>
                <w:spacing w:val="-1"/>
                <w:sz w:val="18"/>
              </w:rPr>
              <w:t>80,000,000.00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37"/>
              <w:jc w:val="right"/>
              <w:rPr>
                <w:rFonts w:ascii="宋体" w:hAnsi="宋体" w:cs="宋体" w:eastAsia="宋体" w:hint="default"/>
                <w:sz w:val="18"/>
                <w:szCs w:val="18"/>
              </w:rPr>
            </w:pPr>
            <w:r>
              <w:rPr>
                <w:rFonts w:ascii="宋体" w:hAnsi="宋体" w:cs="宋体" w:eastAsia="宋体" w:hint="default"/>
                <w:sz w:val="18"/>
                <w:szCs w:val="18"/>
              </w:rPr>
              <w:t>金益求金</w:t>
            </w:r>
            <w:r>
              <w:rPr>
                <w:rFonts w:ascii="宋体" w:hAnsi="宋体" w:cs="宋体" w:eastAsia="宋体" w:hint="default"/>
                <w:spacing w:val="-45"/>
                <w:sz w:val="18"/>
                <w:szCs w:val="18"/>
              </w:rPr>
              <w:t> </w:t>
            </w:r>
            <w:r>
              <w:rPr>
                <w:rFonts w:ascii="宋体" w:hAnsi="宋体" w:cs="宋体" w:eastAsia="宋体" w:hint="default"/>
                <w:sz w:val="18"/>
                <w:szCs w:val="18"/>
              </w:rPr>
              <w:t>90</w:t>
            </w:r>
            <w:r>
              <w:rPr>
                <w:rFonts w:ascii="宋体" w:hAnsi="宋体" w:cs="宋体" w:eastAsia="宋体" w:hint="default"/>
                <w:spacing w:val="-47"/>
                <w:sz w:val="18"/>
                <w:szCs w:val="18"/>
              </w:rPr>
              <w:t> </w:t>
            </w:r>
            <w:r>
              <w:rPr>
                <w:rFonts w:ascii="宋体" w:hAnsi="宋体" w:cs="宋体" w:eastAsia="宋体" w:hint="default"/>
                <w:sz w:val="18"/>
                <w:szCs w:val="18"/>
              </w:rPr>
              <w:t>天</w:t>
            </w:r>
            <w:r>
              <w:rPr>
                <w:rFonts w:ascii="宋体" w:hAnsi="宋体" w:cs="宋体" w:eastAsia="宋体" w:hint="default"/>
                <w:spacing w:val="-46"/>
                <w:sz w:val="18"/>
                <w:szCs w:val="18"/>
              </w:rPr>
              <w:t> </w:t>
            </w:r>
            <w:r>
              <w:rPr>
                <w:rFonts w:ascii="宋体" w:hAnsi="宋体" w:cs="宋体" w:eastAsia="宋体" w:hint="default"/>
                <w:sz w:val="18"/>
                <w:szCs w:val="18"/>
              </w:rPr>
              <w:t>1909</w:t>
            </w:r>
            <w:r>
              <w:rPr>
                <w:rFonts w:ascii="宋体" w:hAnsi="宋体" w:cs="宋体" w:eastAsia="宋体" w:hint="default"/>
                <w:spacing w:val="-44"/>
                <w:sz w:val="18"/>
                <w:szCs w:val="18"/>
              </w:rPr>
              <w:t> </w:t>
            </w:r>
            <w:r>
              <w:rPr>
                <w:rFonts w:ascii="宋体" w:hAnsi="宋体" w:cs="宋体" w:eastAsia="宋体" w:hint="default"/>
                <w:spacing w:val="-3"/>
                <w:sz w:val="18"/>
                <w:szCs w:val="18"/>
              </w:rPr>
              <w:t>期</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7" w:right="0"/>
              <w:jc w:val="center"/>
              <w:rPr>
                <w:rFonts w:ascii="宋体" w:hAnsi="宋体" w:cs="宋体" w:eastAsia="宋体" w:hint="default"/>
                <w:sz w:val="18"/>
                <w:szCs w:val="18"/>
              </w:rPr>
            </w:pPr>
            <w:r>
              <w:rPr>
                <w:rFonts w:ascii="宋体"/>
                <w:sz w:val="18"/>
              </w:rPr>
              <w:t>2017/12/15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2018/3/16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5.00%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9" w:right="0"/>
              <w:jc w:val="center"/>
              <w:rPr>
                <w:rFonts w:ascii="宋体" w:hAnsi="宋体" w:cs="宋体" w:eastAsia="宋体" w:hint="default"/>
                <w:sz w:val="18"/>
                <w:szCs w:val="18"/>
              </w:rPr>
            </w:pPr>
            <w:r>
              <w:rPr>
                <w:rFonts w:ascii="宋体"/>
                <w:sz w:val="18"/>
              </w:rPr>
              <w:t>986,301.37 </w:t>
            </w:r>
          </w:p>
        </w:tc>
      </w:tr>
      <w:tr>
        <w:trPr>
          <w:trHeight w:val="63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兴业银行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35,000,000.00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770" w:right="96" w:hanging="666"/>
              <w:jc w:val="left"/>
              <w:rPr>
                <w:rFonts w:ascii="宋体" w:hAnsi="宋体" w:cs="宋体" w:eastAsia="宋体" w:hint="default"/>
                <w:sz w:val="18"/>
                <w:szCs w:val="18"/>
              </w:rPr>
            </w:pPr>
            <w:r>
              <w:rPr>
                <w:rFonts w:ascii="宋体" w:hAnsi="宋体" w:cs="宋体" w:eastAsia="宋体" w:hint="default"/>
                <w:spacing w:val="-2"/>
                <w:sz w:val="18"/>
                <w:szCs w:val="18"/>
              </w:rPr>
              <w:t>金雪球</w:t>
            </w:r>
            <w:r>
              <w:rPr>
                <w:rFonts w:ascii="宋体" w:hAnsi="宋体" w:cs="宋体" w:eastAsia="宋体" w:hint="default"/>
                <w:spacing w:val="-2"/>
                <w:sz w:val="18"/>
                <w:szCs w:val="18"/>
              </w:rPr>
              <w:t>-</w:t>
            </w:r>
            <w:r>
              <w:rPr>
                <w:rFonts w:ascii="宋体" w:hAnsi="宋体" w:cs="宋体" w:eastAsia="宋体" w:hint="default"/>
                <w:spacing w:val="-2"/>
                <w:sz w:val="18"/>
                <w:szCs w:val="18"/>
              </w:rPr>
              <w:t>优悦”保本开放式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理财产品</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7" w:right="0"/>
              <w:jc w:val="center"/>
              <w:rPr>
                <w:rFonts w:ascii="宋体" w:hAnsi="宋体" w:cs="宋体" w:eastAsia="宋体" w:hint="default"/>
                <w:sz w:val="18"/>
                <w:szCs w:val="18"/>
              </w:rPr>
            </w:pPr>
            <w:r>
              <w:rPr>
                <w:rFonts w:ascii="宋体"/>
                <w:sz w:val="18"/>
              </w:rPr>
              <w:t>2017/12/21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2" w:right="0"/>
              <w:jc w:val="center"/>
              <w:rPr>
                <w:rFonts w:ascii="宋体" w:hAnsi="宋体" w:cs="宋体" w:eastAsia="宋体" w:hint="default"/>
                <w:sz w:val="18"/>
                <w:szCs w:val="18"/>
              </w:rPr>
            </w:pPr>
            <w:r>
              <w:rPr>
                <w:rFonts w:ascii="宋体"/>
                <w:sz w:val="18"/>
              </w:rPr>
              <w:t>2018/3/21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5.10%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sz w:val="18"/>
              </w:rPr>
              <w:t>440,136.99 </w:t>
            </w:r>
          </w:p>
        </w:tc>
      </w:tr>
      <w:tr>
        <w:trPr>
          <w:trHeight w:val="33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9"/>
              <w:jc w:val="right"/>
              <w:rPr>
                <w:rFonts w:ascii="宋体" w:hAnsi="宋体" w:cs="宋体" w:eastAsia="宋体" w:hint="default"/>
                <w:sz w:val="18"/>
                <w:szCs w:val="18"/>
              </w:rPr>
            </w:pPr>
            <w:r>
              <w:rPr>
                <w:rFonts w:ascii="宋体" w:hAnsi="宋体" w:cs="宋体" w:eastAsia="宋体" w:hint="default"/>
                <w:sz w:val="18"/>
                <w:szCs w:val="18"/>
              </w:rPr>
              <w:t>兴业银行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5"/>
              <w:jc w:val="right"/>
              <w:rPr>
                <w:rFonts w:ascii="宋体" w:hAnsi="宋体" w:cs="宋体" w:eastAsia="宋体" w:hint="default"/>
                <w:sz w:val="18"/>
                <w:szCs w:val="18"/>
              </w:rPr>
            </w:pPr>
            <w:r>
              <w:rPr>
                <w:rFonts w:ascii="宋体"/>
                <w:spacing w:val="-1"/>
                <w:sz w:val="18"/>
              </w:rPr>
              <w:t>35,100,000.00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55" w:right="0"/>
              <w:jc w:val="left"/>
              <w:rPr>
                <w:rFonts w:ascii="宋体" w:hAnsi="宋体" w:cs="宋体" w:eastAsia="宋体" w:hint="default"/>
                <w:sz w:val="18"/>
                <w:szCs w:val="18"/>
              </w:rPr>
            </w:pPr>
            <w:r>
              <w:rPr>
                <w:rFonts w:ascii="宋体" w:hAnsi="宋体" w:cs="宋体" w:eastAsia="宋体" w:hint="default"/>
                <w:sz w:val="18"/>
                <w:szCs w:val="18"/>
              </w:rPr>
              <w:t>金雪球</w:t>
            </w:r>
            <w:r>
              <w:rPr>
                <w:rFonts w:ascii="宋体" w:hAnsi="宋体" w:cs="宋体" w:eastAsia="宋体" w:hint="default"/>
                <w:sz w:val="18"/>
                <w:szCs w:val="18"/>
              </w:rPr>
              <w:t>-</w:t>
            </w:r>
            <w:r>
              <w:rPr>
                <w:rFonts w:ascii="宋体" w:hAnsi="宋体" w:cs="宋体" w:eastAsia="宋体" w:hint="default"/>
                <w:sz w:val="18"/>
                <w:szCs w:val="18"/>
              </w:rPr>
              <w:t>优先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pacing w:val="-3"/>
                <w:sz w:val="18"/>
                <w:szCs w:val="18"/>
              </w:rPr>
              <w:t>号</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9" w:right="0"/>
              <w:jc w:val="center"/>
              <w:rPr>
                <w:rFonts w:ascii="宋体" w:hAnsi="宋体" w:cs="宋体" w:eastAsia="宋体" w:hint="default"/>
                <w:sz w:val="18"/>
                <w:szCs w:val="18"/>
              </w:rPr>
            </w:pPr>
            <w:r>
              <w:rPr>
                <w:rFonts w:ascii="宋体"/>
                <w:sz w:val="18"/>
              </w:rPr>
              <w:t>2017/11/1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3.00%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 </w:t>
            </w:r>
          </w:p>
        </w:tc>
      </w:tr>
      <w:tr>
        <w:trPr>
          <w:trHeight w:val="34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9"/>
              <w:jc w:val="right"/>
              <w:rPr>
                <w:rFonts w:ascii="宋体" w:hAnsi="宋体" w:cs="宋体" w:eastAsia="宋体" w:hint="default"/>
                <w:sz w:val="18"/>
                <w:szCs w:val="18"/>
              </w:rPr>
            </w:pPr>
            <w:r>
              <w:rPr>
                <w:rFonts w:ascii="宋体" w:hAnsi="宋体" w:cs="宋体" w:eastAsia="宋体" w:hint="default"/>
                <w:sz w:val="18"/>
                <w:szCs w:val="18"/>
              </w:rPr>
              <w:t>兴业银行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1"/>
              <w:jc w:val="right"/>
              <w:rPr>
                <w:rFonts w:ascii="宋体" w:hAnsi="宋体" w:cs="宋体" w:eastAsia="宋体" w:hint="default"/>
                <w:sz w:val="18"/>
                <w:szCs w:val="18"/>
              </w:rPr>
            </w:pPr>
            <w:r>
              <w:rPr>
                <w:rFonts w:ascii="宋体"/>
                <w:spacing w:val="-1"/>
                <w:sz w:val="18"/>
              </w:rPr>
              <w:t>1,150,000.00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55" w:right="0"/>
              <w:jc w:val="left"/>
              <w:rPr>
                <w:rFonts w:ascii="宋体" w:hAnsi="宋体" w:cs="宋体" w:eastAsia="宋体" w:hint="default"/>
                <w:sz w:val="18"/>
                <w:szCs w:val="18"/>
              </w:rPr>
            </w:pPr>
            <w:r>
              <w:rPr>
                <w:rFonts w:ascii="宋体" w:hAnsi="宋体" w:cs="宋体" w:eastAsia="宋体" w:hint="default"/>
                <w:sz w:val="18"/>
                <w:szCs w:val="18"/>
              </w:rPr>
              <w:t>金雪球</w:t>
            </w:r>
            <w:r>
              <w:rPr>
                <w:rFonts w:ascii="宋体" w:hAnsi="宋体" w:cs="宋体" w:eastAsia="宋体" w:hint="default"/>
                <w:sz w:val="18"/>
                <w:szCs w:val="18"/>
              </w:rPr>
              <w:t>-</w:t>
            </w:r>
            <w:r>
              <w:rPr>
                <w:rFonts w:ascii="宋体" w:hAnsi="宋体" w:cs="宋体" w:eastAsia="宋体" w:hint="default"/>
                <w:sz w:val="18"/>
                <w:szCs w:val="18"/>
              </w:rPr>
              <w:t>优先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pacing w:val="-3"/>
                <w:sz w:val="18"/>
                <w:szCs w:val="18"/>
              </w:rPr>
              <w:t>号</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9" w:right="0"/>
              <w:jc w:val="center"/>
              <w:rPr>
                <w:rFonts w:ascii="宋体" w:hAnsi="宋体" w:cs="宋体" w:eastAsia="宋体" w:hint="default"/>
                <w:sz w:val="18"/>
                <w:szCs w:val="18"/>
              </w:rPr>
            </w:pPr>
            <w:r>
              <w:rPr>
                <w:rFonts w:ascii="宋体"/>
                <w:sz w:val="18"/>
              </w:rPr>
              <w:t>2017/11/3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3.00%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 </w:t>
            </w:r>
          </w:p>
        </w:tc>
      </w:tr>
      <w:tr>
        <w:trPr>
          <w:trHeight w:val="34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9"/>
              <w:jc w:val="right"/>
              <w:rPr>
                <w:rFonts w:ascii="宋体" w:hAnsi="宋体" w:cs="宋体" w:eastAsia="宋体" w:hint="default"/>
                <w:sz w:val="18"/>
                <w:szCs w:val="18"/>
              </w:rPr>
            </w:pPr>
            <w:r>
              <w:rPr>
                <w:rFonts w:ascii="宋体" w:hAnsi="宋体" w:cs="宋体" w:eastAsia="宋体" w:hint="default"/>
                <w:sz w:val="18"/>
                <w:szCs w:val="18"/>
              </w:rPr>
              <w:t>平安银行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5"/>
              <w:jc w:val="right"/>
              <w:rPr>
                <w:rFonts w:ascii="宋体" w:hAnsi="宋体" w:cs="宋体" w:eastAsia="宋体" w:hint="default"/>
                <w:sz w:val="18"/>
                <w:szCs w:val="18"/>
              </w:rPr>
            </w:pPr>
            <w:r>
              <w:rPr>
                <w:rFonts w:ascii="宋体"/>
                <w:spacing w:val="-1"/>
                <w:sz w:val="18"/>
              </w:rPr>
              <w:t>17,000,000.00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center"/>
              <w:rPr>
                <w:rFonts w:ascii="宋体" w:hAnsi="宋体" w:cs="宋体" w:eastAsia="宋体" w:hint="default"/>
                <w:sz w:val="18"/>
                <w:szCs w:val="18"/>
              </w:rPr>
            </w:pPr>
            <w:r>
              <w:rPr>
                <w:rFonts w:ascii="宋体" w:hAnsi="宋体" w:cs="宋体" w:eastAsia="宋体" w:hint="default"/>
                <w:sz w:val="18"/>
                <w:szCs w:val="18"/>
              </w:rPr>
              <w:t>天天利</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7" w:right="0"/>
              <w:jc w:val="center"/>
              <w:rPr>
                <w:rFonts w:ascii="宋体" w:hAnsi="宋体" w:cs="宋体" w:eastAsia="宋体" w:hint="default"/>
                <w:sz w:val="18"/>
                <w:szCs w:val="18"/>
              </w:rPr>
            </w:pPr>
            <w:r>
              <w:rPr>
                <w:rFonts w:ascii="宋体"/>
                <w:sz w:val="18"/>
              </w:rPr>
              <w:t>2017/11/16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3.00%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 </w:t>
            </w:r>
          </w:p>
        </w:tc>
      </w:tr>
      <w:tr>
        <w:trPr>
          <w:trHeight w:val="339"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9"/>
              <w:jc w:val="right"/>
              <w:rPr>
                <w:rFonts w:ascii="宋体" w:hAnsi="宋体" w:cs="宋体" w:eastAsia="宋体" w:hint="default"/>
                <w:sz w:val="18"/>
                <w:szCs w:val="18"/>
              </w:rPr>
            </w:pPr>
            <w:r>
              <w:rPr>
                <w:rFonts w:ascii="宋体" w:hAnsi="宋体" w:cs="宋体" w:eastAsia="宋体" w:hint="default"/>
                <w:sz w:val="18"/>
                <w:szCs w:val="18"/>
              </w:rPr>
              <w:t>平安银行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5"/>
              <w:jc w:val="right"/>
              <w:rPr>
                <w:rFonts w:ascii="宋体" w:hAnsi="宋体" w:cs="宋体" w:eastAsia="宋体" w:hint="default"/>
                <w:sz w:val="18"/>
                <w:szCs w:val="18"/>
              </w:rPr>
            </w:pPr>
            <w:r>
              <w:rPr>
                <w:rFonts w:ascii="宋体"/>
                <w:spacing w:val="-1"/>
                <w:sz w:val="18"/>
              </w:rPr>
              <w:t>80,000,000.00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center"/>
              <w:rPr>
                <w:rFonts w:ascii="宋体" w:hAnsi="宋体" w:cs="宋体" w:eastAsia="宋体" w:hint="default"/>
                <w:sz w:val="18"/>
                <w:szCs w:val="18"/>
              </w:rPr>
            </w:pPr>
            <w:r>
              <w:rPr>
                <w:rFonts w:ascii="宋体" w:hAnsi="宋体" w:cs="宋体" w:eastAsia="宋体" w:hint="default"/>
                <w:sz w:val="18"/>
                <w:szCs w:val="18"/>
              </w:rPr>
              <w:t>天天利</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7" w:right="0"/>
              <w:jc w:val="center"/>
              <w:rPr>
                <w:rFonts w:ascii="宋体" w:hAnsi="宋体" w:cs="宋体" w:eastAsia="宋体" w:hint="default"/>
                <w:sz w:val="18"/>
                <w:szCs w:val="18"/>
              </w:rPr>
            </w:pPr>
            <w:r>
              <w:rPr>
                <w:rFonts w:ascii="宋体"/>
                <w:sz w:val="18"/>
              </w:rPr>
              <w:t>2017/12/13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3.00%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 </w:t>
            </w:r>
          </w:p>
        </w:tc>
      </w:tr>
      <w:tr>
        <w:trPr>
          <w:trHeight w:val="34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9"/>
              <w:jc w:val="right"/>
              <w:rPr>
                <w:rFonts w:ascii="宋体" w:hAnsi="宋体" w:cs="宋体" w:eastAsia="宋体" w:hint="default"/>
                <w:sz w:val="18"/>
                <w:szCs w:val="18"/>
              </w:rPr>
            </w:pPr>
            <w:r>
              <w:rPr>
                <w:rFonts w:ascii="宋体" w:hAnsi="宋体" w:cs="宋体" w:eastAsia="宋体" w:hint="default"/>
                <w:sz w:val="18"/>
                <w:szCs w:val="18"/>
              </w:rPr>
              <w:t>平安银行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5"/>
              <w:jc w:val="right"/>
              <w:rPr>
                <w:rFonts w:ascii="宋体" w:hAnsi="宋体" w:cs="宋体" w:eastAsia="宋体" w:hint="default"/>
                <w:sz w:val="18"/>
                <w:szCs w:val="18"/>
              </w:rPr>
            </w:pPr>
            <w:r>
              <w:rPr>
                <w:rFonts w:ascii="宋体"/>
                <w:spacing w:val="-1"/>
                <w:sz w:val="18"/>
              </w:rPr>
              <w:t>20,000,000.00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center"/>
              <w:rPr>
                <w:rFonts w:ascii="宋体" w:hAnsi="宋体" w:cs="宋体" w:eastAsia="宋体" w:hint="default"/>
                <w:sz w:val="18"/>
                <w:szCs w:val="18"/>
              </w:rPr>
            </w:pPr>
            <w:r>
              <w:rPr>
                <w:rFonts w:ascii="宋体" w:hAnsi="宋体" w:cs="宋体" w:eastAsia="宋体" w:hint="default"/>
                <w:sz w:val="18"/>
                <w:szCs w:val="18"/>
              </w:rPr>
              <w:t>天天利</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7" w:right="0"/>
              <w:jc w:val="center"/>
              <w:rPr>
                <w:rFonts w:ascii="宋体" w:hAnsi="宋体" w:cs="宋体" w:eastAsia="宋体" w:hint="default"/>
                <w:sz w:val="18"/>
                <w:szCs w:val="18"/>
              </w:rPr>
            </w:pPr>
            <w:r>
              <w:rPr>
                <w:rFonts w:ascii="宋体"/>
                <w:sz w:val="18"/>
              </w:rPr>
              <w:t>2017/12/20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3.00%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 </w:t>
            </w:r>
          </w:p>
        </w:tc>
      </w:tr>
      <w:tr>
        <w:trPr>
          <w:trHeight w:val="63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建设银行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1"/>
              <w:jc w:val="right"/>
              <w:rPr>
                <w:rFonts w:ascii="宋体" w:hAnsi="宋体" w:cs="宋体" w:eastAsia="宋体" w:hint="default"/>
                <w:sz w:val="18"/>
                <w:szCs w:val="18"/>
              </w:rPr>
            </w:pPr>
            <w:r>
              <w:rPr>
                <w:rFonts w:ascii="宋体"/>
                <w:spacing w:val="-1"/>
                <w:sz w:val="18"/>
              </w:rPr>
              <w:t>6,490,000.00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75" w:right="135" w:hanging="135"/>
              <w:jc w:val="left"/>
              <w:rPr>
                <w:rFonts w:ascii="宋体" w:hAnsi="宋体" w:cs="宋体" w:eastAsia="宋体" w:hint="default"/>
                <w:sz w:val="18"/>
                <w:szCs w:val="18"/>
              </w:rPr>
            </w:pPr>
            <w:r>
              <w:rPr>
                <w:rFonts w:ascii="宋体" w:hAnsi="宋体" w:cs="宋体" w:eastAsia="宋体" w:hint="default"/>
                <w:sz w:val="18"/>
                <w:szCs w:val="18"/>
              </w:rPr>
              <w:t>乾元众享保本人民币理财 产品</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宋体" w:hAnsi="宋体" w:cs="宋体" w:eastAsia="宋体" w:hint="default"/>
                <w:sz w:val="18"/>
                <w:szCs w:val="18"/>
              </w:rPr>
              <w:t>125</w:t>
            </w:r>
            <w:r>
              <w:rPr>
                <w:rFonts w:ascii="宋体" w:hAnsi="宋体" w:cs="宋体" w:eastAsia="宋体" w:hint="default"/>
                <w:spacing w:val="-45"/>
                <w:sz w:val="18"/>
                <w:szCs w:val="18"/>
              </w:rPr>
              <w:t> </w:t>
            </w:r>
            <w:r>
              <w:rPr>
                <w:rFonts w:ascii="宋体" w:hAnsi="宋体" w:cs="宋体" w:eastAsia="宋体" w:hint="default"/>
                <w:spacing w:val="-3"/>
                <w:sz w:val="18"/>
                <w:szCs w:val="18"/>
              </w:rPr>
              <w:t>期</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7" w:right="0"/>
              <w:jc w:val="center"/>
              <w:rPr>
                <w:rFonts w:ascii="宋体" w:hAnsi="宋体" w:cs="宋体" w:eastAsia="宋体" w:hint="default"/>
                <w:sz w:val="18"/>
                <w:szCs w:val="18"/>
              </w:rPr>
            </w:pPr>
            <w:r>
              <w:rPr>
                <w:rFonts w:ascii="宋体"/>
                <w:sz w:val="18"/>
              </w:rPr>
              <w:t>2017/12/26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2" w:right="0"/>
              <w:jc w:val="center"/>
              <w:rPr>
                <w:rFonts w:ascii="宋体" w:hAnsi="宋体" w:cs="宋体" w:eastAsia="宋体" w:hint="default"/>
                <w:sz w:val="18"/>
                <w:szCs w:val="18"/>
              </w:rPr>
            </w:pPr>
            <w:r>
              <w:rPr>
                <w:rFonts w:ascii="宋体"/>
                <w:sz w:val="18"/>
              </w:rPr>
              <w:t>2018/2/9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3.80%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2" w:right="0"/>
              <w:jc w:val="center"/>
              <w:rPr>
                <w:rFonts w:ascii="宋体" w:hAnsi="宋体" w:cs="宋体" w:eastAsia="宋体" w:hint="default"/>
                <w:sz w:val="18"/>
                <w:szCs w:val="18"/>
              </w:rPr>
            </w:pPr>
            <w:r>
              <w:rPr>
                <w:rFonts w:ascii="宋体"/>
                <w:sz w:val="18"/>
              </w:rPr>
              <w:t>30,511.89 </w:t>
            </w:r>
          </w:p>
        </w:tc>
      </w:tr>
      <w:tr>
        <w:trPr>
          <w:trHeight w:val="34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9"/>
              <w:jc w:val="right"/>
              <w:rPr>
                <w:rFonts w:ascii="宋体" w:hAnsi="宋体" w:cs="宋体" w:eastAsia="宋体" w:hint="default"/>
                <w:sz w:val="18"/>
                <w:szCs w:val="18"/>
              </w:rPr>
            </w:pPr>
            <w:r>
              <w:rPr>
                <w:rFonts w:ascii="宋体" w:hAnsi="宋体" w:cs="宋体" w:eastAsia="宋体" w:hint="default"/>
                <w:sz w:val="18"/>
                <w:szCs w:val="18"/>
              </w:rPr>
              <w:t>兴业银行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5"/>
              <w:jc w:val="right"/>
              <w:rPr>
                <w:rFonts w:ascii="宋体" w:hAnsi="宋体" w:cs="宋体" w:eastAsia="宋体" w:hint="default"/>
                <w:sz w:val="18"/>
                <w:szCs w:val="18"/>
              </w:rPr>
            </w:pPr>
            <w:r>
              <w:rPr>
                <w:rFonts w:ascii="宋体"/>
                <w:spacing w:val="-1"/>
                <w:sz w:val="18"/>
              </w:rPr>
              <w:t>10,000,000.00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0"/>
              <w:jc w:val="right"/>
              <w:rPr>
                <w:rFonts w:ascii="宋体" w:hAnsi="宋体" w:cs="宋体" w:eastAsia="宋体" w:hint="default"/>
                <w:sz w:val="18"/>
                <w:szCs w:val="18"/>
              </w:rPr>
            </w:pPr>
            <w:r>
              <w:rPr>
                <w:rFonts w:ascii="宋体" w:hAnsi="宋体" w:cs="宋体" w:eastAsia="宋体" w:hint="default"/>
                <w:w w:val="95"/>
                <w:sz w:val="18"/>
                <w:szCs w:val="18"/>
              </w:rPr>
              <w:t>兴业金雪球</w:t>
            </w:r>
            <w:r>
              <w:rPr>
                <w:rFonts w:ascii="宋体" w:hAnsi="宋体" w:cs="宋体" w:eastAsia="宋体" w:hint="default"/>
                <w:w w:val="95"/>
                <w:sz w:val="18"/>
                <w:szCs w:val="18"/>
              </w:rPr>
              <w:t>-</w:t>
            </w:r>
            <w:r>
              <w:rPr>
                <w:rFonts w:ascii="宋体" w:hAnsi="宋体" w:cs="宋体" w:eastAsia="宋体" w:hint="default"/>
                <w:w w:val="95"/>
                <w:sz w:val="18"/>
                <w:szCs w:val="18"/>
              </w:rPr>
              <w:t>优悦（</w:t>
            </w:r>
            <w:r>
              <w:rPr>
                <w:rFonts w:ascii="宋体" w:hAnsi="宋体" w:cs="宋体" w:eastAsia="宋体" w:hint="default"/>
                <w:w w:val="95"/>
                <w:sz w:val="18"/>
                <w:szCs w:val="18"/>
              </w:rPr>
              <w:t>3m</w:t>
            </w:r>
            <w:r>
              <w:rPr>
                <w:rFonts w:ascii="宋体" w:hAnsi="宋体" w:cs="宋体" w:eastAsia="宋体" w:hint="default"/>
                <w:w w:val="95"/>
                <w:sz w:val="18"/>
                <w:szCs w:val="18"/>
              </w:rPr>
              <w:t>）</w:t>
            </w:r>
            <w:r>
              <w:rPr>
                <w:rFonts w:ascii="宋体" w:hAnsi="宋体" w:cs="宋体" w:eastAsia="宋体" w:hint="default"/>
                <w:w w:val="95"/>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7" w:right="0"/>
              <w:jc w:val="center"/>
              <w:rPr>
                <w:rFonts w:ascii="宋体" w:hAnsi="宋体" w:cs="宋体" w:eastAsia="宋体" w:hint="default"/>
                <w:sz w:val="18"/>
                <w:szCs w:val="18"/>
              </w:rPr>
            </w:pPr>
            <w:r>
              <w:rPr>
                <w:rFonts w:ascii="宋体"/>
                <w:sz w:val="18"/>
              </w:rPr>
              <w:t>2017/11/13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2018/2/13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4.60%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9" w:right="0"/>
              <w:jc w:val="center"/>
              <w:rPr>
                <w:rFonts w:ascii="宋体" w:hAnsi="宋体" w:cs="宋体" w:eastAsia="宋体" w:hint="default"/>
                <w:sz w:val="18"/>
                <w:szCs w:val="18"/>
              </w:rPr>
            </w:pPr>
            <w:r>
              <w:rPr>
                <w:rFonts w:ascii="宋体"/>
                <w:sz w:val="18"/>
              </w:rPr>
              <w:t>115,945.21 </w:t>
            </w:r>
          </w:p>
        </w:tc>
      </w:tr>
      <w:tr>
        <w:trPr>
          <w:trHeight w:val="34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9"/>
              <w:jc w:val="right"/>
              <w:rPr>
                <w:rFonts w:ascii="宋体" w:hAnsi="宋体" w:cs="宋体" w:eastAsia="宋体" w:hint="default"/>
                <w:sz w:val="18"/>
                <w:szCs w:val="18"/>
              </w:rPr>
            </w:pPr>
            <w:r>
              <w:rPr>
                <w:rFonts w:ascii="宋体" w:hAnsi="宋体" w:cs="宋体" w:eastAsia="宋体" w:hint="default"/>
                <w:sz w:val="18"/>
                <w:szCs w:val="18"/>
              </w:rPr>
              <w:t>兴业银行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1"/>
              <w:jc w:val="right"/>
              <w:rPr>
                <w:rFonts w:ascii="宋体" w:hAnsi="宋体" w:cs="宋体" w:eastAsia="宋体" w:hint="default"/>
                <w:sz w:val="18"/>
                <w:szCs w:val="18"/>
              </w:rPr>
            </w:pPr>
            <w:r>
              <w:rPr>
                <w:rFonts w:ascii="宋体"/>
                <w:spacing w:val="-1"/>
                <w:sz w:val="18"/>
              </w:rPr>
              <w:t>2,700,000.00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55" w:right="0"/>
              <w:jc w:val="left"/>
              <w:rPr>
                <w:rFonts w:ascii="宋体" w:hAnsi="宋体" w:cs="宋体" w:eastAsia="宋体" w:hint="default"/>
                <w:sz w:val="18"/>
                <w:szCs w:val="18"/>
              </w:rPr>
            </w:pPr>
            <w:r>
              <w:rPr>
                <w:rFonts w:ascii="宋体" w:hAnsi="宋体" w:cs="宋体" w:eastAsia="宋体" w:hint="default"/>
                <w:sz w:val="18"/>
                <w:szCs w:val="18"/>
              </w:rPr>
              <w:t>金雪球</w:t>
            </w:r>
            <w:r>
              <w:rPr>
                <w:rFonts w:ascii="宋体" w:hAnsi="宋体" w:cs="宋体" w:eastAsia="宋体" w:hint="default"/>
                <w:sz w:val="18"/>
                <w:szCs w:val="18"/>
              </w:rPr>
              <w:t>-</w:t>
            </w:r>
            <w:r>
              <w:rPr>
                <w:rFonts w:ascii="宋体" w:hAnsi="宋体" w:cs="宋体" w:eastAsia="宋体" w:hint="default"/>
                <w:sz w:val="18"/>
                <w:szCs w:val="18"/>
              </w:rPr>
              <w:t>优先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pacing w:val="-3"/>
                <w:sz w:val="18"/>
                <w:szCs w:val="18"/>
              </w:rPr>
              <w:t>号</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7" w:right="0"/>
              <w:jc w:val="center"/>
              <w:rPr>
                <w:rFonts w:ascii="宋体" w:hAnsi="宋体" w:cs="宋体" w:eastAsia="宋体" w:hint="default"/>
                <w:sz w:val="18"/>
                <w:szCs w:val="18"/>
              </w:rPr>
            </w:pPr>
            <w:r>
              <w:rPr>
                <w:rFonts w:ascii="宋体"/>
                <w:sz w:val="18"/>
              </w:rPr>
              <w:t>2017/12/11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3.10%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4,815.16 </w:t>
            </w:r>
          </w:p>
        </w:tc>
      </w:tr>
      <w:tr>
        <w:trPr>
          <w:trHeight w:val="33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9"/>
              <w:jc w:val="right"/>
              <w:rPr>
                <w:rFonts w:ascii="宋体" w:hAnsi="宋体" w:cs="宋体" w:eastAsia="宋体" w:hint="default"/>
                <w:sz w:val="18"/>
                <w:szCs w:val="18"/>
              </w:rPr>
            </w:pPr>
            <w:r>
              <w:rPr>
                <w:rFonts w:ascii="宋体" w:hAnsi="宋体" w:cs="宋体" w:eastAsia="宋体" w:hint="default"/>
                <w:sz w:val="18"/>
                <w:szCs w:val="18"/>
              </w:rPr>
              <w:t>中信证券</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宋体" w:hAnsi="宋体" w:cs="宋体" w:eastAsia="宋体" w:hint="default"/>
                <w:sz w:val="18"/>
                <w:szCs w:val="18"/>
              </w:rPr>
            </w:pPr>
            <w:r>
              <w:rPr>
                <w:rFonts w:ascii="宋体"/>
                <w:spacing w:val="-1"/>
                <w:sz w:val="18"/>
              </w:rPr>
              <w:t>10,000,000.00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2"/>
              <w:jc w:val="right"/>
              <w:rPr>
                <w:rFonts w:ascii="宋体" w:hAnsi="宋体" w:cs="宋体" w:eastAsia="宋体" w:hint="default"/>
                <w:sz w:val="18"/>
                <w:szCs w:val="18"/>
              </w:rPr>
            </w:pPr>
            <w:r>
              <w:rPr>
                <w:rFonts w:ascii="宋体" w:hAnsi="宋体" w:cs="宋体" w:eastAsia="宋体" w:hint="default"/>
                <w:sz w:val="18"/>
                <w:szCs w:val="18"/>
              </w:rPr>
              <w:t>中信证券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年度第</w:t>
            </w:r>
            <w:r>
              <w:rPr>
                <w:rFonts w:ascii="宋体" w:hAnsi="宋体" w:cs="宋体" w:eastAsia="宋体" w:hint="default"/>
                <w:spacing w:val="-47"/>
                <w:sz w:val="18"/>
                <w:szCs w:val="18"/>
              </w:rPr>
              <w:t> </w:t>
            </w:r>
            <w:r>
              <w:rPr>
                <w:rFonts w:ascii="宋体" w:hAnsi="宋体" w:cs="宋体" w:eastAsia="宋体" w:hint="default"/>
                <w:sz w:val="18"/>
                <w:szCs w:val="18"/>
              </w:rPr>
              <w:t>333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2" w:right="0"/>
              <w:jc w:val="center"/>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7" w:right="0"/>
              <w:jc w:val="center"/>
              <w:rPr>
                <w:rFonts w:ascii="宋体" w:hAnsi="宋体" w:cs="宋体" w:eastAsia="宋体" w:hint="default"/>
                <w:sz w:val="18"/>
                <w:szCs w:val="18"/>
              </w:rPr>
            </w:pPr>
            <w:r>
              <w:rPr>
                <w:rFonts w:ascii="宋体"/>
                <w:sz w:val="18"/>
              </w:rPr>
              <w:t>2017/10/16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0" w:right="0"/>
              <w:jc w:val="center"/>
              <w:rPr>
                <w:rFonts w:ascii="宋体" w:hAnsi="宋体" w:cs="宋体" w:eastAsia="宋体" w:hint="default"/>
                <w:sz w:val="18"/>
                <w:szCs w:val="18"/>
              </w:rPr>
            </w:pPr>
            <w:r>
              <w:rPr>
                <w:rFonts w:ascii="宋体"/>
                <w:sz w:val="18"/>
              </w:rPr>
              <w:t>2017/12/15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z w:val="18"/>
              </w:rPr>
              <w:t>4.25%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2" w:right="0"/>
              <w:jc w:val="center"/>
              <w:rPr>
                <w:rFonts w:ascii="宋体" w:hAnsi="宋体" w:cs="宋体" w:eastAsia="宋体" w:hint="default"/>
                <w:sz w:val="18"/>
                <w:szCs w:val="18"/>
              </w:rPr>
            </w:pPr>
            <w:r>
              <w:rPr>
                <w:rFonts w:ascii="宋体"/>
                <w:sz w:val="18"/>
              </w:rPr>
              <w:t>69,652.78 </w:t>
            </w:r>
          </w:p>
        </w:tc>
      </w:tr>
    </w:tbl>
    <w:p>
      <w:pPr>
        <w:spacing w:after="0" w:line="240" w:lineRule="auto"/>
        <w:jc w:val="center"/>
        <w:rPr>
          <w:rFonts w:ascii="宋体" w:hAnsi="宋体" w:cs="宋体" w:eastAsia="宋体" w:hint="default"/>
          <w:sz w:val="18"/>
          <w:szCs w:val="18"/>
        </w:rPr>
        <w:sectPr>
          <w:pgSz w:w="11910" w:h="16840"/>
          <w:pgMar w:header="745" w:footer="980" w:top="1060" w:bottom="1160" w:left="460" w:right="5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75"/>
        <w:gridCol w:w="1418"/>
        <w:gridCol w:w="2269"/>
        <w:gridCol w:w="1419"/>
        <w:gridCol w:w="1133"/>
        <w:gridCol w:w="1135"/>
        <w:gridCol w:w="850"/>
        <w:gridCol w:w="1135"/>
      </w:tblGrid>
      <w:tr>
        <w:trPr>
          <w:trHeight w:val="336" w:hRule="exact"/>
        </w:trPr>
        <w:tc>
          <w:tcPr>
            <w:tcW w:w="1275"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22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94" w:right="0"/>
              <w:jc w:val="center"/>
              <w:rPr>
                <w:rFonts w:ascii="宋体" w:hAnsi="宋体" w:cs="宋体" w:eastAsia="宋体" w:hint="default"/>
                <w:sz w:val="18"/>
                <w:szCs w:val="18"/>
              </w:rPr>
            </w:pPr>
            <w:r>
              <w:rPr>
                <w:rFonts w:ascii="宋体" w:hAnsi="宋体" w:cs="宋体" w:eastAsia="宋体" w:hint="default"/>
                <w:sz w:val="18"/>
                <w:szCs w:val="18"/>
              </w:rPr>
              <w:t>期收益凭证</w:t>
            </w:r>
            <w:r>
              <w:rPr>
                <w:rFonts w:ascii="宋体" w:hAnsi="宋体" w:cs="宋体" w:eastAsia="宋体" w:hint="default"/>
                <w:sz w:val="18"/>
                <w:szCs w:val="18"/>
              </w:rPr>
              <w:t> </w:t>
            </w:r>
          </w:p>
        </w:tc>
        <w:tc>
          <w:tcPr>
            <w:tcW w:w="1419"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63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国信证券</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45,000,000.00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10" w:right="180" w:hanging="226"/>
              <w:jc w:val="left"/>
              <w:rPr>
                <w:rFonts w:ascii="宋体" w:hAnsi="宋体" w:cs="宋体" w:eastAsia="宋体" w:hint="default"/>
                <w:sz w:val="18"/>
                <w:szCs w:val="18"/>
              </w:rPr>
            </w:pPr>
            <w:r>
              <w:rPr>
                <w:rFonts w:ascii="宋体" w:hAnsi="宋体" w:cs="宋体" w:eastAsia="宋体" w:hint="default"/>
                <w:sz w:val="18"/>
                <w:szCs w:val="18"/>
              </w:rPr>
              <w:t>国信证券收益凭证</w:t>
            </w:r>
            <w:r>
              <w:rPr>
                <w:rFonts w:ascii="宋体" w:hAnsi="宋体" w:cs="宋体" w:eastAsia="宋体" w:hint="default"/>
                <w:sz w:val="18"/>
                <w:szCs w:val="18"/>
              </w:rPr>
              <w:t>-</w:t>
            </w:r>
            <w:r>
              <w:rPr>
                <w:rFonts w:ascii="宋体" w:hAnsi="宋体" w:cs="宋体" w:eastAsia="宋体" w:hint="default"/>
                <w:sz w:val="18"/>
                <w:szCs w:val="18"/>
              </w:rPr>
              <w:t>金益 求金</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7"/>
                <w:sz w:val="18"/>
                <w:szCs w:val="18"/>
              </w:rPr>
              <w:t> </w:t>
            </w:r>
            <w:r>
              <w:rPr>
                <w:rFonts w:ascii="宋体" w:hAnsi="宋体" w:cs="宋体" w:eastAsia="宋体" w:hint="default"/>
                <w:sz w:val="18"/>
                <w:szCs w:val="18"/>
              </w:rPr>
              <w:t>天</w:t>
            </w:r>
            <w:r>
              <w:rPr>
                <w:rFonts w:ascii="宋体" w:hAnsi="宋体" w:cs="宋体" w:eastAsia="宋体" w:hint="default"/>
                <w:spacing w:val="-46"/>
                <w:sz w:val="18"/>
                <w:szCs w:val="18"/>
              </w:rPr>
              <w:t> </w:t>
            </w:r>
            <w:r>
              <w:rPr>
                <w:rFonts w:ascii="宋体" w:hAnsi="宋体" w:cs="宋体" w:eastAsia="宋体" w:hint="default"/>
                <w:sz w:val="18"/>
                <w:szCs w:val="18"/>
              </w:rPr>
              <w:t>1624</w:t>
            </w:r>
            <w:r>
              <w:rPr>
                <w:rFonts w:ascii="宋体" w:hAnsi="宋体" w:cs="宋体" w:eastAsia="宋体" w:hint="default"/>
                <w:spacing w:val="-44"/>
                <w:sz w:val="18"/>
                <w:szCs w:val="18"/>
              </w:rPr>
              <w:t> </w:t>
            </w:r>
            <w:r>
              <w:rPr>
                <w:rFonts w:ascii="宋体" w:hAnsi="宋体" w:cs="宋体" w:eastAsia="宋体" w:hint="default"/>
                <w:spacing w:val="-3"/>
                <w:sz w:val="18"/>
                <w:szCs w:val="18"/>
              </w:rPr>
              <w:t>期</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sz w:val="18"/>
              </w:rPr>
              <w:t>2017/10/20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90" w:right="0"/>
              <w:jc w:val="center"/>
              <w:rPr>
                <w:rFonts w:ascii="宋体" w:hAnsi="宋体" w:cs="宋体" w:eastAsia="宋体" w:hint="default"/>
                <w:sz w:val="18"/>
                <w:szCs w:val="18"/>
              </w:rPr>
            </w:pPr>
            <w:r>
              <w:rPr>
                <w:rFonts w:ascii="宋体"/>
                <w:sz w:val="18"/>
              </w:rPr>
              <w:t>2017/11/10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4.00%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98,630.14 </w:t>
            </w:r>
          </w:p>
        </w:tc>
      </w:tr>
      <w:tr>
        <w:trPr>
          <w:trHeight w:val="63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国信证券</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110,100,000.0</w:t>
            </w:r>
          </w:p>
          <w:p>
            <w:pPr>
              <w:pStyle w:val="TableParagraph"/>
              <w:spacing w:line="240" w:lineRule="auto" w:before="76"/>
              <w:ind w:left="92" w:right="0"/>
              <w:jc w:val="center"/>
              <w:rPr>
                <w:rFonts w:ascii="宋体" w:hAnsi="宋体" w:cs="宋体" w:eastAsia="宋体" w:hint="default"/>
                <w:sz w:val="18"/>
                <w:szCs w:val="18"/>
              </w:rPr>
            </w:pPr>
            <w:r>
              <w:rPr>
                <w:rFonts w:ascii="宋体"/>
                <w:sz w:val="18"/>
              </w:rPr>
              <w:t>0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10" w:right="180" w:hanging="226"/>
              <w:jc w:val="left"/>
              <w:rPr>
                <w:rFonts w:ascii="宋体" w:hAnsi="宋体" w:cs="宋体" w:eastAsia="宋体" w:hint="default"/>
                <w:sz w:val="18"/>
                <w:szCs w:val="18"/>
              </w:rPr>
            </w:pPr>
            <w:r>
              <w:rPr>
                <w:rFonts w:ascii="宋体" w:hAnsi="宋体" w:cs="宋体" w:eastAsia="宋体" w:hint="default"/>
                <w:sz w:val="18"/>
                <w:szCs w:val="18"/>
              </w:rPr>
              <w:t>国信证券收益凭证</w:t>
            </w:r>
            <w:r>
              <w:rPr>
                <w:rFonts w:ascii="宋体" w:hAnsi="宋体" w:cs="宋体" w:eastAsia="宋体" w:hint="default"/>
                <w:sz w:val="18"/>
                <w:szCs w:val="18"/>
              </w:rPr>
              <w:t>-</w:t>
            </w:r>
            <w:r>
              <w:rPr>
                <w:rFonts w:ascii="宋体" w:hAnsi="宋体" w:cs="宋体" w:eastAsia="宋体" w:hint="default"/>
                <w:sz w:val="18"/>
                <w:szCs w:val="18"/>
              </w:rPr>
              <w:t>金益 求金</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天</w:t>
            </w:r>
            <w:r>
              <w:rPr>
                <w:rFonts w:ascii="宋体" w:hAnsi="宋体" w:cs="宋体" w:eastAsia="宋体" w:hint="default"/>
                <w:spacing w:val="-46"/>
                <w:sz w:val="18"/>
                <w:szCs w:val="18"/>
              </w:rPr>
              <w:t> </w:t>
            </w:r>
            <w:r>
              <w:rPr>
                <w:rFonts w:ascii="宋体" w:hAnsi="宋体" w:cs="宋体" w:eastAsia="宋体" w:hint="default"/>
                <w:sz w:val="18"/>
                <w:szCs w:val="18"/>
              </w:rPr>
              <w:t>1654</w:t>
            </w:r>
            <w:r>
              <w:rPr>
                <w:rFonts w:ascii="宋体" w:hAnsi="宋体" w:cs="宋体" w:eastAsia="宋体" w:hint="default"/>
                <w:spacing w:val="-44"/>
                <w:sz w:val="18"/>
                <w:szCs w:val="18"/>
              </w:rPr>
              <w:t> </w:t>
            </w:r>
            <w:r>
              <w:rPr>
                <w:rFonts w:ascii="宋体" w:hAnsi="宋体" w:cs="宋体" w:eastAsia="宋体" w:hint="default"/>
                <w:spacing w:val="-3"/>
                <w:sz w:val="18"/>
                <w:szCs w:val="18"/>
              </w:rPr>
              <w:t>期</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sz w:val="18"/>
              </w:rPr>
              <w:t>2017/10/30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2018/1/30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4.60%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1,276,556.</w:t>
            </w:r>
          </w:p>
          <w:p>
            <w:pPr>
              <w:pStyle w:val="TableParagraph"/>
              <w:spacing w:line="240" w:lineRule="auto" w:before="76"/>
              <w:ind w:left="89" w:right="0"/>
              <w:jc w:val="center"/>
              <w:rPr>
                <w:rFonts w:ascii="宋体" w:hAnsi="宋体" w:cs="宋体" w:eastAsia="宋体" w:hint="default"/>
                <w:sz w:val="18"/>
                <w:szCs w:val="18"/>
              </w:rPr>
            </w:pPr>
            <w:r>
              <w:rPr>
                <w:rFonts w:ascii="宋体"/>
                <w:sz w:val="18"/>
              </w:rPr>
              <w:t>71 </w:t>
            </w:r>
          </w:p>
        </w:tc>
      </w:tr>
      <w:tr>
        <w:trPr>
          <w:trHeight w:val="63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平安银行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110,560,000.0</w:t>
            </w:r>
          </w:p>
          <w:p>
            <w:pPr>
              <w:pStyle w:val="TableParagraph"/>
              <w:spacing w:line="240" w:lineRule="auto" w:before="76"/>
              <w:ind w:left="92" w:right="0"/>
              <w:jc w:val="center"/>
              <w:rPr>
                <w:rFonts w:ascii="宋体" w:hAnsi="宋体" w:cs="宋体" w:eastAsia="宋体" w:hint="default"/>
                <w:sz w:val="18"/>
                <w:szCs w:val="18"/>
              </w:rPr>
            </w:pPr>
            <w:r>
              <w:rPr>
                <w:rFonts w:ascii="宋体"/>
                <w:sz w:val="18"/>
              </w:rPr>
              <w:t>0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5" w:right="0"/>
              <w:jc w:val="center"/>
              <w:rPr>
                <w:rFonts w:ascii="宋体" w:hAnsi="宋体" w:cs="宋体" w:eastAsia="宋体" w:hint="default"/>
                <w:sz w:val="18"/>
                <w:szCs w:val="18"/>
              </w:rPr>
            </w:pPr>
            <w:r>
              <w:rPr>
                <w:rFonts w:ascii="宋体" w:hAnsi="宋体" w:cs="宋体" w:eastAsia="宋体" w:hint="default"/>
                <w:sz w:val="18"/>
                <w:szCs w:val="18"/>
              </w:rPr>
              <w:t>天天利</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2017/11/1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2017/11/8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3.20%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67,850.52 </w:t>
            </w:r>
          </w:p>
        </w:tc>
      </w:tr>
      <w:tr>
        <w:trPr>
          <w:trHeight w:val="63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国信证券</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30,000,000.00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10" w:right="180" w:hanging="226"/>
              <w:jc w:val="left"/>
              <w:rPr>
                <w:rFonts w:ascii="宋体" w:hAnsi="宋体" w:cs="宋体" w:eastAsia="宋体" w:hint="default"/>
                <w:sz w:val="18"/>
                <w:szCs w:val="18"/>
              </w:rPr>
            </w:pPr>
            <w:r>
              <w:rPr>
                <w:rFonts w:ascii="宋体" w:hAnsi="宋体" w:cs="宋体" w:eastAsia="宋体" w:hint="default"/>
                <w:sz w:val="18"/>
                <w:szCs w:val="18"/>
              </w:rPr>
              <w:t>国信证券收益凭证</w:t>
            </w:r>
            <w:r>
              <w:rPr>
                <w:rFonts w:ascii="宋体" w:hAnsi="宋体" w:cs="宋体" w:eastAsia="宋体" w:hint="default"/>
                <w:sz w:val="18"/>
                <w:szCs w:val="18"/>
              </w:rPr>
              <w:t>-</w:t>
            </w:r>
            <w:r>
              <w:rPr>
                <w:rFonts w:ascii="宋体" w:hAnsi="宋体" w:cs="宋体" w:eastAsia="宋体" w:hint="default"/>
                <w:sz w:val="18"/>
                <w:szCs w:val="18"/>
              </w:rPr>
              <w:t>金益 求金</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天</w:t>
            </w:r>
            <w:r>
              <w:rPr>
                <w:rFonts w:ascii="宋体" w:hAnsi="宋体" w:cs="宋体" w:eastAsia="宋体" w:hint="default"/>
                <w:spacing w:val="-46"/>
                <w:sz w:val="18"/>
                <w:szCs w:val="18"/>
              </w:rPr>
              <w:t> </w:t>
            </w:r>
            <w:r>
              <w:rPr>
                <w:rFonts w:ascii="宋体" w:hAnsi="宋体" w:cs="宋体" w:eastAsia="宋体" w:hint="default"/>
                <w:sz w:val="18"/>
                <w:szCs w:val="18"/>
              </w:rPr>
              <w:t>1686</w:t>
            </w:r>
            <w:r>
              <w:rPr>
                <w:rFonts w:ascii="宋体" w:hAnsi="宋体" w:cs="宋体" w:eastAsia="宋体" w:hint="default"/>
                <w:spacing w:val="-44"/>
                <w:sz w:val="18"/>
                <w:szCs w:val="18"/>
              </w:rPr>
              <w:t> </w:t>
            </w:r>
            <w:r>
              <w:rPr>
                <w:rFonts w:ascii="宋体" w:hAnsi="宋体" w:cs="宋体" w:eastAsia="宋体" w:hint="default"/>
                <w:spacing w:val="-3"/>
                <w:sz w:val="18"/>
                <w:szCs w:val="18"/>
              </w:rPr>
              <w:t>期</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2017/11/3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2017/12/4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4.25%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106,250.00 </w:t>
            </w:r>
          </w:p>
        </w:tc>
      </w:tr>
      <w:tr>
        <w:trPr>
          <w:trHeight w:val="63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国信证券</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10,000,000.00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10" w:right="180" w:hanging="226"/>
              <w:jc w:val="left"/>
              <w:rPr>
                <w:rFonts w:ascii="宋体" w:hAnsi="宋体" w:cs="宋体" w:eastAsia="宋体" w:hint="default"/>
                <w:sz w:val="18"/>
                <w:szCs w:val="18"/>
              </w:rPr>
            </w:pPr>
            <w:r>
              <w:rPr>
                <w:rFonts w:ascii="宋体" w:hAnsi="宋体" w:cs="宋体" w:eastAsia="宋体" w:hint="default"/>
                <w:sz w:val="18"/>
                <w:szCs w:val="18"/>
              </w:rPr>
              <w:t>国信证券收益凭证</w:t>
            </w:r>
            <w:r>
              <w:rPr>
                <w:rFonts w:ascii="宋体" w:hAnsi="宋体" w:cs="宋体" w:eastAsia="宋体" w:hint="default"/>
                <w:sz w:val="18"/>
                <w:szCs w:val="18"/>
              </w:rPr>
              <w:t>-</w:t>
            </w:r>
            <w:r>
              <w:rPr>
                <w:rFonts w:ascii="宋体" w:hAnsi="宋体" w:cs="宋体" w:eastAsia="宋体" w:hint="default"/>
                <w:sz w:val="18"/>
                <w:szCs w:val="18"/>
              </w:rPr>
              <w:t>金益 求金</w:t>
            </w:r>
            <w:r>
              <w:rPr>
                <w:rFonts w:ascii="宋体" w:hAnsi="宋体" w:cs="宋体" w:eastAsia="宋体" w:hint="default"/>
                <w:spacing w:val="-45"/>
                <w:sz w:val="18"/>
                <w:szCs w:val="18"/>
              </w:rPr>
              <w:t> </w:t>
            </w:r>
            <w:r>
              <w:rPr>
                <w:rFonts w:ascii="宋体" w:hAnsi="宋体" w:cs="宋体" w:eastAsia="宋体" w:hint="default"/>
                <w:sz w:val="18"/>
                <w:szCs w:val="18"/>
              </w:rPr>
              <w:t>90</w:t>
            </w:r>
            <w:r>
              <w:rPr>
                <w:rFonts w:ascii="宋体" w:hAnsi="宋体" w:cs="宋体" w:eastAsia="宋体" w:hint="default"/>
                <w:spacing w:val="-47"/>
                <w:sz w:val="18"/>
                <w:szCs w:val="18"/>
              </w:rPr>
              <w:t> </w:t>
            </w:r>
            <w:r>
              <w:rPr>
                <w:rFonts w:ascii="宋体" w:hAnsi="宋体" w:cs="宋体" w:eastAsia="宋体" w:hint="default"/>
                <w:sz w:val="18"/>
                <w:szCs w:val="18"/>
              </w:rPr>
              <w:t>天</w:t>
            </w:r>
            <w:r>
              <w:rPr>
                <w:rFonts w:ascii="宋体" w:hAnsi="宋体" w:cs="宋体" w:eastAsia="宋体" w:hint="default"/>
                <w:spacing w:val="-46"/>
                <w:sz w:val="18"/>
                <w:szCs w:val="18"/>
              </w:rPr>
              <w:t> </w:t>
            </w:r>
            <w:r>
              <w:rPr>
                <w:rFonts w:ascii="宋体" w:hAnsi="宋体" w:cs="宋体" w:eastAsia="宋体" w:hint="default"/>
                <w:sz w:val="18"/>
                <w:szCs w:val="18"/>
              </w:rPr>
              <w:t>1957</w:t>
            </w:r>
            <w:r>
              <w:rPr>
                <w:rFonts w:ascii="宋体" w:hAnsi="宋体" w:cs="宋体" w:eastAsia="宋体" w:hint="default"/>
                <w:spacing w:val="-44"/>
                <w:sz w:val="18"/>
                <w:szCs w:val="18"/>
              </w:rPr>
              <w:t> </w:t>
            </w:r>
            <w:r>
              <w:rPr>
                <w:rFonts w:ascii="宋体" w:hAnsi="宋体" w:cs="宋体" w:eastAsia="宋体" w:hint="default"/>
                <w:spacing w:val="-3"/>
                <w:sz w:val="18"/>
                <w:szCs w:val="18"/>
              </w:rPr>
              <w:t>期</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sz w:val="18"/>
              </w:rPr>
              <w:t>2017/12/15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2018/3/15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4.90%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120,821.92 </w:t>
            </w:r>
          </w:p>
        </w:tc>
      </w:tr>
      <w:tr>
        <w:trPr>
          <w:trHeight w:val="34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9"/>
              <w:jc w:val="right"/>
              <w:rPr>
                <w:rFonts w:ascii="宋体" w:hAnsi="宋体" w:cs="宋体" w:eastAsia="宋体" w:hint="default"/>
                <w:sz w:val="18"/>
                <w:szCs w:val="18"/>
              </w:rPr>
            </w:pPr>
            <w:r>
              <w:rPr>
                <w:rFonts w:ascii="宋体" w:hAnsi="宋体" w:cs="宋体" w:eastAsia="宋体" w:hint="default"/>
                <w:sz w:val="18"/>
                <w:szCs w:val="18"/>
              </w:rPr>
              <w:t>兴业银行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1"/>
              <w:jc w:val="right"/>
              <w:rPr>
                <w:rFonts w:ascii="宋体" w:hAnsi="宋体" w:cs="宋体" w:eastAsia="宋体" w:hint="default"/>
                <w:sz w:val="18"/>
                <w:szCs w:val="18"/>
              </w:rPr>
            </w:pPr>
            <w:r>
              <w:rPr>
                <w:rFonts w:ascii="宋体"/>
                <w:spacing w:val="-1"/>
                <w:sz w:val="18"/>
              </w:rPr>
              <w:t>5,000,000.00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4" w:right="0"/>
              <w:jc w:val="center"/>
              <w:rPr>
                <w:rFonts w:ascii="宋体" w:hAnsi="宋体" w:cs="宋体" w:eastAsia="宋体" w:hint="default"/>
                <w:sz w:val="18"/>
                <w:szCs w:val="18"/>
              </w:rPr>
            </w:pPr>
            <w:r>
              <w:rPr>
                <w:rFonts w:ascii="宋体" w:hAnsi="宋体" w:cs="宋体" w:eastAsia="宋体" w:hint="default"/>
                <w:sz w:val="18"/>
                <w:szCs w:val="18"/>
              </w:rPr>
              <w:t>结构性存款</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7" w:right="0"/>
              <w:jc w:val="center"/>
              <w:rPr>
                <w:rFonts w:ascii="宋体" w:hAnsi="宋体" w:cs="宋体" w:eastAsia="宋体" w:hint="default"/>
                <w:sz w:val="18"/>
                <w:szCs w:val="18"/>
              </w:rPr>
            </w:pPr>
            <w:r>
              <w:rPr>
                <w:rFonts w:ascii="宋体"/>
                <w:sz w:val="18"/>
              </w:rPr>
              <w:t>2017/12/12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2018/1/11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4.66%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19,163.01 </w:t>
            </w:r>
          </w:p>
        </w:tc>
      </w:tr>
      <w:tr>
        <w:trPr>
          <w:trHeight w:val="34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9"/>
              <w:jc w:val="right"/>
              <w:rPr>
                <w:rFonts w:ascii="宋体" w:hAnsi="宋体" w:cs="宋体" w:eastAsia="宋体" w:hint="default"/>
                <w:sz w:val="18"/>
                <w:szCs w:val="18"/>
              </w:rPr>
            </w:pPr>
            <w:r>
              <w:rPr>
                <w:rFonts w:ascii="宋体" w:hAnsi="宋体" w:cs="宋体" w:eastAsia="宋体" w:hint="default"/>
                <w:sz w:val="18"/>
                <w:szCs w:val="18"/>
              </w:rPr>
              <w:t>兴业银行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5"/>
              <w:jc w:val="right"/>
              <w:rPr>
                <w:rFonts w:ascii="宋体" w:hAnsi="宋体" w:cs="宋体" w:eastAsia="宋体" w:hint="default"/>
                <w:sz w:val="18"/>
                <w:szCs w:val="18"/>
              </w:rPr>
            </w:pPr>
            <w:r>
              <w:rPr>
                <w:rFonts w:ascii="宋体"/>
                <w:spacing w:val="-1"/>
                <w:sz w:val="18"/>
              </w:rPr>
              <w:t>10,000,000.00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4" w:right="0"/>
              <w:jc w:val="center"/>
              <w:rPr>
                <w:rFonts w:ascii="宋体" w:hAnsi="宋体" w:cs="宋体" w:eastAsia="宋体" w:hint="default"/>
                <w:sz w:val="18"/>
                <w:szCs w:val="18"/>
              </w:rPr>
            </w:pPr>
            <w:r>
              <w:rPr>
                <w:rFonts w:ascii="宋体" w:hAnsi="宋体" w:cs="宋体" w:eastAsia="宋体" w:hint="default"/>
                <w:sz w:val="18"/>
                <w:szCs w:val="18"/>
              </w:rPr>
              <w:t>结构性存款</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7" w:right="0"/>
              <w:jc w:val="center"/>
              <w:rPr>
                <w:rFonts w:ascii="宋体" w:hAnsi="宋体" w:cs="宋体" w:eastAsia="宋体" w:hint="default"/>
                <w:sz w:val="18"/>
                <w:szCs w:val="18"/>
              </w:rPr>
            </w:pPr>
            <w:r>
              <w:rPr>
                <w:rFonts w:ascii="宋体"/>
                <w:sz w:val="18"/>
              </w:rPr>
              <w:t>2017/12/27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2018/1/27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4.99%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42,338.36 </w:t>
            </w:r>
          </w:p>
        </w:tc>
      </w:tr>
      <w:tr>
        <w:trPr>
          <w:trHeight w:val="339"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79"/>
              <w:jc w:val="right"/>
              <w:rPr>
                <w:rFonts w:ascii="宋体" w:hAnsi="宋体" w:cs="宋体" w:eastAsia="宋体" w:hint="default"/>
                <w:sz w:val="18"/>
                <w:szCs w:val="18"/>
              </w:rPr>
            </w:pPr>
            <w:r>
              <w:rPr>
                <w:rFonts w:ascii="宋体" w:hAnsi="宋体" w:cs="宋体" w:eastAsia="宋体" w:hint="default"/>
                <w:sz w:val="18"/>
                <w:szCs w:val="18"/>
              </w:rPr>
              <w:t>兴业银行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5"/>
              <w:jc w:val="right"/>
              <w:rPr>
                <w:rFonts w:ascii="宋体" w:hAnsi="宋体" w:cs="宋体" w:eastAsia="宋体" w:hint="default"/>
                <w:sz w:val="18"/>
                <w:szCs w:val="18"/>
              </w:rPr>
            </w:pPr>
            <w:r>
              <w:rPr>
                <w:rFonts w:ascii="宋体"/>
                <w:spacing w:val="-1"/>
                <w:sz w:val="18"/>
              </w:rPr>
              <w:t>26,000,000.00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4" w:right="0"/>
              <w:jc w:val="center"/>
              <w:rPr>
                <w:rFonts w:ascii="宋体" w:hAnsi="宋体" w:cs="宋体" w:eastAsia="宋体" w:hint="default"/>
                <w:sz w:val="18"/>
                <w:szCs w:val="18"/>
              </w:rPr>
            </w:pPr>
            <w:r>
              <w:rPr>
                <w:rFonts w:ascii="宋体" w:hAnsi="宋体" w:cs="宋体" w:eastAsia="宋体" w:hint="default"/>
                <w:sz w:val="18"/>
                <w:szCs w:val="18"/>
              </w:rPr>
              <w:t>结构性存款</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87" w:right="0"/>
              <w:jc w:val="center"/>
              <w:rPr>
                <w:rFonts w:ascii="宋体" w:hAnsi="宋体" w:cs="宋体" w:eastAsia="宋体" w:hint="default"/>
                <w:sz w:val="18"/>
                <w:szCs w:val="18"/>
              </w:rPr>
            </w:pPr>
            <w:r>
              <w:rPr>
                <w:rFonts w:ascii="宋体"/>
                <w:sz w:val="18"/>
              </w:rPr>
              <w:t>2017/10/16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0" w:right="0"/>
              <w:jc w:val="center"/>
              <w:rPr>
                <w:rFonts w:ascii="宋体" w:hAnsi="宋体" w:cs="宋体" w:eastAsia="宋体" w:hint="default"/>
                <w:sz w:val="18"/>
                <w:szCs w:val="18"/>
              </w:rPr>
            </w:pPr>
            <w:r>
              <w:rPr>
                <w:rFonts w:ascii="宋体"/>
                <w:sz w:val="18"/>
              </w:rPr>
              <w:t>2017/10/30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18"/>
                <w:szCs w:val="18"/>
              </w:rPr>
            </w:pPr>
            <w:r>
              <w:rPr>
                <w:rFonts w:ascii="宋体"/>
                <w:sz w:val="18"/>
              </w:rPr>
              <w:t>3.09%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2" w:right="0"/>
              <w:jc w:val="center"/>
              <w:rPr>
                <w:rFonts w:ascii="宋体" w:hAnsi="宋体" w:cs="宋体" w:eastAsia="宋体" w:hint="default"/>
                <w:sz w:val="18"/>
                <w:szCs w:val="18"/>
              </w:rPr>
            </w:pPr>
            <w:r>
              <w:rPr>
                <w:rFonts w:ascii="宋体"/>
                <w:sz w:val="18"/>
              </w:rPr>
              <w:t>30,815.34 </w:t>
            </w:r>
          </w:p>
        </w:tc>
      </w:tr>
      <w:tr>
        <w:trPr>
          <w:trHeight w:val="34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9"/>
              <w:jc w:val="right"/>
              <w:rPr>
                <w:rFonts w:ascii="宋体" w:hAnsi="宋体" w:cs="宋体" w:eastAsia="宋体" w:hint="default"/>
                <w:sz w:val="18"/>
                <w:szCs w:val="18"/>
              </w:rPr>
            </w:pPr>
            <w:r>
              <w:rPr>
                <w:rFonts w:ascii="宋体" w:hAnsi="宋体" w:cs="宋体" w:eastAsia="宋体" w:hint="default"/>
                <w:sz w:val="18"/>
                <w:szCs w:val="18"/>
              </w:rPr>
              <w:t>兴业银行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5"/>
              <w:jc w:val="right"/>
              <w:rPr>
                <w:rFonts w:ascii="宋体" w:hAnsi="宋体" w:cs="宋体" w:eastAsia="宋体" w:hint="default"/>
                <w:sz w:val="18"/>
                <w:szCs w:val="18"/>
              </w:rPr>
            </w:pPr>
            <w:r>
              <w:rPr>
                <w:rFonts w:ascii="宋体"/>
                <w:spacing w:val="-1"/>
                <w:sz w:val="18"/>
              </w:rPr>
              <w:t>26,000,000.00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4" w:right="0"/>
              <w:jc w:val="center"/>
              <w:rPr>
                <w:rFonts w:ascii="宋体" w:hAnsi="宋体" w:cs="宋体" w:eastAsia="宋体" w:hint="default"/>
                <w:sz w:val="18"/>
                <w:szCs w:val="18"/>
              </w:rPr>
            </w:pPr>
            <w:r>
              <w:rPr>
                <w:rFonts w:ascii="宋体" w:hAnsi="宋体" w:cs="宋体" w:eastAsia="宋体" w:hint="default"/>
                <w:sz w:val="18"/>
                <w:szCs w:val="18"/>
              </w:rPr>
              <w:t>结构性存款</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7" w:right="0"/>
              <w:jc w:val="center"/>
              <w:rPr>
                <w:rFonts w:ascii="宋体" w:hAnsi="宋体" w:cs="宋体" w:eastAsia="宋体" w:hint="default"/>
                <w:sz w:val="18"/>
                <w:szCs w:val="18"/>
              </w:rPr>
            </w:pPr>
            <w:r>
              <w:rPr>
                <w:rFonts w:ascii="宋体"/>
                <w:sz w:val="18"/>
              </w:rPr>
              <w:t>2017/11/13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0" w:right="0"/>
              <w:jc w:val="center"/>
              <w:rPr>
                <w:rFonts w:ascii="宋体" w:hAnsi="宋体" w:cs="宋体" w:eastAsia="宋体" w:hint="default"/>
                <w:sz w:val="18"/>
                <w:szCs w:val="18"/>
              </w:rPr>
            </w:pPr>
            <w:r>
              <w:rPr>
                <w:rFonts w:ascii="宋体"/>
                <w:sz w:val="18"/>
              </w:rPr>
              <w:t>2017/12/13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3.10%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66,246.58 </w:t>
            </w:r>
          </w:p>
        </w:tc>
      </w:tr>
      <w:tr>
        <w:trPr>
          <w:trHeight w:val="34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9"/>
              <w:jc w:val="right"/>
              <w:rPr>
                <w:rFonts w:ascii="宋体" w:hAnsi="宋体" w:cs="宋体" w:eastAsia="宋体" w:hint="default"/>
                <w:sz w:val="18"/>
                <w:szCs w:val="18"/>
              </w:rPr>
            </w:pPr>
            <w:r>
              <w:rPr>
                <w:rFonts w:ascii="宋体" w:hAnsi="宋体" w:cs="宋体" w:eastAsia="宋体" w:hint="default"/>
                <w:sz w:val="18"/>
                <w:szCs w:val="18"/>
              </w:rPr>
              <w:t>兴业银行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5"/>
              <w:jc w:val="right"/>
              <w:rPr>
                <w:rFonts w:ascii="宋体" w:hAnsi="宋体" w:cs="宋体" w:eastAsia="宋体" w:hint="default"/>
                <w:sz w:val="18"/>
                <w:szCs w:val="18"/>
              </w:rPr>
            </w:pPr>
            <w:r>
              <w:rPr>
                <w:rFonts w:ascii="宋体"/>
                <w:spacing w:val="-1"/>
                <w:sz w:val="18"/>
              </w:rPr>
              <w:t>26,000,000.00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4" w:right="0"/>
              <w:jc w:val="center"/>
              <w:rPr>
                <w:rFonts w:ascii="宋体" w:hAnsi="宋体" w:cs="宋体" w:eastAsia="宋体" w:hint="default"/>
                <w:sz w:val="18"/>
                <w:szCs w:val="18"/>
              </w:rPr>
            </w:pPr>
            <w:r>
              <w:rPr>
                <w:rFonts w:ascii="宋体" w:hAnsi="宋体" w:cs="宋体" w:eastAsia="宋体" w:hint="default"/>
                <w:sz w:val="18"/>
                <w:szCs w:val="18"/>
              </w:rPr>
              <w:t>结构性存款</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7" w:right="0"/>
              <w:jc w:val="center"/>
              <w:rPr>
                <w:rFonts w:ascii="宋体" w:hAnsi="宋体" w:cs="宋体" w:eastAsia="宋体" w:hint="default"/>
                <w:sz w:val="18"/>
                <w:szCs w:val="18"/>
              </w:rPr>
            </w:pPr>
            <w:r>
              <w:rPr>
                <w:rFonts w:ascii="宋体"/>
                <w:sz w:val="18"/>
              </w:rPr>
              <w:t>2017/12/13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2018/1/12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3.77%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80,564.38 </w:t>
            </w:r>
          </w:p>
        </w:tc>
      </w:tr>
      <w:tr>
        <w:trPr>
          <w:trHeight w:val="63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平安银行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spacing w:val="-1"/>
                <w:sz w:val="18"/>
              </w:rPr>
              <w:t>5,000,000.00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34" w:right="135" w:hanging="293"/>
              <w:jc w:val="left"/>
              <w:rPr>
                <w:rFonts w:ascii="宋体" w:hAnsi="宋体" w:cs="宋体" w:eastAsia="宋体" w:hint="default"/>
                <w:sz w:val="18"/>
                <w:szCs w:val="18"/>
              </w:rPr>
            </w:pPr>
            <w:r>
              <w:rPr>
                <w:rFonts w:ascii="宋体" w:hAnsi="宋体" w:cs="宋体" w:eastAsia="宋体" w:hint="default"/>
                <w:sz w:val="18"/>
                <w:szCs w:val="18"/>
              </w:rPr>
              <w:t>卓越计划滚动型人民币公 司理财产品</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pacing w:val="-3"/>
                <w:sz w:val="18"/>
                <w:szCs w:val="18"/>
              </w:rPr>
              <w:t>天</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sz w:val="18"/>
              </w:rPr>
              <w:t>2017/10/20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0" w:right="0"/>
              <w:jc w:val="center"/>
              <w:rPr>
                <w:rFonts w:ascii="宋体" w:hAnsi="宋体" w:cs="宋体" w:eastAsia="宋体" w:hint="default"/>
                <w:sz w:val="18"/>
                <w:szCs w:val="18"/>
              </w:rPr>
            </w:pPr>
            <w:r>
              <w:rPr>
                <w:rFonts w:ascii="宋体"/>
                <w:sz w:val="18"/>
              </w:rPr>
              <w:t>2017/11/17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3.80%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14,575.34 </w:t>
            </w:r>
          </w:p>
        </w:tc>
      </w:tr>
      <w:tr>
        <w:trPr>
          <w:trHeight w:val="33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9"/>
              <w:jc w:val="right"/>
              <w:rPr>
                <w:rFonts w:ascii="宋体" w:hAnsi="宋体" w:cs="宋体" w:eastAsia="宋体" w:hint="default"/>
                <w:sz w:val="18"/>
                <w:szCs w:val="18"/>
              </w:rPr>
            </w:pPr>
            <w:r>
              <w:rPr>
                <w:rFonts w:ascii="宋体" w:hAnsi="宋体" w:cs="宋体" w:eastAsia="宋体" w:hint="default"/>
                <w:sz w:val="18"/>
                <w:szCs w:val="18"/>
              </w:rPr>
              <w:t>平安银行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1"/>
              <w:jc w:val="right"/>
              <w:rPr>
                <w:rFonts w:ascii="宋体" w:hAnsi="宋体" w:cs="宋体" w:eastAsia="宋体" w:hint="default"/>
                <w:sz w:val="18"/>
                <w:szCs w:val="18"/>
              </w:rPr>
            </w:pPr>
            <w:r>
              <w:rPr>
                <w:rFonts w:ascii="宋体"/>
                <w:spacing w:val="-1"/>
                <w:sz w:val="18"/>
              </w:rPr>
              <w:t>5,800,000.00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center"/>
              <w:rPr>
                <w:rFonts w:ascii="宋体" w:hAnsi="宋体" w:cs="宋体" w:eastAsia="宋体" w:hint="default"/>
                <w:sz w:val="18"/>
                <w:szCs w:val="18"/>
              </w:rPr>
            </w:pPr>
            <w:r>
              <w:rPr>
                <w:rFonts w:ascii="宋体" w:hAnsi="宋体" w:cs="宋体" w:eastAsia="宋体" w:hint="default"/>
                <w:sz w:val="18"/>
                <w:szCs w:val="18"/>
              </w:rPr>
              <w:t>天天利</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9" w:right="0"/>
              <w:jc w:val="center"/>
              <w:rPr>
                <w:rFonts w:ascii="宋体" w:hAnsi="宋体" w:cs="宋体" w:eastAsia="宋体" w:hint="default"/>
                <w:sz w:val="18"/>
                <w:szCs w:val="18"/>
              </w:rPr>
            </w:pPr>
            <w:r>
              <w:rPr>
                <w:rFonts w:ascii="宋体"/>
                <w:sz w:val="18"/>
              </w:rPr>
              <w:t>2017/11/7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3.10%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 </w:t>
            </w:r>
          </w:p>
        </w:tc>
      </w:tr>
      <w:tr>
        <w:trPr>
          <w:trHeight w:val="34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9"/>
              <w:jc w:val="right"/>
              <w:rPr>
                <w:rFonts w:ascii="宋体" w:hAnsi="宋体" w:cs="宋体" w:eastAsia="宋体" w:hint="default"/>
                <w:sz w:val="18"/>
                <w:szCs w:val="18"/>
              </w:rPr>
            </w:pPr>
            <w:r>
              <w:rPr>
                <w:rFonts w:ascii="宋体" w:hAnsi="宋体" w:cs="宋体" w:eastAsia="宋体" w:hint="default"/>
                <w:sz w:val="18"/>
                <w:szCs w:val="18"/>
              </w:rPr>
              <w:t>平安银行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1"/>
              <w:jc w:val="right"/>
              <w:rPr>
                <w:rFonts w:ascii="宋体" w:hAnsi="宋体" w:cs="宋体" w:eastAsia="宋体" w:hint="default"/>
                <w:sz w:val="18"/>
                <w:szCs w:val="18"/>
              </w:rPr>
            </w:pPr>
            <w:r>
              <w:rPr>
                <w:rFonts w:ascii="宋体"/>
                <w:spacing w:val="-1"/>
                <w:sz w:val="18"/>
              </w:rPr>
              <w:t>4,000,000.00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center"/>
              <w:rPr>
                <w:rFonts w:ascii="宋体" w:hAnsi="宋体" w:cs="宋体" w:eastAsia="宋体" w:hint="default"/>
                <w:sz w:val="18"/>
                <w:szCs w:val="18"/>
              </w:rPr>
            </w:pPr>
            <w:r>
              <w:rPr>
                <w:rFonts w:ascii="宋体" w:hAnsi="宋体" w:cs="宋体" w:eastAsia="宋体" w:hint="default"/>
                <w:sz w:val="18"/>
                <w:szCs w:val="18"/>
              </w:rPr>
              <w:t>天天利</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7" w:right="0"/>
              <w:jc w:val="center"/>
              <w:rPr>
                <w:rFonts w:ascii="宋体" w:hAnsi="宋体" w:cs="宋体" w:eastAsia="宋体" w:hint="default"/>
                <w:sz w:val="18"/>
                <w:szCs w:val="18"/>
              </w:rPr>
            </w:pPr>
            <w:r>
              <w:rPr>
                <w:rFonts w:ascii="宋体"/>
                <w:sz w:val="18"/>
              </w:rPr>
              <w:t>2017/11/16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3.10%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 </w:t>
            </w:r>
          </w:p>
        </w:tc>
      </w:tr>
      <w:tr>
        <w:trPr>
          <w:trHeight w:val="34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9"/>
              <w:jc w:val="right"/>
              <w:rPr>
                <w:rFonts w:ascii="宋体" w:hAnsi="宋体" w:cs="宋体" w:eastAsia="宋体" w:hint="default"/>
                <w:sz w:val="18"/>
                <w:szCs w:val="18"/>
              </w:rPr>
            </w:pPr>
            <w:r>
              <w:rPr>
                <w:rFonts w:ascii="宋体" w:hAnsi="宋体" w:cs="宋体" w:eastAsia="宋体" w:hint="default"/>
                <w:sz w:val="18"/>
                <w:szCs w:val="18"/>
              </w:rPr>
              <w:t>平安银行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1"/>
              <w:jc w:val="right"/>
              <w:rPr>
                <w:rFonts w:ascii="宋体" w:hAnsi="宋体" w:cs="宋体" w:eastAsia="宋体" w:hint="default"/>
                <w:sz w:val="18"/>
                <w:szCs w:val="18"/>
              </w:rPr>
            </w:pPr>
            <w:r>
              <w:rPr>
                <w:rFonts w:ascii="宋体"/>
                <w:spacing w:val="-1"/>
                <w:sz w:val="18"/>
              </w:rPr>
              <w:t>3,500,000.00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center"/>
              <w:rPr>
                <w:rFonts w:ascii="宋体" w:hAnsi="宋体" w:cs="宋体" w:eastAsia="宋体" w:hint="default"/>
                <w:sz w:val="18"/>
                <w:szCs w:val="18"/>
              </w:rPr>
            </w:pPr>
            <w:r>
              <w:rPr>
                <w:rFonts w:ascii="宋体" w:hAnsi="宋体" w:cs="宋体" w:eastAsia="宋体" w:hint="default"/>
                <w:sz w:val="18"/>
                <w:szCs w:val="18"/>
              </w:rPr>
              <w:t>天天利</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7" w:right="0"/>
              <w:jc w:val="center"/>
              <w:rPr>
                <w:rFonts w:ascii="宋体" w:hAnsi="宋体" w:cs="宋体" w:eastAsia="宋体" w:hint="default"/>
                <w:sz w:val="18"/>
                <w:szCs w:val="18"/>
              </w:rPr>
            </w:pPr>
            <w:r>
              <w:rPr>
                <w:rFonts w:ascii="宋体"/>
                <w:sz w:val="18"/>
              </w:rPr>
              <w:t>2017/11/20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3.10%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 </w:t>
            </w:r>
          </w:p>
        </w:tc>
      </w:tr>
      <w:tr>
        <w:trPr>
          <w:trHeight w:val="63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兴业银行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spacing w:val="-1"/>
                <w:sz w:val="18"/>
              </w:rPr>
              <w:t>3,000,000.00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770" w:right="96" w:hanging="666"/>
              <w:jc w:val="left"/>
              <w:rPr>
                <w:rFonts w:ascii="宋体" w:hAnsi="宋体" w:cs="宋体" w:eastAsia="宋体" w:hint="default"/>
                <w:sz w:val="18"/>
                <w:szCs w:val="18"/>
              </w:rPr>
            </w:pPr>
            <w:r>
              <w:rPr>
                <w:rFonts w:ascii="宋体" w:hAnsi="宋体" w:cs="宋体" w:eastAsia="宋体" w:hint="default"/>
                <w:spacing w:val="-2"/>
                <w:sz w:val="18"/>
                <w:szCs w:val="18"/>
              </w:rPr>
              <w:t>金雪球</w:t>
            </w:r>
            <w:r>
              <w:rPr>
                <w:rFonts w:ascii="宋体" w:hAnsi="宋体" w:cs="宋体" w:eastAsia="宋体" w:hint="default"/>
                <w:spacing w:val="-2"/>
                <w:sz w:val="18"/>
                <w:szCs w:val="18"/>
              </w:rPr>
              <w:t>-</w:t>
            </w:r>
            <w:r>
              <w:rPr>
                <w:rFonts w:ascii="宋体" w:hAnsi="宋体" w:cs="宋体" w:eastAsia="宋体" w:hint="default"/>
                <w:spacing w:val="-2"/>
                <w:sz w:val="18"/>
                <w:szCs w:val="18"/>
              </w:rPr>
              <w:t>优悦”保本开放式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理财产品</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2017/11/1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2017/12/1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3.90%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9,616.44 </w:t>
            </w:r>
          </w:p>
        </w:tc>
      </w:tr>
      <w:tr>
        <w:trPr>
          <w:trHeight w:val="63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兴业银行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spacing w:val="-1"/>
                <w:sz w:val="18"/>
              </w:rPr>
              <w:t>4,500,000.00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770" w:right="96" w:hanging="666"/>
              <w:jc w:val="left"/>
              <w:rPr>
                <w:rFonts w:ascii="宋体" w:hAnsi="宋体" w:cs="宋体" w:eastAsia="宋体" w:hint="default"/>
                <w:sz w:val="18"/>
                <w:szCs w:val="18"/>
              </w:rPr>
            </w:pPr>
            <w:r>
              <w:rPr>
                <w:rFonts w:ascii="宋体" w:hAnsi="宋体" w:cs="宋体" w:eastAsia="宋体" w:hint="default"/>
                <w:spacing w:val="-2"/>
                <w:sz w:val="18"/>
                <w:szCs w:val="18"/>
              </w:rPr>
              <w:t>金雪球</w:t>
            </w:r>
            <w:r>
              <w:rPr>
                <w:rFonts w:ascii="宋体" w:hAnsi="宋体" w:cs="宋体" w:eastAsia="宋体" w:hint="default"/>
                <w:spacing w:val="-2"/>
                <w:sz w:val="18"/>
                <w:szCs w:val="18"/>
              </w:rPr>
              <w:t>-</w:t>
            </w:r>
            <w:r>
              <w:rPr>
                <w:rFonts w:ascii="宋体" w:hAnsi="宋体" w:cs="宋体" w:eastAsia="宋体" w:hint="default"/>
                <w:spacing w:val="-2"/>
                <w:sz w:val="18"/>
                <w:szCs w:val="18"/>
              </w:rPr>
              <w:t>优悦”保本开放式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理财产品</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sz w:val="18"/>
              </w:rPr>
              <w:t>2017/11/10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0" w:right="0"/>
              <w:jc w:val="center"/>
              <w:rPr>
                <w:rFonts w:ascii="宋体" w:hAnsi="宋体" w:cs="宋体" w:eastAsia="宋体" w:hint="default"/>
                <w:sz w:val="18"/>
                <w:szCs w:val="18"/>
              </w:rPr>
            </w:pPr>
            <w:r>
              <w:rPr>
                <w:rFonts w:ascii="宋体"/>
                <w:sz w:val="18"/>
              </w:rPr>
              <w:t>2017/12/10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3.90%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14,424.66 </w:t>
            </w:r>
          </w:p>
        </w:tc>
      </w:tr>
      <w:tr>
        <w:trPr>
          <w:trHeight w:val="63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兴业银行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spacing w:val="-1"/>
                <w:sz w:val="18"/>
              </w:rPr>
              <w:t>6,500,000.00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770" w:right="96" w:hanging="666"/>
              <w:jc w:val="left"/>
              <w:rPr>
                <w:rFonts w:ascii="宋体" w:hAnsi="宋体" w:cs="宋体" w:eastAsia="宋体" w:hint="default"/>
                <w:sz w:val="18"/>
                <w:szCs w:val="18"/>
              </w:rPr>
            </w:pPr>
            <w:r>
              <w:rPr>
                <w:rFonts w:ascii="宋体" w:hAnsi="宋体" w:cs="宋体" w:eastAsia="宋体" w:hint="default"/>
                <w:spacing w:val="-2"/>
                <w:sz w:val="18"/>
                <w:szCs w:val="18"/>
              </w:rPr>
              <w:t>金雪球</w:t>
            </w:r>
            <w:r>
              <w:rPr>
                <w:rFonts w:ascii="宋体" w:hAnsi="宋体" w:cs="宋体" w:eastAsia="宋体" w:hint="default"/>
                <w:spacing w:val="-2"/>
                <w:sz w:val="18"/>
                <w:szCs w:val="18"/>
              </w:rPr>
              <w:t>-</w:t>
            </w:r>
            <w:r>
              <w:rPr>
                <w:rFonts w:ascii="宋体" w:hAnsi="宋体" w:cs="宋体" w:eastAsia="宋体" w:hint="default"/>
                <w:spacing w:val="-2"/>
                <w:sz w:val="18"/>
                <w:szCs w:val="18"/>
              </w:rPr>
              <w:t>优悦”保本开放式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理财产品</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sz w:val="18"/>
              </w:rPr>
              <w:t>2017/10/10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0" w:right="0"/>
              <w:jc w:val="center"/>
              <w:rPr>
                <w:rFonts w:ascii="宋体" w:hAnsi="宋体" w:cs="宋体" w:eastAsia="宋体" w:hint="default"/>
                <w:sz w:val="18"/>
                <w:szCs w:val="18"/>
              </w:rPr>
            </w:pPr>
            <w:r>
              <w:rPr>
                <w:rFonts w:ascii="宋体"/>
                <w:sz w:val="18"/>
              </w:rPr>
              <w:t>2017/12/11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4.00%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44,164.38 </w:t>
            </w:r>
          </w:p>
        </w:tc>
      </w:tr>
      <w:tr>
        <w:trPr>
          <w:trHeight w:val="63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兴业银行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spacing w:val="-1"/>
                <w:sz w:val="18"/>
              </w:rPr>
              <w:t>3,000,000.00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770" w:right="96" w:hanging="666"/>
              <w:jc w:val="left"/>
              <w:rPr>
                <w:rFonts w:ascii="宋体" w:hAnsi="宋体" w:cs="宋体" w:eastAsia="宋体" w:hint="default"/>
                <w:sz w:val="18"/>
                <w:szCs w:val="18"/>
              </w:rPr>
            </w:pPr>
            <w:r>
              <w:rPr>
                <w:rFonts w:ascii="宋体" w:hAnsi="宋体" w:cs="宋体" w:eastAsia="宋体" w:hint="default"/>
                <w:spacing w:val="-2"/>
                <w:sz w:val="18"/>
                <w:szCs w:val="18"/>
              </w:rPr>
              <w:t>金雪球</w:t>
            </w:r>
            <w:r>
              <w:rPr>
                <w:rFonts w:ascii="宋体" w:hAnsi="宋体" w:cs="宋体" w:eastAsia="宋体" w:hint="default"/>
                <w:spacing w:val="-2"/>
                <w:sz w:val="18"/>
                <w:szCs w:val="18"/>
              </w:rPr>
              <w:t>-</w:t>
            </w:r>
            <w:r>
              <w:rPr>
                <w:rFonts w:ascii="宋体" w:hAnsi="宋体" w:cs="宋体" w:eastAsia="宋体" w:hint="default"/>
                <w:spacing w:val="-2"/>
                <w:sz w:val="18"/>
                <w:szCs w:val="18"/>
              </w:rPr>
              <w:t>优悦”保本开放式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理财产品</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sz w:val="18"/>
              </w:rPr>
              <w:t>2017/10/11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2018/1/11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4.10%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31,002.74 </w:t>
            </w:r>
          </w:p>
        </w:tc>
      </w:tr>
      <w:tr>
        <w:trPr>
          <w:trHeight w:val="63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兴业银行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spacing w:val="-1"/>
                <w:sz w:val="18"/>
              </w:rPr>
              <w:t>1,500,000.00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770" w:right="96" w:hanging="666"/>
              <w:jc w:val="left"/>
              <w:rPr>
                <w:rFonts w:ascii="宋体" w:hAnsi="宋体" w:cs="宋体" w:eastAsia="宋体" w:hint="default"/>
                <w:sz w:val="18"/>
                <w:szCs w:val="18"/>
              </w:rPr>
            </w:pPr>
            <w:r>
              <w:rPr>
                <w:rFonts w:ascii="宋体" w:hAnsi="宋体" w:cs="宋体" w:eastAsia="宋体" w:hint="default"/>
                <w:spacing w:val="-2"/>
                <w:sz w:val="18"/>
                <w:szCs w:val="18"/>
              </w:rPr>
              <w:t>金雪球</w:t>
            </w:r>
            <w:r>
              <w:rPr>
                <w:rFonts w:ascii="宋体" w:hAnsi="宋体" w:cs="宋体" w:eastAsia="宋体" w:hint="default"/>
                <w:spacing w:val="-2"/>
                <w:sz w:val="18"/>
                <w:szCs w:val="18"/>
              </w:rPr>
              <w:t>-</w:t>
            </w:r>
            <w:r>
              <w:rPr>
                <w:rFonts w:ascii="宋体" w:hAnsi="宋体" w:cs="宋体" w:eastAsia="宋体" w:hint="default"/>
                <w:spacing w:val="-2"/>
                <w:sz w:val="18"/>
                <w:szCs w:val="18"/>
              </w:rPr>
              <w:t>优悦”保本开放式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理财产品</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sz w:val="18"/>
              </w:rPr>
              <w:t>2017/10/26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2018/1/26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4.30%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16,257.53 </w:t>
            </w:r>
          </w:p>
        </w:tc>
      </w:tr>
      <w:tr>
        <w:trPr>
          <w:trHeight w:val="63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中信证券</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11,000,000.00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81" w:right="112" w:hanging="564"/>
              <w:jc w:val="left"/>
              <w:rPr>
                <w:rFonts w:ascii="宋体" w:hAnsi="宋体" w:cs="宋体" w:eastAsia="宋体" w:hint="default"/>
                <w:sz w:val="18"/>
                <w:szCs w:val="18"/>
              </w:rPr>
            </w:pPr>
            <w:r>
              <w:rPr>
                <w:rFonts w:ascii="宋体" w:hAnsi="宋体" w:cs="宋体" w:eastAsia="宋体" w:hint="default"/>
                <w:sz w:val="18"/>
                <w:szCs w:val="18"/>
              </w:rPr>
              <w:t>中信证券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年度第</w:t>
            </w:r>
            <w:r>
              <w:rPr>
                <w:rFonts w:ascii="宋体" w:hAnsi="宋体" w:cs="宋体" w:eastAsia="宋体" w:hint="default"/>
                <w:spacing w:val="-47"/>
                <w:sz w:val="18"/>
                <w:szCs w:val="18"/>
              </w:rPr>
              <w:t> </w:t>
            </w:r>
            <w:r>
              <w:rPr>
                <w:rFonts w:ascii="宋体" w:hAnsi="宋体" w:cs="宋体" w:eastAsia="宋体" w:hint="default"/>
                <w:sz w:val="18"/>
                <w:szCs w:val="18"/>
              </w:rPr>
              <w:t>376 </w:t>
            </w:r>
            <w:r>
              <w:rPr>
                <w:rFonts w:ascii="宋体" w:hAnsi="宋体" w:cs="宋体" w:eastAsia="宋体" w:hint="default"/>
                <w:sz w:val="18"/>
                <w:szCs w:val="18"/>
              </w:rPr>
              <w:t>期收益凭证</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保本固定收益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sz w:val="18"/>
              </w:rPr>
              <w:t>2017/11/23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2018/5/23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4.60%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250,920.55 </w:t>
            </w:r>
          </w:p>
        </w:tc>
      </w:tr>
      <w:tr>
        <w:trPr>
          <w:trHeight w:val="63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兴业银行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spacing w:val="-1"/>
                <w:sz w:val="18"/>
              </w:rPr>
              <w:t>6,600,000.00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770" w:right="96" w:hanging="666"/>
              <w:jc w:val="left"/>
              <w:rPr>
                <w:rFonts w:ascii="宋体" w:hAnsi="宋体" w:cs="宋体" w:eastAsia="宋体" w:hint="default"/>
                <w:sz w:val="18"/>
                <w:szCs w:val="18"/>
              </w:rPr>
            </w:pPr>
            <w:r>
              <w:rPr>
                <w:rFonts w:ascii="宋体" w:hAnsi="宋体" w:cs="宋体" w:eastAsia="宋体" w:hint="default"/>
                <w:spacing w:val="-2"/>
                <w:sz w:val="18"/>
                <w:szCs w:val="18"/>
              </w:rPr>
              <w:t>金雪球</w:t>
            </w:r>
            <w:r>
              <w:rPr>
                <w:rFonts w:ascii="宋体" w:hAnsi="宋体" w:cs="宋体" w:eastAsia="宋体" w:hint="default"/>
                <w:spacing w:val="-2"/>
                <w:sz w:val="18"/>
                <w:szCs w:val="18"/>
              </w:rPr>
              <w:t>-</w:t>
            </w:r>
            <w:r>
              <w:rPr>
                <w:rFonts w:ascii="宋体" w:hAnsi="宋体" w:cs="宋体" w:eastAsia="宋体" w:hint="default"/>
                <w:spacing w:val="-2"/>
                <w:sz w:val="18"/>
                <w:szCs w:val="18"/>
              </w:rPr>
              <w:t>优悦”保本开放式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理财产品</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2017/12/5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2018/3/5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4.80%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78,115.07 </w:t>
            </w:r>
          </w:p>
        </w:tc>
      </w:tr>
      <w:tr>
        <w:trPr>
          <w:trHeight w:val="63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兴业银行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spacing w:val="-1"/>
                <w:sz w:val="18"/>
              </w:rPr>
              <w:t>6,000,000.00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770" w:right="96" w:hanging="666"/>
              <w:jc w:val="left"/>
              <w:rPr>
                <w:rFonts w:ascii="宋体" w:hAnsi="宋体" w:cs="宋体" w:eastAsia="宋体" w:hint="default"/>
                <w:sz w:val="18"/>
                <w:szCs w:val="18"/>
              </w:rPr>
            </w:pPr>
            <w:r>
              <w:rPr>
                <w:rFonts w:ascii="宋体" w:hAnsi="宋体" w:cs="宋体" w:eastAsia="宋体" w:hint="default"/>
                <w:spacing w:val="-2"/>
                <w:sz w:val="18"/>
                <w:szCs w:val="18"/>
              </w:rPr>
              <w:t>金雪球</w:t>
            </w:r>
            <w:r>
              <w:rPr>
                <w:rFonts w:ascii="宋体" w:hAnsi="宋体" w:cs="宋体" w:eastAsia="宋体" w:hint="default"/>
                <w:spacing w:val="-2"/>
                <w:sz w:val="18"/>
                <w:szCs w:val="18"/>
              </w:rPr>
              <w:t>-</w:t>
            </w:r>
            <w:r>
              <w:rPr>
                <w:rFonts w:ascii="宋体" w:hAnsi="宋体" w:cs="宋体" w:eastAsia="宋体" w:hint="default"/>
                <w:spacing w:val="-2"/>
                <w:sz w:val="18"/>
                <w:szCs w:val="18"/>
              </w:rPr>
              <w:t>优悦”保本开放式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理财产品</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sz w:val="18"/>
              </w:rPr>
              <w:t>2017/12/13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2018/3/13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4.80%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71,013.70 </w:t>
            </w:r>
          </w:p>
        </w:tc>
      </w:tr>
      <w:tr>
        <w:trPr>
          <w:trHeight w:val="34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9"/>
              <w:jc w:val="right"/>
              <w:rPr>
                <w:rFonts w:ascii="宋体" w:hAnsi="宋体" w:cs="宋体" w:eastAsia="宋体" w:hint="default"/>
                <w:sz w:val="18"/>
                <w:szCs w:val="18"/>
              </w:rPr>
            </w:pPr>
            <w:r>
              <w:rPr>
                <w:rFonts w:ascii="宋体" w:hAnsi="宋体" w:cs="宋体" w:eastAsia="宋体" w:hint="default"/>
                <w:sz w:val="18"/>
                <w:szCs w:val="18"/>
              </w:rPr>
              <w:t>兴业银行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1"/>
              <w:jc w:val="right"/>
              <w:rPr>
                <w:rFonts w:ascii="宋体" w:hAnsi="宋体" w:cs="宋体" w:eastAsia="宋体" w:hint="default"/>
                <w:sz w:val="18"/>
                <w:szCs w:val="18"/>
              </w:rPr>
            </w:pPr>
            <w:r>
              <w:rPr>
                <w:rFonts w:ascii="宋体"/>
                <w:spacing w:val="-1"/>
                <w:sz w:val="18"/>
              </w:rPr>
              <w:t>1,000,000.00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4" w:right="0"/>
              <w:jc w:val="center"/>
              <w:rPr>
                <w:rFonts w:ascii="宋体" w:hAnsi="宋体" w:cs="宋体" w:eastAsia="宋体" w:hint="default"/>
                <w:sz w:val="18"/>
                <w:szCs w:val="18"/>
              </w:rPr>
            </w:pPr>
            <w:r>
              <w:rPr>
                <w:rFonts w:ascii="宋体" w:hAnsi="宋体" w:cs="宋体" w:eastAsia="宋体" w:hint="default"/>
                <w:sz w:val="18"/>
                <w:szCs w:val="18"/>
              </w:rPr>
              <w:t>金雪球</w:t>
            </w:r>
            <w:r>
              <w:rPr>
                <w:rFonts w:ascii="宋体" w:hAnsi="宋体" w:cs="宋体" w:eastAsia="宋体" w:hint="default"/>
                <w:sz w:val="18"/>
                <w:szCs w:val="18"/>
              </w:rPr>
              <w:t>-</w:t>
            </w:r>
            <w:r>
              <w:rPr>
                <w:rFonts w:ascii="宋体" w:hAnsi="宋体" w:cs="宋体" w:eastAsia="宋体" w:hint="default"/>
                <w:sz w:val="18"/>
                <w:szCs w:val="18"/>
              </w:rPr>
              <w:t>优先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pacing w:val="-3"/>
                <w:sz w:val="18"/>
                <w:szCs w:val="18"/>
              </w:rPr>
              <w:t>号</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7" w:right="0"/>
              <w:jc w:val="center"/>
              <w:rPr>
                <w:rFonts w:ascii="宋体" w:hAnsi="宋体" w:cs="宋体" w:eastAsia="宋体" w:hint="default"/>
                <w:sz w:val="18"/>
                <w:szCs w:val="18"/>
              </w:rPr>
            </w:pPr>
            <w:r>
              <w:rPr>
                <w:rFonts w:ascii="宋体"/>
                <w:sz w:val="18"/>
              </w:rPr>
              <w:t>2017/10/19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0" w:right="0"/>
              <w:jc w:val="center"/>
              <w:rPr>
                <w:rFonts w:ascii="宋体" w:hAnsi="宋体" w:cs="宋体" w:eastAsia="宋体" w:hint="default"/>
                <w:sz w:val="18"/>
                <w:szCs w:val="18"/>
              </w:rPr>
            </w:pPr>
            <w:r>
              <w:rPr>
                <w:rFonts w:ascii="宋体"/>
                <w:sz w:val="18"/>
              </w:rPr>
              <w:t>2017/11/20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2.80%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2,454.79 </w:t>
            </w:r>
          </w:p>
        </w:tc>
      </w:tr>
      <w:tr>
        <w:trPr>
          <w:trHeight w:val="33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9"/>
              <w:jc w:val="right"/>
              <w:rPr>
                <w:rFonts w:ascii="宋体" w:hAnsi="宋体" w:cs="宋体" w:eastAsia="宋体" w:hint="default"/>
                <w:sz w:val="18"/>
                <w:szCs w:val="18"/>
              </w:rPr>
            </w:pPr>
            <w:r>
              <w:rPr>
                <w:rFonts w:ascii="宋体" w:hAnsi="宋体" w:cs="宋体" w:eastAsia="宋体" w:hint="default"/>
                <w:sz w:val="18"/>
                <w:szCs w:val="18"/>
              </w:rPr>
              <w:t>兴业银行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1"/>
              <w:jc w:val="right"/>
              <w:rPr>
                <w:rFonts w:ascii="宋体" w:hAnsi="宋体" w:cs="宋体" w:eastAsia="宋体" w:hint="default"/>
                <w:sz w:val="18"/>
                <w:szCs w:val="18"/>
              </w:rPr>
            </w:pPr>
            <w:r>
              <w:rPr>
                <w:rFonts w:ascii="宋体"/>
                <w:spacing w:val="-1"/>
                <w:sz w:val="18"/>
              </w:rPr>
              <w:t>9,500,000.00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center"/>
              <w:rPr>
                <w:rFonts w:ascii="宋体" w:hAnsi="宋体" w:cs="宋体" w:eastAsia="宋体" w:hint="default"/>
                <w:sz w:val="18"/>
                <w:szCs w:val="18"/>
              </w:rPr>
            </w:pPr>
            <w:r>
              <w:rPr>
                <w:rFonts w:ascii="宋体" w:hAnsi="宋体" w:cs="宋体" w:eastAsia="宋体" w:hint="default"/>
                <w:sz w:val="18"/>
                <w:szCs w:val="18"/>
              </w:rPr>
              <w:t>天天利</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9" w:right="0"/>
              <w:jc w:val="center"/>
              <w:rPr>
                <w:rFonts w:ascii="宋体" w:hAnsi="宋体" w:cs="宋体" w:eastAsia="宋体" w:hint="default"/>
                <w:sz w:val="18"/>
                <w:szCs w:val="18"/>
              </w:rPr>
            </w:pPr>
            <w:r>
              <w:rPr>
                <w:rFonts w:ascii="宋体"/>
                <w:sz w:val="18"/>
              </w:rPr>
              <w:t>2017/11/8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0" w:right="0"/>
              <w:jc w:val="center"/>
              <w:rPr>
                <w:rFonts w:ascii="宋体" w:hAnsi="宋体" w:cs="宋体" w:eastAsia="宋体" w:hint="default"/>
                <w:sz w:val="18"/>
                <w:szCs w:val="18"/>
              </w:rPr>
            </w:pPr>
            <w:r>
              <w:rPr>
                <w:rFonts w:ascii="宋体"/>
                <w:sz w:val="18"/>
              </w:rPr>
              <w:t>2017/11/20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3.30%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10,306.85 </w:t>
            </w:r>
          </w:p>
        </w:tc>
      </w:tr>
      <w:tr>
        <w:trPr>
          <w:trHeight w:val="63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兴业银行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spacing w:val="-1"/>
                <w:sz w:val="18"/>
              </w:rPr>
              <w:t>1,500,000.00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770" w:right="96" w:hanging="666"/>
              <w:jc w:val="left"/>
              <w:rPr>
                <w:rFonts w:ascii="宋体" w:hAnsi="宋体" w:cs="宋体" w:eastAsia="宋体" w:hint="default"/>
                <w:sz w:val="18"/>
                <w:szCs w:val="18"/>
              </w:rPr>
            </w:pPr>
            <w:r>
              <w:rPr>
                <w:rFonts w:ascii="宋体" w:hAnsi="宋体" w:cs="宋体" w:eastAsia="宋体" w:hint="default"/>
                <w:spacing w:val="-2"/>
                <w:sz w:val="18"/>
                <w:szCs w:val="18"/>
              </w:rPr>
              <w:t>金雪球</w:t>
            </w:r>
            <w:r>
              <w:rPr>
                <w:rFonts w:ascii="宋体" w:hAnsi="宋体" w:cs="宋体" w:eastAsia="宋体" w:hint="default"/>
                <w:spacing w:val="-2"/>
                <w:sz w:val="18"/>
                <w:szCs w:val="18"/>
              </w:rPr>
              <w:t>-</w:t>
            </w:r>
            <w:r>
              <w:rPr>
                <w:rFonts w:ascii="宋体" w:hAnsi="宋体" w:cs="宋体" w:eastAsia="宋体" w:hint="default"/>
                <w:spacing w:val="-2"/>
                <w:sz w:val="18"/>
                <w:szCs w:val="18"/>
              </w:rPr>
              <w:t>优悦”保本开放式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理财产品</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sz w:val="18"/>
              </w:rPr>
              <w:t>2017/11/10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0" w:right="0"/>
              <w:jc w:val="center"/>
              <w:rPr>
                <w:rFonts w:ascii="宋体" w:hAnsi="宋体" w:cs="宋体" w:eastAsia="宋体" w:hint="default"/>
                <w:sz w:val="18"/>
                <w:szCs w:val="18"/>
              </w:rPr>
            </w:pPr>
            <w:r>
              <w:rPr>
                <w:rFonts w:ascii="宋体"/>
                <w:sz w:val="18"/>
              </w:rPr>
              <w:t>2017/12/10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3.90%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4,808.22 </w:t>
            </w:r>
          </w:p>
        </w:tc>
      </w:tr>
      <w:tr>
        <w:trPr>
          <w:trHeight w:val="33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9"/>
              <w:jc w:val="right"/>
              <w:rPr>
                <w:rFonts w:ascii="宋体" w:hAnsi="宋体" w:cs="宋体" w:eastAsia="宋体" w:hint="default"/>
                <w:sz w:val="18"/>
                <w:szCs w:val="18"/>
              </w:rPr>
            </w:pPr>
            <w:r>
              <w:rPr>
                <w:rFonts w:ascii="宋体" w:hAnsi="宋体" w:cs="宋体" w:eastAsia="宋体" w:hint="default"/>
                <w:sz w:val="18"/>
                <w:szCs w:val="18"/>
              </w:rPr>
              <w:t>兴业银行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1"/>
              <w:jc w:val="right"/>
              <w:rPr>
                <w:rFonts w:ascii="宋体" w:hAnsi="宋体" w:cs="宋体" w:eastAsia="宋体" w:hint="default"/>
                <w:sz w:val="18"/>
                <w:szCs w:val="18"/>
              </w:rPr>
            </w:pPr>
            <w:r>
              <w:rPr>
                <w:rFonts w:ascii="宋体"/>
                <w:spacing w:val="-1"/>
                <w:sz w:val="18"/>
              </w:rPr>
              <w:t>9,700,000.00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4" w:right="0"/>
              <w:jc w:val="center"/>
              <w:rPr>
                <w:rFonts w:ascii="宋体" w:hAnsi="宋体" w:cs="宋体" w:eastAsia="宋体" w:hint="default"/>
                <w:sz w:val="18"/>
                <w:szCs w:val="18"/>
              </w:rPr>
            </w:pPr>
            <w:r>
              <w:rPr>
                <w:rFonts w:ascii="宋体" w:hAnsi="宋体" w:cs="宋体" w:eastAsia="宋体" w:hint="default"/>
                <w:sz w:val="18"/>
                <w:szCs w:val="18"/>
              </w:rPr>
              <w:t>金雪球</w:t>
            </w:r>
            <w:r>
              <w:rPr>
                <w:rFonts w:ascii="宋体" w:hAnsi="宋体" w:cs="宋体" w:eastAsia="宋体" w:hint="default"/>
                <w:sz w:val="18"/>
                <w:szCs w:val="18"/>
              </w:rPr>
              <w:t>-</w:t>
            </w:r>
            <w:r>
              <w:rPr>
                <w:rFonts w:ascii="宋体" w:hAnsi="宋体" w:cs="宋体" w:eastAsia="宋体" w:hint="default"/>
                <w:sz w:val="18"/>
                <w:szCs w:val="18"/>
              </w:rPr>
              <w:t>优先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pacing w:val="-3"/>
                <w:sz w:val="18"/>
                <w:szCs w:val="18"/>
              </w:rPr>
              <w:t>号</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9" w:right="0"/>
              <w:jc w:val="center"/>
              <w:rPr>
                <w:rFonts w:ascii="宋体" w:hAnsi="宋体" w:cs="宋体" w:eastAsia="宋体" w:hint="default"/>
                <w:sz w:val="18"/>
                <w:szCs w:val="18"/>
              </w:rPr>
            </w:pPr>
            <w:r>
              <w:rPr>
                <w:rFonts w:ascii="宋体"/>
                <w:sz w:val="18"/>
              </w:rPr>
              <w:t>2017/10/1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3.00%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5,821.37 </w:t>
            </w:r>
          </w:p>
        </w:tc>
      </w:tr>
      <w:tr>
        <w:trPr>
          <w:trHeight w:val="34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9"/>
              <w:jc w:val="right"/>
              <w:rPr>
                <w:rFonts w:ascii="宋体" w:hAnsi="宋体" w:cs="宋体" w:eastAsia="宋体" w:hint="default"/>
                <w:sz w:val="18"/>
                <w:szCs w:val="18"/>
              </w:rPr>
            </w:pPr>
            <w:r>
              <w:rPr>
                <w:rFonts w:ascii="宋体" w:hAnsi="宋体" w:cs="宋体" w:eastAsia="宋体" w:hint="default"/>
                <w:sz w:val="18"/>
                <w:szCs w:val="18"/>
              </w:rPr>
              <w:t>兴业银行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5"/>
              <w:jc w:val="right"/>
              <w:rPr>
                <w:rFonts w:ascii="宋体" w:hAnsi="宋体" w:cs="宋体" w:eastAsia="宋体" w:hint="default"/>
                <w:sz w:val="18"/>
                <w:szCs w:val="18"/>
              </w:rPr>
            </w:pPr>
            <w:r>
              <w:rPr>
                <w:rFonts w:ascii="宋体"/>
                <w:spacing w:val="-1"/>
                <w:sz w:val="18"/>
              </w:rPr>
              <w:t>10,050,000.00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4" w:right="0"/>
              <w:jc w:val="center"/>
              <w:rPr>
                <w:rFonts w:ascii="宋体" w:hAnsi="宋体" w:cs="宋体" w:eastAsia="宋体" w:hint="default"/>
                <w:sz w:val="18"/>
                <w:szCs w:val="18"/>
              </w:rPr>
            </w:pPr>
            <w:r>
              <w:rPr>
                <w:rFonts w:ascii="宋体" w:hAnsi="宋体" w:cs="宋体" w:eastAsia="宋体" w:hint="default"/>
                <w:sz w:val="18"/>
                <w:szCs w:val="18"/>
              </w:rPr>
              <w:t>金雪球</w:t>
            </w:r>
            <w:r>
              <w:rPr>
                <w:rFonts w:ascii="宋体" w:hAnsi="宋体" w:cs="宋体" w:eastAsia="宋体" w:hint="default"/>
                <w:sz w:val="18"/>
                <w:szCs w:val="18"/>
              </w:rPr>
              <w:t>-</w:t>
            </w:r>
            <w:r>
              <w:rPr>
                <w:rFonts w:ascii="宋体" w:hAnsi="宋体" w:cs="宋体" w:eastAsia="宋体" w:hint="default"/>
                <w:sz w:val="18"/>
                <w:szCs w:val="18"/>
              </w:rPr>
              <w:t>优先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pacing w:val="-3"/>
                <w:sz w:val="18"/>
                <w:szCs w:val="18"/>
              </w:rPr>
              <w:t>号</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9" w:right="0"/>
              <w:jc w:val="center"/>
              <w:rPr>
                <w:rFonts w:ascii="宋体" w:hAnsi="宋体" w:cs="宋体" w:eastAsia="宋体" w:hint="default"/>
                <w:sz w:val="18"/>
                <w:szCs w:val="18"/>
              </w:rPr>
            </w:pPr>
            <w:r>
              <w:rPr>
                <w:rFonts w:ascii="宋体"/>
                <w:sz w:val="18"/>
              </w:rPr>
              <w:t>2017/10/1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0" w:right="0"/>
              <w:jc w:val="center"/>
              <w:rPr>
                <w:rFonts w:ascii="宋体" w:hAnsi="宋体" w:cs="宋体" w:eastAsia="宋体" w:hint="default"/>
                <w:sz w:val="18"/>
                <w:szCs w:val="18"/>
              </w:rPr>
            </w:pPr>
            <w:r>
              <w:rPr>
                <w:rFonts w:ascii="宋体"/>
                <w:sz w:val="18"/>
              </w:rPr>
              <w:t>2017/12/31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3.30%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82,685.34 </w:t>
            </w:r>
          </w:p>
        </w:tc>
      </w:tr>
    </w:tbl>
    <w:p>
      <w:pPr>
        <w:spacing w:after="0" w:line="240" w:lineRule="auto"/>
        <w:jc w:val="center"/>
        <w:rPr>
          <w:rFonts w:ascii="宋体" w:hAnsi="宋体" w:cs="宋体" w:eastAsia="宋体" w:hint="default"/>
          <w:sz w:val="18"/>
          <w:szCs w:val="18"/>
        </w:rPr>
        <w:sectPr>
          <w:pgSz w:w="11910" w:h="16840"/>
          <w:pgMar w:header="745" w:footer="980" w:top="1060" w:bottom="1160" w:left="460" w:right="5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1275"/>
        <w:gridCol w:w="1418"/>
        <w:gridCol w:w="2269"/>
        <w:gridCol w:w="1419"/>
        <w:gridCol w:w="1133"/>
        <w:gridCol w:w="1135"/>
        <w:gridCol w:w="850"/>
        <w:gridCol w:w="1135"/>
      </w:tblGrid>
      <w:tr>
        <w:trPr>
          <w:trHeight w:val="629" w:hRule="exact"/>
        </w:trPr>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中信证券</w:t>
            </w:r>
            <w:r>
              <w:rPr>
                <w:rFonts w:ascii="宋体" w:hAnsi="宋体" w:cs="宋体" w:eastAsia="宋体" w:hint="default"/>
                <w:sz w:val="18"/>
                <w:szCs w:val="18"/>
              </w:rPr>
              <w:t> </w:t>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25,000,000.00</w:t>
            </w:r>
            <w:r>
              <w:rPr>
                <w:rFonts w:ascii="宋体"/>
                <w:sz w:val="18"/>
              </w:rPr>
              <w:t> </w:t>
            </w:r>
          </w:p>
        </w:tc>
        <w:tc>
          <w:tcPr>
            <w:tcW w:w="2269" w:type="dxa"/>
            <w:tcBorders>
              <w:top w:val="nil" w:sz="6" w:space="0" w:color="auto"/>
              <w:left w:val="single" w:sz="4" w:space="0" w:color="000000"/>
              <w:bottom w:val="single" w:sz="4" w:space="0" w:color="000000"/>
              <w:right w:val="single" w:sz="4" w:space="0" w:color="000000"/>
            </w:tcBorders>
          </w:tcPr>
          <w:p>
            <w:pPr>
              <w:pStyle w:val="TableParagraph"/>
              <w:spacing w:line="319" w:lineRule="auto" w:before="8"/>
              <w:ind w:left="681" w:right="112" w:hanging="564"/>
              <w:jc w:val="left"/>
              <w:rPr>
                <w:rFonts w:ascii="宋体" w:hAnsi="宋体" w:cs="宋体" w:eastAsia="宋体" w:hint="default"/>
                <w:sz w:val="18"/>
                <w:szCs w:val="18"/>
              </w:rPr>
            </w:pPr>
            <w:r>
              <w:rPr>
                <w:rFonts w:ascii="宋体" w:hAnsi="宋体" w:cs="宋体" w:eastAsia="宋体" w:hint="default"/>
                <w:sz w:val="18"/>
                <w:szCs w:val="18"/>
              </w:rPr>
              <w:t>中信证券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年度第</w:t>
            </w:r>
            <w:r>
              <w:rPr>
                <w:rFonts w:ascii="宋体" w:hAnsi="宋体" w:cs="宋体" w:eastAsia="宋体" w:hint="default"/>
                <w:spacing w:val="-47"/>
                <w:sz w:val="18"/>
                <w:szCs w:val="18"/>
              </w:rPr>
              <w:t> </w:t>
            </w:r>
            <w:r>
              <w:rPr>
                <w:rFonts w:ascii="宋体" w:hAnsi="宋体" w:cs="宋体" w:eastAsia="宋体" w:hint="default"/>
                <w:sz w:val="18"/>
                <w:szCs w:val="18"/>
              </w:rPr>
              <w:t>346 </w:t>
            </w:r>
            <w:r>
              <w:rPr>
                <w:rFonts w:ascii="宋体" w:hAnsi="宋体" w:cs="宋体" w:eastAsia="宋体" w:hint="default"/>
                <w:sz w:val="18"/>
                <w:szCs w:val="18"/>
              </w:rPr>
              <w:t>期收益凭证</w:t>
            </w:r>
            <w:r>
              <w:rPr>
                <w:rFonts w:ascii="宋体" w:hAnsi="宋体" w:cs="宋体" w:eastAsia="宋体" w:hint="default"/>
                <w:sz w:val="18"/>
                <w:szCs w:val="18"/>
              </w:rPr>
              <w:t> </w:t>
            </w:r>
          </w:p>
        </w:tc>
        <w:tc>
          <w:tcPr>
            <w:tcW w:w="1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保本固定收益</w:t>
            </w:r>
            <w:r>
              <w:rPr>
                <w:rFonts w:ascii="宋体" w:hAnsi="宋体" w:cs="宋体" w:eastAsia="宋体" w:hint="default"/>
                <w:sz w:val="18"/>
                <w:szCs w:val="18"/>
              </w:rPr>
              <w:t> </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sz w:val="18"/>
              </w:rPr>
              <w:t>2017/10/20 </w:t>
            </w: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0" w:right="0"/>
              <w:jc w:val="center"/>
              <w:rPr>
                <w:rFonts w:ascii="宋体" w:hAnsi="宋体" w:cs="宋体" w:eastAsia="宋体" w:hint="default"/>
                <w:sz w:val="18"/>
                <w:szCs w:val="18"/>
              </w:rPr>
            </w:pPr>
            <w:r>
              <w:rPr>
                <w:rFonts w:ascii="宋体"/>
                <w:sz w:val="18"/>
              </w:rPr>
              <w:t>2017/12/19 </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4.25% </w:t>
            </w: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174,657.53 </w:t>
            </w:r>
          </w:p>
        </w:tc>
      </w:tr>
      <w:tr>
        <w:trPr>
          <w:trHeight w:val="63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中信证券</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15,000,000.00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81" w:right="112" w:hanging="564"/>
              <w:jc w:val="left"/>
              <w:rPr>
                <w:rFonts w:ascii="宋体" w:hAnsi="宋体" w:cs="宋体" w:eastAsia="宋体" w:hint="default"/>
                <w:sz w:val="18"/>
                <w:szCs w:val="18"/>
              </w:rPr>
            </w:pPr>
            <w:r>
              <w:rPr>
                <w:rFonts w:ascii="宋体" w:hAnsi="宋体" w:cs="宋体" w:eastAsia="宋体" w:hint="default"/>
                <w:sz w:val="18"/>
                <w:szCs w:val="18"/>
              </w:rPr>
              <w:t>中信证券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年度第</w:t>
            </w:r>
            <w:r>
              <w:rPr>
                <w:rFonts w:ascii="宋体" w:hAnsi="宋体" w:cs="宋体" w:eastAsia="宋体" w:hint="default"/>
                <w:spacing w:val="-47"/>
                <w:sz w:val="18"/>
                <w:szCs w:val="18"/>
              </w:rPr>
              <w:t> </w:t>
            </w:r>
            <w:r>
              <w:rPr>
                <w:rFonts w:ascii="宋体" w:hAnsi="宋体" w:cs="宋体" w:eastAsia="宋体" w:hint="default"/>
                <w:sz w:val="18"/>
                <w:szCs w:val="18"/>
              </w:rPr>
              <w:t>347 </w:t>
            </w:r>
            <w:r>
              <w:rPr>
                <w:rFonts w:ascii="宋体" w:hAnsi="宋体" w:cs="宋体" w:eastAsia="宋体" w:hint="default"/>
                <w:sz w:val="18"/>
                <w:szCs w:val="18"/>
              </w:rPr>
              <w:t>期收益凭证</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保本固定收益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sz w:val="18"/>
              </w:rPr>
              <w:t>2017/10/23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0" w:right="0"/>
              <w:jc w:val="center"/>
              <w:rPr>
                <w:rFonts w:ascii="宋体" w:hAnsi="宋体" w:cs="宋体" w:eastAsia="宋体" w:hint="default"/>
                <w:sz w:val="18"/>
                <w:szCs w:val="18"/>
              </w:rPr>
            </w:pPr>
            <w:r>
              <w:rPr>
                <w:rFonts w:ascii="宋体"/>
                <w:sz w:val="18"/>
              </w:rPr>
              <w:t>2017/12/22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4.25%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104,794.52 </w:t>
            </w:r>
          </w:p>
        </w:tc>
      </w:tr>
      <w:tr>
        <w:trPr>
          <w:trHeight w:val="67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7"/>
              <w:ind w:left="542" w:right="180" w:hanging="360"/>
              <w:jc w:val="left"/>
              <w:rPr>
                <w:rFonts w:ascii="宋体" w:hAnsi="宋体" w:cs="宋体" w:eastAsia="宋体" w:hint="default"/>
                <w:sz w:val="18"/>
                <w:szCs w:val="18"/>
              </w:rPr>
            </w:pPr>
            <w:r>
              <w:rPr>
                <w:rFonts w:ascii="宋体" w:hAnsi="宋体" w:cs="宋体" w:eastAsia="宋体" w:hint="default"/>
                <w:sz w:val="18"/>
                <w:szCs w:val="18"/>
              </w:rPr>
              <w:t>上海农商银 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15,000,000.00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恒通安鑫</w:t>
            </w:r>
            <w:r>
              <w:rPr>
                <w:rFonts w:ascii="宋体" w:hAnsi="宋体" w:cs="宋体" w:eastAsia="宋体" w:hint="default"/>
                <w:spacing w:val="-46"/>
                <w:sz w:val="18"/>
                <w:szCs w:val="18"/>
              </w:rPr>
              <w:t> </w:t>
            </w:r>
            <w:r>
              <w:rPr>
                <w:rFonts w:ascii="宋体" w:hAnsi="宋体" w:cs="宋体" w:eastAsia="宋体" w:hint="default"/>
                <w:sz w:val="18"/>
                <w:szCs w:val="18"/>
              </w:rPr>
              <w:t>2014001</w:t>
            </w:r>
            <w:r>
              <w:rPr>
                <w:rFonts w:ascii="宋体" w:hAnsi="宋体" w:cs="宋体" w:eastAsia="宋体" w:hint="default"/>
                <w:spacing w:val="-45"/>
                <w:sz w:val="18"/>
                <w:szCs w:val="18"/>
              </w:rPr>
              <w:t> </w:t>
            </w:r>
            <w:r>
              <w:rPr>
                <w:rFonts w:ascii="宋体" w:hAnsi="宋体" w:cs="宋体" w:eastAsia="宋体" w:hint="default"/>
                <w:spacing w:val="-3"/>
                <w:sz w:val="18"/>
                <w:szCs w:val="18"/>
              </w:rPr>
              <w:t>期</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sz w:val="18"/>
              </w:rPr>
              <w:t>2017/11/16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2017/12/27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z w:val="18"/>
                <w:szCs w:val="18"/>
              </w:rPr>
              <w:t>浮动</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sz w:val="18"/>
              </w:rPr>
              <w:t>- </w:t>
            </w:r>
          </w:p>
        </w:tc>
      </w:tr>
      <w:tr>
        <w:trPr>
          <w:trHeight w:val="63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中信证券</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25,000,000.00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81" w:right="112" w:hanging="564"/>
              <w:jc w:val="left"/>
              <w:rPr>
                <w:rFonts w:ascii="宋体" w:hAnsi="宋体" w:cs="宋体" w:eastAsia="宋体" w:hint="default"/>
                <w:sz w:val="18"/>
                <w:szCs w:val="18"/>
              </w:rPr>
            </w:pPr>
            <w:r>
              <w:rPr>
                <w:rFonts w:ascii="宋体" w:hAnsi="宋体" w:cs="宋体" w:eastAsia="宋体" w:hint="default"/>
                <w:sz w:val="18"/>
                <w:szCs w:val="18"/>
              </w:rPr>
              <w:t>中信证券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年度第</w:t>
            </w:r>
            <w:r>
              <w:rPr>
                <w:rFonts w:ascii="宋体" w:hAnsi="宋体" w:cs="宋体" w:eastAsia="宋体" w:hint="default"/>
                <w:spacing w:val="-47"/>
                <w:sz w:val="18"/>
                <w:szCs w:val="18"/>
              </w:rPr>
              <w:t> </w:t>
            </w:r>
            <w:r>
              <w:rPr>
                <w:rFonts w:ascii="宋体" w:hAnsi="宋体" w:cs="宋体" w:eastAsia="宋体" w:hint="default"/>
                <w:sz w:val="18"/>
                <w:szCs w:val="18"/>
              </w:rPr>
              <w:t>343 </w:t>
            </w:r>
            <w:r>
              <w:rPr>
                <w:rFonts w:ascii="宋体" w:hAnsi="宋体" w:cs="宋体" w:eastAsia="宋体" w:hint="default"/>
                <w:sz w:val="18"/>
                <w:szCs w:val="18"/>
              </w:rPr>
              <w:t>期收益凭证</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保本固定收益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2017/11/1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2017/12/1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4.20%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 </w:t>
            </w:r>
          </w:p>
        </w:tc>
      </w:tr>
      <w:tr>
        <w:trPr>
          <w:trHeight w:val="67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7"/>
              <w:ind w:left="542" w:right="180" w:hanging="360"/>
              <w:jc w:val="left"/>
              <w:rPr>
                <w:rFonts w:ascii="宋体" w:hAnsi="宋体" w:cs="宋体" w:eastAsia="宋体" w:hint="default"/>
                <w:sz w:val="18"/>
                <w:szCs w:val="18"/>
              </w:rPr>
            </w:pPr>
            <w:r>
              <w:rPr>
                <w:rFonts w:ascii="宋体" w:hAnsi="宋体" w:cs="宋体" w:eastAsia="宋体" w:hint="default"/>
                <w:sz w:val="18"/>
                <w:szCs w:val="18"/>
              </w:rPr>
              <w:t>上海农商银 行</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10,000,000.00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恒通安鑫</w:t>
            </w:r>
            <w:r>
              <w:rPr>
                <w:rFonts w:ascii="宋体" w:hAnsi="宋体" w:cs="宋体" w:eastAsia="宋体" w:hint="default"/>
                <w:spacing w:val="-46"/>
                <w:sz w:val="18"/>
                <w:szCs w:val="18"/>
              </w:rPr>
              <w:t> </w:t>
            </w:r>
            <w:r>
              <w:rPr>
                <w:rFonts w:ascii="宋体" w:hAnsi="宋体" w:cs="宋体" w:eastAsia="宋体" w:hint="default"/>
                <w:sz w:val="18"/>
                <w:szCs w:val="18"/>
              </w:rPr>
              <w:t>2014001</w:t>
            </w:r>
            <w:r>
              <w:rPr>
                <w:rFonts w:ascii="宋体" w:hAnsi="宋体" w:cs="宋体" w:eastAsia="宋体" w:hint="default"/>
                <w:spacing w:val="-45"/>
                <w:sz w:val="18"/>
                <w:szCs w:val="18"/>
              </w:rPr>
              <w:t> </w:t>
            </w:r>
            <w:r>
              <w:rPr>
                <w:rFonts w:ascii="宋体" w:hAnsi="宋体" w:cs="宋体" w:eastAsia="宋体" w:hint="default"/>
                <w:spacing w:val="-3"/>
                <w:sz w:val="18"/>
                <w:szCs w:val="18"/>
              </w:rPr>
              <w:t>期</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保本浮动收益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sz w:val="18"/>
              </w:rPr>
              <w:t>2017/12/8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2017/12/27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z w:val="18"/>
                <w:szCs w:val="18"/>
              </w:rPr>
              <w:t>浮动</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sz w:val="18"/>
              </w:rPr>
              <w:t>- </w:t>
            </w:r>
          </w:p>
        </w:tc>
      </w:tr>
      <w:tr>
        <w:trPr>
          <w:trHeight w:val="63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中信证券</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25,000,000.00</w:t>
            </w:r>
            <w:r>
              <w:rPr>
                <w:rFonts w:ascii="宋体"/>
                <w:sz w:val="18"/>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81" w:right="112" w:hanging="564"/>
              <w:jc w:val="left"/>
              <w:rPr>
                <w:rFonts w:ascii="宋体" w:hAnsi="宋体" w:cs="宋体" w:eastAsia="宋体" w:hint="default"/>
                <w:sz w:val="18"/>
                <w:szCs w:val="18"/>
              </w:rPr>
            </w:pPr>
            <w:r>
              <w:rPr>
                <w:rFonts w:ascii="宋体" w:hAnsi="宋体" w:cs="宋体" w:eastAsia="宋体" w:hint="default"/>
                <w:sz w:val="18"/>
                <w:szCs w:val="18"/>
              </w:rPr>
              <w:t>中信证券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年度第</w:t>
            </w:r>
            <w:r>
              <w:rPr>
                <w:rFonts w:ascii="宋体" w:hAnsi="宋体" w:cs="宋体" w:eastAsia="宋体" w:hint="default"/>
                <w:spacing w:val="-47"/>
                <w:sz w:val="18"/>
                <w:szCs w:val="18"/>
              </w:rPr>
              <w:t> </w:t>
            </w:r>
            <w:r>
              <w:rPr>
                <w:rFonts w:ascii="宋体" w:hAnsi="宋体" w:cs="宋体" w:eastAsia="宋体" w:hint="default"/>
                <w:sz w:val="18"/>
                <w:szCs w:val="18"/>
              </w:rPr>
              <w:t>384 </w:t>
            </w:r>
            <w:r>
              <w:rPr>
                <w:rFonts w:ascii="宋体" w:hAnsi="宋体" w:cs="宋体" w:eastAsia="宋体" w:hint="default"/>
                <w:sz w:val="18"/>
                <w:szCs w:val="18"/>
              </w:rPr>
              <w:t>期收益凭证</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保本固定收益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2017/12/1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2018/1/2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4.15%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 </w:t>
            </w:r>
          </w:p>
        </w:tc>
      </w:tr>
    </w:tbl>
    <w:p>
      <w:pPr>
        <w:spacing w:after="0" w:line="240" w:lineRule="auto"/>
        <w:jc w:val="center"/>
        <w:rPr>
          <w:rFonts w:ascii="宋体" w:hAnsi="宋体" w:cs="宋体" w:eastAsia="宋体" w:hint="default"/>
          <w:sz w:val="18"/>
          <w:szCs w:val="18"/>
        </w:rPr>
        <w:sectPr>
          <w:pgSz w:w="11910" w:h="16840"/>
          <w:pgMar w:header="745" w:footer="980" w:top="1060" w:bottom="1160" w:left="460" w:right="5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left="2963" w:right="234"/>
        <w:jc w:val="left"/>
        <w:rPr>
          <w:b w:val="0"/>
          <w:bCs w:val="0"/>
        </w:rPr>
      </w:pPr>
      <w:bookmarkStart w:name="_bookmark4" w:id="5"/>
      <w:bookmarkEnd w:id="5"/>
      <w:r>
        <w:rPr>
          <w:b w:val="0"/>
          <w:bCs w:val="0"/>
        </w:rPr>
      </w:r>
      <w:r>
        <w:rPr/>
        <w:t>第六节</w:t>
      </w:r>
      <w:r>
        <w:rPr>
          <w:spacing w:val="-5"/>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234"/>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34"/>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51"/>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79"/>
        <w:gridCol w:w="1144"/>
        <w:gridCol w:w="711"/>
        <w:gridCol w:w="850"/>
        <w:gridCol w:w="569"/>
        <w:gridCol w:w="1133"/>
        <w:gridCol w:w="991"/>
        <w:gridCol w:w="994"/>
        <w:gridCol w:w="992"/>
        <w:gridCol w:w="708"/>
      </w:tblGrid>
      <w:tr>
        <w:trPr>
          <w:trHeight w:val="206"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36"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7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4"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855" w:type="dxa"/>
            <w:gridSpan w:val="2"/>
            <w:vMerge/>
            <w:tcBorders>
              <w:left w:val="single" w:sz="4" w:space="0" w:color="000000"/>
              <w:bottom w:val="single" w:sz="4" w:space="0" w:color="000000"/>
              <w:right w:val="single" w:sz="4" w:space="0" w:color="000000"/>
            </w:tcBorders>
            <w:shd w:val="clear" w:color="auto" w:fill="D2D2D2"/>
          </w:tcPr>
          <w:p>
            <w:pPr/>
          </w:p>
        </w:tc>
        <w:tc>
          <w:tcPr>
            <w:tcW w:w="4536" w:type="dxa"/>
            <w:gridSpan w:val="5"/>
            <w:vMerge/>
            <w:tcBorders>
              <w:left w:val="single" w:sz="4" w:space="0" w:color="000000"/>
              <w:bottom w:val="single" w:sz="4" w:space="0" w:color="000000"/>
              <w:right w:val="single" w:sz="4" w:space="0" w:color="000000"/>
            </w:tcBorders>
            <w:shd w:val="clear" w:color="auto" w:fill="D2D2D2"/>
          </w:tcPr>
          <w:p>
            <w:pPr/>
          </w:p>
        </w:tc>
        <w:tc>
          <w:tcPr>
            <w:tcW w:w="1700"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11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4"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306,301,973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3,558,673</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-19,108,137</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-15,549,464</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290,752,509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50.19%</w:t>
            </w:r>
          </w:p>
        </w:tc>
      </w:tr>
      <w:tr>
        <w:trPr>
          <w:trHeight w:val="404"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306,301,973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53.14%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3,558,673</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-19,108,137</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-15,549,464</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7" w:right="0"/>
              <w:jc w:val="center"/>
              <w:rPr>
                <w:rFonts w:ascii="Times New Roman" w:hAnsi="Times New Roman" w:cs="Times New Roman" w:eastAsia="Times New Roman" w:hint="default"/>
                <w:sz w:val="18"/>
                <w:szCs w:val="18"/>
              </w:rPr>
            </w:pPr>
            <w:r>
              <w:rPr>
                <w:rFonts w:ascii="Times New Roman"/>
                <w:sz w:val="18"/>
              </w:rPr>
              <w:t>290,752,509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50.19%</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37,684,882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6.54%</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center"/>
              <w:rPr>
                <w:rFonts w:ascii="Times New Roman" w:hAnsi="Times New Roman" w:cs="Times New Roman" w:eastAsia="Times New Roman" w:hint="default"/>
                <w:sz w:val="18"/>
                <w:szCs w:val="18"/>
              </w:rPr>
            </w:pPr>
            <w:r>
              <w:rPr>
                <w:rFonts w:ascii="Times New Roman"/>
                <w:sz w:val="18"/>
              </w:rPr>
              <w:t>37,684,882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268,617,091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46.60%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3,558,673</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-19,108,137</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-15,549,464</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center"/>
              <w:rPr>
                <w:rFonts w:ascii="Times New Roman" w:hAnsi="Times New Roman" w:cs="Times New Roman" w:eastAsia="Times New Roman" w:hint="default"/>
                <w:sz w:val="18"/>
                <w:szCs w:val="18"/>
              </w:rPr>
            </w:pPr>
            <w:r>
              <w:rPr>
                <w:rFonts w:ascii="Times New Roman"/>
                <w:sz w:val="18"/>
              </w:rPr>
              <w:t>253,067,627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43.68%</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270,080,144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46.86%</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18,511,137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18,511,137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288,591,281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49.81%</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270,080,144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46.86%</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18,511,137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18,511,137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center"/>
              <w:rPr>
                <w:rFonts w:ascii="Times New Roman" w:hAnsi="Times New Roman" w:cs="Times New Roman" w:eastAsia="Times New Roman" w:hint="default"/>
                <w:sz w:val="18"/>
                <w:szCs w:val="18"/>
              </w:rPr>
            </w:pPr>
            <w:r>
              <w:rPr>
                <w:rFonts w:ascii="Times New Roman"/>
                <w:sz w:val="18"/>
              </w:rPr>
              <w:t>288,591,281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49.81%</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576,382,117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3,558,673</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2,961,673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579,343,790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234"/>
        <w:jc w:val="left"/>
      </w:pPr>
      <w:r>
        <w:rPr/>
        <w:t>股份变动的原因</w:t>
      </w:r>
    </w:p>
    <w:p>
      <w:pPr>
        <w:pStyle w:val="BodyText"/>
        <w:spacing w:line="240" w:lineRule="auto" w:before="115"/>
        <w:ind w:right="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40" w:lineRule="auto" w:before="63"/>
        <w:ind w:right="251" w:firstLine="360"/>
        <w:jc w:val="both"/>
      </w:pPr>
      <w:r>
        <w:rPr>
          <w:rFonts w:ascii="Times New Roman" w:hAnsi="Times New Roman" w:cs="Times New Roman" w:eastAsia="Times New Roman" w:hint="default"/>
        </w:rPr>
        <w:t>1</w:t>
      </w:r>
      <w:r>
        <w:rPr/>
        <w:t>、发行新股导致有限售股份数增加的情况：</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日，公司召开第四届董事会第三十九次会议，在股东大会授权 </w:t>
      </w:r>
      <w:r>
        <w:rPr>
          <w:spacing w:val="-2"/>
        </w:rPr>
        <w:t>权限范围内审议通过了《关于向</w:t>
      </w:r>
      <w:r>
        <w:rPr>
          <w:rFonts w:ascii="Times New Roman" w:hAnsi="Times New Roman" w:cs="Times New Roman" w:eastAsia="Times New Roman" w:hint="default"/>
          <w:spacing w:val="-2"/>
        </w:rPr>
        <w:t>2017</w:t>
      </w:r>
      <w:r>
        <w:rPr>
          <w:spacing w:val="-2"/>
        </w:rPr>
        <w:t>年度限制性股票激励计划激励对象授予限制性股票的议案》，董事会同意向</w:t>
      </w:r>
      <w:r>
        <w:rPr>
          <w:rFonts w:ascii="Times New Roman" w:hAnsi="Times New Roman" w:cs="Times New Roman" w:eastAsia="Times New Roman" w:hint="default"/>
          <w:spacing w:val="-2"/>
        </w:rPr>
        <w:t>44</w:t>
      </w:r>
      <w:r>
        <w:rPr>
          <w:spacing w:val="-2"/>
        </w:rPr>
        <w:t>名激励对</w:t>
      </w:r>
      <w:r>
        <w:rPr>
          <w:spacing w:val="-62"/>
        </w:rPr>
        <w:t> </w:t>
      </w:r>
      <w:r>
        <w:rPr>
          <w:spacing w:val="-62"/>
        </w:rPr>
      </w:r>
      <w:r>
        <w:rPr/>
        <w:t>象授予限制性股票</w:t>
      </w:r>
      <w:r>
        <w:rPr>
          <w:rFonts w:ascii="Times New Roman" w:hAnsi="Times New Roman" w:cs="Times New Roman" w:eastAsia="Times New Roman" w:hint="default"/>
        </w:rPr>
        <w:t>3,631,207</w:t>
      </w:r>
      <w:r>
        <w:rPr/>
        <w:t>股，授予价格为</w:t>
      </w:r>
      <w:r>
        <w:rPr>
          <w:rFonts w:ascii="Times New Roman" w:hAnsi="Times New Roman" w:cs="Times New Roman" w:eastAsia="Times New Roman" w:hint="default"/>
        </w:rPr>
        <w:t>5.45</w:t>
      </w:r>
      <w:r>
        <w:rPr/>
        <w:t>元</w:t>
      </w:r>
      <w:r>
        <w:rPr>
          <w:rFonts w:ascii="Times New Roman" w:hAnsi="Times New Roman" w:cs="Times New Roman" w:eastAsia="Times New Roman" w:hint="default"/>
        </w:rPr>
        <w:t>/</w:t>
      </w:r>
      <w:r>
        <w:rPr/>
        <w:t>股，授予登记日为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日，公司召开第五届董事 </w:t>
      </w:r>
      <w:r>
        <w:rPr>
          <w:spacing w:val="-2"/>
        </w:rPr>
        <w:t>会第六次会议审议通过《关于回购注销已离职激励对象的限制性股票的议案》，同意公司将因离职而不再符合激励条件的原</w:t>
      </w:r>
      <w:r>
        <w:rPr>
          <w:spacing w:val="-66"/>
        </w:rPr>
        <w:t> </w:t>
      </w:r>
      <w:r>
        <w:rPr>
          <w:spacing w:val="-66"/>
        </w:rPr>
      </w:r>
      <w:r>
        <w:rPr>
          <w:spacing w:val="-1"/>
        </w:rPr>
        <w:t>限制性股票激励对象吴建栋先生等三人已获授但尚未解锁的限制性股票合计</w:t>
      </w:r>
      <w:r>
        <w:rPr>
          <w:rFonts w:ascii="Times New Roman" w:hAnsi="Times New Roman" w:cs="Times New Roman" w:eastAsia="Times New Roman" w:hint="default"/>
          <w:spacing w:val="-1"/>
        </w:rPr>
        <w:t>72,534</w:t>
      </w:r>
      <w:r>
        <w:rPr>
          <w:spacing w:val="-1"/>
        </w:rPr>
        <w:t>股进行回购注销。上述事项合计导致公司</w:t>
      </w:r>
      <w:r>
        <w:rPr>
          <w:spacing w:val="-71"/>
        </w:rPr>
        <w:t> </w:t>
      </w:r>
      <w:r>
        <w:rPr>
          <w:spacing w:val="-71"/>
        </w:rPr>
      </w:r>
      <w:r>
        <w:rPr/>
        <w:t>有限售股份增加</w:t>
      </w:r>
      <w:r>
        <w:rPr>
          <w:rFonts w:ascii="Times New Roman" w:hAnsi="Times New Roman" w:cs="Times New Roman" w:eastAsia="Times New Roman" w:hint="default"/>
        </w:rPr>
        <w:t>3,558,673</w:t>
      </w:r>
      <w:r>
        <w:rPr/>
        <w:t>股。</w:t>
      </w:r>
    </w:p>
    <w:p>
      <w:pPr>
        <w:pStyle w:val="BodyText"/>
        <w:spacing w:line="240" w:lineRule="auto" w:before="17"/>
        <w:ind w:left="513" w:right="23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、因公司董事长陈亚妹女士在办理转托管时，其可流通额度并未同股份一起转出，故其可流通的股份数量减少了</w:t>
      </w:r>
      <w:r>
        <w:rPr>
          <w:rFonts w:ascii="Times New Roman" w:hAnsi="Times New Roman" w:cs="Times New Roman" w:eastAsia="Times New Roman" w:hint="default"/>
        </w:rPr>
        <w:t>210</w:t>
      </w:r>
    </w:p>
    <w:p>
      <w:pPr>
        <w:pStyle w:val="BodyText"/>
        <w:spacing w:line="240" w:lineRule="auto" w:before="101"/>
        <w:ind w:right="234"/>
        <w:jc w:val="left"/>
      </w:pPr>
      <w:r>
        <w:rPr/>
        <w:t>万股。上述事项导致公司有限售条件股份增加</w:t>
      </w:r>
      <w:r>
        <w:rPr>
          <w:rFonts w:ascii="Times New Roman" w:hAnsi="Times New Roman" w:cs="Times New Roman" w:eastAsia="Times New Roman" w:hint="default"/>
        </w:rPr>
        <w:t>210</w:t>
      </w:r>
      <w:r>
        <w:rPr/>
        <w:t>万股，无限售条件股份减少</w:t>
      </w:r>
      <w:r>
        <w:rPr>
          <w:rFonts w:ascii="Times New Roman" w:hAnsi="Times New Roman" w:cs="Times New Roman" w:eastAsia="Times New Roman" w:hint="default"/>
        </w:rPr>
        <w:t>210</w:t>
      </w:r>
      <w:r>
        <w:rPr/>
        <w:t>万股。</w:t>
      </w:r>
    </w:p>
    <w:p>
      <w:pPr>
        <w:pStyle w:val="BodyText"/>
        <w:spacing w:line="240" w:lineRule="auto" w:before="101"/>
        <w:ind w:left="513" w:right="234"/>
        <w:jc w:val="left"/>
      </w:pPr>
      <w:r>
        <w:rPr>
          <w:rFonts w:ascii="Times New Roman" w:hAnsi="Times New Roman" w:cs="Times New Roman" w:eastAsia="Times New Roman" w:hint="default"/>
        </w:rPr>
        <w:t>3</w:t>
      </w:r>
      <w:r>
        <w:rPr/>
        <w:t>、股权激励限制性股票回购注销导致的股份变动：</w:t>
      </w:r>
    </w:p>
    <w:p>
      <w:pPr>
        <w:pStyle w:val="BodyText"/>
        <w:spacing w:line="348" w:lineRule="auto" w:before="101"/>
        <w:ind w:right="252" w:firstLine="180"/>
        <w:jc w:val="both"/>
      </w:pPr>
      <w:r>
        <w:rPr>
          <w:spacing w:val="-2"/>
        </w:rPr>
        <w:t>（</w:t>
      </w: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24</w:t>
      </w:r>
      <w:r>
        <w:rPr>
          <w:spacing w:val="-2"/>
        </w:rPr>
        <w:t>日召开第四届董事会第三十四次会议，审议通过了《关于回购注销已离职激励对象的限制性股票</w:t>
      </w:r>
      <w:r>
        <w:rPr/>
        <w:t> </w:t>
      </w:r>
      <w:r>
        <w:rPr>
          <w:spacing w:val="-2"/>
        </w:rPr>
        <w:t>的议案》，同意公司将因离职而不再符合激励条件的原限制性股票激励对象赵作荣先生已获授但尚未解锁的全部限制性股票</w:t>
      </w:r>
      <w:r>
        <w:rPr>
          <w:spacing w:val="-64"/>
        </w:rPr>
        <w:t> </w:t>
      </w:r>
      <w:r>
        <w:rPr>
          <w:spacing w:val="-64"/>
        </w:rPr>
      </w:r>
      <w:r>
        <w:rPr/>
        <w:t>合计</w:t>
      </w:r>
      <w:r>
        <w:rPr>
          <w:rFonts w:ascii="Times New Roman" w:hAnsi="Times New Roman" w:cs="Times New Roman" w:eastAsia="Times New Roman" w:hint="default"/>
        </w:rPr>
        <w:t>6</w:t>
      </w:r>
      <w:r>
        <w:rPr/>
        <w:t>万股进行回购注销，回购价格为</w:t>
      </w:r>
      <w:r>
        <w:rPr>
          <w:rFonts w:ascii="Times New Roman" w:hAnsi="Times New Roman" w:cs="Times New Roman" w:eastAsia="Times New Roman" w:hint="default"/>
        </w:rPr>
        <w:t>2</w:t>
      </w:r>
      <w:r>
        <w:rPr/>
        <w:t>元</w:t>
      </w:r>
      <w:r>
        <w:rPr>
          <w:rFonts w:ascii="Times New Roman" w:hAnsi="Times New Roman" w:cs="Times New Roman" w:eastAsia="Times New Roman" w:hint="default"/>
        </w:rPr>
        <w:t>/</w:t>
      </w:r>
      <w:r>
        <w:rPr/>
        <w:t>股。上述事项导致公司有限售股份减少</w:t>
      </w:r>
      <w:r>
        <w:rPr>
          <w:rFonts w:ascii="Times New Roman" w:hAnsi="Times New Roman" w:cs="Times New Roman" w:eastAsia="Times New Roman" w:hint="default"/>
        </w:rPr>
        <w:t>60,000</w:t>
      </w:r>
      <w:r>
        <w:rPr/>
        <w:t>股。</w:t>
      </w:r>
    </w:p>
    <w:p>
      <w:pPr>
        <w:pStyle w:val="BodyText"/>
        <w:spacing w:line="343" w:lineRule="auto" w:before="9"/>
        <w:ind w:right="234" w:firstLine="180"/>
        <w:jc w:val="left"/>
      </w:pPr>
      <w:r>
        <w:rPr/>
        <w:t>（</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日召开第四届董事会第三十五次会议，审议通过了《关于注销</w:t>
      </w:r>
      <w:r>
        <w:rPr>
          <w:rFonts w:ascii="Times New Roman" w:hAnsi="Times New Roman" w:cs="Times New Roman" w:eastAsia="Times New Roman" w:hint="default"/>
        </w:rPr>
        <w:t>/</w:t>
      </w:r>
      <w:r>
        <w:rPr/>
        <w:t>回购注销未达行权</w:t>
      </w:r>
      <w:r>
        <w:rPr>
          <w:rFonts w:ascii="Times New Roman" w:hAnsi="Times New Roman" w:cs="Times New Roman" w:eastAsia="Times New Roman" w:hint="default"/>
        </w:rPr>
        <w:t>/</w:t>
      </w:r>
      <w:r>
        <w:rPr/>
        <w:t>解锁条件的股 </w:t>
      </w:r>
      <w:r>
        <w:rPr>
          <w:spacing w:val="-2"/>
        </w:rPr>
        <w:t>票期权和限制性股票的议案》，因公司股权激励计划首次授予部分的第三个解锁期未达到解锁条件，公司决定回购注销激励</w:t>
      </w:r>
      <w:r>
        <w:rPr>
          <w:spacing w:val="-63"/>
        </w:rPr>
        <w:t> </w:t>
      </w:r>
      <w:r>
        <w:rPr>
          <w:spacing w:val="-63"/>
        </w:rPr>
      </w:r>
      <w:r>
        <w:rPr/>
        <w:t>对象持有的未达到解锁条件的限制性股票</w:t>
      </w:r>
      <w:r>
        <w:rPr>
          <w:rFonts w:ascii="Times New Roman" w:hAnsi="Times New Roman" w:cs="Times New Roman" w:eastAsia="Times New Roman" w:hint="default"/>
        </w:rPr>
        <w:t>53.2</w:t>
      </w:r>
      <w:r>
        <w:rPr/>
        <w:t>万股和因公司股权激励计划预留授予部分的第二个解锁期未达到解锁条件的 限制性股票</w:t>
      </w:r>
      <w:r>
        <w:rPr>
          <w:rFonts w:ascii="Times New Roman" w:hAnsi="Times New Roman" w:cs="Times New Roman" w:eastAsia="Times New Roman" w:hint="default"/>
        </w:rPr>
        <w:t>5000</w:t>
      </w:r>
      <w:r>
        <w:rPr/>
        <w:t>股，合计</w:t>
      </w:r>
      <w:r>
        <w:rPr>
          <w:rFonts w:ascii="Times New Roman" w:hAnsi="Times New Roman" w:cs="Times New Roman" w:eastAsia="Times New Roman" w:hint="default"/>
        </w:rPr>
        <w:t>537,000</w:t>
      </w:r>
      <w:r>
        <w:rPr/>
        <w:t>股。上述事项导致公司有限售股份减少</w:t>
      </w:r>
      <w:r>
        <w:rPr>
          <w:rFonts w:ascii="Times New Roman" w:hAnsi="Times New Roman" w:cs="Times New Roman" w:eastAsia="Times New Roman" w:hint="default"/>
        </w:rPr>
        <w:t>537,000</w:t>
      </w:r>
      <w:r>
        <w:rPr/>
        <w:t>股。</w:t>
      </w:r>
    </w:p>
    <w:p>
      <w:pPr>
        <w:pStyle w:val="BodyText"/>
        <w:spacing w:line="338" w:lineRule="auto" w:before="15"/>
        <w:ind w:left="441" w:right="234" w:firstLine="72"/>
        <w:jc w:val="left"/>
      </w:pPr>
      <w:r>
        <w:rPr>
          <w:rFonts w:ascii="Times New Roman" w:hAnsi="Times New Roman" w:cs="Times New Roman" w:eastAsia="Times New Roman" w:hint="default"/>
        </w:rPr>
        <w:t>4</w:t>
      </w:r>
      <w:r>
        <w:rPr/>
        <w:t>、限售股解禁上市流通导致的股份变动： </w:t>
      </w:r>
      <w:r>
        <w:rPr>
          <w:spacing w:val="-1"/>
        </w:rPr>
        <w:t>根据中国证券监督管理委员会《关于核准深圳市实益达科技股份有限公司向张伟等发行股份购买资产并募集配套资金的</w:t>
      </w:r>
    </w:p>
    <w:p>
      <w:pPr>
        <w:pStyle w:val="BodyText"/>
        <w:spacing w:line="240" w:lineRule="auto" w:before="41"/>
        <w:ind w:right="234"/>
        <w:jc w:val="left"/>
        <w:rPr>
          <w:rFonts w:ascii="Times New Roman" w:hAnsi="Times New Roman" w:cs="Times New Roman" w:eastAsia="Times New Roman" w:hint="default"/>
        </w:rPr>
      </w:pPr>
      <w:r>
        <w:rPr>
          <w:spacing w:val="-5"/>
        </w:rPr>
        <w:t>批复》（证监许可</w:t>
      </w:r>
      <w:r>
        <w:rPr>
          <w:rFonts w:ascii="Times New Roman" w:hAnsi="Times New Roman" w:cs="Times New Roman" w:eastAsia="Times New Roman" w:hint="default"/>
          <w:spacing w:val="-5"/>
        </w:rPr>
        <w:t>[2015]2391</w:t>
      </w:r>
      <w:r>
        <w:rPr>
          <w:spacing w:val="-5"/>
        </w:rPr>
        <w:t>号），公司向购买资产的交易对方张伟、伏虎、曹建华、逄淑涌、袁琪、张晓艳等发行</w:t>
      </w:r>
      <w:r>
        <w:rPr>
          <w:rFonts w:ascii="Times New Roman" w:hAnsi="Times New Roman" w:cs="Times New Roman" w:eastAsia="Times New Roman" w:hint="default"/>
          <w:spacing w:val="-5"/>
        </w:rPr>
        <w:t>49,339,376</w:t>
      </w:r>
    </w:p>
    <w:p>
      <w:pPr>
        <w:spacing w:after="0" w:line="240" w:lineRule="auto"/>
        <w:jc w:val="left"/>
        <w:rPr>
          <w:rFonts w:ascii="Times New Roman" w:hAnsi="Times New Roman" w:cs="Times New Roman" w:eastAsia="Times New Roman" w:hint="default"/>
        </w:rPr>
        <w:sectPr>
          <w:pgSz w:w="11910" w:h="16840"/>
          <w:pgMar w:header="745" w:footer="980" w:top="1060" w:bottom="1160" w:left="980" w:right="880"/>
        </w:sectPr>
      </w:pPr>
    </w:p>
    <w:p>
      <w:pPr>
        <w:spacing w:line="240" w:lineRule="auto" w:before="8"/>
        <w:rPr>
          <w:rFonts w:ascii="Times New Roman" w:hAnsi="Times New Roman" w:cs="Times New Roman" w:eastAsia="Times New Roman" w:hint="default"/>
          <w:sz w:val="25"/>
          <w:szCs w:val="25"/>
        </w:rPr>
      </w:pPr>
    </w:p>
    <w:p>
      <w:pPr>
        <w:pStyle w:val="BodyText"/>
        <w:spacing w:line="336" w:lineRule="auto" w:before="44"/>
        <w:ind w:right="148"/>
        <w:jc w:val="both"/>
      </w:pPr>
      <w:r>
        <w:rPr>
          <w:spacing w:val="-2"/>
        </w:rPr>
        <w:t>股新股，本次非公开发行股票的性质为有限售条件流通股，限售期从新增股份上市日起计算，上市日为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日。根</w:t>
      </w:r>
      <w:r>
        <w:rPr>
          <w:spacing w:val="-58"/>
        </w:rPr>
        <w:t> </w:t>
      </w:r>
      <w:r>
        <w:rPr>
          <w:spacing w:val="-58"/>
        </w:rPr>
      </w:r>
      <w:r>
        <w:rPr>
          <w:spacing w:val="-1"/>
        </w:rPr>
        <w:t>据大华会计师事务所（特殊普通合伙）出具的大华核字</w:t>
      </w:r>
      <w:r>
        <w:rPr>
          <w:rFonts w:ascii="Times New Roman" w:hAnsi="Times New Roman" w:cs="Times New Roman" w:eastAsia="Times New Roman" w:hint="default"/>
          <w:spacing w:val="-1"/>
        </w:rPr>
        <w:t>[2017]001465</w:t>
      </w:r>
      <w:r>
        <w:rPr>
          <w:spacing w:val="-1"/>
        </w:rPr>
        <w:t>号《深圳市麦达数字股份有限公司重大资产重组业绩承</w:t>
      </w:r>
      <w:r>
        <w:rPr>
          <w:spacing w:val="-58"/>
        </w:rPr>
        <w:t> </w:t>
      </w:r>
      <w:r>
        <w:rPr>
          <w:spacing w:val="-58"/>
        </w:rPr>
      </w:r>
      <w:r>
        <w:rPr>
          <w:spacing w:val="-2"/>
        </w:rPr>
        <w:t>诺实现情况说明的审核报告》，</w:t>
      </w:r>
      <w:r>
        <w:rPr>
          <w:rFonts w:ascii="Times New Roman" w:hAnsi="Times New Roman" w:cs="Times New Roman" w:eastAsia="Times New Roman" w:hint="default"/>
          <w:spacing w:val="-2"/>
        </w:rPr>
        <w:t>2016</w:t>
      </w:r>
      <w:r>
        <w:rPr>
          <w:spacing w:val="-2"/>
        </w:rPr>
        <w:t>年度顺为广告、奇思广告、利宣广告的实际净利润均超过承诺净利润，无需就该年度对</w:t>
      </w:r>
      <w:r>
        <w:rPr>
          <w:spacing w:val="-65"/>
        </w:rPr>
        <w:t> </w:t>
      </w:r>
      <w:r>
        <w:rPr>
          <w:spacing w:val="-65"/>
        </w:rPr>
      </w:r>
      <w:r>
        <w:rPr/>
        <w:t>公司进行补偿，公司根据相关约定为张伟、伏虎、逄淑涌、张晓艳办理限售股解除限售，涉及的股份数量合计为</w:t>
      </w:r>
      <w:r>
        <w:rPr>
          <w:rFonts w:ascii="Times New Roman" w:hAnsi="Times New Roman" w:cs="Times New Roman" w:eastAsia="Times New Roman" w:hint="default"/>
        </w:rPr>
        <w:t>14,801,819 </w:t>
      </w:r>
      <w:r>
        <w:rPr>
          <w:spacing w:val="-2"/>
        </w:rPr>
        <w:t>股（其中张伟解除限售数量为</w:t>
      </w:r>
      <w:r>
        <w:rPr>
          <w:rFonts w:ascii="Times New Roman" w:hAnsi="Times New Roman" w:cs="Times New Roman" w:eastAsia="Times New Roman" w:hint="default"/>
          <w:spacing w:val="-2"/>
        </w:rPr>
        <w:t>6,314,767</w:t>
      </w:r>
      <w:r>
        <w:rPr>
          <w:spacing w:val="-2"/>
        </w:rPr>
        <w:t>股，伏虎解除限售数量为</w:t>
      </w:r>
      <w:r>
        <w:rPr>
          <w:rFonts w:ascii="Times New Roman" w:hAnsi="Times New Roman" w:cs="Times New Roman" w:eastAsia="Times New Roman" w:hint="default"/>
          <w:spacing w:val="-2"/>
        </w:rPr>
        <w:t>5,222,804</w:t>
      </w:r>
      <w:r>
        <w:rPr>
          <w:spacing w:val="-2"/>
        </w:rPr>
        <w:t>股，逄淑涌解除限售数量为</w:t>
      </w:r>
      <w:r>
        <w:rPr>
          <w:rFonts w:ascii="Times New Roman" w:hAnsi="Times New Roman" w:cs="Times New Roman" w:eastAsia="Times New Roman" w:hint="default"/>
          <w:spacing w:val="-2"/>
        </w:rPr>
        <w:t>1,632,124</w:t>
      </w:r>
      <w:r>
        <w:rPr>
          <w:spacing w:val="-2"/>
        </w:rPr>
        <w:t>股，张晓艳解</w:t>
      </w:r>
      <w:r>
        <w:rPr>
          <w:spacing w:val="-42"/>
        </w:rPr>
        <w:t> </w:t>
      </w:r>
      <w:r>
        <w:rPr>
          <w:spacing w:val="-42"/>
        </w:rPr>
      </w:r>
      <w:r>
        <w:rPr/>
        <w:t>除限售数量为</w:t>
      </w:r>
      <w:r>
        <w:rPr>
          <w:rFonts w:ascii="Times New Roman" w:hAnsi="Times New Roman" w:cs="Times New Roman" w:eastAsia="Times New Roman" w:hint="default"/>
        </w:rPr>
        <w:t>1,632,124</w:t>
      </w:r>
      <w:r>
        <w:rPr/>
        <w:t>股），因此导致有限售股份减少</w:t>
      </w:r>
      <w:r>
        <w:rPr>
          <w:rFonts w:ascii="Times New Roman" w:hAnsi="Times New Roman" w:cs="Times New Roman" w:eastAsia="Times New Roman" w:hint="default"/>
        </w:rPr>
        <w:t>14,801,819</w:t>
      </w:r>
      <w:r>
        <w:rPr/>
        <w:t>股，无限售股份增加</w:t>
      </w:r>
      <w:r>
        <w:rPr>
          <w:rFonts w:ascii="Times New Roman" w:hAnsi="Times New Roman" w:cs="Times New Roman" w:eastAsia="Times New Roman" w:hint="default"/>
        </w:rPr>
        <w:t>14,801,819</w:t>
      </w:r>
      <w:r>
        <w:rPr/>
        <w:t>股。</w:t>
      </w:r>
    </w:p>
    <w:p>
      <w:pPr>
        <w:pStyle w:val="BodyText"/>
        <w:spacing w:line="240" w:lineRule="auto" w:before="21"/>
        <w:ind w:left="513" w:right="153"/>
        <w:jc w:val="left"/>
      </w:pPr>
      <w:r>
        <w:rPr>
          <w:rFonts w:ascii="Times New Roman" w:hAnsi="Times New Roman" w:cs="Times New Roman" w:eastAsia="Times New Roman" w:hint="default"/>
        </w:rPr>
        <w:t>5</w:t>
      </w:r>
      <w:r>
        <w:rPr/>
        <w:t>、因董监高离职导致的股份变动：</w:t>
      </w:r>
    </w:p>
    <w:p>
      <w:pPr>
        <w:pStyle w:val="BodyText"/>
        <w:spacing w:line="338" w:lineRule="auto" w:before="101"/>
        <w:ind w:right="151" w:firstLine="180"/>
        <w:jc w:val="both"/>
      </w:pPr>
      <w:r>
        <w:rPr/>
        <w:t>（</w:t>
      </w:r>
      <w:r>
        <w:rPr>
          <w:rFonts w:ascii="Times New Roman" w:hAnsi="Times New Roman" w:cs="Times New Roman" w:eastAsia="Times New Roman" w:hint="default"/>
        </w:rPr>
        <w:t>1</w:t>
      </w:r>
      <w:r>
        <w:rPr/>
        <w:t>）公司原董事、财务总监刘爱民先生于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日离任，根据相关规定，其离任后</w:t>
      </w:r>
      <w:r>
        <w:rPr>
          <w:rFonts w:ascii="Times New Roman" w:hAnsi="Times New Roman" w:cs="Times New Roman" w:eastAsia="Times New Roman" w:hint="default"/>
        </w:rPr>
        <w:t>6</w:t>
      </w:r>
      <w:r>
        <w:rPr/>
        <w:t>个月内股份全部锁定，</w:t>
      </w:r>
      <w:r>
        <w:rPr>
          <w:rFonts w:ascii="Times New Roman" w:hAnsi="Times New Roman" w:cs="Times New Roman" w:eastAsia="Times New Roman" w:hint="default"/>
        </w:rPr>
        <w:t>6</w:t>
      </w:r>
      <w:r>
        <w:rPr/>
        <w:t>个月 </w:t>
      </w:r>
      <w:r>
        <w:rPr>
          <w:spacing w:val="-1"/>
        </w:rPr>
        <w:t>后按</w:t>
      </w:r>
      <w:r>
        <w:rPr>
          <w:rFonts w:ascii="Times New Roman" w:hAnsi="Times New Roman" w:cs="Times New Roman" w:eastAsia="Times New Roman" w:hint="default"/>
          <w:spacing w:val="-1"/>
        </w:rPr>
        <w:t>50%</w:t>
      </w:r>
      <w:r>
        <w:rPr>
          <w:spacing w:val="-1"/>
        </w:rPr>
        <w:t>的比例锁定</w:t>
      </w:r>
      <w:r>
        <w:rPr>
          <w:rFonts w:ascii="Times New Roman" w:hAnsi="Times New Roman" w:cs="Times New Roman" w:eastAsia="Times New Roman" w:hint="default"/>
          <w:spacing w:val="-1"/>
        </w:rPr>
        <w:t>12</w:t>
      </w:r>
      <w:r>
        <w:rPr>
          <w:spacing w:val="-1"/>
        </w:rPr>
        <w:t>个月。报告期末，刘爱民先生离职期限已满</w:t>
      </w:r>
      <w:r>
        <w:rPr>
          <w:rFonts w:ascii="Times New Roman" w:hAnsi="Times New Roman" w:cs="Times New Roman" w:eastAsia="Times New Roman" w:hint="default"/>
          <w:spacing w:val="-1"/>
        </w:rPr>
        <w:t>18</w:t>
      </w:r>
      <w:r>
        <w:rPr>
          <w:spacing w:val="-1"/>
        </w:rPr>
        <w:t>个月，其所持有的剩余</w:t>
      </w:r>
      <w:r>
        <w:rPr>
          <w:rFonts w:ascii="Times New Roman" w:hAnsi="Times New Roman" w:cs="Times New Roman" w:eastAsia="Times New Roman" w:hint="default"/>
          <w:spacing w:val="-1"/>
        </w:rPr>
        <w:t>50%</w:t>
      </w:r>
      <w:r>
        <w:rPr>
          <w:spacing w:val="-1"/>
        </w:rPr>
        <w:t>股份解锁，从而导致公司有</w:t>
      </w:r>
      <w:r>
        <w:rPr>
          <w:spacing w:val="-61"/>
        </w:rPr>
        <w:t> </w:t>
      </w:r>
      <w:r>
        <w:rPr>
          <w:spacing w:val="-61"/>
        </w:rPr>
      </w:r>
      <w:r>
        <w:rPr/>
        <w:t>限售股份减少</w:t>
      </w:r>
      <w:r>
        <w:rPr>
          <w:rFonts w:ascii="Times New Roman" w:hAnsi="Times New Roman" w:cs="Times New Roman" w:eastAsia="Times New Roman" w:hint="default"/>
        </w:rPr>
        <w:t>75,000</w:t>
      </w:r>
      <w:r>
        <w:rPr/>
        <w:t>股，同时无限售股份增加</w:t>
      </w:r>
      <w:r>
        <w:rPr>
          <w:rFonts w:ascii="Times New Roman" w:hAnsi="Times New Roman" w:cs="Times New Roman" w:eastAsia="Times New Roman" w:hint="default"/>
        </w:rPr>
        <w:t>75,000</w:t>
      </w:r>
      <w:r>
        <w:rPr/>
        <w:t>股。</w:t>
      </w:r>
    </w:p>
    <w:p>
      <w:pPr>
        <w:pStyle w:val="BodyText"/>
        <w:spacing w:line="338" w:lineRule="auto" w:before="19"/>
        <w:ind w:right="151" w:firstLine="180"/>
        <w:jc w:val="both"/>
      </w:pPr>
      <w:r>
        <w:rPr/>
        <w:t>（</w:t>
      </w:r>
      <w:r>
        <w:rPr>
          <w:rFonts w:ascii="Times New Roman" w:hAnsi="Times New Roman" w:cs="Times New Roman" w:eastAsia="Times New Roman" w:hint="default"/>
        </w:rPr>
        <w:t>2</w:t>
      </w:r>
      <w:r>
        <w:rPr/>
        <w:t>）公司原监事张维先生于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日离任，根据相关规定，其离任后</w:t>
      </w:r>
      <w:r>
        <w:rPr>
          <w:rFonts w:ascii="Times New Roman" w:hAnsi="Times New Roman" w:cs="Times New Roman" w:eastAsia="Times New Roman" w:hint="default"/>
        </w:rPr>
        <w:t>6</w:t>
      </w:r>
      <w:r>
        <w:rPr/>
        <w:t>个月内股份全部锁定，</w:t>
      </w:r>
      <w:r>
        <w:rPr>
          <w:rFonts w:ascii="Times New Roman" w:hAnsi="Times New Roman" w:cs="Times New Roman" w:eastAsia="Times New Roman" w:hint="default"/>
        </w:rPr>
        <w:t>6</w:t>
      </w:r>
      <w:r>
        <w:rPr/>
        <w:t>个月后按</w:t>
      </w:r>
      <w:r>
        <w:rPr>
          <w:rFonts w:ascii="Times New Roman" w:hAnsi="Times New Roman" w:cs="Times New Roman" w:eastAsia="Times New Roman" w:hint="default"/>
        </w:rPr>
        <w:t>50%</w:t>
      </w:r>
      <w:r>
        <w:rPr/>
        <w:t>的比例 </w:t>
      </w:r>
      <w:r>
        <w:rPr>
          <w:spacing w:val="-2"/>
        </w:rPr>
        <w:t>锁定</w:t>
      </w:r>
      <w:r>
        <w:rPr>
          <w:rFonts w:ascii="Times New Roman" w:hAnsi="Times New Roman" w:cs="Times New Roman" w:eastAsia="Times New Roman" w:hint="default"/>
          <w:spacing w:val="-2"/>
        </w:rPr>
        <w:t>12</w:t>
      </w:r>
      <w:r>
        <w:rPr>
          <w:spacing w:val="-2"/>
        </w:rPr>
        <w:t>个月。报告期内，张维先生所持有的股份按</w:t>
      </w:r>
      <w:r>
        <w:rPr>
          <w:rFonts w:ascii="Times New Roman" w:hAnsi="Times New Roman" w:cs="Times New Roman" w:eastAsia="Times New Roman" w:hint="default"/>
          <w:spacing w:val="-2"/>
        </w:rPr>
        <w:t>50%</w:t>
      </w:r>
      <w:r>
        <w:rPr>
          <w:spacing w:val="-2"/>
        </w:rPr>
        <w:t>的比例锁定，合计</w:t>
      </w:r>
      <w:r>
        <w:rPr>
          <w:rFonts w:ascii="Times New Roman" w:hAnsi="Times New Roman" w:cs="Times New Roman" w:eastAsia="Times New Roman" w:hint="default"/>
          <w:spacing w:val="-2"/>
        </w:rPr>
        <w:t>158</w:t>
      </w:r>
      <w:r>
        <w:rPr>
          <w:spacing w:val="-2"/>
        </w:rPr>
        <w:t>股。从而导致公司有限售股份增加</w:t>
      </w:r>
      <w:r>
        <w:rPr>
          <w:rFonts w:ascii="Times New Roman" w:hAnsi="Times New Roman" w:cs="Times New Roman" w:eastAsia="Times New Roman" w:hint="default"/>
          <w:spacing w:val="-2"/>
        </w:rPr>
        <w:t>158</w:t>
      </w:r>
      <w:r>
        <w:rPr>
          <w:spacing w:val="-2"/>
        </w:rPr>
        <w:t>股，同时</w:t>
      </w:r>
      <w:r>
        <w:rPr>
          <w:spacing w:val="-33"/>
        </w:rPr>
        <w:t> </w:t>
      </w:r>
      <w:r>
        <w:rPr>
          <w:spacing w:val="-33"/>
        </w:rPr>
      </w:r>
      <w:r>
        <w:rPr/>
        <w:t>无限售股份减少</w:t>
      </w:r>
      <w:r>
        <w:rPr>
          <w:rFonts w:ascii="Times New Roman" w:hAnsi="Times New Roman" w:cs="Times New Roman" w:eastAsia="Times New Roman" w:hint="default"/>
        </w:rPr>
        <w:t>158</w:t>
      </w:r>
      <w:r>
        <w:rPr/>
        <w:t>股。</w:t>
      </w:r>
    </w:p>
    <w:p>
      <w:pPr>
        <w:pStyle w:val="BodyText"/>
        <w:spacing w:line="338" w:lineRule="auto" w:before="19"/>
        <w:ind w:right="144" w:firstLine="360"/>
        <w:jc w:val="left"/>
      </w:pPr>
      <w:r>
        <w:rPr>
          <w:rFonts w:ascii="Times New Roman" w:hAnsi="Times New Roman" w:cs="Times New Roman" w:eastAsia="Times New Roman" w:hint="default"/>
        </w:rPr>
        <w:t>6</w:t>
      </w:r>
      <w:r>
        <w:rPr/>
        <w:t>、根据《公司法》、《上市公司董事、监事和高级管理人员所持本公司股份及其变动管理规则》、《关于进一步规范 中小企业板上市公司董事、监事和高级管理人员买卖本公司股票行为的通知》等法律和法规，报告期末，董事</w:t>
      </w:r>
      <w:r>
        <w:rPr>
          <w:rFonts w:ascii="Times New Roman" w:hAnsi="Times New Roman" w:cs="Times New Roman" w:eastAsia="Times New Roman" w:hint="default"/>
        </w:rPr>
        <w:t>/</w:t>
      </w:r>
      <w:r>
        <w:rPr/>
        <w:t>首席执行官</w:t>
      </w:r>
    </w:p>
    <w:p>
      <w:pPr>
        <w:pStyle w:val="BodyText"/>
        <w:spacing w:line="240" w:lineRule="auto" w:before="17"/>
        <w:ind w:right="0"/>
        <w:jc w:val="both"/>
      </w:pPr>
      <w:r>
        <w:rPr/>
        <w:t>（</w:t>
      </w:r>
      <w:r>
        <w:rPr>
          <w:rFonts w:ascii="Times New Roman" w:hAnsi="Times New Roman" w:cs="Times New Roman" w:eastAsia="Times New Roman" w:hint="default"/>
        </w:rPr>
        <w:t>CEO</w:t>
      </w:r>
      <w:r>
        <w:rPr/>
        <w:t>）乔昕先生限售股减少</w:t>
      </w:r>
      <w:r>
        <w:rPr>
          <w:rFonts w:ascii="Times New Roman" w:hAnsi="Times New Roman" w:cs="Times New Roman" w:eastAsia="Times New Roman" w:hint="default"/>
        </w:rPr>
        <w:t>5,719,476</w:t>
      </w:r>
      <w:r>
        <w:rPr/>
        <w:t>股，董事会秘书</w:t>
      </w:r>
      <w:r>
        <w:rPr>
          <w:rFonts w:ascii="Times New Roman" w:hAnsi="Times New Roman" w:cs="Times New Roman" w:eastAsia="Times New Roman" w:hint="default"/>
        </w:rPr>
        <w:t>/</w:t>
      </w:r>
      <w:r>
        <w:rPr/>
        <w:t>副总裁朱蕾女士限售股减少</w:t>
      </w:r>
      <w:r>
        <w:rPr>
          <w:rFonts w:ascii="Times New Roman" w:hAnsi="Times New Roman" w:cs="Times New Roman" w:eastAsia="Times New Roman" w:hint="default"/>
        </w:rPr>
        <w:t>15,000</w:t>
      </w:r>
      <w:r>
        <w:rPr/>
        <w:t>股。从而导致公司有限售股份减少</w:t>
      </w:r>
    </w:p>
    <w:p>
      <w:pPr>
        <w:pStyle w:val="BodyText"/>
        <w:spacing w:line="240" w:lineRule="auto" w:before="101"/>
        <w:ind w:right="0"/>
        <w:jc w:val="both"/>
      </w:pPr>
      <w:r>
        <w:rPr>
          <w:rFonts w:ascii="Times New Roman" w:hAnsi="Times New Roman" w:cs="Times New Roman" w:eastAsia="Times New Roman" w:hint="default"/>
        </w:rPr>
        <w:t>5,734,476</w:t>
      </w:r>
      <w:r>
        <w:rPr/>
        <w:t>股，同时无限售股份增加</w:t>
      </w:r>
      <w:r>
        <w:rPr>
          <w:rFonts w:ascii="Times New Roman" w:hAnsi="Times New Roman" w:cs="Times New Roman" w:eastAsia="Times New Roman" w:hint="default"/>
        </w:rPr>
        <w:t>5,734,476</w:t>
      </w:r>
      <w:r>
        <w:rPr/>
        <w:t>股。</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5"/>
          <w:szCs w:val="25"/>
        </w:rPr>
      </w:pPr>
    </w:p>
    <w:p>
      <w:pPr>
        <w:pStyle w:val="BodyText"/>
        <w:spacing w:line="240" w:lineRule="auto"/>
        <w:ind w:right="0"/>
        <w:jc w:val="both"/>
      </w:pPr>
      <w:r>
        <w:rPr/>
        <w:t>股份变动的批准情况</w:t>
      </w:r>
    </w:p>
    <w:p>
      <w:pPr>
        <w:spacing w:line="240" w:lineRule="auto" w:before="12"/>
        <w:rPr>
          <w:rFonts w:ascii="宋体" w:hAnsi="宋体" w:cs="宋体" w:eastAsia="宋体" w:hint="default"/>
          <w:sz w:val="20"/>
          <w:szCs w:val="20"/>
        </w:rPr>
      </w:pPr>
    </w:p>
    <w:p>
      <w:pPr>
        <w:pStyle w:val="BodyText"/>
        <w:spacing w:line="487" w:lineRule="auto"/>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489" w:lineRule="auto" w:before="88"/>
        <w:ind w:right="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489" w:lineRule="auto" w:before="83"/>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86"/>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left="0" w:right="151"/>
        <w:jc w:val="right"/>
      </w:pPr>
      <w:r>
        <w:rPr/>
        <w:t>单位：股</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991"/>
        <w:gridCol w:w="1133"/>
        <w:gridCol w:w="994"/>
        <w:gridCol w:w="994"/>
        <w:gridCol w:w="1983"/>
        <w:gridCol w:w="2693"/>
      </w:tblGrid>
      <w:tr>
        <w:trPr>
          <w:trHeight w:val="714"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00" w:right="38"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92" w:right="11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3" w:right="38"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00" w:right="41"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14,734,456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6,314,767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8,726,889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5"/>
                <w:sz w:val="18"/>
                <w:szCs w:val="18"/>
              </w:rPr>
              <w:t>因授予限制性股票，导致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新增限售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307200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日解除限售</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6,314,767 </w:t>
            </w:r>
            <w:r>
              <w:rPr>
                <w:rFonts w:ascii="宋体" w:hAnsi="宋体" w:cs="宋体" w:eastAsia="宋体" w:hint="default"/>
                <w:sz w:val="18"/>
                <w:szCs w:val="18"/>
              </w:rPr>
              <w:t>股</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伏虎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12,730,570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5,222,804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77,780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7,585,546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pacing w:val="-5"/>
                <w:sz w:val="18"/>
                <w:szCs w:val="18"/>
              </w:rPr>
              <w:t>因授予限制性股票，导致</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日解除限售</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82.75pt;height:681.25pt;mso-position-horizontal-relative:page;mso-position-vertical-relative:page;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2"/>
                    <w:gridCol w:w="991"/>
                    <w:gridCol w:w="1133"/>
                    <w:gridCol w:w="994"/>
                    <w:gridCol w:w="994"/>
                    <w:gridCol w:w="1983"/>
                    <w:gridCol w:w="2693"/>
                  </w:tblGrid>
                  <w:tr>
                    <w:trPr>
                      <w:trHeight w:val="362"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新增限售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77780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5,222,804 </w:t>
                        </w:r>
                        <w:r>
                          <w:rPr>
                            <w:rFonts w:ascii="宋体" w:hAnsi="宋体" w:cs="宋体" w:eastAsia="宋体" w:hint="default"/>
                            <w:sz w:val="18"/>
                            <w:szCs w:val="18"/>
                          </w:rPr>
                          <w:t>股</w:t>
                        </w:r>
                      </w:p>
                    </w:tc>
                  </w:tr>
                  <w:tr>
                    <w:trPr>
                      <w:trHeight w:val="133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165,063,824</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167,163,824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8"/>
                          <w:jc w:val="left"/>
                          <w:rPr>
                            <w:rFonts w:ascii="宋体" w:hAnsi="宋体" w:cs="宋体" w:eastAsia="宋体" w:hint="default"/>
                            <w:sz w:val="18"/>
                            <w:szCs w:val="18"/>
                          </w:rPr>
                        </w:pPr>
                        <w:r>
                          <w:rPr>
                            <w:rFonts w:ascii="宋体" w:hAnsi="宋体" w:cs="宋体" w:eastAsia="宋体" w:hint="default"/>
                            <w:spacing w:val="-5"/>
                            <w:sz w:val="18"/>
                            <w:szCs w:val="18"/>
                          </w:rPr>
                          <w:t>在办理转托管时，其可流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通额度并未同股份一起 转出，导致新增限售</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210 </w:t>
                        </w:r>
                        <w:r>
                          <w:rPr>
                            <w:rFonts w:ascii="宋体" w:hAnsi="宋体" w:cs="宋体" w:eastAsia="宋体" w:hint="default"/>
                            <w:sz w:val="18"/>
                            <w:szCs w:val="18"/>
                          </w:rPr>
                          <w:t>万股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乔昕</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61,914,750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5,719,476</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56,195,274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报告期内无新增限售股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月乔昕先生参与定增股</w:t>
                        </w:r>
                      </w:p>
                      <w:p>
                        <w:pPr>
                          <w:pStyle w:val="TableParagraph"/>
                          <w:spacing w:line="309"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份登记完成，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年初在计算其 可出售的股份比例时相应增加其 </w:t>
                        </w:r>
                        <w:r>
                          <w:rPr>
                            <w:rFonts w:ascii="宋体" w:hAnsi="宋体" w:cs="宋体" w:eastAsia="宋体" w:hint="default"/>
                            <w:spacing w:val="-5"/>
                            <w:sz w:val="18"/>
                            <w:szCs w:val="18"/>
                          </w:rPr>
                          <w:t>无限售流通股，导致其限售股减少</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袁琪</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2,176,166</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99,350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2,275,516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5"/>
                            <w:sz w:val="18"/>
                            <w:szCs w:val="18"/>
                          </w:rPr>
                          <w:t>因授予限制性股票，导致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新增限售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99350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月作为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 权激励计划的激励对象之一被授 予限制性股票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99,350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65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张晓艳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1,632,124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1,632,124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99,350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99,350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5"/>
                            <w:sz w:val="18"/>
                            <w:szCs w:val="18"/>
                          </w:rPr>
                          <w:t>因授予限制性股票，导致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新增限售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99350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日解除限售</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1,632,124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pacing w:val="-3"/>
                            <w:sz w:val="18"/>
                            <w:szCs w:val="18"/>
                          </w:rPr>
                          <w:t>日作</w:t>
                        </w:r>
                        <w:r>
                          <w:rPr>
                            <w:rFonts w:ascii="宋体" w:hAnsi="宋体" w:cs="宋体" w:eastAsia="宋体" w:hint="default"/>
                            <w:sz w:val="18"/>
                            <w:szCs w:val="18"/>
                          </w:rPr>
                        </w:r>
                      </w:p>
                      <w:p>
                        <w:pPr>
                          <w:pStyle w:val="TableParagraph"/>
                          <w:spacing w:line="309" w:lineRule="auto" w:before="63"/>
                          <w:ind w:left="24" w:right="46"/>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年度股权激励计划的激励 对象之一被授予限制性股票 </w:t>
                        </w:r>
                        <w:r>
                          <w:rPr>
                            <w:rFonts w:ascii="Times New Roman" w:hAnsi="Times New Roman" w:cs="Times New Roman" w:eastAsia="Times New Roman" w:hint="default"/>
                            <w:sz w:val="18"/>
                            <w:szCs w:val="18"/>
                          </w:rPr>
                          <w:t>99,350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曹建华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1,632,124</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44,446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1,676,570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5"/>
                            <w:sz w:val="18"/>
                            <w:szCs w:val="18"/>
                          </w:rPr>
                          <w:t>因授予限制性股票，导致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新增限售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44446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月作为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 权激励计划的激励对象之一被授 予限制性股票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44,446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258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朱蕾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37,844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37,844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pacing w:val="-5"/>
                            <w:sz w:val="18"/>
                            <w:szCs w:val="18"/>
                          </w:rPr>
                          <w:t>因授予限制性股票，导致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新增限售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37844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日因回购注销限制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性股票解除限售股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万股；根据</w:t>
                        </w:r>
                      </w:p>
                      <w:p>
                        <w:pPr>
                          <w:pStyle w:val="TableParagraph"/>
                          <w:spacing w:line="307" w:lineRule="auto" w:before="63"/>
                          <w:ind w:left="24"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年年初朱蕾女士总持股数计 算的当年可出售股份数多于其回 </w:t>
                        </w:r>
                        <w:r>
                          <w:rPr>
                            <w:rFonts w:ascii="宋体" w:hAnsi="宋体" w:cs="宋体" w:eastAsia="宋体" w:hint="default"/>
                            <w:spacing w:val="-4"/>
                            <w:sz w:val="18"/>
                            <w:szCs w:val="18"/>
                          </w:rPr>
                          <w:t>购注销完成后的实际持股数；</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月作为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年度股权激 励计划的激励对象之一被授予限 制性股票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37,844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96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张维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离任监事锁定股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张维先生于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日离任 故按照高管股份管理的相关规定， 其将于离任满半年即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股；剩余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股将于其离任满半年后的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内即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日解除限售。</w:t>
                        </w:r>
                      </w:p>
                    </w:tc>
                  </w:tr>
                  <w:tr>
                    <w:trPr>
                      <w:trHeight w:val="71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刘爱民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报告期内无新增限售股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按照高管股份管理的相关规定解 除限售高管锁定股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万股</w:t>
                        </w:r>
                      </w:p>
                    </w:tc>
                  </w:tr>
                  <w:tr>
                    <w:trPr>
                      <w:trHeight w:val="161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2,709,124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2,109,124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2,892,703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3,492,703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pacing w:val="-5"/>
                            <w:sz w:val="18"/>
                            <w:szCs w:val="18"/>
                          </w:rPr>
                          <w:t>因授予限制性股票，导致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新增限售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3,492,703 </w:t>
                        </w:r>
                        <w:r>
                          <w:rPr>
                            <w:rFonts w:ascii="宋体" w:hAnsi="宋体" w:cs="宋体" w:eastAsia="宋体" w:hint="default"/>
                            <w:sz w:val="18"/>
                            <w:szCs w:val="18"/>
                          </w:rPr>
                          <w:t>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日解除逄淑涌限售</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1,632,124</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股；</w:t>
                        </w:r>
                        <w:r>
                          <w:rPr>
                            <w:rFonts w:ascii="Times New Roman" w:hAnsi="Times New Roman" w:cs="Times New Roman" w:eastAsia="Times New Roman" w:hint="default"/>
                            <w:spacing w:val="-12"/>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309"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日因回购注销限制性股票解除限 售股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万股；</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日因 回购注销限制性股票解除限售股</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44"/>
        <w:ind w:left="0" w:right="108"/>
        <w:jc w:val="right"/>
      </w:pPr>
      <w:r>
        <w:rPr/>
        <w:t>，</w:t>
      </w:r>
    </w:p>
    <w:p>
      <w:pPr>
        <w:spacing w:after="0" w:line="240" w:lineRule="auto"/>
        <w:jc w:val="right"/>
        <w:sectPr>
          <w:pgSz w:w="11910" w:h="16840"/>
          <w:pgMar w:header="745" w:footer="980" w:top="1060" w:bottom="1160" w:left="980" w:right="96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52"/>
        <w:gridCol w:w="991"/>
        <w:gridCol w:w="1133"/>
        <w:gridCol w:w="994"/>
        <w:gridCol w:w="994"/>
        <w:gridCol w:w="1983"/>
        <w:gridCol w:w="2693"/>
      </w:tblGrid>
      <w:tr>
        <w:trPr>
          <w:trHeight w:val="362"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262,803,138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21,208,295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2" w:right="0"/>
              <w:jc w:val="left"/>
              <w:rPr>
                <w:rFonts w:ascii="Times New Roman" w:hAnsi="Times New Roman" w:cs="Times New Roman" w:eastAsia="Times New Roman" w:hint="default"/>
                <w:sz w:val="18"/>
                <w:szCs w:val="18"/>
              </w:rPr>
            </w:pPr>
            <w:r>
              <w:rPr>
                <w:rFonts w:ascii="Times New Roman"/>
                <w:sz w:val="18"/>
              </w:rPr>
              <w:t>5,658,831</w:t>
            </w:r>
          </w:p>
        </w:tc>
        <w:tc>
          <w:tcPr>
            <w:tcW w:w="9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247,253,674</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254"/>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54"/>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44"/>
        <w:gridCol w:w="1419"/>
        <w:gridCol w:w="991"/>
        <w:gridCol w:w="1419"/>
        <w:gridCol w:w="1416"/>
        <w:gridCol w:w="1135"/>
        <w:gridCol w:w="1347"/>
      </w:tblGrid>
      <w:tr>
        <w:trPr>
          <w:trHeight w:val="715"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8" w:right="105" w:hanging="721"/>
              <w:jc w:val="left"/>
              <w:rPr>
                <w:rFonts w:ascii="宋体" w:hAnsi="宋体" w:cs="宋体" w:eastAsia="宋体" w:hint="default"/>
                <w:sz w:val="18"/>
                <w:szCs w:val="18"/>
              </w:rPr>
            </w:pPr>
            <w:r>
              <w:rPr>
                <w:rFonts w:ascii="宋体" w:hAnsi="宋体" w:cs="宋体" w:eastAsia="宋体" w:hint="default"/>
                <w:sz w:val="18"/>
                <w:szCs w:val="18"/>
              </w:rPr>
              <w:t>股票及其衍生证券名 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6"/>
              <w:ind w:left="40"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110"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增发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4" w:right="0"/>
              <w:jc w:val="left"/>
              <w:rPr>
                <w:rFonts w:ascii="Times New Roman" w:hAnsi="Times New Roman" w:cs="Times New Roman" w:eastAsia="Times New Roman" w:hint="default"/>
                <w:sz w:val="18"/>
                <w:szCs w:val="18"/>
              </w:rPr>
            </w:pPr>
            <w:r>
              <w:rPr>
                <w:rFonts w:ascii="Times New Roman"/>
                <w:sz w:val="18"/>
              </w:rPr>
              <w:t>3,631,207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3,631,207</w:t>
            </w: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49"/>
        <w:ind w:right="254"/>
        <w:jc w:val="left"/>
      </w:pPr>
      <w:r>
        <w:rPr/>
        <w:t>报告期内证券发行（不含优先股）情况的说明</w:t>
      </w:r>
    </w:p>
    <w:p>
      <w:pPr>
        <w:pStyle w:val="BodyText"/>
        <w:spacing w:line="240" w:lineRule="auto" w:before="74"/>
        <w:ind w:left="332" w:right="254"/>
        <w:jc w:val="left"/>
      </w:pPr>
      <w:r>
        <w:rPr>
          <w:rFonts w:ascii="Times New Roman" w:hAnsi="Times New Roman" w:cs="Times New Roman" w:eastAsia="Times New Roman" w:hint="default"/>
        </w:rPr>
        <w:t>2017</w:t>
      </w:r>
      <w:r>
        <w:rPr/>
        <w:t>年实施限制性股票激励计划情况：</w:t>
      </w:r>
    </w:p>
    <w:p>
      <w:pPr>
        <w:pStyle w:val="BodyText"/>
        <w:spacing w:line="240" w:lineRule="auto" w:before="101"/>
        <w:ind w:left="315" w:right="254"/>
        <w:jc w:val="left"/>
      </w:pPr>
      <w:r>
        <w:rPr/>
        <w:t>（</w:t>
      </w:r>
      <w:r>
        <w:rPr>
          <w:rFonts w:ascii="Times New Roman" w:hAnsi="Times New Roman" w:cs="Times New Roman" w:eastAsia="Times New Roman" w:hint="default"/>
        </w:rPr>
        <w:t>1</w:t>
      </w:r>
      <w:r>
        <w:rPr/>
        <w:t>）首次授予限制性股票情况</w:t>
      </w:r>
    </w:p>
    <w:p>
      <w:pPr>
        <w:pStyle w:val="BodyText"/>
        <w:spacing w:line="338" w:lineRule="auto" w:before="101"/>
        <w:ind w:right="94"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5</w:t>
      </w:r>
      <w:r>
        <w:rPr>
          <w:spacing w:val="-2"/>
        </w:rPr>
        <w:t>日公司召开第四届董事会第三十九次会议，在股东大会授权权限范围内审议通过了《关于向</w:t>
      </w:r>
      <w:r>
        <w:rPr>
          <w:rFonts w:ascii="Times New Roman" w:hAnsi="Times New Roman" w:cs="Times New Roman" w:eastAsia="Times New Roman" w:hint="default"/>
          <w:spacing w:val="-2"/>
        </w:rPr>
        <w:t>2017</w:t>
      </w:r>
      <w:r>
        <w:rPr>
          <w:spacing w:val="-2"/>
        </w:rPr>
        <w:t>年度限制性</w:t>
      </w:r>
      <w:r>
        <w:rPr/>
        <w:t> </w:t>
      </w:r>
      <w:r>
        <w:rPr>
          <w:spacing w:val="-1"/>
        </w:rPr>
        <w:t>股票激励计划激励对象授予限制性股票的议案》，董事会同意向</w:t>
      </w:r>
      <w:r>
        <w:rPr>
          <w:rFonts w:ascii="Times New Roman" w:hAnsi="Times New Roman" w:cs="Times New Roman" w:eastAsia="Times New Roman" w:hint="default"/>
          <w:spacing w:val="-1"/>
        </w:rPr>
        <w:t>44</w:t>
      </w:r>
      <w:r>
        <w:rPr>
          <w:spacing w:val="-1"/>
        </w:rPr>
        <w:t>名激励对象授予限制性股票</w:t>
      </w:r>
      <w:r>
        <w:rPr>
          <w:rFonts w:ascii="Times New Roman" w:hAnsi="Times New Roman" w:cs="Times New Roman" w:eastAsia="Times New Roman" w:hint="default"/>
          <w:spacing w:val="-1"/>
        </w:rPr>
        <w:t>3,631,207</w:t>
      </w:r>
      <w:r>
        <w:rPr>
          <w:spacing w:val="-1"/>
        </w:rPr>
        <w:t>股，授予价格为</w:t>
      </w:r>
      <w:r>
        <w:rPr>
          <w:rFonts w:ascii="Times New Roman" w:hAnsi="Times New Roman" w:cs="Times New Roman" w:eastAsia="Times New Roman" w:hint="default"/>
          <w:spacing w:val="-1"/>
        </w:rPr>
        <w:t>5.45</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元</w:t>
      </w:r>
      <w:r>
        <w:rPr>
          <w:rFonts w:ascii="Times New Roman" w:hAnsi="Times New Roman" w:cs="Times New Roman" w:eastAsia="Times New Roman" w:hint="default"/>
        </w:rPr>
        <w:t>/</w:t>
      </w:r>
      <w:r>
        <w:rPr/>
        <w:t>股，授予登记日为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日，公司已收到</w:t>
      </w:r>
      <w:r>
        <w:rPr>
          <w:rFonts w:ascii="Times New Roman" w:hAnsi="Times New Roman" w:cs="Times New Roman" w:eastAsia="Times New Roman" w:hint="default"/>
        </w:rPr>
        <w:t>44</w:t>
      </w:r>
      <w:r>
        <w:rPr/>
        <w:t>名激励对象缴纳的股权激励增资款合计人民币 </w:t>
      </w:r>
      <w:r>
        <w:rPr>
          <w:rFonts w:ascii="Times New Roman" w:hAnsi="Times New Roman" w:cs="Times New Roman" w:eastAsia="Times New Roman" w:hint="default"/>
          <w:spacing w:val="-1"/>
        </w:rPr>
        <w:t>19,790,086.55</w:t>
      </w:r>
      <w:r>
        <w:rPr>
          <w:spacing w:val="-1"/>
        </w:rPr>
        <w:t>元，其中增加注册资本（股本）</w:t>
      </w:r>
      <w:r>
        <w:rPr>
          <w:rFonts w:ascii="Times New Roman" w:hAnsi="Times New Roman" w:cs="Times New Roman" w:eastAsia="Times New Roman" w:hint="default"/>
          <w:spacing w:val="-1"/>
        </w:rPr>
        <w:t>3,631,207</w:t>
      </w:r>
      <w:r>
        <w:rPr>
          <w:spacing w:val="-1"/>
        </w:rPr>
        <w:t>元。随后公司完成了限制性股票在中国证券登记结算有限公司深圳分</w:t>
      </w:r>
      <w:r>
        <w:rPr>
          <w:spacing w:val="-70"/>
        </w:rPr>
        <w:t> </w:t>
      </w:r>
      <w:r>
        <w:rPr>
          <w:spacing w:val="-70"/>
        </w:rPr>
      </w:r>
      <w:r>
        <w:rPr/>
        <w:t>公司的登记手续，并确定首次授予股份的上市日为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w:t>
      </w:r>
    </w:p>
    <w:p>
      <w:pPr>
        <w:pStyle w:val="BodyText"/>
        <w:spacing w:line="240" w:lineRule="auto" w:before="20"/>
        <w:ind w:left="405" w:right="254"/>
        <w:jc w:val="left"/>
      </w:pPr>
      <w:r>
        <w:rPr/>
        <w:t>（</w:t>
      </w:r>
      <w:r>
        <w:rPr>
          <w:rFonts w:ascii="Times New Roman" w:hAnsi="Times New Roman" w:cs="Times New Roman" w:eastAsia="Times New Roman" w:hint="default"/>
        </w:rPr>
        <w:t>2</w:t>
      </w:r>
      <w:r>
        <w:rPr/>
        <w:t>）回购注销已离职激励对象限制性股票的情况</w:t>
      </w:r>
    </w:p>
    <w:p>
      <w:pPr>
        <w:pStyle w:val="BodyText"/>
        <w:spacing w:line="348" w:lineRule="auto" w:before="99"/>
        <w:ind w:right="94" w:firstLine="307"/>
        <w:jc w:val="left"/>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w:t>
      </w:r>
      <w:r>
        <w:rPr>
          <w:spacing w:val="-1"/>
        </w:rPr>
        <w:t>日，公司召开第五届董事会第六次会议审议通过了《关于回购注销已离职激励对象的限制性股票的议案》，</w:t>
      </w:r>
      <w:r>
        <w:rPr/>
        <w:t> </w:t>
      </w:r>
      <w:r>
        <w:rPr>
          <w:spacing w:val="-2"/>
        </w:rPr>
        <w:t>因部分激励对象向公司提出辞职并已获得公司同意，且已办理完毕离职手续，同意公司回购并注销其已获授但尚未解锁的限</w:t>
      </w:r>
      <w:r>
        <w:rPr>
          <w:spacing w:val="-64"/>
        </w:rPr>
        <w:t> </w:t>
      </w:r>
      <w:r>
        <w:rPr>
          <w:spacing w:val="-64"/>
        </w:rPr>
      </w:r>
      <w:r>
        <w:rPr/>
        <w:t>制性股票合计</w:t>
      </w:r>
      <w:r>
        <w:rPr>
          <w:rFonts w:ascii="Times New Roman" w:hAnsi="Times New Roman" w:cs="Times New Roman" w:eastAsia="Times New Roman" w:hint="default"/>
        </w:rPr>
        <w:t>72,534</w:t>
      </w:r>
      <w:r>
        <w:rPr/>
        <w:t>股，回购注销价格为</w:t>
      </w:r>
      <w:r>
        <w:rPr>
          <w:rFonts w:ascii="Times New Roman" w:hAnsi="Times New Roman" w:cs="Times New Roman" w:eastAsia="Times New Roman" w:hint="default"/>
        </w:rPr>
        <w:t>5.45</w:t>
      </w:r>
      <w:r>
        <w:rPr/>
        <w:t>元</w:t>
      </w:r>
      <w:r>
        <w:rPr>
          <w:rFonts w:ascii="Times New Roman" w:hAnsi="Times New Roman" w:cs="Times New Roman" w:eastAsia="Times New Roman" w:hint="default"/>
        </w:rPr>
        <w:t>/</w:t>
      </w:r>
      <w:r>
        <w:rPr/>
        <w:t>股。该事项业经公司</w:t>
      </w:r>
      <w:r>
        <w:rPr>
          <w:rFonts w:ascii="Times New Roman" w:hAnsi="Times New Roman" w:cs="Times New Roman" w:eastAsia="Times New Roman" w:hint="default"/>
        </w:rPr>
        <w:t>2017</w:t>
      </w:r>
      <w:r>
        <w:rPr/>
        <w:t>年度第五次临时股东大会审议通过。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right="254"/>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38" w:lineRule="auto" w:before="60"/>
        <w:ind w:right="94"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5</w:t>
      </w:r>
      <w:r>
        <w:rPr>
          <w:spacing w:val="-2"/>
        </w:rPr>
        <w:t>日公司召开的第四届董事会第三十九次会议，在股东大会授权权限范围内审议通过了《关于向</w:t>
      </w:r>
      <w:r>
        <w:rPr>
          <w:rFonts w:ascii="Times New Roman" w:hAnsi="Times New Roman" w:cs="Times New Roman" w:eastAsia="Times New Roman" w:hint="default"/>
          <w:spacing w:val="-2"/>
        </w:rPr>
        <w:t>2017</w:t>
      </w:r>
      <w:r>
        <w:rPr>
          <w:spacing w:val="-2"/>
        </w:rPr>
        <w:t>年度限制</w:t>
      </w:r>
      <w:r>
        <w:rPr/>
        <w:t> 性股票激励计划激励对象授予限制性股票的议案》，公司向</w:t>
      </w:r>
      <w:r>
        <w:rPr>
          <w:rFonts w:ascii="Times New Roman" w:hAnsi="Times New Roman" w:cs="Times New Roman" w:eastAsia="Times New Roman" w:hint="default"/>
        </w:rPr>
        <w:t>44</w:t>
      </w:r>
      <w:r>
        <w:rPr/>
        <w:t>名激励对象授予限制性股票</w:t>
      </w:r>
      <w:r>
        <w:rPr>
          <w:rFonts w:ascii="Times New Roman" w:hAnsi="Times New Roman" w:cs="Times New Roman" w:eastAsia="Times New Roman" w:hint="default"/>
        </w:rPr>
        <w:t>3,631,207</w:t>
      </w:r>
      <w:r>
        <w:rPr/>
        <w:t>股，授予价格为</w:t>
      </w:r>
      <w:r>
        <w:rPr>
          <w:rFonts w:ascii="Times New Roman" w:hAnsi="Times New Roman" w:cs="Times New Roman" w:eastAsia="Times New Roman" w:hint="default"/>
        </w:rPr>
        <w:t>5.45</w:t>
      </w:r>
      <w:r>
        <w:rPr/>
        <w:t>元</w:t>
      </w:r>
      <w:r>
        <w:rPr>
          <w:rFonts w:ascii="Times New Roman" w:hAnsi="Times New Roman" w:cs="Times New Roman" w:eastAsia="Times New Roman" w:hint="default"/>
        </w:rPr>
        <w:t>/ </w:t>
      </w:r>
      <w:r>
        <w:rPr/>
        <w:t>股，授予登记日为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日，公司已收到</w:t>
      </w:r>
      <w:r>
        <w:rPr>
          <w:rFonts w:ascii="Times New Roman" w:hAnsi="Times New Roman" w:cs="Times New Roman" w:eastAsia="Times New Roman" w:hint="default"/>
        </w:rPr>
        <w:t>44</w:t>
      </w:r>
      <w:r>
        <w:rPr/>
        <w:t>名激励对象缴纳的股权激励增资款合计人民币 </w:t>
      </w:r>
      <w:r>
        <w:rPr>
          <w:rFonts w:ascii="Times New Roman" w:hAnsi="Times New Roman" w:cs="Times New Roman" w:eastAsia="Times New Roman" w:hint="default"/>
        </w:rPr>
        <w:t>19,790,086.55</w:t>
      </w:r>
      <w:r>
        <w:rPr/>
        <w:t>元。公司增加股本人民币</w:t>
      </w:r>
      <w:r>
        <w:rPr>
          <w:rFonts w:ascii="Times New Roman" w:hAnsi="Times New Roman" w:cs="Times New Roman" w:eastAsia="Times New Roman" w:hint="default"/>
        </w:rPr>
        <w:t>3,631,207</w:t>
      </w:r>
      <w:r>
        <w:rPr/>
        <w:t>元，公司注册资本增加至</w:t>
      </w:r>
      <w:r>
        <w:rPr>
          <w:rFonts w:ascii="Times New Roman" w:hAnsi="Times New Roman" w:cs="Times New Roman" w:eastAsia="Times New Roman" w:hint="default"/>
        </w:rPr>
        <w:t>579,416,324</w:t>
      </w:r>
      <w:r>
        <w:rPr/>
        <w:t>元。</w:t>
      </w:r>
    </w:p>
    <w:p>
      <w:pPr>
        <w:pStyle w:val="BodyText"/>
        <w:spacing w:line="348" w:lineRule="auto" w:before="19"/>
        <w:ind w:right="192" w:firstLine="360"/>
        <w:jc w:val="both"/>
      </w:pPr>
      <w:r>
        <w:rPr>
          <w:spacing w:val="-2"/>
        </w:rPr>
        <w:t>根据第五届董事会第六次会议、</w:t>
      </w:r>
      <w:r>
        <w:rPr>
          <w:rFonts w:ascii="Times New Roman" w:hAnsi="Times New Roman" w:cs="Times New Roman" w:eastAsia="Times New Roman" w:hint="default"/>
          <w:spacing w:val="-2"/>
        </w:rPr>
        <w:t>2017</w:t>
      </w:r>
      <w:r>
        <w:rPr>
          <w:spacing w:val="-2"/>
        </w:rPr>
        <w:t>年度第五次临时股东大会审议通过的《关于回购注销已离职激励对象的限制性股票</w:t>
      </w:r>
      <w:r>
        <w:rPr/>
        <w:t> </w:t>
      </w:r>
      <w:r>
        <w:rPr>
          <w:spacing w:val="-2"/>
        </w:rPr>
        <w:t>的议案》，部分激励对象向公司提出辞职并已获得公司同意，且已办理完毕离职手续，公司回购并注销其已获授但尚未解锁</w:t>
      </w:r>
      <w:r>
        <w:rPr>
          <w:spacing w:val="-65"/>
        </w:rPr>
        <w:t> </w:t>
      </w:r>
      <w:r>
        <w:rPr>
          <w:spacing w:val="-65"/>
        </w:rPr>
      </w:r>
      <w:r>
        <w:rPr/>
        <w:t>的限制性股票合计</w:t>
      </w:r>
      <w:r>
        <w:rPr>
          <w:rFonts w:ascii="Times New Roman" w:hAnsi="Times New Roman" w:cs="Times New Roman" w:eastAsia="Times New Roman" w:hint="default"/>
        </w:rPr>
        <w:t>72,534</w:t>
      </w:r>
      <w:r>
        <w:rPr/>
        <w:t>股，回购注销价格为</w:t>
      </w:r>
      <w:r>
        <w:rPr>
          <w:rFonts w:ascii="Times New Roman" w:hAnsi="Times New Roman" w:cs="Times New Roman" w:eastAsia="Times New Roman" w:hint="default"/>
        </w:rPr>
        <w:t>5.45</w:t>
      </w:r>
      <w:r>
        <w:rPr/>
        <w:t>元</w:t>
      </w:r>
      <w:r>
        <w:rPr>
          <w:rFonts w:ascii="Times New Roman" w:hAnsi="Times New Roman" w:cs="Times New Roman" w:eastAsia="Times New Roman" w:hint="default"/>
        </w:rPr>
        <w:t>/</w:t>
      </w:r>
      <w:r>
        <w:rPr/>
        <w:t>股，公司注册资本减少至</w:t>
      </w:r>
      <w:r>
        <w:rPr>
          <w:rFonts w:ascii="Times New Roman" w:hAnsi="Times New Roman" w:cs="Times New Roman" w:eastAsia="Times New Roman" w:hint="default"/>
        </w:rPr>
        <w:t>579,343,790</w:t>
      </w:r>
      <w:r>
        <w:rPr/>
        <w:t>元。</w:t>
      </w:r>
    </w:p>
    <w:p>
      <w:pPr>
        <w:spacing w:after="0" w:line="348" w:lineRule="auto"/>
        <w:jc w:val="both"/>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left="252" w:right="234"/>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252" w:right="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left="252" w:right="234"/>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52" w:right="234"/>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pict>
          <v:shape style="position:absolute;margin-left:449.106995pt;margin-top:70.677742pt;width:85.85pt;height:31.25pt;mso-position-horizontal-relative:page;mso-position-vertical-relative:paragraph;z-index:-1101688" type="#_x0000_t202" filled="false" stroked="false">
            <v:textbox inset="0,0,0,0">
              <w:txbxContent>
                <w:p>
                  <w:pPr>
                    <w:pStyle w:val="BodyText"/>
                    <w:spacing w:line="203" w:lineRule="exact"/>
                    <w:ind w:left="0" w:right="0"/>
                    <w:jc w:val="left"/>
                  </w:pPr>
                  <w:r>
                    <w:rPr/>
                    <w:t>（如有）</w:t>
                  </w:r>
                </w:p>
              </w:txbxContent>
            </v:textbox>
            <w10:wrap type="none"/>
          </v:shape>
        </w:pict>
      </w:r>
      <w:r>
        <w:rPr/>
        <w:pict>
          <v:group style="position:absolute;margin-left:482.26001pt;margin-top:70.677742pt;width:52.7pt;height:31.25pt;mso-position-horizontal-relative:page;mso-position-vertical-relative:paragraph;z-index:-1101664" coordorigin="9645,1414" coordsize="1054,625">
            <v:shape style="position:absolute;left:9645;top:1414;width:1054;height:625" coordorigin="9645,1414" coordsize="1054,625" path="m9645,2038l10699,2038,10699,1414,9645,1414,9645,2038xe" filled="true" fillcolor="#ffffff" stroked="false">
              <v:path arrowok="t"/>
              <v:fill type="solid"/>
            </v:shape>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307"/>
        <w:gridCol w:w="1109"/>
        <w:gridCol w:w="988"/>
        <w:gridCol w:w="316"/>
        <w:gridCol w:w="877"/>
        <w:gridCol w:w="94"/>
        <w:gridCol w:w="840"/>
        <w:gridCol w:w="580"/>
        <w:gridCol w:w="553"/>
        <w:gridCol w:w="667"/>
        <w:gridCol w:w="324"/>
        <w:gridCol w:w="989"/>
        <w:gridCol w:w="509"/>
        <w:gridCol w:w="560"/>
      </w:tblGrid>
      <w:tr>
        <w:trPr>
          <w:trHeight w:val="161" w:hRule="exact"/>
        </w:trPr>
        <w:tc>
          <w:tcPr>
            <w:tcW w:w="1307" w:type="dxa"/>
            <w:vMerge w:val="restart"/>
            <w:tcBorders>
              <w:top w:val="single" w:sz="4" w:space="0" w:color="000000"/>
              <w:left w:val="single" w:sz="4" w:space="0" w:color="000000"/>
              <w:right w:val="single" w:sz="4" w:space="0" w:color="000000"/>
            </w:tcBorders>
            <w:shd w:val="clear" w:color="auto" w:fill="D2D2D2"/>
          </w:tcPr>
          <w:p>
            <w:pPr/>
          </w:p>
        </w:tc>
        <w:tc>
          <w:tcPr>
            <w:tcW w:w="1109"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39,015</w:t>
            </w:r>
          </w:p>
        </w:tc>
        <w:tc>
          <w:tcPr>
            <w:tcW w:w="1304" w:type="dxa"/>
            <w:gridSpan w:val="2"/>
            <w:vMerge w:val="restart"/>
            <w:tcBorders>
              <w:top w:val="single" w:sz="4" w:space="0" w:color="000000"/>
              <w:left w:val="single" w:sz="4" w:space="0" w:color="000000"/>
              <w:right w:val="single" w:sz="4" w:space="0" w:color="000000"/>
            </w:tcBorders>
            <w:shd w:val="clear" w:color="auto" w:fill="D2D2D2"/>
          </w:tcPr>
          <w:p>
            <w:pPr/>
          </w:p>
        </w:tc>
        <w:tc>
          <w:tcPr>
            <w:tcW w:w="971"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59,167</w:t>
            </w:r>
          </w:p>
        </w:tc>
        <w:tc>
          <w:tcPr>
            <w:tcW w:w="142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29"/>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509" w:type="dxa"/>
            <w:vMerge w:val="restart"/>
            <w:tcBorders>
              <w:top w:val="single" w:sz="4" w:space="0" w:color="000000"/>
              <w:left w:val="single" w:sz="12" w:space="0" w:color="D2D2D2"/>
              <w:right w:val="nil" w:sz="6" w:space="0" w:color="auto"/>
            </w:tcBorders>
          </w:tcPr>
          <w:p>
            <w:pPr/>
          </w:p>
        </w:tc>
        <w:tc>
          <w:tcPr>
            <w:tcW w:w="560"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07" w:type="dxa"/>
            <w:vMerge/>
            <w:tcBorders>
              <w:left w:val="single" w:sz="4" w:space="0" w:color="000000"/>
              <w:right w:val="single" w:sz="4" w:space="0" w:color="000000"/>
            </w:tcBorders>
            <w:shd w:val="clear" w:color="auto" w:fill="D2D2D2"/>
          </w:tcPr>
          <w:p>
            <w:pPr/>
          </w:p>
        </w:tc>
        <w:tc>
          <w:tcPr>
            <w:tcW w:w="1109" w:type="dxa"/>
            <w:vMerge/>
            <w:tcBorders>
              <w:left w:val="single" w:sz="9" w:space="0" w:color="D2D2D2"/>
              <w:right w:val="single" w:sz="9" w:space="0" w:color="D2D2D2"/>
            </w:tcBorders>
          </w:tcPr>
          <w:p>
            <w:pPr/>
          </w:p>
        </w:tc>
        <w:tc>
          <w:tcPr>
            <w:tcW w:w="1304" w:type="dxa"/>
            <w:gridSpan w:val="2"/>
            <w:vMerge/>
            <w:tcBorders>
              <w:left w:val="single" w:sz="4" w:space="0" w:color="000000"/>
              <w:bottom w:val="nil" w:sz="6" w:space="0" w:color="auto"/>
              <w:right w:val="single" w:sz="4" w:space="0" w:color="000000"/>
            </w:tcBorders>
            <w:shd w:val="clear" w:color="auto" w:fill="D2D2D2"/>
          </w:tcPr>
          <w:p>
            <w:pPr/>
          </w:p>
        </w:tc>
        <w:tc>
          <w:tcPr>
            <w:tcW w:w="971" w:type="dxa"/>
            <w:gridSpan w:val="2"/>
            <w:vMerge/>
            <w:tcBorders>
              <w:left w:val="single" w:sz="9" w:space="0" w:color="D2D2D2"/>
              <w:right w:val="single" w:sz="9" w:space="0" w:color="D2D2D2"/>
            </w:tcBorders>
          </w:tcPr>
          <w:p>
            <w:pPr/>
          </w:p>
        </w:tc>
        <w:tc>
          <w:tcPr>
            <w:tcW w:w="142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 </w:t>
            </w:r>
            <w:r>
              <w:rPr>
                <w:rFonts w:ascii="宋体" w:hAnsi="宋体" w:cs="宋体" w:eastAsia="宋体" w:hint="default"/>
                <w:spacing w:val="-27"/>
                <w:sz w:val="18"/>
                <w:szCs w:val="18"/>
              </w:rPr>
              <w:t>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20" w:type="dxa"/>
            <w:gridSpan w:val="2"/>
            <w:vMerge/>
            <w:tcBorders>
              <w:left w:val="single" w:sz="10" w:space="0" w:color="D2D2D2"/>
              <w:right w:val="single" w:sz="13" w:space="0" w:color="D2D2D2"/>
            </w:tcBorders>
          </w:tcPr>
          <w:p>
            <w:pPr/>
          </w:p>
        </w:tc>
        <w:tc>
          <w:tcPr>
            <w:tcW w:w="1313" w:type="dxa"/>
            <w:gridSpan w:val="2"/>
            <w:vMerge/>
            <w:tcBorders>
              <w:left w:val="single" w:sz="4" w:space="0" w:color="000000"/>
              <w:right w:val="single" w:sz="4" w:space="0" w:color="000000"/>
            </w:tcBorders>
            <w:shd w:val="clear" w:color="auto" w:fill="D2D2D2"/>
          </w:tcPr>
          <w:p>
            <w:pPr/>
          </w:p>
        </w:tc>
        <w:tc>
          <w:tcPr>
            <w:tcW w:w="509" w:type="dxa"/>
            <w:vMerge/>
            <w:tcBorders>
              <w:left w:val="single" w:sz="12" w:space="0" w:color="D2D2D2"/>
              <w:right w:val="nil" w:sz="6" w:space="0" w:color="auto"/>
            </w:tcBorders>
          </w:tcPr>
          <w:p>
            <w:pPr/>
          </w:p>
        </w:tc>
        <w:tc>
          <w:tcPr>
            <w:tcW w:w="560"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07" w:type="dxa"/>
            <w:vMerge/>
            <w:tcBorders>
              <w:left w:val="single" w:sz="4" w:space="0" w:color="000000"/>
              <w:bottom w:val="nil" w:sz="6" w:space="0" w:color="auto"/>
              <w:right w:val="single" w:sz="4" w:space="0" w:color="000000"/>
            </w:tcBorders>
            <w:shd w:val="clear" w:color="auto" w:fill="D2D2D2"/>
          </w:tcPr>
          <w:p>
            <w:pPr/>
          </w:p>
        </w:tc>
        <w:tc>
          <w:tcPr>
            <w:tcW w:w="1109" w:type="dxa"/>
            <w:vMerge/>
            <w:tcBorders>
              <w:left w:val="single" w:sz="9" w:space="0" w:color="D2D2D2"/>
              <w:right w:val="single" w:sz="9" w:space="0" w:color="D2D2D2"/>
            </w:tcBorders>
          </w:tcPr>
          <w:p>
            <w:pPr/>
          </w:p>
        </w:tc>
        <w:tc>
          <w:tcPr>
            <w:tcW w:w="130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7" w:right="14"/>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971" w:type="dxa"/>
            <w:gridSpan w:val="2"/>
            <w:vMerge/>
            <w:tcBorders>
              <w:left w:val="single" w:sz="9" w:space="0" w:color="D2D2D2"/>
              <w:right w:val="single" w:sz="9" w:space="0" w:color="D2D2D2"/>
            </w:tcBorders>
          </w:tcPr>
          <w:p>
            <w:pPr/>
          </w:p>
        </w:tc>
        <w:tc>
          <w:tcPr>
            <w:tcW w:w="1420"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10" w:space="0" w:color="D2D2D2"/>
              <w:right w:val="single" w:sz="13" w:space="0" w:color="D2D2D2"/>
            </w:tcBorders>
          </w:tcPr>
          <w:p>
            <w:pPr/>
          </w:p>
        </w:tc>
        <w:tc>
          <w:tcPr>
            <w:tcW w:w="1313" w:type="dxa"/>
            <w:gridSpan w:val="2"/>
            <w:vMerge/>
            <w:tcBorders>
              <w:left w:val="single" w:sz="4" w:space="0" w:color="000000"/>
              <w:right w:val="single" w:sz="4" w:space="0" w:color="000000"/>
            </w:tcBorders>
            <w:shd w:val="clear" w:color="auto" w:fill="D2D2D2"/>
          </w:tcPr>
          <w:p>
            <w:pPr/>
          </w:p>
        </w:tc>
        <w:tc>
          <w:tcPr>
            <w:tcW w:w="509" w:type="dxa"/>
            <w:vMerge/>
            <w:tcBorders>
              <w:left w:val="single" w:sz="12" w:space="0" w:color="D2D2D2"/>
              <w:right w:val="nil" w:sz="6" w:space="0" w:color="auto"/>
            </w:tcBorders>
          </w:tcPr>
          <w:p>
            <w:pPr/>
          </w:p>
        </w:tc>
        <w:tc>
          <w:tcPr>
            <w:tcW w:w="560" w:type="dxa"/>
            <w:tcBorders>
              <w:top w:val="nil" w:sz="6" w:space="0" w:color="auto"/>
              <w:left w:val="nil" w:sz="6" w:space="0" w:color="auto"/>
              <w:bottom w:val="nil" w:sz="6" w:space="0" w:color="auto"/>
              <w:right w:val="single" w:sz="4" w:space="0" w:color="000000"/>
            </w:tcBorders>
          </w:tcPr>
          <w:p>
            <w:pPr/>
          </w:p>
        </w:tc>
      </w:tr>
      <w:tr>
        <w:trPr>
          <w:trHeight w:val="706" w:hRule="exact"/>
        </w:trPr>
        <w:tc>
          <w:tcPr>
            <w:tcW w:w="13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1109" w:type="dxa"/>
            <w:vMerge/>
            <w:tcBorders>
              <w:left w:val="single" w:sz="9" w:space="0" w:color="D2D2D2"/>
              <w:right w:val="single" w:sz="9" w:space="0" w:color="D2D2D2"/>
            </w:tcBorders>
          </w:tcPr>
          <w:p>
            <w:pPr/>
          </w:p>
        </w:tc>
        <w:tc>
          <w:tcPr>
            <w:tcW w:w="1304" w:type="dxa"/>
            <w:gridSpan w:val="2"/>
            <w:vMerge/>
            <w:tcBorders>
              <w:left w:val="single" w:sz="4" w:space="0" w:color="000000"/>
              <w:right w:val="single" w:sz="4" w:space="0" w:color="000000"/>
            </w:tcBorders>
            <w:shd w:val="clear" w:color="auto" w:fill="D2D2D2"/>
          </w:tcPr>
          <w:p>
            <w:pPr/>
          </w:p>
        </w:tc>
        <w:tc>
          <w:tcPr>
            <w:tcW w:w="971" w:type="dxa"/>
            <w:gridSpan w:val="2"/>
            <w:vMerge/>
            <w:tcBorders>
              <w:left w:val="single" w:sz="9" w:space="0" w:color="D2D2D2"/>
              <w:right w:val="single" w:sz="9" w:space="0" w:color="D2D2D2"/>
            </w:tcBorders>
          </w:tcPr>
          <w:p>
            <w:pPr/>
          </w:p>
        </w:tc>
        <w:tc>
          <w:tcPr>
            <w:tcW w:w="1420"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10" w:space="0" w:color="D2D2D2"/>
              <w:right w:val="single" w:sz="13" w:space="0" w:color="D2D2D2"/>
            </w:tcBorders>
          </w:tcPr>
          <w:p>
            <w:pPr/>
          </w:p>
        </w:tc>
        <w:tc>
          <w:tcPr>
            <w:tcW w:w="1313" w:type="dxa"/>
            <w:gridSpan w:val="2"/>
            <w:vMerge/>
            <w:tcBorders>
              <w:left w:val="single" w:sz="4" w:space="0" w:color="000000"/>
              <w:right w:val="single" w:sz="4" w:space="0" w:color="000000"/>
            </w:tcBorders>
            <w:shd w:val="clear" w:color="auto" w:fill="D2D2D2"/>
          </w:tcPr>
          <w:p>
            <w:pPr/>
          </w:p>
        </w:tc>
        <w:tc>
          <w:tcPr>
            <w:tcW w:w="509" w:type="dxa"/>
            <w:vMerge/>
            <w:tcBorders>
              <w:left w:val="single" w:sz="12" w:space="0" w:color="D2D2D2"/>
              <w:right w:val="nil" w:sz="6" w:space="0" w:color="auto"/>
            </w:tcBorders>
          </w:tcPr>
          <w:p>
            <w:pPr/>
          </w:p>
        </w:tc>
        <w:tc>
          <w:tcPr>
            <w:tcW w:w="560"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07" w:type="dxa"/>
            <w:vMerge w:val="restart"/>
            <w:tcBorders>
              <w:top w:val="nil" w:sz="6" w:space="0" w:color="auto"/>
              <w:left w:val="single" w:sz="4" w:space="0" w:color="000000"/>
              <w:right w:val="single" w:sz="4" w:space="0" w:color="000000"/>
            </w:tcBorders>
            <w:shd w:val="clear" w:color="auto" w:fill="D2D2D2"/>
          </w:tcPr>
          <w:p>
            <w:pPr/>
          </w:p>
        </w:tc>
        <w:tc>
          <w:tcPr>
            <w:tcW w:w="1109" w:type="dxa"/>
            <w:vMerge/>
            <w:tcBorders>
              <w:left w:val="single" w:sz="9" w:space="0" w:color="D2D2D2"/>
              <w:right w:val="single" w:sz="9" w:space="0" w:color="D2D2D2"/>
            </w:tcBorders>
          </w:tcPr>
          <w:p>
            <w:pPr/>
          </w:p>
        </w:tc>
        <w:tc>
          <w:tcPr>
            <w:tcW w:w="1304" w:type="dxa"/>
            <w:gridSpan w:val="2"/>
            <w:vMerge/>
            <w:tcBorders>
              <w:left w:val="single" w:sz="4" w:space="0" w:color="000000"/>
              <w:bottom w:val="nil" w:sz="6" w:space="0" w:color="auto"/>
              <w:right w:val="single" w:sz="4" w:space="0" w:color="000000"/>
            </w:tcBorders>
            <w:shd w:val="clear" w:color="auto" w:fill="D2D2D2"/>
          </w:tcPr>
          <w:p>
            <w:pPr/>
          </w:p>
        </w:tc>
        <w:tc>
          <w:tcPr>
            <w:tcW w:w="971" w:type="dxa"/>
            <w:gridSpan w:val="2"/>
            <w:vMerge/>
            <w:tcBorders>
              <w:left w:val="single" w:sz="9" w:space="0" w:color="D2D2D2"/>
              <w:right w:val="single" w:sz="9" w:space="0" w:color="D2D2D2"/>
            </w:tcBorders>
          </w:tcPr>
          <w:p>
            <w:pPr/>
          </w:p>
        </w:tc>
        <w:tc>
          <w:tcPr>
            <w:tcW w:w="1420"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10" w:space="0" w:color="D2D2D2"/>
              <w:right w:val="single" w:sz="13" w:space="0" w:color="D2D2D2"/>
            </w:tcBorders>
          </w:tcPr>
          <w:p>
            <w:pPr/>
          </w:p>
        </w:tc>
        <w:tc>
          <w:tcPr>
            <w:tcW w:w="1313" w:type="dxa"/>
            <w:gridSpan w:val="2"/>
            <w:vMerge/>
            <w:tcBorders>
              <w:left w:val="single" w:sz="4" w:space="0" w:color="000000"/>
              <w:right w:val="single" w:sz="4" w:space="0" w:color="000000"/>
            </w:tcBorders>
            <w:shd w:val="clear" w:color="auto" w:fill="D2D2D2"/>
          </w:tcPr>
          <w:p>
            <w:pPr/>
          </w:p>
        </w:tc>
        <w:tc>
          <w:tcPr>
            <w:tcW w:w="509" w:type="dxa"/>
            <w:vMerge/>
            <w:tcBorders>
              <w:left w:val="single" w:sz="12" w:space="0" w:color="D2D2D2"/>
              <w:right w:val="nil" w:sz="6" w:space="0" w:color="auto"/>
            </w:tcBorders>
          </w:tcPr>
          <w:p>
            <w:pPr/>
          </w:p>
        </w:tc>
        <w:tc>
          <w:tcPr>
            <w:tcW w:w="560" w:type="dxa"/>
            <w:tcBorders>
              <w:top w:val="nil" w:sz="6" w:space="0" w:color="auto"/>
              <w:left w:val="nil" w:sz="6" w:space="0" w:color="auto"/>
              <w:bottom w:val="nil" w:sz="6" w:space="0" w:color="auto"/>
              <w:right w:val="single" w:sz="4" w:space="0" w:color="000000"/>
            </w:tcBorders>
          </w:tcPr>
          <w:p>
            <w:pPr/>
          </w:p>
        </w:tc>
      </w:tr>
      <w:tr>
        <w:trPr>
          <w:trHeight w:val="157" w:hRule="exact"/>
        </w:trPr>
        <w:tc>
          <w:tcPr>
            <w:tcW w:w="1307" w:type="dxa"/>
            <w:vMerge/>
            <w:tcBorders>
              <w:left w:val="single" w:sz="4" w:space="0" w:color="000000"/>
              <w:right w:val="single" w:sz="4" w:space="0" w:color="000000"/>
            </w:tcBorders>
            <w:shd w:val="clear" w:color="auto" w:fill="D2D2D2"/>
          </w:tcPr>
          <w:p>
            <w:pPr/>
          </w:p>
        </w:tc>
        <w:tc>
          <w:tcPr>
            <w:tcW w:w="1109" w:type="dxa"/>
            <w:vMerge/>
            <w:tcBorders>
              <w:left w:val="single" w:sz="9" w:space="0" w:color="D2D2D2"/>
              <w:right w:val="single" w:sz="9" w:space="0" w:color="D2D2D2"/>
            </w:tcBorders>
          </w:tcPr>
          <w:p>
            <w:pPr/>
          </w:p>
        </w:tc>
        <w:tc>
          <w:tcPr>
            <w:tcW w:w="1304" w:type="dxa"/>
            <w:gridSpan w:val="2"/>
            <w:vMerge w:val="restart"/>
            <w:tcBorders>
              <w:top w:val="nil" w:sz="6" w:space="0" w:color="auto"/>
              <w:left w:val="single" w:sz="4" w:space="0" w:color="000000"/>
              <w:right w:val="single" w:sz="4" w:space="0" w:color="000000"/>
            </w:tcBorders>
            <w:shd w:val="clear" w:color="auto" w:fill="D2D2D2"/>
          </w:tcPr>
          <w:p>
            <w:pPr/>
          </w:p>
        </w:tc>
        <w:tc>
          <w:tcPr>
            <w:tcW w:w="971" w:type="dxa"/>
            <w:gridSpan w:val="2"/>
            <w:vMerge/>
            <w:tcBorders>
              <w:left w:val="single" w:sz="9" w:space="0" w:color="D2D2D2"/>
              <w:right w:val="single" w:sz="9" w:space="0" w:color="D2D2D2"/>
            </w:tcBorders>
          </w:tcPr>
          <w:p>
            <w:pPr/>
          </w:p>
        </w:tc>
        <w:tc>
          <w:tcPr>
            <w:tcW w:w="1420" w:type="dxa"/>
            <w:gridSpan w:val="2"/>
            <w:vMerge/>
            <w:tcBorders>
              <w:left w:val="single" w:sz="4" w:space="0" w:color="000000"/>
              <w:bottom w:val="nil" w:sz="6" w:space="0" w:color="auto"/>
              <w:right w:val="single" w:sz="4" w:space="0" w:color="000000"/>
            </w:tcBorders>
            <w:shd w:val="clear" w:color="auto" w:fill="D2D2D2"/>
          </w:tcPr>
          <w:p>
            <w:pPr/>
          </w:p>
        </w:tc>
        <w:tc>
          <w:tcPr>
            <w:tcW w:w="1220" w:type="dxa"/>
            <w:gridSpan w:val="2"/>
            <w:vMerge/>
            <w:tcBorders>
              <w:left w:val="single" w:sz="10" w:space="0" w:color="D2D2D2"/>
              <w:right w:val="single" w:sz="13" w:space="0" w:color="D2D2D2"/>
            </w:tcBorders>
          </w:tcPr>
          <w:p>
            <w:pPr/>
          </w:p>
        </w:tc>
        <w:tc>
          <w:tcPr>
            <w:tcW w:w="1313" w:type="dxa"/>
            <w:gridSpan w:val="2"/>
            <w:vMerge/>
            <w:tcBorders>
              <w:left w:val="single" w:sz="4" w:space="0" w:color="000000"/>
              <w:right w:val="single" w:sz="4" w:space="0" w:color="000000"/>
            </w:tcBorders>
            <w:shd w:val="clear" w:color="auto" w:fill="D2D2D2"/>
          </w:tcPr>
          <w:p>
            <w:pPr/>
          </w:p>
        </w:tc>
        <w:tc>
          <w:tcPr>
            <w:tcW w:w="509" w:type="dxa"/>
            <w:vMerge/>
            <w:tcBorders>
              <w:left w:val="single" w:sz="12" w:space="0" w:color="D2D2D2"/>
              <w:right w:val="nil" w:sz="6" w:space="0" w:color="auto"/>
            </w:tcBorders>
          </w:tcPr>
          <w:p>
            <w:pPr/>
          </w:p>
        </w:tc>
        <w:tc>
          <w:tcPr>
            <w:tcW w:w="560"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07" w:type="dxa"/>
            <w:vMerge/>
            <w:tcBorders>
              <w:left w:val="single" w:sz="4" w:space="0" w:color="000000"/>
              <w:bottom w:val="single" w:sz="4" w:space="0" w:color="000000"/>
              <w:right w:val="single" w:sz="4" w:space="0" w:color="000000"/>
            </w:tcBorders>
            <w:shd w:val="clear" w:color="auto" w:fill="D2D2D2"/>
          </w:tcPr>
          <w:p>
            <w:pPr/>
          </w:p>
        </w:tc>
        <w:tc>
          <w:tcPr>
            <w:tcW w:w="1109" w:type="dxa"/>
            <w:vMerge/>
            <w:tcBorders>
              <w:left w:val="single" w:sz="9" w:space="0" w:color="D2D2D2"/>
              <w:bottom w:val="single" w:sz="4" w:space="0" w:color="000000"/>
              <w:right w:val="single" w:sz="9" w:space="0" w:color="D2D2D2"/>
            </w:tcBorders>
          </w:tcPr>
          <w:p>
            <w:pPr/>
          </w:p>
        </w:tc>
        <w:tc>
          <w:tcPr>
            <w:tcW w:w="1304" w:type="dxa"/>
            <w:gridSpan w:val="2"/>
            <w:vMerge/>
            <w:tcBorders>
              <w:left w:val="single" w:sz="4" w:space="0" w:color="000000"/>
              <w:bottom w:val="single" w:sz="4" w:space="0" w:color="000000"/>
              <w:right w:val="single" w:sz="4" w:space="0" w:color="000000"/>
            </w:tcBorders>
            <w:shd w:val="clear" w:color="auto" w:fill="D2D2D2"/>
          </w:tcPr>
          <w:p>
            <w:pPr/>
          </w:p>
        </w:tc>
        <w:tc>
          <w:tcPr>
            <w:tcW w:w="971" w:type="dxa"/>
            <w:gridSpan w:val="2"/>
            <w:vMerge/>
            <w:tcBorders>
              <w:left w:val="single" w:sz="9" w:space="0" w:color="D2D2D2"/>
              <w:bottom w:val="single" w:sz="4" w:space="0" w:color="000000"/>
              <w:right w:val="single" w:sz="9" w:space="0" w:color="D2D2D2"/>
            </w:tcBorders>
          </w:tcPr>
          <w:p>
            <w:pPr/>
          </w:p>
        </w:tc>
        <w:tc>
          <w:tcPr>
            <w:tcW w:w="142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gridSpan w:val="2"/>
            <w:vMerge/>
            <w:tcBorders>
              <w:left w:val="single" w:sz="10" w:space="0" w:color="D2D2D2"/>
              <w:bottom w:val="single" w:sz="4" w:space="0" w:color="000000"/>
              <w:right w:val="single" w:sz="13" w:space="0" w:color="D2D2D2"/>
            </w:tcBorders>
          </w:tcPr>
          <w:p>
            <w:pPr/>
          </w:p>
        </w:tc>
        <w:tc>
          <w:tcPr>
            <w:tcW w:w="1313" w:type="dxa"/>
            <w:gridSpan w:val="2"/>
            <w:vMerge/>
            <w:tcBorders>
              <w:left w:val="single" w:sz="4" w:space="0" w:color="000000"/>
              <w:bottom w:val="single" w:sz="4" w:space="0" w:color="000000"/>
              <w:right w:val="single" w:sz="4" w:space="0" w:color="000000"/>
            </w:tcBorders>
            <w:shd w:val="clear" w:color="auto" w:fill="D2D2D2"/>
          </w:tcPr>
          <w:p>
            <w:pPr/>
          </w:p>
        </w:tc>
        <w:tc>
          <w:tcPr>
            <w:tcW w:w="509" w:type="dxa"/>
            <w:vMerge/>
            <w:tcBorders>
              <w:left w:val="single" w:sz="12" w:space="0" w:color="D2D2D2"/>
              <w:bottom w:val="single" w:sz="4" w:space="0" w:color="000000"/>
              <w:right w:val="nil" w:sz="6" w:space="0" w:color="auto"/>
            </w:tcBorders>
          </w:tcPr>
          <w:p>
            <w:pPr/>
          </w:p>
        </w:tc>
        <w:tc>
          <w:tcPr>
            <w:tcW w:w="560"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712"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13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166" w:hRule="exact"/>
        </w:trPr>
        <w:tc>
          <w:tcPr>
            <w:tcW w:w="1307" w:type="dxa"/>
            <w:vMerge w:val="restart"/>
            <w:tcBorders>
              <w:top w:val="single" w:sz="4" w:space="0" w:color="000000"/>
              <w:left w:val="single" w:sz="4" w:space="0" w:color="000000"/>
              <w:right w:val="single" w:sz="4" w:space="0" w:color="000000"/>
            </w:tcBorders>
            <w:shd w:val="clear" w:color="auto" w:fill="D2D2D2"/>
          </w:tcPr>
          <w:p>
            <w:pPr/>
          </w:p>
        </w:tc>
        <w:tc>
          <w:tcPr>
            <w:tcW w:w="1109" w:type="dxa"/>
            <w:vMerge w:val="restart"/>
            <w:tcBorders>
              <w:top w:val="single" w:sz="4" w:space="0" w:color="000000"/>
              <w:left w:val="single" w:sz="4" w:space="0" w:color="000000"/>
              <w:right w:val="single" w:sz="4" w:space="0" w:color="000000"/>
            </w:tcBorders>
            <w:shd w:val="clear" w:color="auto" w:fill="D2D2D2"/>
          </w:tcPr>
          <w:p>
            <w:pPr/>
          </w:p>
        </w:tc>
        <w:tc>
          <w:tcPr>
            <w:tcW w:w="988" w:type="dxa"/>
            <w:vMerge w:val="restart"/>
            <w:tcBorders>
              <w:top w:val="single" w:sz="4" w:space="0" w:color="000000"/>
              <w:left w:val="single" w:sz="4" w:space="0" w:color="000000"/>
              <w:right w:val="single" w:sz="4" w:space="0" w:color="000000"/>
            </w:tcBorders>
            <w:shd w:val="clear" w:color="auto" w:fill="D2D2D2"/>
          </w:tcPr>
          <w:p>
            <w:pPr/>
          </w:p>
        </w:tc>
        <w:tc>
          <w:tcPr>
            <w:tcW w:w="119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0" w:right="10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1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12" w:right="10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0"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05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07" w:type="dxa"/>
            <w:vMerge/>
            <w:tcBorders>
              <w:left w:val="single" w:sz="4" w:space="0" w:color="000000"/>
              <w:bottom w:val="nil" w:sz="6" w:space="0" w:color="auto"/>
              <w:right w:val="single" w:sz="4" w:space="0" w:color="000000"/>
            </w:tcBorders>
            <w:shd w:val="clear" w:color="auto" w:fill="D2D2D2"/>
          </w:tcPr>
          <w:p>
            <w:pPr/>
          </w:p>
        </w:tc>
        <w:tc>
          <w:tcPr>
            <w:tcW w:w="1109" w:type="dxa"/>
            <w:vMerge/>
            <w:tcBorders>
              <w:left w:val="single" w:sz="4" w:space="0" w:color="000000"/>
              <w:bottom w:val="nil" w:sz="6" w:space="0" w:color="auto"/>
              <w:right w:val="single" w:sz="4" w:space="0" w:color="000000"/>
            </w:tcBorders>
            <w:shd w:val="clear" w:color="auto" w:fill="D2D2D2"/>
          </w:tcPr>
          <w:p>
            <w:pPr/>
          </w:p>
        </w:tc>
        <w:tc>
          <w:tcPr>
            <w:tcW w:w="988" w:type="dxa"/>
            <w:vMerge/>
            <w:tcBorders>
              <w:left w:val="single" w:sz="4" w:space="0" w:color="000000"/>
              <w:bottom w:val="nil" w:sz="6" w:space="0" w:color="auto"/>
              <w:right w:val="single" w:sz="4" w:space="0" w:color="000000"/>
            </w:tcBorders>
            <w:shd w:val="clear" w:color="auto" w:fill="D2D2D2"/>
          </w:tcPr>
          <w:p>
            <w:pPr/>
          </w:p>
        </w:tc>
        <w:tc>
          <w:tcPr>
            <w:tcW w:w="119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934" w:type="dxa"/>
            <w:gridSpan w:val="2"/>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2057" w:type="dxa"/>
            <w:gridSpan w:val="3"/>
            <w:vMerge/>
            <w:tcBorders>
              <w:left w:val="single" w:sz="4" w:space="0" w:color="000000"/>
              <w:right w:val="single" w:sz="4" w:space="0" w:color="000000"/>
            </w:tcBorders>
            <w:shd w:val="clear" w:color="auto" w:fill="D2D2D2"/>
          </w:tcPr>
          <w:p>
            <w:pPr/>
          </w:p>
        </w:tc>
      </w:tr>
      <w:tr>
        <w:trPr>
          <w:trHeight w:val="142" w:hRule="exact"/>
        </w:trPr>
        <w:tc>
          <w:tcPr>
            <w:tcW w:w="13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93" w:type="dxa"/>
            <w:gridSpan w:val="2"/>
            <w:vMerge/>
            <w:tcBorders>
              <w:left w:val="single" w:sz="4" w:space="0" w:color="000000"/>
              <w:right w:val="single" w:sz="4" w:space="0" w:color="000000"/>
            </w:tcBorders>
            <w:shd w:val="clear" w:color="auto" w:fill="D2D2D2"/>
          </w:tcPr>
          <w:p>
            <w:pPr/>
          </w:p>
        </w:tc>
        <w:tc>
          <w:tcPr>
            <w:tcW w:w="934" w:type="dxa"/>
            <w:gridSpan w:val="2"/>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2057"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307" w:type="dxa"/>
            <w:vMerge/>
            <w:tcBorders>
              <w:left w:val="single" w:sz="4" w:space="0" w:color="000000"/>
              <w:bottom w:val="nil" w:sz="6" w:space="0" w:color="auto"/>
              <w:right w:val="single" w:sz="4" w:space="0" w:color="000000"/>
            </w:tcBorders>
            <w:shd w:val="clear" w:color="auto" w:fill="D2D2D2"/>
          </w:tcPr>
          <w:p>
            <w:pPr/>
          </w:p>
        </w:tc>
        <w:tc>
          <w:tcPr>
            <w:tcW w:w="1109" w:type="dxa"/>
            <w:vMerge/>
            <w:tcBorders>
              <w:left w:val="single" w:sz="4" w:space="0" w:color="000000"/>
              <w:bottom w:val="nil" w:sz="6" w:space="0" w:color="auto"/>
              <w:right w:val="single" w:sz="4" w:space="0" w:color="000000"/>
            </w:tcBorders>
            <w:shd w:val="clear" w:color="auto" w:fill="D2D2D2"/>
          </w:tcPr>
          <w:p>
            <w:pPr/>
          </w:p>
        </w:tc>
        <w:tc>
          <w:tcPr>
            <w:tcW w:w="988" w:type="dxa"/>
            <w:vMerge/>
            <w:tcBorders>
              <w:left w:val="single" w:sz="4" w:space="0" w:color="000000"/>
              <w:bottom w:val="nil" w:sz="6" w:space="0" w:color="auto"/>
              <w:right w:val="single" w:sz="4" w:space="0" w:color="000000"/>
            </w:tcBorders>
            <w:shd w:val="clear" w:color="auto" w:fill="D2D2D2"/>
          </w:tcPr>
          <w:p>
            <w:pPr/>
          </w:p>
        </w:tc>
        <w:tc>
          <w:tcPr>
            <w:tcW w:w="1193" w:type="dxa"/>
            <w:gridSpan w:val="2"/>
            <w:vMerge/>
            <w:tcBorders>
              <w:left w:val="single" w:sz="4" w:space="0" w:color="000000"/>
              <w:right w:val="single" w:sz="4" w:space="0" w:color="000000"/>
            </w:tcBorders>
            <w:shd w:val="clear" w:color="auto" w:fill="D2D2D2"/>
          </w:tcPr>
          <w:p>
            <w:pPr/>
          </w:p>
        </w:tc>
        <w:tc>
          <w:tcPr>
            <w:tcW w:w="934" w:type="dxa"/>
            <w:gridSpan w:val="2"/>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134"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5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07" w:type="dxa"/>
            <w:vMerge w:val="restart"/>
            <w:tcBorders>
              <w:top w:val="nil" w:sz="6" w:space="0" w:color="auto"/>
              <w:left w:val="single" w:sz="4" w:space="0" w:color="000000"/>
              <w:right w:val="single" w:sz="4" w:space="0" w:color="000000"/>
            </w:tcBorders>
            <w:shd w:val="clear" w:color="auto" w:fill="D2D2D2"/>
          </w:tcPr>
          <w:p>
            <w:pPr/>
          </w:p>
        </w:tc>
        <w:tc>
          <w:tcPr>
            <w:tcW w:w="1109" w:type="dxa"/>
            <w:vMerge w:val="restart"/>
            <w:tcBorders>
              <w:top w:val="nil" w:sz="6" w:space="0" w:color="auto"/>
              <w:left w:val="single" w:sz="4" w:space="0" w:color="000000"/>
              <w:right w:val="single" w:sz="4" w:space="0" w:color="000000"/>
            </w:tcBorders>
            <w:shd w:val="clear" w:color="auto" w:fill="D2D2D2"/>
          </w:tcPr>
          <w:p>
            <w:pPr/>
          </w:p>
        </w:tc>
        <w:tc>
          <w:tcPr>
            <w:tcW w:w="988" w:type="dxa"/>
            <w:vMerge w:val="restart"/>
            <w:tcBorders>
              <w:top w:val="nil" w:sz="6" w:space="0" w:color="auto"/>
              <w:left w:val="single" w:sz="4" w:space="0" w:color="000000"/>
              <w:right w:val="single" w:sz="4" w:space="0" w:color="000000"/>
            </w:tcBorders>
            <w:shd w:val="clear" w:color="auto" w:fill="D2D2D2"/>
          </w:tcPr>
          <w:p>
            <w:pPr/>
          </w:p>
        </w:tc>
        <w:tc>
          <w:tcPr>
            <w:tcW w:w="1193" w:type="dxa"/>
            <w:gridSpan w:val="2"/>
            <w:vMerge/>
            <w:tcBorders>
              <w:left w:val="single" w:sz="4" w:space="0" w:color="000000"/>
              <w:bottom w:val="nil" w:sz="6" w:space="0" w:color="auto"/>
              <w:right w:val="single" w:sz="4" w:space="0" w:color="000000"/>
            </w:tcBorders>
            <w:shd w:val="clear" w:color="auto" w:fill="D2D2D2"/>
          </w:tcPr>
          <w:p>
            <w:pPr/>
          </w:p>
        </w:tc>
        <w:tc>
          <w:tcPr>
            <w:tcW w:w="934" w:type="dxa"/>
            <w:gridSpan w:val="2"/>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89" w:type="dxa"/>
            <w:vMerge/>
            <w:tcBorders>
              <w:left w:val="single" w:sz="4" w:space="0" w:color="000000"/>
              <w:right w:val="single" w:sz="4" w:space="0" w:color="000000"/>
            </w:tcBorders>
            <w:shd w:val="clear" w:color="auto" w:fill="D2D2D2"/>
          </w:tcPr>
          <w:p>
            <w:pPr/>
          </w:p>
        </w:tc>
        <w:tc>
          <w:tcPr>
            <w:tcW w:w="1069" w:type="dxa"/>
            <w:gridSpan w:val="2"/>
            <w:vMerge/>
            <w:tcBorders>
              <w:left w:val="single" w:sz="4" w:space="0" w:color="000000"/>
              <w:right w:val="single" w:sz="4" w:space="0" w:color="000000"/>
            </w:tcBorders>
            <w:shd w:val="clear" w:color="auto" w:fill="D2D2D2"/>
          </w:tcPr>
          <w:p>
            <w:pPr/>
          </w:p>
        </w:tc>
      </w:tr>
      <w:tr>
        <w:trPr>
          <w:trHeight w:val="161" w:hRule="exact"/>
        </w:trPr>
        <w:tc>
          <w:tcPr>
            <w:tcW w:w="1307" w:type="dxa"/>
            <w:vMerge/>
            <w:tcBorders>
              <w:left w:val="single" w:sz="4" w:space="0" w:color="000000"/>
              <w:bottom w:val="single" w:sz="4" w:space="0" w:color="000000"/>
              <w:right w:val="single" w:sz="4" w:space="0" w:color="000000"/>
            </w:tcBorders>
            <w:shd w:val="clear" w:color="auto" w:fill="D2D2D2"/>
          </w:tcPr>
          <w:p>
            <w:pPr/>
          </w:p>
        </w:tc>
        <w:tc>
          <w:tcPr>
            <w:tcW w:w="1109" w:type="dxa"/>
            <w:vMerge/>
            <w:tcBorders>
              <w:left w:val="single" w:sz="4" w:space="0" w:color="000000"/>
              <w:bottom w:val="single" w:sz="4" w:space="0" w:color="000000"/>
              <w:right w:val="single" w:sz="4" w:space="0" w:color="000000"/>
            </w:tcBorders>
            <w:shd w:val="clear" w:color="auto" w:fill="D2D2D2"/>
          </w:tcPr>
          <w:p>
            <w:pPr/>
          </w:p>
        </w:tc>
        <w:tc>
          <w:tcPr>
            <w:tcW w:w="988" w:type="dxa"/>
            <w:vMerge/>
            <w:tcBorders>
              <w:left w:val="single" w:sz="4" w:space="0" w:color="000000"/>
              <w:bottom w:val="single" w:sz="4" w:space="0" w:color="000000"/>
              <w:right w:val="single" w:sz="4" w:space="0" w:color="000000"/>
            </w:tcBorders>
            <w:shd w:val="clear" w:color="auto" w:fill="D2D2D2"/>
          </w:tcPr>
          <w:p>
            <w:pPr/>
          </w:p>
        </w:tc>
        <w:tc>
          <w:tcPr>
            <w:tcW w:w="119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gridSpan w:val="2"/>
            <w:vMerge/>
            <w:tcBorders>
              <w:left w:val="single" w:sz="4" w:space="0" w:color="000000"/>
              <w:bottom w:val="single" w:sz="4" w:space="0" w:color="000000"/>
              <w:right w:val="single" w:sz="4" w:space="0" w:color="000000"/>
            </w:tcBorders>
            <w:shd w:val="clear" w:color="auto" w:fill="D2D2D2"/>
          </w:tcPr>
          <w:p>
            <w:pPr/>
          </w:p>
        </w:tc>
        <w:tc>
          <w:tcPr>
            <w:tcW w:w="1133"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989" w:type="dxa"/>
            <w:vMerge/>
            <w:tcBorders>
              <w:left w:val="single" w:sz="4" w:space="0" w:color="000000"/>
              <w:bottom w:val="single" w:sz="4" w:space="0" w:color="000000"/>
              <w:right w:val="single" w:sz="4" w:space="0" w:color="000000"/>
            </w:tcBorders>
            <w:shd w:val="clear" w:color="auto" w:fill="D2D2D2"/>
          </w:tcPr>
          <w:p>
            <w:pPr/>
          </w:p>
        </w:tc>
        <w:tc>
          <w:tcPr>
            <w:tcW w:w="1069"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
              <w:jc w:val="center"/>
              <w:rPr>
                <w:rFonts w:ascii="宋体" w:hAnsi="宋体" w:cs="宋体" w:eastAsia="宋体" w:hint="default"/>
                <w:sz w:val="18"/>
                <w:szCs w:val="18"/>
              </w:rPr>
            </w:pPr>
            <w:r>
              <w:rPr>
                <w:rFonts w:ascii="宋体" w:hAnsi="宋体" w:cs="宋体" w:eastAsia="宋体" w:hint="default"/>
                <w:sz w:val="18"/>
                <w:szCs w:val="18"/>
              </w:rPr>
              <w:t>陈亚妹</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37.99%</w:t>
            </w:r>
          </w:p>
        </w:tc>
        <w:tc>
          <w:tcPr>
            <w:tcW w:w="1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220,085,099</w:t>
            </w:r>
          </w:p>
        </w:tc>
        <w:tc>
          <w:tcPr>
            <w:tcW w:w="934" w:type="dxa"/>
            <w:gridSpan w:val="2"/>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167,163,824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52,921,275</w:t>
            </w:r>
          </w:p>
        </w:tc>
        <w:tc>
          <w:tcPr>
            <w:tcW w:w="989" w:type="dxa"/>
            <w:tcBorders>
              <w:top w:val="single" w:sz="44" w:space="0" w:color="D2D2D2"/>
              <w:left w:val="single" w:sz="4" w:space="0" w:color="000000"/>
              <w:bottom w:val="single" w:sz="4" w:space="0" w:color="000000"/>
              <w:right w:val="single" w:sz="4" w:space="0" w:color="000000"/>
            </w:tcBorders>
          </w:tcPr>
          <w:p>
            <w:pPr>
              <w:pStyle w:val="TableParagraph"/>
              <w:spacing w:line="234" w:lineRule="exact"/>
              <w:ind w:right="302"/>
              <w:jc w:val="right"/>
              <w:rPr>
                <w:rFonts w:ascii="宋体" w:hAnsi="宋体" w:cs="宋体" w:eastAsia="宋体" w:hint="default"/>
                <w:sz w:val="18"/>
                <w:szCs w:val="18"/>
              </w:rPr>
            </w:pPr>
            <w:r>
              <w:rPr>
                <w:rFonts w:ascii="宋体" w:hAnsi="宋体" w:cs="宋体" w:eastAsia="宋体" w:hint="default"/>
                <w:sz w:val="18"/>
                <w:szCs w:val="18"/>
              </w:rPr>
              <w:t>质押</w:t>
            </w:r>
          </w:p>
        </w:tc>
        <w:tc>
          <w:tcPr>
            <w:tcW w:w="1069"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40"/>
              <w:ind w:left="144" w:right="0"/>
              <w:jc w:val="left"/>
              <w:rPr>
                <w:rFonts w:ascii="Times New Roman" w:hAnsi="Times New Roman" w:cs="Times New Roman" w:eastAsia="Times New Roman" w:hint="default"/>
                <w:sz w:val="18"/>
                <w:szCs w:val="18"/>
              </w:rPr>
            </w:pPr>
            <w:r>
              <w:rPr>
                <w:rFonts w:ascii="Times New Roman"/>
                <w:sz w:val="18"/>
              </w:rPr>
              <w:t>116,010,000</w:t>
            </w:r>
          </w:p>
        </w:tc>
      </w:tr>
      <w:tr>
        <w:trPr>
          <w:trHeight w:val="403" w:hRule="exact"/>
        </w:trPr>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
              <w:jc w:val="center"/>
              <w:rPr>
                <w:rFonts w:ascii="宋体" w:hAnsi="宋体" w:cs="宋体" w:eastAsia="宋体" w:hint="default"/>
                <w:sz w:val="18"/>
                <w:szCs w:val="18"/>
              </w:rPr>
            </w:pPr>
            <w:r>
              <w:rPr>
                <w:rFonts w:ascii="宋体" w:hAnsi="宋体" w:cs="宋体" w:eastAsia="宋体" w:hint="default"/>
                <w:sz w:val="18"/>
                <w:szCs w:val="18"/>
              </w:rPr>
              <w:t>乔昕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12.93%</w:t>
            </w:r>
          </w:p>
        </w:tc>
        <w:tc>
          <w:tcPr>
            <w:tcW w:w="1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74,927,032</w:t>
            </w:r>
          </w:p>
        </w:tc>
        <w:tc>
          <w:tcPr>
            <w:tcW w:w="934" w:type="dxa"/>
            <w:gridSpan w:val="2"/>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56,195,274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18,731,758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2"/>
              <w:jc w:val="right"/>
              <w:rPr>
                <w:rFonts w:ascii="宋体" w:hAnsi="宋体" w:cs="宋体" w:eastAsia="宋体" w:hint="default"/>
                <w:sz w:val="18"/>
                <w:szCs w:val="18"/>
              </w:rPr>
            </w:pPr>
            <w:r>
              <w:rPr>
                <w:rFonts w:ascii="宋体" w:hAnsi="宋体" w:cs="宋体" w:eastAsia="宋体" w:hint="default"/>
                <w:sz w:val="18"/>
                <w:szCs w:val="18"/>
              </w:rPr>
              <w:t>质押</w:t>
            </w:r>
          </w:p>
        </w:tc>
        <w:tc>
          <w:tcPr>
            <w:tcW w:w="1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6" w:right="0"/>
              <w:jc w:val="left"/>
              <w:rPr>
                <w:rFonts w:ascii="Times New Roman" w:hAnsi="Times New Roman" w:cs="Times New Roman" w:eastAsia="Times New Roman" w:hint="default"/>
                <w:sz w:val="18"/>
                <w:szCs w:val="18"/>
              </w:rPr>
            </w:pPr>
            <w:r>
              <w:rPr>
                <w:rFonts w:ascii="Times New Roman"/>
                <w:sz w:val="18"/>
              </w:rPr>
              <w:t>36,000,000</w:t>
            </w:r>
          </w:p>
        </w:tc>
      </w:tr>
      <w:tr>
        <w:trPr>
          <w:trHeight w:val="1025" w:hRule="exact"/>
        </w:trPr>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1" w:hanging="1"/>
              <w:jc w:val="center"/>
              <w:rPr>
                <w:rFonts w:ascii="宋体" w:hAnsi="宋体" w:cs="宋体" w:eastAsia="宋体" w:hint="default"/>
                <w:sz w:val="18"/>
                <w:szCs w:val="18"/>
              </w:rPr>
            </w:pPr>
            <w:r>
              <w:rPr>
                <w:rFonts w:ascii="宋体" w:hAnsi="宋体" w:cs="宋体" w:eastAsia="宋体" w:hint="default"/>
                <w:sz w:val="18"/>
                <w:szCs w:val="18"/>
              </w:rPr>
              <w:t>新余海和投资 </w:t>
            </w:r>
            <w:r>
              <w:rPr>
                <w:rFonts w:ascii="宋体" w:hAnsi="宋体" w:cs="宋体" w:eastAsia="宋体" w:hint="default"/>
                <w:spacing w:val="-6"/>
                <w:sz w:val="18"/>
                <w:szCs w:val="18"/>
              </w:rPr>
              <w:t>管理中心（有限</w:t>
            </w:r>
            <w:r>
              <w:rPr>
                <w:rFonts w:ascii="宋体" w:hAnsi="宋体" w:cs="宋体" w:eastAsia="宋体" w:hint="default"/>
                <w:sz w:val="18"/>
                <w:szCs w:val="18"/>
              </w:rPr>
              <w:t> 合伙）</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 w:right="203"/>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6.02%</w:t>
            </w:r>
          </w:p>
        </w:tc>
        <w:tc>
          <w:tcPr>
            <w:tcW w:w="1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34,883,720</w:t>
            </w:r>
          </w:p>
        </w:tc>
        <w:tc>
          <w:tcPr>
            <w:tcW w:w="934" w:type="dxa"/>
            <w:gridSpan w:val="2"/>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34,883,720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9" w:type="dxa"/>
            <w:tcBorders>
              <w:top w:val="single" w:sz="4" w:space="0" w:color="000000"/>
              <w:left w:val="single" w:sz="4" w:space="0" w:color="000000"/>
              <w:bottom w:val="single" w:sz="4" w:space="0" w:color="000000"/>
              <w:right w:val="single" w:sz="4" w:space="0" w:color="000000"/>
            </w:tcBorders>
          </w:tcPr>
          <w:p>
            <w:pPr/>
          </w:p>
        </w:tc>
        <w:tc>
          <w:tcPr>
            <w:tcW w:w="1069" w:type="dxa"/>
            <w:gridSpan w:val="2"/>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
              <w:jc w:val="center"/>
              <w:rPr>
                <w:rFonts w:ascii="宋体" w:hAnsi="宋体" w:cs="宋体" w:eastAsia="宋体" w:hint="default"/>
                <w:sz w:val="18"/>
                <w:szCs w:val="18"/>
              </w:rPr>
            </w:pPr>
            <w:r>
              <w:rPr>
                <w:rFonts w:ascii="宋体" w:hAnsi="宋体" w:cs="宋体" w:eastAsia="宋体" w:hint="default"/>
                <w:sz w:val="18"/>
                <w:szCs w:val="18"/>
              </w:rPr>
              <w:t>张伟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2.41%</w:t>
            </w:r>
          </w:p>
        </w:tc>
        <w:tc>
          <w:tcPr>
            <w:tcW w:w="1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13,940,422</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left"/>
              <w:rPr>
                <w:rFonts w:ascii="Times New Roman" w:hAnsi="Times New Roman" w:cs="Times New Roman" w:eastAsia="Times New Roman" w:hint="default"/>
                <w:sz w:val="18"/>
                <w:szCs w:val="18"/>
              </w:rPr>
            </w:pPr>
            <w:r>
              <w:rPr>
                <w:rFonts w:ascii="Times New Roman"/>
                <w:sz w:val="18"/>
              </w:rPr>
              <w:t>-7,108,800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8,726,889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5,213,533</w:t>
            </w:r>
          </w:p>
        </w:tc>
        <w:tc>
          <w:tcPr>
            <w:tcW w:w="989" w:type="dxa"/>
            <w:tcBorders>
              <w:top w:val="single" w:sz="4" w:space="0" w:color="000000"/>
              <w:left w:val="single" w:sz="4" w:space="0" w:color="000000"/>
              <w:bottom w:val="single" w:sz="4" w:space="0" w:color="000000"/>
              <w:right w:val="single" w:sz="4" w:space="0" w:color="000000"/>
            </w:tcBorders>
          </w:tcPr>
          <w:p>
            <w:pPr/>
          </w:p>
        </w:tc>
        <w:tc>
          <w:tcPr>
            <w:tcW w:w="106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
              <w:jc w:val="center"/>
              <w:rPr>
                <w:rFonts w:ascii="宋体" w:hAnsi="宋体" w:cs="宋体" w:eastAsia="宋体" w:hint="default"/>
                <w:sz w:val="18"/>
                <w:szCs w:val="18"/>
              </w:rPr>
            </w:pPr>
            <w:r>
              <w:rPr>
                <w:rFonts w:ascii="宋体" w:hAnsi="宋体" w:cs="宋体" w:eastAsia="宋体" w:hint="default"/>
                <w:sz w:val="18"/>
                <w:szCs w:val="18"/>
              </w:rPr>
              <w:t>伏虎</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2.34%</w:t>
            </w:r>
          </w:p>
        </w:tc>
        <w:tc>
          <w:tcPr>
            <w:tcW w:w="1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13,555,546</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left"/>
              <w:rPr>
                <w:rFonts w:ascii="Times New Roman" w:hAnsi="Times New Roman" w:cs="Times New Roman" w:eastAsia="Times New Roman" w:hint="default"/>
                <w:sz w:val="18"/>
                <w:szCs w:val="18"/>
              </w:rPr>
            </w:pPr>
            <w:r>
              <w:rPr>
                <w:rFonts w:ascii="Times New Roman"/>
                <w:sz w:val="18"/>
              </w:rPr>
              <w:t>-6,029,946</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7,585,546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5,970,000</w:t>
            </w:r>
          </w:p>
        </w:tc>
        <w:tc>
          <w:tcPr>
            <w:tcW w:w="989" w:type="dxa"/>
            <w:tcBorders>
              <w:top w:val="single" w:sz="4" w:space="0" w:color="000000"/>
              <w:left w:val="single" w:sz="4" w:space="0" w:color="000000"/>
              <w:bottom w:val="single" w:sz="4" w:space="0" w:color="000000"/>
              <w:right w:val="single" w:sz="4" w:space="0" w:color="000000"/>
            </w:tcBorders>
          </w:tcPr>
          <w:p>
            <w:pPr/>
          </w:p>
        </w:tc>
        <w:tc>
          <w:tcPr>
            <w:tcW w:w="106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
              <w:jc w:val="center"/>
              <w:rPr>
                <w:rFonts w:ascii="宋体" w:hAnsi="宋体" w:cs="宋体" w:eastAsia="宋体" w:hint="default"/>
                <w:sz w:val="18"/>
                <w:szCs w:val="18"/>
              </w:rPr>
            </w:pPr>
            <w:r>
              <w:rPr>
                <w:rFonts w:ascii="宋体" w:hAnsi="宋体" w:cs="宋体" w:eastAsia="宋体" w:hint="default"/>
                <w:sz w:val="18"/>
                <w:szCs w:val="18"/>
              </w:rPr>
              <w:t>石磊</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1.34%</w:t>
            </w:r>
          </w:p>
        </w:tc>
        <w:tc>
          <w:tcPr>
            <w:tcW w:w="1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1" w:right="0"/>
              <w:jc w:val="left"/>
              <w:rPr>
                <w:rFonts w:ascii="Times New Roman" w:hAnsi="Times New Roman" w:cs="Times New Roman" w:eastAsia="Times New Roman" w:hint="default"/>
                <w:sz w:val="18"/>
                <w:szCs w:val="18"/>
              </w:rPr>
            </w:pPr>
            <w:r>
              <w:rPr>
                <w:rFonts w:ascii="Times New Roman"/>
                <w:sz w:val="18"/>
              </w:rPr>
              <w:t>7,786,900</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5" w:right="0"/>
              <w:jc w:val="left"/>
              <w:rPr>
                <w:rFonts w:ascii="Times New Roman" w:hAnsi="Times New Roman" w:cs="Times New Roman" w:eastAsia="Times New Roman" w:hint="default"/>
                <w:sz w:val="18"/>
                <w:szCs w:val="18"/>
              </w:rPr>
            </w:pPr>
            <w:r>
              <w:rPr>
                <w:rFonts w:ascii="Times New Roman"/>
                <w:sz w:val="18"/>
              </w:rPr>
              <w:t>90,000</w:t>
            </w: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7,786,900</w:t>
            </w:r>
          </w:p>
        </w:tc>
        <w:tc>
          <w:tcPr>
            <w:tcW w:w="989" w:type="dxa"/>
            <w:tcBorders>
              <w:top w:val="single" w:sz="4" w:space="0" w:color="000000"/>
              <w:left w:val="single" w:sz="4" w:space="0" w:color="000000"/>
              <w:bottom w:val="single" w:sz="4" w:space="0" w:color="000000"/>
              <w:right w:val="single" w:sz="4" w:space="0" w:color="000000"/>
            </w:tcBorders>
          </w:tcPr>
          <w:p>
            <w:pPr/>
          </w:p>
        </w:tc>
        <w:tc>
          <w:tcPr>
            <w:tcW w:w="1069" w:type="dxa"/>
            <w:gridSpan w:val="2"/>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3" w:right="123"/>
              <w:jc w:val="center"/>
              <w:rPr>
                <w:rFonts w:ascii="宋体" w:hAnsi="宋体" w:cs="宋体" w:eastAsia="宋体" w:hint="default"/>
                <w:sz w:val="18"/>
                <w:szCs w:val="18"/>
              </w:rPr>
            </w:pPr>
            <w:r>
              <w:rPr>
                <w:rFonts w:ascii="宋体" w:hAnsi="宋体" w:cs="宋体" w:eastAsia="宋体" w:hint="default"/>
                <w:sz w:val="18"/>
                <w:szCs w:val="18"/>
              </w:rPr>
              <w:t>上海季子投资 管理有限公司</w:t>
            </w:r>
          </w:p>
          <w:p>
            <w:pPr>
              <w:pStyle w:val="TableParagraph"/>
              <w:spacing w:line="316" w:lineRule="auto" w:before="19"/>
              <w:ind w:left="93" w:right="123"/>
              <w:jc w:val="center"/>
              <w:rPr>
                <w:rFonts w:ascii="宋体" w:hAnsi="宋体" w:cs="宋体" w:eastAsia="宋体" w:hint="default"/>
                <w:sz w:val="18"/>
                <w:szCs w:val="18"/>
              </w:rPr>
            </w:pPr>
            <w:r>
              <w:rPr>
                <w:rFonts w:ascii="宋体" w:hAnsi="宋体" w:cs="宋体" w:eastAsia="宋体" w:hint="default"/>
                <w:sz w:val="18"/>
                <w:szCs w:val="18"/>
              </w:rPr>
              <w:t>－季子天增地 长一期资产管 理计划</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5,813,953</w:t>
            </w:r>
          </w:p>
        </w:tc>
        <w:tc>
          <w:tcPr>
            <w:tcW w:w="934" w:type="dxa"/>
            <w:gridSpan w:val="2"/>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5,813,953</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9" w:type="dxa"/>
            <w:tcBorders>
              <w:top w:val="single" w:sz="4" w:space="0" w:color="000000"/>
              <w:left w:val="single" w:sz="4" w:space="0" w:color="000000"/>
              <w:bottom w:val="single" w:sz="4" w:space="0" w:color="000000"/>
              <w:right w:val="single" w:sz="4" w:space="0" w:color="000000"/>
            </w:tcBorders>
          </w:tcPr>
          <w:p>
            <w:pPr/>
          </w:p>
        </w:tc>
        <w:tc>
          <w:tcPr>
            <w:tcW w:w="1069"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2"/>
              <w:jc w:val="center"/>
              <w:rPr>
                <w:rFonts w:ascii="宋体" w:hAnsi="宋体" w:cs="宋体" w:eastAsia="宋体" w:hint="default"/>
                <w:sz w:val="18"/>
                <w:szCs w:val="18"/>
              </w:rPr>
            </w:pPr>
            <w:r>
              <w:rPr>
                <w:rFonts w:ascii="宋体" w:hAnsi="宋体" w:cs="宋体" w:eastAsia="宋体" w:hint="default"/>
                <w:sz w:val="18"/>
                <w:szCs w:val="18"/>
              </w:rPr>
              <w:t>新余益瑞投资 </w:t>
            </w:r>
            <w:r>
              <w:rPr>
                <w:rFonts w:ascii="宋体" w:hAnsi="宋体" w:cs="宋体" w:eastAsia="宋体" w:hint="default"/>
                <w:spacing w:val="-6"/>
                <w:sz w:val="18"/>
                <w:szCs w:val="18"/>
              </w:rPr>
              <w:t>合伙企业（有限</w:t>
            </w:r>
            <w:r>
              <w:rPr>
                <w:rFonts w:ascii="宋体" w:hAnsi="宋体" w:cs="宋体" w:eastAsia="宋体" w:hint="default"/>
                <w:sz w:val="18"/>
                <w:szCs w:val="18"/>
              </w:rPr>
              <w:t> 合伙）</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 w:right="203"/>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0.48%</w:t>
            </w:r>
          </w:p>
        </w:tc>
        <w:tc>
          <w:tcPr>
            <w:tcW w:w="1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2,801,162</w:t>
            </w:r>
          </w:p>
        </w:tc>
        <w:tc>
          <w:tcPr>
            <w:tcW w:w="934" w:type="dxa"/>
            <w:gridSpan w:val="2"/>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2,801,162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02"/>
              <w:jc w:val="right"/>
              <w:rPr>
                <w:rFonts w:ascii="宋体" w:hAnsi="宋体" w:cs="宋体" w:eastAsia="宋体" w:hint="default"/>
                <w:sz w:val="18"/>
                <w:szCs w:val="18"/>
              </w:rPr>
            </w:pPr>
            <w:r>
              <w:rPr>
                <w:rFonts w:ascii="宋体" w:hAnsi="宋体" w:cs="宋体" w:eastAsia="宋体" w:hint="default"/>
                <w:sz w:val="18"/>
                <w:szCs w:val="18"/>
              </w:rPr>
              <w:t>质押</w:t>
            </w:r>
          </w:p>
        </w:tc>
        <w:tc>
          <w:tcPr>
            <w:tcW w:w="1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750,000</w:t>
            </w:r>
          </w:p>
        </w:tc>
      </w:tr>
      <w:tr>
        <w:trPr>
          <w:trHeight w:val="713" w:hRule="exact"/>
        </w:trPr>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82" w:right="123" w:hanging="89"/>
              <w:jc w:val="left"/>
              <w:rPr>
                <w:rFonts w:ascii="宋体" w:hAnsi="宋体" w:cs="宋体" w:eastAsia="宋体" w:hint="default"/>
                <w:sz w:val="18"/>
                <w:szCs w:val="18"/>
              </w:rPr>
            </w:pPr>
            <w:r>
              <w:rPr>
                <w:rFonts w:ascii="宋体" w:hAnsi="宋体" w:cs="宋体" w:eastAsia="宋体" w:hint="default"/>
                <w:sz w:val="18"/>
                <w:szCs w:val="18"/>
              </w:rPr>
              <w:t>深圳市日升投 资有限公司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 w:right="203"/>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0.41%</w:t>
            </w:r>
          </w:p>
        </w:tc>
        <w:tc>
          <w:tcPr>
            <w:tcW w:w="1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2,376,500</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2,376,500</w:t>
            </w: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2,376,500</w:t>
            </w:r>
          </w:p>
        </w:tc>
        <w:tc>
          <w:tcPr>
            <w:tcW w:w="989" w:type="dxa"/>
            <w:tcBorders>
              <w:top w:val="single" w:sz="4" w:space="0" w:color="000000"/>
              <w:left w:val="single" w:sz="4" w:space="0" w:color="000000"/>
              <w:bottom w:val="single" w:sz="4" w:space="0" w:color="000000"/>
              <w:right w:val="single" w:sz="4" w:space="0" w:color="000000"/>
            </w:tcBorders>
          </w:tcPr>
          <w:p>
            <w:pPr/>
          </w:p>
        </w:tc>
        <w:tc>
          <w:tcPr>
            <w:tcW w:w="106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
              <w:jc w:val="center"/>
              <w:rPr>
                <w:rFonts w:ascii="宋体" w:hAnsi="宋体" w:cs="宋体" w:eastAsia="宋体" w:hint="default"/>
                <w:sz w:val="18"/>
                <w:szCs w:val="18"/>
              </w:rPr>
            </w:pPr>
            <w:r>
              <w:rPr>
                <w:rFonts w:ascii="宋体" w:hAnsi="宋体" w:cs="宋体" w:eastAsia="宋体" w:hint="default"/>
                <w:sz w:val="18"/>
                <w:szCs w:val="18"/>
              </w:rPr>
              <w:t>袁琪</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0.39%</w:t>
            </w:r>
          </w:p>
        </w:tc>
        <w:tc>
          <w:tcPr>
            <w:tcW w:w="1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1" w:right="0"/>
              <w:jc w:val="left"/>
              <w:rPr>
                <w:rFonts w:ascii="Times New Roman" w:hAnsi="Times New Roman" w:cs="Times New Roman" w:eastAsia="Times New Roman" w:hint="default"/>
                <w:sz w:val="18"/>
                <w:szCs w:val="18"/>
              </w:rPr>
            </w:pPr>
            <w:r>
              <w:rPr>
                <w:rFonts w:ascii="Times New Roman"/>
                <w:sz w:val="18"/>
              </w:rPr>
              <w:t>2,275,516</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5" w:right="0"/>
              <w:jc w:val="left"/>
              <w:rPr>
                <w:rFonts w:ascii="Times New Roman" w:hAnsi="Times New Roman" w:cs="Times New Roman" w:eastAsia="Times New Roman" w:hint="default"/>
                <w:sz w:val="18"/>
                <w:szCs w:val="18"/>
              </w:rPr>
            </w:pPr>
            <w:r>
              <w:rPr>
                <w:rFonts w:ascii="Times New Roman"/>
                <w:sz w:val="18"/>
              </w:rPr>
              <w:t>99,350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2,275,516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9" w:type="dxa"/>
            <w:tcBorders>
              <w:top w:val="single" w:sz="4" w:space="0" w:color="000000"/>
              <w:left w:val="single" w:sz="4" w:space="0" w:color="000000"/>
              <w:bottom w:val="single" w:sz="4" w:space="0" w:color="000000"/>
              <w:right w:val="single" w:sz="4" w:space="0" w:color="000000"/>
            </w:tcBorders>
          </w:tcPr>
          <w:p>
            <w:pPr/>
          </w:p>
        </w:tc>
        <w:tc>
          <w:tcPr>
            <w:tcW w:w="1069"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0"/>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729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80" w:top="1060" w:bottom="1160" w:left="880" w:right="98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2405"/>
        <w:gridCol w:w="2840"/>
        <w:gridCol w:w="2129"/>
        <w:gridCol w:w="2338"/>
      </w:tblGrid>
      <w:tr>
        <w:trPr>
          <w:trHeight w:val="161" w:hRule="exact"/>
        </w:trPr>
        <w:tc>
          <w:tcPr>
            <w:tcW w:w="240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8" w:type="dxa"/>
            <w:gridSpan w:val="3"/>
            <w:vMerge w:val="restart"/>
            <w:tcBorders>
              <w:top w:val="single" w:sz="4" w:space="0" w:color="000000"/>
              <w:left w:val="single" w:sz="9" w:space="0" w:color="D2D2D2"/>
              <w:right w:val="single" w:sz="4" w:space="0" w:color="000000"/>
            </w:tcBorders>
          </w:tcPr>
          <w:p>
            <w:pPr>
              <w:pStyle w:val="TableParagraph"/>
              <w:spacing w:line="319" w:lineRule="auto" w:before="49"/>
              <w:ind w:left="23" w:right="66"/>
              <w:jc w:val="both"/>
              <w:rPr>
                <w:rFonts w:ascii="宋体" w:hAnsi="宋体" w:cs="宋体" w:eastAsia="宋体" w:hint="default"/>
                <w:sz w:val="18"/>
                <w:szCs w:val="18"/>
              </w:rPr>
            </w:pPr>
            <w:r>
              <w:rPr>
                <w:rFonts w:ascii="宋体" w:hAnsi="宋体" w:cs="宋体" w:eastAsia="宋体" w:hint="default"/>
                <w:sz w:val="18"/>
                <w:szCs w:val="18"/>
              </w:rPr>
              <w:t>上述股东中，乔昕先生与陈亚妹女士为夫妻关系，为一致行动人；乔昕先生亦为新余益瑞投 资合伙企业（有限合伙）的普通合伙人；深圳市日升投资有限公司系陈亚妹女士与乔昕先生 共同控制的公司。未知其他股东相互之间是否存在关联关系，也未知是否属于一致行动人。</w:t>
            </w:r>
          </w:p>
        </w:tc>
      </w:tr>
      <w:tr>
        <w:trPr>
          <w:trHeight w:val="704" w:hRule="exact"/>
        </w:trPr>
        <w:tc>
          <w:tcPr>
            <w:tcW w:w="24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4" w:right="30"/>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308" w:type="dxa"/>
            <w:gridSpan w:val="3"/>
            <w:vMerge/>
            <w:tcBorders>
              <w:left w:val="single" w:sz="9" w:space="0" w:color="D2D2D2"/>
              <w:right w:val="single" w:sz="4" w:space="0" w:color="000000"/>
            </w:tcBorders>
          </w:tcPr>
          <w:p>
            <w:pPr/>
          </w:p>
        </w:tc>
      </w:tr>
      <w:tr>
        <w:trPr>
          <w:trHeight w:val="162" w:hRule="exact"/>
        </w:trPr>
        <w:tc>
          <w:tcPr>
            <w:tcW w:w="240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8" w:type="dxa"/>
            <w:gridSpan w:val="3"/>
            <w:vMerge/>
            <w:tcBorders>
              <w:left w:val="single" w:sz="9" w:space="0" w:color="D2D2D2"/>
              <w:bottom w:val="single" w:sz="4" w:space="0" w:color="000000"/>
              <w:right w:val="single" w:sz="4" w:space="0" w:color="000000"/>
            </w:tcBorders>
          </w:tcPr>
          <w:p>
            <w:pPr/>
          </w:p>
        </w:tc>
      </w:tr>
      <w:tr>
        <w:trPr>
          <w:trHeight w:val="402" w:hRule="exact"/>
        </w:trPr>
        <w:tc>
          <w:tcPr>
            <w:tcW w:w="9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405"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0" w:type="dxa"/>
            <w:tcBorders>
              <w:top w:val="single" w:sz="4" w:space="0" w:color="000000"/>
              <w:left w:val="single" w:sz="4" w:space="0" w:color="000000"/>
              <w:bottom w:val="nil" w:sz="6" w:space="0" w:color="auto"/>
              <w:right w:val="single" w:sz="4" w:space="0" w:color="000000"/>
            </w:tcBorders>
            <w:shd w:val="clear" w:color="auto" w:fill="D2D2D2"/>
          </w:tcPr>
          <w:p>
            <w:pPr/>
          </w:p>
        </w:tc>
        <w:tc>
          <w:tcPr>
            <w:tcW w:w="446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4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8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446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05" w:type="dxa"/>
            <w:vMerge/>
            <w:tcBorders>
              <w:left w:val="single" w:sz="4" w:space="0" w:color="000000"/>
              <w:bottom w:val="nil" w:sz="6" w:space="0" w:color="auto"/>
              <w:right w:val="single" w:sz="4" w:space="0" w:color="000000"/>
            </w:tcBorders>
            <w:shd w:val="clear" w:color="auto" w:fill="D2D2D2"/>
          </w:tcPr>
          <w:p>
            <w:pPr/>
          </w:p>
        </w:tc>
        <w:tc>
          <w:tcPr>
            <w:tcW w:w="2840" w:type="dxa"/>
            <w:vMerge/>
            <w:tcBorders>
              <w:left w:val="single" w:sz="4" w:space="0" w:color="000000"/>
              <w:bottom w:val="nil" w:sz="6" w:space="0" w:color="auto"/>
              <w:right w:val="single" w:sz="4" w:space="0" w:color="000000"/>
            </w:tcBorders>
            <w:shd w:val="clear" w:color="auto" w:fill="D2D2D2"/>
          </w:tcPr>
          <w:p>
            <w:pPr/>
          </w:p>
        </w:tc>
        <w:tc>
          <w:tcPr>
            <w:tcW w:w="21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23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405" w:type="dxa"/>
            <w:tcBorders>
              <w:top w:val="nil" w:sz="6" w:space="0" w:color="auto"/>
              <w:left w:val="single" w:sz="4" w:space="0" w:color="000000"/>
              <w:bottom w:val="single" w:sz="4" w:space="0" w:color="000000"/>
              <w:right w:val="single" w:sz="4" w:space="0" w:color="000000"/>
            </w:tcBorders>
            <w:shd w:val="clear" w:color="auto" w:fill="D2D2D2"/>
          </w:tcPr>
          <w:p>
            <w:pPr/>
          </w:p>
        </w:tc>
        <w:tc>
          <w:tcPr>
            <w:tcW w:w="284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9" w:type="dxa"/>
            <w:vMerge/>
            <w:tcBorders>
              <w:left w:val="single" w:sz="4" w:space="0" w:color="000000"/>
              <w:bottom w:val="single" w:sz="4" w:space="0" w:color="000000"/>
              <w:right w:val="single" w:sz="4" w:space="0" w:color="000000"/>
            </w:tcBorders>
            <w:shd w:val="clear" w:color="auto" w:fill="D2D2D2"/>
          </w:tcPr>
          <w:p>
            <w:pPr/>
          </w:p>
        </w:tc>
        <w:tc>
          <w:tcPr>
            <w:tcW w:w="233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52,921,275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52,921,275</w:t>
            </w:r>
          </w:p>
        </w:tc>
      </w:tr>
      <w:tr>
        <w:trPr>
          <w:trHeight w:val="40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乔昕</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18,731,758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18,731,758</w:t>
            </w:r>
          </w:p>
        </w:tc>
      </w:tr>
      <w:tr>
        <w:trPr>
          <w:trHeight w:val="401"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石磊</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7,786,900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7,786,900</w:t>
            </w:r>
          </w:p>
        </w:tc>
      </w:tr>
      <w:tr>
        <w:trPr>
          <w:trHeight w:val="40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伏虎</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5,970,000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5,970,000</w:t>
            </w:r>
          </w:p>
        </w:tc>
      </w:tr>
      <w:tr>
        <w:trPr>
          <w:trHeight w:val="401"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张伟</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5,213,533</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5,213,533</w:t>
            </w:r>
          </w:p>
        </w:tc>
      </w:tr>
      <w:tr>
        <w:trPr>
          <w:trHeight w:val="40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深圳市日升投资有限公司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2,376,500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2,376,500</w:t>
            </w:r>
          </w:p>
        </w:tc>
      </w:tr>
      <w:tr>
        <w:trPr>
          <w:trHeight w:val="401"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吕旭人</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1,632,100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1,632,100</w:t>
            </w:r>
          </w:p>
        </w:tc>
      </w:tr>
      <w:tr>
        <w:trPr>
          <w:trHeight w:val="40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秦晓东</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1,617,400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1,617,400</w:t>
            </w:r>
          </w:p>
        </w:tc>
      </w:tr>
      <w:tr>
        <w:trPr>
          <w:trHeight w:val="401"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王淑芬</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1,216,328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1,216,328</w:t>
            </w:r>
          </w:p>
        </w:tc>
      </w:tr>
      <w:tr>
        <w:trPr>
          <w:trHeight w:val="40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周建</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1,060,200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1,060,200</w:t>
            </w:r>
          </w:p>
        </w:tc>
      </w:tr>
      <w:tr>
        <w:trPr>
          <w:trHeight w:val="1337" w:hRule="exact"/>
        </w:trPr>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77"/>
                <w:sz w:val="18"/>
                <w:szCs w:val="18"/>
              </w:rPr>
              <w:t>，</w:t>
            </w:r>
            <w:r>
              <w:rPr>
                <w:rFonts w:ascii="宋体" w:hAnsi="宋体" w:cs="宋体" w:eastAsia="宋体" w:hint="default"/>
                <w:sz w:val="18"/>
                <w:szCs w:val="18"/>
              </w:rPr>
              <w:t>以及前</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63"/>
              <w:ind w:left="24" w:right="116"/>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3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 w:right="66"/>
              <w:jc w:val="both"/>
              <w:rPr>
                <w:rFonts w:ascii="宋体" w:hAnsi="宋体" w:cs="宋体" w:eastAsia="宋体" w:hint="default"/>
                <w:sz w:val="18"/>
                <w:szCs w:val="18"/>
              </w:rPr>
            </w:pPr>
            <w:r>
              <w:rPr>
                <w:rFonts w:ascii="宋体" w:hAnsi="宋体" w:cs="宋体" w:eastAsia="宋体" w:hint="default"/>
                <w:sz w:val="18"/>
                <w:szCs w:val="18"/>
              </w:rPr>
              <w:t>上述股东中，乔昕先生与陈亚妹女士为夫妻关系，为一致行动人；乔昕先生亦为新余益瑞投 资合伙企业（有限合伙）的普通合伙人；深圳市日升投资有限公司系陈亚妹女士与乔昕先生 共同控制的公司。未知其他股东相互之间是否存在关联关系，也未知是否属于一致行动人。</w:t>
            </w:r>
          </w:p>
        </w:tc>
      </w:tr>
      <w:tr>
        <w:trPr>
          <w:trHeight w:val="1028" w:hRule="exact"/>
        </w:trPr>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1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名普通股股东参与融资 </w:t>
            </w:r>
            <w:r>
              <w:rPr>
                <w:rFonts w:ascii="宋体" w:hAnsi="宋体" w:cs="宋体" w:eastAsia="宋体" w:hint="default"/>
                <w:spacing w:val="-13"/>
                <w:sz w:val="18"/>
                <w:szCs w:val="18"/>
              </w:rPr>
              <w:t>融券业务情况说明（如有）（参</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3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left="252" w:right="234"/>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left="252" w:right="2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left="252" w:right="234"/>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left="252" w:right="234"/>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252" w:right="7614"/>
        <w:jc w:val="left"/>
      </w:pPr>
      <w:r>
        <w:rPr/>
        <w:t>控股股东性质：自然人控股 控股股东类型：自然人</w:t>
      </w:r>
    </w:p>
    <w:tbl>
      <w:tblPr>
        <w:tblW w:w="0" w:type="auto"/>
        <w:jc w:val="left"/>
        <w:tblInd w:w="249" w:type="dxa"/>
        <w:tblLayout w:type="fixed"/>
        <w:tblCellMar>
          <w:top w:w="0" w:type="dxa"/>
          <w:left w:w="0" w:type="dxa"/>
          <w:bottom w:w="0" w:type="dxa"/>
          <w:right w:w="0" w:type="dxa"/>
        </w:tblCellMar>
        <w:tblLook w:val="01E0"/>
      </w:tblPr>
      <w:tblGrid>
        <w:gridCol w:w="3417"/>
        <w:gridCol w:w="2302"/>
        <w:gridCol w:w="3850"/>
      </w:tblGrid>
      <w:tr>
        <w:trPr>
          <w:trHeight w:val="40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800"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55" w:lineRule="auto" w:before="8"/>
              <w:ind w:left="23" w:right="-2"/>
              <w:jc w:val="both"/>
              <w:rPr>
                <w:rFonts w:ascii="宋体" w:hAnsi="宋体" w:cs="宋体" w:eastAsia="宋体" w:hint="default"/>
                <w:sz w:val="18"/>
                <w:szCs w:val="18"/>
              </w:rPr>
            </w:pPr>
            <w:r>
              <w:rPr>
                <w:rFonts w:ascii="宋体" w:hAnsi="宋体" w:cs="宋体" w:eastAsia="宋体" w:hint="default"/>
                <w:spacing w:val="-1"/>
                <w:sz w:val="18"/>
                <w:szCs w:val="18"/>
              </w:rPr>
              <w:t>陈亚妹女士：现任本公司董事长、无锡实益达董事，拉萨市冠德成科技发展有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限公司监事，凯扬商贸执行董事，前海实益达董事，新余九派凯阳投资合伙企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业（有限合伙）有限合伙人，新余元通投资管理有限公司执行董事、总经理， </w:t>
            </w:r>
            <w:r>
              <w:rPr>
                <w:rFonts w:ascii="宋体" w:hAnsi="宋体" w:cs="宋体" w:eastAsia="宋体" w:hint="default"/>
                <w:spacing w:val="-1"/>
                <w:sz w:val="18"/>
                <w:szCs w:val="18"/>
              </w:rPr>
              <w:t>深圳市日升投资有限公司总经理，深圳市晨杨投资合伙企业（有限合伙）普通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合伙人，深圳市前海麦达数字有限公司执行董事，</w:t>
            </w:r>
            <w:r>
              <w:rPr>
                <w:rFonts w:ascii="宋体" w:hAnsi="宋体" w:cs="宋体" w:eastAsia="宋体" w:hint="default"/>
                <w:sz w:val="18"/>
                <w:szCs w:val="18"/>
              </w:rPr>
              <w:t>Mindata Holding</w:t>
            </w:r>
            <w:r>
              <w:rPr>
                <w:rFonts w:ascii="宋体" w:hAnsi="宋体" w:cs="宋体" w:eastAsia="宋体" w:hint="default"/>
                <w:spacing w:val="-8"/>
                <w:sz w:val="18"/>
                <w:szCs w:val="18"/>
              </w:rPr>
              <w:t> </w:t>
            </w:r>
            <w:r>
              <w:rPr>
                <w:rFonts w:ascii="宋体" w:hAnsi="宋体" w:cs="宋体" w:eastAsia="宋体" w:hint="default"/>
                <w:sz w:val="18"/>
                <w:szCs w:val="18"/>
              </w:rPr>
              <w:t>Co.,Ltd</w:t>
            </w:r>
          </w:p>
        </w:tc>
      </w:tr>
    </w:tbl>
    <w:p>
      <w:pPr>
        <w:spacing w:after="0" w:line="355" w:lineRule="auto"/>
        <w:jc w:val="both"/>
        <w:rPr>
          <w:rFonts w:ascii="宋体" w:hAnsi="宋体" w:cs="宋体" w:eastAsia="宋体" w:hint="default"/>
          <w:sz w:val="18"/>
          <w:szCs w:val="18"/>
        </w:rPr>
        <w:sectPr>
          <w:pgSz w:w="11910" w:h="16840"/>
          <w:pgMar w:header="745" w:footer="980" w:top="1060" w:bottom="1160" w:left="8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7"/>
        <w:gridCol w:w="6152"/>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z w:val="18"/>
                <w:szCs w:val="18"/>
              </w:rPr>
              <w:t> </w:t>
            </w:r>
          </w:p>
        </w:tc>
      </w:tr>
      <w:tr>
        <w:trPr>
          <w:trHeight w:val="71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53"/>
        <w:jc w:val="left"/>
      </w:pPr>
      <w:r>
        <w:rPr/>
        <w:t>控股股东报告期内变更</w:t>
      </w:r>
    </w:p>
    <w:p>
      <w:pPr>
        <w:pStyle w:val="BodyText"/>
        <w:spacing w:line="338" w:lineRule="auto" w:before="117"/>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7"/>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434"/>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left="0" w:right="159"/>
        <w:jc w:val="right"/>
      </w:pPr>
      <w:r>
        <w:rPr/>
        <w:pict>
          <v:shape style="position:absolute;margin-left:56.459999pt;margin-top:-218.858261pt;width:479.2pt;height:330.6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7"/>
                    <w:gridCol w:w="2302"/>
                    <w:gridCol w:w="3850"/>
                  </w:tblGrid>
                  <w:tr>
                    <w:trPr>
                      <w:trHeight w:val="40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乔昕</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9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57" w:lineRule="auto" w:before="8"/>
                          <w:ind w:left="23" w:right="-2"/>
                          <w:jc w:val="left"/>
                          <w:rPr>
                            <w:rFonts w:ascii="宋体" w:hAnsi="宋体" w:cs="宋体" w:eastAsia="宋体" w:hint="default"/>
                            <w:sz w:val="18"/>
                            <w:szCs w:val="18"/>
                          </w:rPr>
                        </w:pPr>
                        <w:r>
                          <w:rPr>
                            <w:rFonts w:ascii="宋体" w:hAnsi="宋体" w:cs="宋体" w:eastAsia="宋体" w:hint="default"/>
                            <w:spacing w:val="-1"/>
                            <w:sz w:val="18"/>
                            <w:szCs w:val="18"/>
                          </w:rPr>
                          <w:t>陈亚妹女士：现任本公司董事长、无锡实益达董事，拉萨市冠德成科技发展有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限公司监事，凯扬商贸执行董事，前海实益达董事，新余九派凯阳投资合伙企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业（有限合伙）有限合伙人，新余元通投资管理有限公司执行董事、总经理， </w:t>
                        </w:r>
                        <w:r>
                          <w:rPr>
                            <w:rFonts w:ascii="宋体" w:hAnsi="宋体" w:cs="宋体" w:eastAsia="宋体" w:hint="default"/>
                            <w:spacing w:val="-1"/>
                            <w:sz w:val="18"/>
                            <w:szCs w:val="18"/>
                          </w:rPr>
                          <w:t>深圳市日升投资有限公司总经理，深圳市晨杨投资合伙企业（有限合伙）普通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合伙人，深圳市前海麦达数字有限公司执行董事，</w:t>
                        </w:r>
                        <w:r>
                          <w:rPr>
                            <w:rFonts w:ascii="宋体" w:hAnsi="宋体" w:cs="宋体" w:eastAsia="宋体" w:hint="default"/>
                            <w:sz w:val="18"/>
                            <w:szCs w:val="18"/>
                          </w:rPr>
                          <w:t>Mindata Holding</w:t>
                        </w:r>
                        <w:r>
                          <w:rPr>
                            <w:rFonts w:ascii="宋体" w:hAnsi="宋体" w:cs="宋体" w:eastAsia="宋体" w:hint="default"/>
                            <w:spacing w:val="-6"/>
                            <w:sz w:val="18"/>
                            <w:szCs w:val="18"/>
                          </w:rPr>
                          <w:t> </w:t>
                        </w:r>
                        <w:r>
                          <w:rPr>
                            <w:rFonts w:ascii="宋体" w:hAnsi="宋体" w:cs="宋体" w:eastAsia="宋体" w:hint="default"/>
                            <w:sz w:val="18"/>
                            <w:szCs w:val="18"/>
                          </w:rPr>
                          <w:t>Co.,Ltd</w:t>
                        </w:r>
                        <w:r>
                          <w:rPr>
                            <w:rFonts w:ascii="宋体" w:hAnsi="宋体" w:cs="宋体" w:eastAsia="宋体" w:hint="default"/>
                            <w:sz w:val="18"/>
                            <w:szCs w:val="18"/>
                          </w:rPr>
                          <w:t> </w:t>
                        </w:r>
                        <w:r>
                          <w:rPr>
                            <w:rFonts w:ascii="宋体" w:hAnsi="宋体" w:cs="宋体" w:eastAsia="宋体" w:hint="default"/>
                            <w:sz w:val="18"/>
                            <w:szCs w:val="18"/>
                          </w:rPr>
                          <w:t>执行董事。</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2"/>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乔昕先生：现任本公司董事兼首席执行官、百华科技发展有限公司执行董事， 六度人和董事，</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拉萨市冠德成科技发展有限公司执行董事，前海实益达董事 长、总经理，电明科技董事，汇大光电董事长，无锡实益达董事长、总经理， </w:t>
                        </w:r>
                        <w:r>
                          <w:rPr>
                            <w:rFonts w:ascii="宋体" w:hAnsi="宋体" w:cs="宋体" w:eastAsia="宋体" w:hint="default"/>
                            <w:spacing w:val="-4"/>
                            <w:sz w:val="18"/>
                            <w:szCs w:val="18"/>
                          </w:rPr>
                          <w:t>无锡实益达照明科技有限公司总经理，新余九派凯阳投资合伙企业（有限合伙</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有限合伙人，益瑞投资普通合伙人，新余元通投资管理有限公司监事，深圳市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日升投资有限公司执行董事，实益达技术董事长，深圳市真源生命科学有限公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司执行董事、总经理，深圳市晨杨投资合伙企业（有限合伙）有限合伙人，奇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思广告总经理及执行董事，顺为广告总经理及执行董事，北京麦达董事长。</w:t>
                        </w:r>
                      </w:p>
                    </w:tc>
                  </w:tr>
                  <w:tr>
                    <w:trPr>
                      <w:trHeight w:val="40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right="153"/>
        <w:jc w:val="left"/>
      </w:pPr>
      <w:r>
        <w:rPr/>
        <w:t>实际控制人报告期内变更</w:t>
      </w:r>
    </w:p>
    <w:p>
      <w:pPr>
        <w:pStyle w:val="BodyText"/>
        <w:spacing w:line="348"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48"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3255" w:lineRule="exact"/>
        <w:ind w:left="1355"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4593096" cy="2066925"/>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8" cstate="print"/>
                    <a:stretch>
                      <a:fillRect/>
                    </a:stretch>
                  </pic:blipFill>
                  <pic:spPr>
                    <a:xfrm>
                      <a:off x="0" y="0"/>
                      <a:ext cx="4593096" cy="2066925"/>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10"/>
        <w:rPr>
          <w:rFonts w:ascii="宋体" w:hAnsi="宋体" w:cs="宋体" w:eastAsia="宋体" w:hint="default"/>
          <w:sz w:val="20"/>
          <w:szCs w:val="20"/>
        </w:rPr>
      </w:pPr>
    </w:p>
    <w:p>
      <w:pPr>
        <w:pStyle w:val="BodyText"/>
        <w:spacing w:line="291" w:lineRule="exact"/>
        <w:ind w:right="153"/>
        <w:jc w:val="left"/>
        <w:rPr>
          <w:rFonts w:ascii="微软雅黑" w:hAnsi="微软雅黑" w:cs="微软雅黑" w:eastAsia="微软雅黑" w:hint="default"/>
        </w:rPr>
      </w:pPr>
      <w:r>
        <w:rPr>
          <w:rFonts w:ascii="微软雅黑" w:hAnsi="微软雅黑" w:cs="微软雅黑" w:eastAsia="微软雅黑" w:hint="default"/>
        </w:rPr>
        <w:t>备注：乔昕先生另通过新余益瑞投资合伙企业（有限合伙）间接持有公司</w:t>
      </w:r>
      <w:r>
        <w:rPr>
          <w:rFonts w:ascii="微软雅黑" w:hAnsi="微软雅黑" w:cs="微软雅黑" w:eastAsia="微软雅黑" w:hint="default"/>
        </w:rPr>
        <w:t>1,381,162</w:t>
      </w:r>
      <w:r>
        <w:rPr>
          <w:rFonts w:ascii="微软雅黑" w:hAnsi="微软雅黑" w:cs="微软雅黑" w:eastAsia="微软雅黑" w:hint="default"/>
        </w:rPr>
        <w:t>股。</w:t>
      </w:r>
    </w:p>
    <w:p>
      <w:pPr>
        <w:spacing w:line="240" w:lineRule="auto" w:before="8"/>
        <w:rPr>
          <w:rFonts w:ascii="微软雅黑" w:hAnsi="微软雅黑" w:cs="微软雅黑" w:eastAsia="微软雅黑" w:hint="default"/>
          <w:sz w:val="14"/>
          <w:szCs w:val="14"/>
        </w:rPr>
      </w:pPr>
    </w:p>
    <w:p>
      <w:pPr>
        <w:pStyle w:val="BodyText"/>
        <w:spacing w:line="240" w:lineRule="auto"/>
        <w:ind w:right="153"/>
        <w:jc w:val="left"/>
      </w:pPr>
      <w:r>
        <w:rPr/>
        <w:t>实际控制人通过信托或其他资产管理方式控制公司</w:t>
      </w:r>
    </w:p>
    <w:p>
      <w:pPr>
        <w:spacing w:line="240" w:lineRule="auto" w:before="12"/>
        <w:rPr>
          <w:rFonts w:ascii="宋体" w:hAnsi="宋体" w:cs="宋体" w:eastAsia="宋体" w:hint="default"/>
          <w:sz w:val="20"/>
          <w:szCs w:val="20"/>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53"/>
        <w:jc w:val="left"/>
        <w:rPr>
          <w:b w:val="0"/>
          <w:bCs w:val="0"/>
        </w:rPr>
      </w:pPr>
      <w:bookmarkStart w:name="_bookmark5" w:id="6"/>
      <w:bookmarkEnd w:id="6"/>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314"/>
        <w:jc w:val="left"/>
        <w:rPr>
          <w:b w:val="0"/>
          <w:bCs w:val="0"/>
        </w:rPr>
      </w:pPr>
      <w:bookmarkStart w:name="_bookmark6" w:id="7"/>
      <w:bookmarkEnd w:id="7"/>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314"/>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530"/>
        <w:gridCol w:w="569"/>
        <w:gridCol w:w="567"/>
        <w:gridCol w:w="1133"/>
        <w:gridCol w:w="994"/>
        <w:gridCol w:w="1133"/>
        <w:gridCol w:w="850"/>
        <w:gridCol w:w="852"/>
        <w:gridCol w:w="708"/>
        <w:gridCol w:w="994"/>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81" w:right="77"/>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72" w:right="10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00" w:right="4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60"/>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220,085,099</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220,085,099</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乔昕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董事、首 席执行官</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74,927,032</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12"/>
                <w:szCs w:val="12"/>
              </w:rPr>
            </w:pPr>
            <w:r>
              <w:rPr>
                <w:rFonts w:ascii="Times New Roman"/>
                <w:spacing w:val="-1"/>
                <w:sz w:val="18"/>
              </w:rPr>
              <w:t>74,927,032</w:t>
            </w:r>
            <w:r>
              <w:rPr>
                <w:rFonts w:ascii="Times New Roman"/>
                <w:spacing w:val="-1"/>
                <w:position w:val="8"/>
                <w:sz w:val="12"/>
              </w:rPr>
              <w:t>1</w:t>
            </w:r>
            <w:r>
              <w:rPr>
                <w:rFonts w:ascii="Times New Roman"/>
                <w:spacing w:val="-1"/>
                <w:sz w:val="12"/>
              </w:rPr>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高礼强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304" w:right="31" w:hanging="272"/>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廖建中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董事、财 务负责人</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37,844</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12"/>
                <w:szCs w:val="12"/>
              </w:rPr>
            </w:pPr>
            <w:r>
              <w:rPr>
                <w:rFonts w:ascii="Times New Roman"/>
                <w:spacing w:val="-1"/>
                <w:sz w:val="18"/>
              </w:rPr>
              <w:t>37,844</w:t>
            </w:r>
            <w:r>
              <w:rPr>
                <w:rFonts w:ascii="Times New Roman"/>
                <w:spacing w:val="-1"/>
                <w:position w:val="8"/>
                <w:sz w:val="12"/>
              </w:rPr>
              <w:t>2</w:t>
            </w:r>
            <w:r>
              <w:rPr>
                <w:rFonts w:ascii="Times New Roman"/>
                <w:spacing w:val="-1"/>
                <w:sz w:val="12"/>
              </w:rPr>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马旗戟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曹军波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7" w:right="110" w:firstLine="3"/>
              <w:jc w:val="center"/>
              <w:rPr>
                <w:rFonts w:ascii="Times New Roman" w:hAnsi="Times New Roman" w:cs="Times New Roman" w:eastAsia="Times New Roman" w:hint="default"/>
                <w:sz w:val="18"/>
                <w:szCs w:val="18"/>
              </w:rPr>
            </w:pPr>
            <w:r>
              <w:rPr>
                <w:rFonts w:ascii="Times New Roman"/>
                <w:sz w:val="18"/>
              </w:rPr>
              <w:t>Xuan Richard </w:t>
            </w:r>
            <w:r>
              <w:rPr>
                <w:rFonts w:ascii="Times New Roman"/>
                <w:spacing w:val="-3"/>
                <w:sz w:val="18"/>
              </w:rPr>
              <w:t>Gu</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梁华权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2"/>
                <w:szCs w:val="12"/>
              </w:rPr>
            </w:pPr>
            <w:r>
              <w:rPr>
                <w:rFonts w:ascii="宋体" w:hAnsi="宋体" w:cs="宋体" w:eastAsia="宋体" w:hint="default"/>
                <w:sz w:val="18"/>
                <w:szCs w:val="18"/>
              </w:rPr>
              <w:t>宋思勤</w:t>
            </w:r>
            <w:r>
              <w:rPr>
                <w:rFonts w:ascii="Times New Roman" w:hAnsi="Times New Roman" w:cs="Times New Roman" w:eastAsia="Times New Roman" w:hint="default"/>
                <w:position w:val="8"/>
                <w:sz w:val="12"/>
                <w:szCs w:val="12"/>
              </w:rPr>
              <w:t>3</w:t>
            </w:r>
            <w:r>
              <w:rPr>
                <w:rFonts w:ascii="Times New Roman" w:hAnsi="Times New Roman" w:cs="Times New Roman" w:eastAsia="Times New Roman" w:hint="default"/>
                <w:sz w:val="12"/>
                <w:szCs w:val="12"/>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冯敏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陈晓燕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曾惠明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304" w:right="31" w:hanging="27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b/>
          <w:bCs/>
          <w:sz w:val="23"/>
          <w:szCs w:val="23"/>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144.550pt;height:.5pt;mso-position-horizontal-relative:char;mso-position-vertical-relative:line" coordorigin="0,0" coordsize="2891,10">
            <v:group style="position:absolute;left:5;top:5;width:2881;height:2" coordorigin="5,5" coordsize="2881,2">
              <v:shape style="position:absolute;left:5;top:5;width:2881;height:2" coordorigin="5,5" coordsize="2881,0" path="m5,5l2886,5e" filled="false" stroked="true" strokeweight=".4799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5"/>
          <w:szCs w:val="5"/>
        </w:rPr>
      </w:pPr>
    </w:p>
    <w:p>
      <w:pPr>
        <w:spacing w:before="2"/>
        <w:ind w:left="152" w:right="314" w:firstLine="0"/>
        <w:jc w:val="left"/>
        <w:rPr>
          <w:rFonts w:ascii="微软雅黑" w:hAnsi="微软雅黑" w:cs="微软雅黑" w:eastAsia="微软雅黑" w:hint="default"/>
          <w:sz w:val="15"/>
          <w:szCs w:val="15"/>
        </w:rPr>
      </w:pPr>
      <w:r>
        <w:rPr>
          <w:rFonts w:ascii="微软雅黑" w:hAnsi="微软雅黑" w:cs="微软雅黑" w:eastAsia="微软雅黑" w:hint="default"/>
          <w:position w:val="4"/>
          <w:sz w:val="10"/>
          <w:szCs w:val="10"/>
        </w:rPr>
        <w:t>1 </w:t>
      </w:r>
      <w:r>
        <w:rPr>
          <w:rFonts w:ascii="微软雅黑" w:hAnsi="微软雅黑" w:cs="微软雅黑" w:eastAsia="微软雅黑" w:hint="default"/>
          <w:spacing w:val="9"/>
          <w:position w:val="4"/>
          <w:sz w:val="10"/>
          <w:szCs w:val="10"/>
        </w:rPr>
        <w:t> </w:t>
      </w:r>
      <w:r>
        <w:rPr>
          <w:rFonts w:ascii="微软雅黑" w:hAnsi="微软雅黑" w:cs="微软雅黑" w:eastAsia="微软雅黑" w:hint="default"/>
          <w:sz w:val="15"/>
          <w:szCs w:val="15"/>
        </w:rPr>
        <w:t>乔昕还通过益瑞投资间接持有公司股份</w:t>
      </w:r>
      <w:r>
        <w:rPr>
          <w:rFonts w:ascii="微软雅黑" w:hAnsi="微软雅黑" w:cs="微软雅黑" w:eastAsia="微软雅黑" w:hint="default"/>
          <w:spacing w:val="-12"/>
          <w:sz w:val="15"/>
          <w:szCs w:val="15"/>
        </w:rPr>
        <w:t> </w:t>
      </w:r>
      <w:r>
        <w:rPr>
          <w:rFonts w:ascii="微软雅黑" w:hAnsi="微软雅黑" w:cs="微软雅黑" w:eastAsia="微软雅黑" w:hint="default"/>
          <w:sz w:val="15"/>
          <w:szCs w:val="15"/>
        </w:rPr>
        <w:t>1,381,162</w:t>
      </w:r>
      <w:r>
        <w:rPr>
          <w:rFonts w:ascii="微软雅黑" w:hAnsi="微软雅黑" w:cs="微软雅黑" w:eastAsia="微软雅黑" w:hint="default"/>
          <w:spacing w:val="-12"/>
          <w:sz w:val="15"/>
          <w:szCs w:val="15"/>
        </w:rPr>
        <w:t> </w:t>
      </w:r>
      <w:r>
        <w:rPr>
          <w:rFonts w:ascii="微软雅黑" w:hAnsi="微软雅黑" w:cs="微软雅黑" w:eastAsia="微软雅黑" w:hint="default"/>
          <w:sz w:val="15"/>
          <w:szCs w:val="15"/>
        </w:rPr>
        <w:t>股，乔昕和陈亚妹共同控制的深圳市日升投资有限公司持有公司股份</w:t>
      </w:r>
      <w:r>
        <w:rPr>
          <w:rFonts w:ascii="微软雅黑" w:hAnsi="微软雅黑" w:cs="微软雅黑" w:eastAsia="微软雅黑" w:hint="default"/>
          <w:spacing w:val="-11"/>
          <w:sz w:val="15"/>
          <w:szCs w:val="15"/>
        </w:rPr>
        <w:t> </w:t>
      </w:r>
      <w:r>
        <w:rPr>
          <w:rFonts w:ascii="微软雅黑" w:hAnsi="微软雅黑" w:cs="微软雅黑" w:eastAsia="微软雅黑" w:hint="default"/>
          <w:sz w:val="15"/>
          <w:szCs w:val="15"/>
        </w:rPr>
        <w:t>2,376,500</w:t>
      </w:r>
      <w:r>
        <w:rPr>
          <w:rFonts w:ascii="微软雅黑" w:hAnsi="微软雅黑" w:cs="微软雅黑" w:eastAsia="微软雅黑" w:hint="default"/>
          <w:spacing w:val="-11"/>
          <w:sz w:val="15"/>
          <w:szCs w:val="15"/>
        </w:rPr>
        <w:t> </w:t>
      </w:r>
      <w:r>
        <w:rPr>
          <w:rFonts w:ascii="微软雅黑" w:hAnsi="微软雅黑" w:cs="微软雅黑" w:eastAsia="微软雅黑" w:hint="default"/>
          <w:spacing w:val="-3"/>
          <w:sz w:val="15"/>
          <w:szCs w:val="15"/>
        </w:rPr>
        <w:t>股；</w:t>
      </w:r>
      <w:r>
        <w:rPr>
          <w:rFonts w:ascii="微软雅黑" w:hAnsi="微软雅黑" w:cs="微软雅黑" w:eastAsia="微软雅黑" w:hint="default"/>
          <w:sz w:val="15"/>
          <w:szCs w:val="15"/>
        </w:rPr>
      </w:r>
    </w:p>
    <w:p>
      <w:pPr>
        <w:spacing w:before="36"/>
        <w:ind w:left="152" w:right="314" w:firstLine="0"/>
        <w:jc w:val="left"/>
        <w:rPr>
          <w:rFonts w:ascii="微软雅黑" w:hAnsi="微软雅黑" w:cs="微软雅黑" w:eastAsia="微软雅黑" w:hint="default"/>
          <w:sz w:val="15"/>
          <w:szCs w:val="15"/>
        </w:rPr>
      </w:pPr>
      <w:r>
        <w:rPr>
          <w:rFonts w:ascii="微软雅黑" w:hAnsi="微软雅黑" w:cs="微软雅黑" w:eastAsia="微软雅黑" w:hint="default"/>
          <w:position w:val="4"/>
          <w:sz w:val="10"/>
          <w:szCs w:val="10"/>
        </w:rPr>
        <w:t>2  </w:t>
      </w:r>
      <w:r>
        <w:rPr>
          <w:rFonts w:ascii="微软雅黑" w:hAnsi="微软雅黑" w:cs="微软雅黑" w:eastAsia="微软雅黑" w:hint="default"/>
          <w:sz w:val="15"/>
          <w:szCs w:val="15"/>
        </w:rPr>
        <w:t>廖建中还通过益瑞投资间接持有公司股份 </w:t>
      </w:r>
      <w:r>
        <w:rPr>
          <w:rFonts w:ascii="微软雅黑" w:hAnsi="微软雅黑" w:cs="微软雅黑" w:eastAsia="微软雅黑" w:hint="default"/>
          <w:sz w:val="15"/>
          <w:szCs w:val="15"/>
        </w:rPr>
        <w:t>60</w:t>
      </w:r>
      <w:r>
        <w:rPr>
          <w:rFonts w:ascii="微软雅黑" w:hAnsi="微软雅黑" w:cs="微软雅黑" w:eastAsia="微软雅黑" w:hint="default"/>
          <w:spacing w:val="-1"/>
          <w:sz w:val="15"/>
          <w:szCs w:val="15"/>
        </w:rPr>
        <w:t> </w:t>
      </w:r>
      <w:r>
        <w:rPr>
          <w:rFonts w:ascii="微软雅黑" w:hAnsi="微软雅黑" w:cs="微软雅黑" w:eastAsia="微软雅黑" w:hint="default"/>
          <w:sz w:val="15"/>
          <w:szCs w:val="15"/>
        </w:rPr>
        <w:t>万股；</w:t>
      </w:r>
    </w:p>
    <w:p>
      <w:pPr>
        <w:spacing w:before="38"/>
        <w:ind w:left="152" w:right="314" w:firstLine="0"/>
        <w:jc w:val="left"/>
        <w:rPr>
          <w:rFonts w:ascii="微软雅黑" w:hAnsi="微软雅黑" w:cs="微软雅黑" w:eastAsia="微软雅黑" w:hint="default"/>
          <w:sz w:val="15"/>
          <w:szCs w:val="15"/>
        </w:rPr>
      </w:pPr>
      <w:r>
        <w:rPr>
          <w:rFonts w:ascii="微软雅黑" w:hAnsi="微软雅黑" w:cs="微软雅黑" w:eastAsia="微软雅黑" w:hint="default"/>
          <w:position w:val="4"/>
          <w:sz w:val="10"/>
          <w:szCs w:val="10"/>
        </w:rPr>
        <w:t>3  </w:t>
      </w:r>
      <w:r>
        <w:rPr>
          <w:rFonts w:ascii="微软雅黑" w:hAnsi="微软雅黑" w:cs="微软雅黑" w:eastAsia="微软雅黑" w:hint="default"/>
          <w:sz w:val="15"/>
          <w:szCs w:val="15"/>
        </w:rPr>
        <w:t>宋思勤间接通过新余海和投资管理中心（有限合伙）持有公司股份 </w:t>
      </w:r>
      <w:r>
        <w:rPr>
          <w:rFonts w:ascii="微软雅黑" w:hAnsi="微软雅黑" w:cs="微软雅黑" w:eastAsia="微软雅黑" w:hint="default"/>
          <w:sz w:val="15"/>
          <w:szCs w:val="15"/>
        </w:rPr>
        <w:t>348,837.2</w:t>
      </w:r>
      <w:r>
        <w:rPr>
          <w:rFonts w:ascii="微软雅黑" w:hAnsi="微软雅黑" w:cs="微软雅黑" w:eastAsia="微软雅黑" w:hint="default"/>
          <w:spacing w:val="-5"/>
          <w:sz w:val="15"/>
          <w:szCs w:val="15"/>
        </w:rPr>
        <w:t> </w:t>
      </w:r>
      <w:r>
        <w:rPr>
          <w:rFonts w:ascii="微软雅黑" w:hAnsi="微软雅黑" w:cs="微软雅黑" w:eastAsia="微软雅黑" w:hint="default"/>
          <w:spacing w:val="-3"/>
          <w:sz w:val="15"/>
          <w:szCs w:val="15"/>
        </w:rPr>
        <w:t>股。</w:t>
      </w:r>
      <w:r>
        <w:rPr>
          <w:rFonts w:ascii="微软雅黑" w:hAnsi="微软雅黑" w:cs="微软雅黑" w:eastAsia="微软雅黑" w:hint="default"/>
          <w:sz w:val="15"/>
          <w:szCs w:val="15"/>
        </w:rPr>
      </w:r>
    </w:p>
    <w:p>
      <w:pPr>
        <w:spacing w:after="0"/>
        <w:jc w:val="left"/>
        <w:rPr>
          <w:rFonts w:ascii="微软雅黑" w:hAnsi="微软雅黑" w:cs="微软雅黑" w:eastAsia="微软雅黑" w:hint="default"/>
          <w:sz w:val="15"/>
          <w:szCs w:val="15"/>
        </w:rPr>
        <w:sectPr>
          <w:pgSz w:w="11910" w:h="16840"/>
          <w:pgMar w:header="745" w:footer="980" w:top="1060" w:bottom="1160" w:left="980" w:right="720"/>
        </w:sectPr>
      </w:pPr>
    </w:p>
    <w:p>
      <w:pPr>
        <w:spacing w:line="240" w:lineRule="auto" w:before="10"/>
        <w:rPr>
          <w:rFonts w:ascii="微软雅黑" w:hAnsi="微软雅黑" w:cs="微软雅黑" w:eastAsia="微软雅黑"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530"/>
        <w:gridCol w:w="569"/>
        <w:gridCol w:w="567"/>
        <w:gridCol w:w="1133"/>
        <w:gridCol w:w="994"/>
        <w:gridCol w:w="1133"/>
        <w:gridCol w:w="850"/>
        <w:gridCol w:w="852"/>
        <w:gridCol w:w="708"/>
        <w:gridCol w:w="994"/>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微软雅黑" w:hAnsi="微软雅黑" w:cs="微软雅黑" w:eastAsia="微软雅黑"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朱蕾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董事会秘 书、副总 裁</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微软雅黑" w:hAnsi="微软雅黑" w:cs="微软雅黑" w:eastAsia="微软雅黑"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微软雅黑" w:hAnsi="微软雅黑" w:cs="微软雅黑" w:eastAsia="微软雅黑" w:hint="default"/>
                <w:sz w:val="20"/>
                <w:szCs w:val="20"/>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23"/>
                <w:szCs w:val="23"/>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sz w:val="11"/>
                <w:szCs w:val="1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37,844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微软雅黑" w:hAnsi="微软雅黑" w:cs="微软雅黑" w:eastAsia="微软雅黑" w:hint="default"/>
                <w:sz w:val="21"/>
                <w:szCs w:val="21"/>
              </w:rPr>
            </w:pPr>
          </w:p>
          <w:p>
            <w:pPr>
              <w:pStyle w:val="TableParagraph"/>
              <w:spacing w:line="240" w:lineRule="auto"/>
              <w:ind w:right="23"/>
              <w:jc w:val="right"/>
              <w:rPr>
                <w:rFonts w:ascii="Times New Roman" w:hAnsi="Times New Roman" w:cs="Times New Roman" w:eastAsia="Times New Roman" w:hint="default"/>
                <w:sz w:val="12"/>
                <w:szCs w:val="12"/>
              </w:rPr>
            </w:pPr>
            <w:r>
              <w:rPr>
                <w:rFonts w:ascii="Times New Roman"/>
                <w:spacing w:val="-1"/>
                <w:sz w:val="18"/>
              </w:rPr>
              <w:t>120,000</w:t>
            </w:r>
            <w:r>
              <w:rPr>
                <w:rFonts w:ascii="Times New Roman"/>
                <w:spacing w:val="-1"/>
                <w:position w:val="8"/>
                <w:sz w:val="12"/>
              </w:rPr>
              <w:t>4</w:t>
            </w:r>
            <w:r>
              <w:rPr>
                <w:rFonts w:ascii="Times New Roman"/>
                <w:spacing w:val="-1"/>
                <w:sz w:val="12"/>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微软雅黑" w:hAnsi="微软雅黑" w:cs="微软雅黑" w:eastAsia="微软雅黑" w:hint="default"/>
                <w:sz w:val="21"/>
                <w:szCs w:val="21"/>
              </w:rPr>
            </w:pPr>
          </w:p>
          <w:p>
            <w:pPr>
              <w:pStyle w:val="TableParagraph"/>
              <w:spacing w:line="240" w:lineRule="auto"/>
              <w:ind w:right="23"/>
              <w:jc w:val="right"/>
              <w:rPr>
                <w:rFonts w:ascii="Times New Roman" w:hAnsi="Times New Roman" w:cs="Times New Roman" w:eastAsia="Times New Roman" w:hint="default"/>
                <w:sz w:val="12"/>
                <w:szCs w:val="12"/>
              </w:rPr>
            </w:pPr>
            <w:r>
              <w:rPr>
                <w:rFonts w:ascii="Times New Roman"/>
                <w:spacing w:val="-1"/>
                <w:sz w:val="18"/>
              </w:rPr>
              <w:t>52,844</w:t>
            </w:r>
            <w:r>
              <w:rPr>
                <w:rFonts w:ascii="Times New Roman"/>
                <w:spacing w:val="-1"/>
                <w:position w:val="8"/>
                <w:sz w:val="12"/>
              </w:rPr>
              <w:t>5</w:t>
            </w:r>
            <w:r>
              <w:rPr>
                <w:rFonts w:ascii="Times New Roman"/>
                <w:spacing w:val="-1"/>
                <w:sz w:val="12"/>
              </w:rPr>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吴建栋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3" w:right="31" w:hanging="180"/>
              <w:jc w:val="left"/>
              <w:rPr>
                <w:rFonts w:ascii="宋体" w:hAnsi="宋体" w:cs="宋体" w:eastAsia="宋体" w:hint="default"/>
                <w:sz w:val="18"/>
                <w:szCs w:val="18"/>
              </w:rPr>
            </w:pPr>
            <w:r>
              <w:rPr>
                <w:rFonts w:ascii="宋体" w:hAnsi="宋体" w:cs="宋体" w:eastAsia="宋体" w:hint="default"/>
                <w:sz w:val="18"/>
                <w:szCs w:val="18"/>
              </w:rPr>
              <w:t>原财务负 责人</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2"/>
                <w:szCs w:val="12"/>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微软雅黑" w:hAnsi="微软雅黑" w:cs="微软雅黑" w:eastAsia="微软雅黑" w:hint="default"/>
                <w:sz w:val="14"/>
                <w:szCs w:val="14"/>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sz w:val="11"/>
                <w:szCs w:val="1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sz w:val="11"/>
                <w:szCs w:val="11"/>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微软雅黑" w:hAnsi="微软雅黑" w:cs="微软雅黑" w:eastAsia="微软雅黑" w:hint="default"/>
                <w:sz w:val="14"/>
                <w:szCs w:val="14"/>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微软雅黑" w:hAnsi="微软雅黑" w:cs="微软雅黑" w:eastAsia="微软雅黑"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316</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微软雅黑" w:hAnsi="微软雅黑" w:cs="微软雅黑" w:eastAsia="微软雅黑"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316</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陶向南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2"/>
                <w:szCs w:val="12"/>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微软雅黑" w:hAnsi="微软雅黑" w:cs="微软雅黑" w:eastAsia="微软雅黑" w:hint="default"/>
                <w:sz w:val="14"/>
                <w:szCs w:val="14"/>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295,147,447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75,688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295,103,135</w:t>
            </w:r>
          </w:p>
        </w:tc>
      </w:tr>
    </w:tbl>
    <w:p>
      <w:pPr>
        <w:spacing w:line="240" w:lineRule="auto" w:before="12"/>
        <w:rPr>
          <w:rFonts w:ascii="微软雅黑" w:hAnsi="微软雅黑" w:cs="微软雅黑" w:eastAsia="微软雅黑" w:hint="default"/>
          <w:sz w:val="13"/>
          <w:szCs w:val="13"/>
        </w:rPr>
      </w:pPr>
    </w:p>
    <w:p>
      <w:pPr>
        <w:pStyle w:val="Heading2"/>
        <w:spacing w:line="240" w:lineRule="auto" w:before="26"/>
        <w:ind w:right="314"/>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3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3"/>
        <w:gridCol w:w="1822"/>
        <w:gridCol w:w="3754"/>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陶向南</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任期届满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吴建栋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张维</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冯敏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新选举产生的监事</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廖建中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新选举产生</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高礼强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总裁</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新选举产生</w:t>
            </w:r>
          </w:p>
        </w:tc>
      </w:tr>
      <w:tr>
        <w:trPr>
          <w:trHeight w:val="40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高礼强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新选举产生</w:t>
            </w:r>
          </w:p>
        </w:tc>
      </w:tr>
    </w:tbl>
    <w:p>
      <w:pPr>
        <w:spacing w:line="240" w:lineRule="auto" w:before="1"/>
        <w:rPr>
          <w:rFonts w:ascii="宋体" w:hAnsi="宋体" w:cs="宋体" w:eastAsia="宋体" w:hint="default"/>
          <w:sz w:val="18"/>
          <w:szCs w:val="18"/>
        </w:rPr>
      </w:pPr>
    </w:p>
    <w:p>
      <w:pPr>
        <w:pStyle w:val="Heading2"/>
        <w:spacing w:line="240" w:lineRule="auto" w:before="26"/>
        <w:ind w:right="314"/>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314"/>
        <w:jc w:val="left"/>
      </w:pPr>
      <w:r>
        <w:rPr/>
        <w:t>公司现任董事、监事、高级管理人员专业背景、主要工作经历以及目前在公司的主要职责</w:t>
      </w:r>
    </w:p>
    <w:p>
      <w:pPr>
        <w:pStyle w:val="BodyText"/>
        <w:spacing w:line="338" w:lineRule="auto" w:before="74"/>
        <w:ind w:left="513" w:right="314"/>
        <w:jc w:val="left"/>
      </w:pPr>
      <w:r>
        <w:rPr>
          <w:rFonts w:ascii="Times New Roman" w:hAnsi="Times New Roman" w:cs="Times New Roman" w:eastAsia="Times New Roman" w:hint="default"/>
          <w:b/>
          <w:bCs/>
        </w:rPr>
        <w:t>1</w:t>
      </w:r>
      <w:r>
        <w:rPr>
          <w:rFonts w:ascii="宋体" w:hAnsi="宋体" w:cs="宋体" w:eastAsia="宋体" w:hint="default"/>
          <w:b/>
          <w:bCs/>
        </w:rPr>
        <w:t>、公司现任董事的任职情况</w:t>
      </w:r>
      <w:r>
        <w:rPr>
          <w:rFonts w:ascii="宋体" w:hAnsi="宋体" w:cs="宋体" w:eastAsia="宋体" w:hint="default"/>
          <w:b/>
          <w:bCs/>
          <w:w w:val="99"/>
        </w:rPr>
        <w:t> </w:t>
      </w:r>
      <w:r>
        <w:rPr>
          <w:spacing w:val="-2"/>
        </w:rPr>
        <w:t>陈亚妹女士：</w:t>
      </w:r>
      <w:r>
        <w:rPr>
          <w:rFonts w:ascii="Times New Roman" w:hAnsi="Times New Roman" w:cs="Times New Roman" w:eastAsia="Times New Roman" w:hint="default"/>
          <w:spacing w:val="-2"/>
        </w:rPr>
        <w:t>1975</w:t>
      </w:r>
      <w:r>
        <w:rPr>
          <w:spacing w:val="-2"/>
        </w:rPr>
        <w:t>年出生，中国国籍，无境外永久居留权，大专学历。陈亚妹女士</w:t>
      </w:r>
      <w:r>
        <w:rPr>
          <w:rFonts w:ascii="Times New Roman" w:hAnsi="Times New Roman" w:cs="Times New Roman" w:eastAsia="Times New Roman" w:hint="default"/>
          <w:spacing w:val="-2"/>
        </w:rPr>
        <w:t>1998</w:t>
      </w:r>
      <w:r>
        <w:rPr>
          <w:spacing w:val="-2"/>
        </w:rPr>
        <w:t>年与乔昕先生一起创办本公司前</w:t>
      </w:r>
    </w:p>
    <w:p>
      <w:pPr>
        <w:pStyle w:val="BodyText"/>
        <w:spacing w:line="357" w:lineRule="auto" w:before="19"/>
        <w:ind w:right="314"/>
        <w:jc w:val="left"/>
      </w:pPr>
      <w:r>
        <w:rPr/>
        <w:t>身深圳市实益达实业有限公司，现任本公司董事长、无锡实益达电子有限公司董事，拉萨市冠德成科技发展有限公司监事， </w:t>
      </w:r>
      <w:r>
        <w:rPr>
          <w:spacing w:val="-2"/>
        </w:rPr>
        <w:t>凯扬商贸（香港）有限公司执行董事，深圳前海实益达投资发展有限公司董事，新余九派凯阳投资合伙企业（有限合伙）有</w:t>
      </w:r>
      <w:r>
        <w:rPr>
          <w:spacing w:val="-70"/>
        </w:rPr>
        <w:t> </w:t>
      </w:r>
      <w:r>
        <w:rPr>
          <w:spacing w:val="-70"/>
        </w:rPr>
      </w:r>
      <w:r>
        <w:rPr>
          <w:spacing w:val="-2"/>
        </w:rPr>
        <w:t>限合伙人，新余元通投资管理有限公司执行董事、总经理，深圳市日升投资有限公司总经理，深圳市晨杨投资合伙企业（有</w:t>
      </w:r>
      <w:r>
        <w:rPr>
          <w:spacing w:val="-67"/>
        </w:rPr>
        <w:t> </w:t>
      </w:r>
      <w:r>
        <w:rPr>
          <w:spacing w:val="-67"/>
        </w:rPr>
      </w:r>
      <w:r>
        <w:rPr/>
        <w:t>限合伙）普通合伙人，深圳市前海麦达数字有限公司执行董事，</w:t>
      </w:r>
      <w:r>
        <w:rPr>
          <w:rFonts w:ascii="Times New Roman" w:hAnsi="Times New Roman" w:cs="Times New Roman" w:eastAsia="Times New Roman" w:hint="default"/>
        </w:rPr>
        <w:t>Mindata Holding</w:t>
      </w:r>
      <w:r>
        <w:rPr>
          <w:rFonts w:ascii="Times New Roman" w:hAnsi="Times New Roman" w:cs="Times New Roman" w:eastAsia="Times New Roman" w:hint="default"/>
          <w:spacing w:val="-3"/>
        </w:rPr>
        <w:t> </w:t>
      </w:r>
      <w:r>
        <w:rPr>
          <w:rFonts w:ascii="Times New Roman" w:hAnsi="Times New Roman" w:cs="Times New Roman" w:eastAsia="Times New Roman" w:hint="default"/>
        </w:rPr>
        <w:t>Co.,Ltd</w:t>
      </w:r>
      <w:r>
        <w:rPr/>
        <w:t>执行董事。</w:t>
      </w:r>
    </w:p>
    <w:p>
      <w:pPr>
        <w:pStyle w:val="BodyText"/>
        <w:spacing w:line="348" w:lineRule="auto" w:before="3"/>
        <w:ind w:right="412" w:firstLine="360"/>
        <w:jc w:val="both"/>
      </w:pPr>
      <w:r>
        <w:rPr/>
        <w:t>乔昕先生：</w:t>
      </w:r>
      <w:r>
        <w:rPr>
          <w:spacing w:val="-21"/>
        </w:rPr>
        <w:t> </w:t>
      </w:r>
      <w:r>
        <w:rPr>
          <w:rFonts w:ascii="Times New Roman" w:hAnsi="Times New Roman" w:cs="Times New Roman" w:eastAsia="Times New Roman" w:hint="default"/>
        </w:rPr>
        <w:t>1963</w:t>
      </w:r>
      <w:r>
        <w:rPr/>
        <w:t>年出生，中国国籍，无境外永久居留权，硕士学历。乔昕先生大学毕业后曾先后在无锡机床研究所、 </w:t>
      </w:r>
      <w:r>
        <w:rPr>
          <w:spacing w:val="-2"/>
        </w:rPr>
        <w:t>日本北陆电气工业株式会社深圳办事处工作，</w:t>
      </w:r>
      <w:r>
        <w:rPr>
          <w:rFonts w:ascii="Times New Roman" w:hAnsi="Times New Roman" w:cs="Times New Roman" w:eastAsia="Times New Roman" w:hint="default"/>
          <w:spacing w:val="-2"/>
        </w:rPr>
        <w:t>1998</w:t>
      </w:r>
      <w:r>
        <w:rPr>
          <w:spacing w:val="-2"/>
        </w:rPr>
        <w:t>年创办本公司前身深圳市实益达实业有限公司，现任本公司董事兼首席执</w:t>
      </w:r>
      <w:r>
        <w:rPr>
          <w:spacing w:val="-61"/>
        </w:rPr>
        <w:t> </w:t>
      </w:r>
      <w:r>
        <w:rPr>
          <w:spacing w:val="-61"/>
        </w:rPr>
      </w:r>
      <w:r>
        <w:rPr/>
        <w:t>行官、百华科技发展有限公司执行董事，深圳市六度人和科技有限公司董事，</w:t>
      </w:r>
      <w:r>
        <w:rPr>
          <w:spacing w:val="-17"/>
        </w:rPr>
        <w:t> </w:t>
      </w:r>
      <w:r>
        <w:rPr/>
        <w:t>拉萨市冠德成科技发展有限公司执行董事，</w:t>
      </w:r>
      <w:r>
        <w:rPr/>
        <w:t> </w:t>
      </w:r>
      <w:r>
        <w:rPr>
          <w:spacing w:val="-2"/>
        </w:rPr>
        <w:t>深圳前海实益达投资发展有限公司董事长、总经理，深圳市电明科技股份有限公司董事，深圳市汇大光电科技股份有限公司</w:t>
      </w:r>
      <w:r>
        <w:rPr>
          <w:spacing w:val="-66"/>
        </w:rPr>
        <w:t> </w:t>
      </w:r>
      <w:r>
        <w:rPr>
          <w:spacing w:val="-66"/>
        </w:rPr>
      </w:r>
      <w:r>
        <w:rPr>
          <w:spacing w:val="-2"/>
        </w:rPr>
        <w:t>董事长，无锡实益达电子有限公司董事长、总经理，无锡实益达照明科技有限公司总经理，新余九派凯阳投资合伙企业（有</w:t>
      </w:r>
    </w:p>
    <w:p>
      <w:pPr>
        <w:spacing w:line="240" w:lineRule="auto" w:before="9"/>
        <w:rPr>
          <w:rFonts w:ascii="宋体" w:hAnsi="宋体" w:cs="宋体" w:eastAsia="宋体" w:hint="default"/>
          <w:sz w:val="11"/>
          <w:szCs w:val="11"/>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144.550pt;height:.5pt;mso-position-horizontal-relative:char;mso-position-vertical-relative:line" coordorigin="0,0" coordsize="2891,10">
            <v:group style="position:absolute;left:5;top:5;width:2881;height:2" coordorigin="5,5" coordsize="2881,2">
              <v:shape style="position:absolute;left:5;top:5;width:2881;height:2" coordorigin="5,5" coordsize="2881,0" path="m5,5l2886,5e" filled="false" stroked="true" strokeweight=".48004pt" strokecolor="#000000">
                <v:path arrowok="t"/>
              </v:shape>
            </v:group>
          </v:group>
        </w:pict>
      </w:r>
      <w:r>
        <w:rPr>
          <w:rFonts w:ascii="宋体" w:hAnsi="宋体" w:cs="宋体" w:eastAsia="宋体" w:hint="default"/>
          <w:sz w:val="2"/>
          <w:szCs w:val="2"/>
        </w:rPr>
      </w:r>
    </w:p>
    <w:p>
      <w:pPr>
        <w:spacing w:before="33"/>
        <w:ind w:left="152" w:right="314" w:firstLine="0"/>
        <w:jc w:val="left"/>
        <w:rPr>
          <w:rFonts w:ascii="微软雅黑" w:hAnsi="微软雅黑" w:cs="微软雅黑" w:eastAsia="微软雅黑" w:hint="default"/>
          <w:sz w:val="15"/>
          <w:szCs w:val="15"/>
        </w:rPr>
      </w:pPr>
      <w:r>
        <w:rPr>
          <w:rFonts w:ascii="微软雅黑" w:hAnsi="微软雅黑" w:cs="微软雅黑" w:eastAsia="微软雅黑" w:hint="default"/>
          <w:position w:val="4"/>
          <w:sz w:val="10"/>
          <w:szCs w:val="10"/>
        </w:rPr>
        <w:t>4  </w:t>
      </w:r>
      <w:r>
        <w:rPr>
          <w:rFonts w:ascii="微软雅黑" w:hAnsi="微软雅黑" w:cs="微软雅黑" w:eastAsia="微软雅黑" w:hint="default"/>
          <w:sz w:val="15"/>
          <w:szCs w:val="15"/>
        </w:rPr>
        <w:t>此处系因公司 </w:t>
      </w:r>
      <w:r>
        <w:rPr>
          <w:rFonts w:ascii="微软雅黑" w:hAnsi="微软雅黑" w:cs="微软雅黑" w:eastAsia="微软雅黑" w:hint="default"/>
          <w:sz w:val="15"/>
          <w:szCs w:val="15"/>
        </w:rPr>
        <w:t>2014</w:t>
      </w:r>
      <w:r>
        <w:rPr>
          <w:rFonts w:ascii="微软雅黑" w:hAnsi="微软雅黑" w:cs="微软雅黑" w:eastAsia="微软雅黑" w:hint="default"/>
          <w:spacing w:val="-7"/>
          <w:sz w:val="15"/>
          <w:szCs w:val="15"/>
        </w:rPr>
        <w:t> </w:t>
      </w:r>
      <w:r>
        <w:rPr>
          <w:rFonts w:ascii="微软雅黑" w:hAnsi="微软雅黑" w:cs="微软雅黑" w:eastAsia="微软雅黑" w:hint="default"/>
          <w:sz w:val="15"/>
          <w:szCs w:val="15"/>
        </w:rPr>
        <w:t>年度股权激励计划第三期未达解锁条件而回购注销的限制性股票；</w:t>
      </w:r>
    </w:p>
    <w:p>
      <w:pPr>
        <w:spacing w:before="38"/>
        <w:ind w:left="152" w:right="314" w:firstLine="0"/>
        <w:jc w:val="left"/>
        <w:rPr>
          <w:rFonts w:ascii="微软雅黑" w:hAnsi="微软雅黑" w:cs="微软雅黑" w:eastAsia="微软雅黑" w:hint="default"/>
          <w:sz w:val="15"/>
          <w:szCs w:val="15"/>
        </w:rPr>
      </w:pPr>
      <w:r>
        <w:rPr>
          <w:rFonts w:ascii="微软雅黑" w:hAnsi="微软雅黑" w:cs="微软雅黑" w:eastAsia="微软雅黑" w:hint="default"/>
          <w:position w:val="4"/>
          <w:sz w:val="10"/>
          <w:szCs w:val="10"/>
        </w:rPr>
        <w:t>5   </w:t>
      </w:r>
      <w:r>
        <w:rPr>
          <w:rFonts w:ascii="微软雅黑" w:hAnsi="微软雅黑" w:cs="微软雅黑" w:eastAsia="微软雅黑" w:hint="default"/>
          <w:sz w:val="15"/>
          <w:szCs w:val="15"/>
        </w:rPr>
        <w:t>朱蕾还通过益瑞投资间接持有公司股份 </w:t>
      </w:r>
      <w:r>
        <w:rPr>
          <w:rFonts w:ascii="微软雅黑" w:hAnsi="微软雅黑" w:cs="微软雅黑" w:eastAsia="微软雅黑" w:hint="default"/>
          <w:sz w:val="15"/>
          <w:szCs w:val="15"/>
        </w:rPr>
        <w:t>60</w:t>
      </w:r>
      <w:r>
        <w:rPr>
          <w:rFonts w:ascii="微软雅黑" w:hAnsi="微软雅黑" w:cs="微软雅黑" w:eastAsia="微软雅黑" w:hint="default"/>
          <w:spacing w:val="-29"/>
          <w:sz w:val="15"/>
          <w:szCs w:val="15"/>
        </w:rPr>
        <w:t> </w:t>
      </w:r>
      <w:r>
        <w:rPr>
          <w:rFonts w:ascii="微软雅黑" w:hAnsi="微软雅黑" w:cs="微软雅黑" w:eastAsia="微软雅黑" w:hint="default"/>
          <w:sz w:val="15"/>
          <w:szCs w:val="15"/>
        </w:rPr>
        <w:t>万股。</w:t>
      </w:r>
    </w:p>
    <w:p>
      <w:pPr>
        <w:spacing w:after="0"/>
        <w:jc w:val="left"/>
        <w:rPr>
          <w:rFonts w:ascii="微软雅黑" w:hAnsi="微软雅黑" w:cs="微软雅黑" w:eastAsia="微软雅黑" w:hint="default"/>
          <w:sz w:val="15"/>
          <w:szCs w:val="15"/>
        </w:rPr>
        <w:sectPr>
          <w:footerReference w:type="default" r:id="rId19"/>
          <w:pgSz w:w="11910" w:h="16840"/>
          <w:pgMar w:footer="980" w:header="745" w:top="1060" w:bottom="1160" w:left="980" w:right="720"/>
          <w:pgNumType w:start="67"/>
        </w:sectPr>
      </w:pPr>
    </w:p>
    <w:p>
      <w:pPr>
        <w:spacing w:line="240" w:lineRule="auto" w:before="2"/>
        <w:rPr>
          <w:rFonts w:ascii="微软雅黑" w:hAnsi="微软雅黑" w:cs="微软雅黑" w:eastAsia="微软雅黑" w:hint="default"/>
          <w:sz w:val="17"/>
          <w:szCs w:val="17"/>
        </w:rPr>
      </w:pPr>
    </w:p>
    <w:p>
      <w:pPr>
        <w:pStyle w:val="BodyText"/>
        <w:spacing w:line="350" w:lineRule="auto" w:before="44"/>
        <w:ind w:right="170"/>
        <w:jc w:val="both"/>
      </w:pPr>
      <w:r>
        <w:rPr>
          <w:spacing w:val="-2"/>
        </w:rPr>
        <w:t>限合伙）有限合伙人，新余益瑞投资合伙企业（有限合伙）普通合伙人，新余元通投资管理有限公司监事，深圳市日升投资</w:t>
      </w:r>
      <w:r>
        <w:rPr>
          <w:spacing w:val="-68"/>
        </w:rPr>
        <w:t> </w:t>
      </w:r>
      <w:r>
        <w:rPr>
          <w:spacing w:val="-68"/>
        </w:rPr>
      </w:r>
      <w:r>
        <w:rPr/>
        <w:t>有限公司执行董事，</w:t>
      </w:r>
      <w:r>
        <w:rPr>
          <w:spacing w:val="-18"/>
        </w:rPr>
        <w:t> </w:t>
      </w:r>
      <w:r>
        <w:rPr/>
        <w:t>深圳市实益达技术股份有限公司董事长，深圳市真源生命科学有限公司执行董事、总经理，深圳市晨</w:t>
      </w:r>
      <w:r>
        <w:rPr/>
        <w:t> 杨投资合伙企业（有限合伙）有限合伙人，奇思国际广告</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有限公司总经理及执行董事，顺为广告总经理及执行董事， 北京麦达数字技术服务有限公司董事长。</w:t>
      </w:r>
    </w:p>
    <w:p>
      <w:pPr>
        <w:pStyle w:val="BodyText"/>
        <w:spacing w:line="350" w:lineRule="auto" w:before="32"/>
        <w:ind w:right="191" w:firstLine="360"/>
        <w:jc w:val="both"/>
      </w:pPr>
      <w:r>
        <w:rPr>
          <w:spacing w:val="-2"/>
        </w:rPr>
        <w:t>高礼强先生：</w:t>
      </w:r>
      <w:r>
        <w:rPr>
          <w:rFonts w:ascii="Times New Roman" w:hAnsi="Times New Roman" w:cs="Times New Roman" w:eastAsia="Times New Roman" w:hint="default"/>
          <w:spacing w:val="-2"/>
        </w:rPr>
        <w:t>1969</w:t>
      </w:r>
      <w:r>
        <w:rPr>
          <w:spacing w:val="-2"/>
        </w:rPr>
        <w:t>年出生，中国国籍，拥有加拿大境外永久居留权，上海财经大学经济学学士，拥有中国注册会计师资</w:t>
      </w:r>
      <w:r>
        <w:rPr/>
        <w:t> </w:t>
      </w:r>
      <w:r>
        <w:rPr>
          <w:spacing w:val="-2"/>
        </w:rPr>
        <w:t>格和中欧工商管理学院工商管理硕士学位。高礼强先生曾担任甲骨文（中国）软件系统有限公司全球副总裁和中国区技术总</w:t>
      </w:r>
      <w:r>
        <w:rPr>
          <w:spacing w:val="-66"/>
        </w:rPr>
        <w:t> </w:t>
      </w:r>
      <w:r>
        <w:rPr>
          <w:spacing w:val="-66"/>
        </w:rPr>
      </w:r>
      <w:r>
        <w:rPr>
          <w:spacing w:val="-2"/>
        </w:rPr>
        <w:t>经理职务，现任北京麦达数字技术服务有限公司总经理，深圳市麦达数字股份有限公司总裁、董事，芜湖集信通达企业管理</w:t>
      </w:r>
      <w:r>
        <w:rPr>
          <w:spacing w:val="-64"/>
        </w:rPr>
        <w:t> </w:t>
      </w:r>
      <w:r>
        <w:rPr>
          <w:spacing w:val="-64"/>
        </w:rPr>
      </w:r>
      <w:r>
        <w:rPr/>
        <w:t>咨询合伙企业（普通合伙）执行事务合伙人。</w:t>
      </w:r>
    </w:p>
    <w:p>
      <w:pPr>
        <w:pStyle w:val="BodyText"/>
        <w:spacing w:line="338" w:lineRule="auto" w:before="32"/>
        <w:ind w:right="100" w:firstLine="360"/>
        <w:jc w:val="both"/>
      </w:pPr>
      <w:r>
        <w:rPr>
          <w:spacing w:val="-2"/>
        </w:rPr>
        <w:t>洪兵先生，</w:t>
      </w:r>
      <w:r>
        <w:rPr>
          <w:rFonts w:ascii="Times New Roman" w:hAnsi="Times New Roman" w:cs="Times New Roman" w:eastAsia="Times New Roman" w:hint="default"/>
          <w:spacing w:val="-2"/>
        </w:rPr>
        <w:t>1969</w:t>
      </w:r>
      <w:r>
        <w:rPr>
          <w:spacing w:val="-2"/>
        </w:rPr>
        <w:t>年出生，中国国籍，无境外永久居留权，硕士学历。现任无锡立德时代科技有限公司总经理，无锡明课</w:t>
      </w:r>
      <w:r>
        <w:rPr/>
        <w:t> </w:t>
      </w:r>
      <w:r>
        <w:rPr>
          <w:spacing w:val="-3"/>
        </w:rPr>
        <w:t>堂企业管理咨询中心（有限合伙）</w:t>
      </w:r>
      <w:r>
        <w:rPr>
          <w:spacing w:val="-45"/>
        </w:rPr>
        <w:t> </w:t>
      </w:r>
      <w:r>
        <w:rPr>
          <w:spacing w:val="-2"/>
        </w:rPr>
        <w:t>执行事务合伙人，南京中电熊猫照明有限公司董事。</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月起至今任本公司独立董事。</w:t>
      </w:r>
    </w:p>
    <w:p>
      <w:pPr>
        <w:pStyle w:val="BodyText"/>
        <w:spacing w:line="348" w:lineRule="auto" w:before="19"/>
        <w:ind w:right="191" w:firstLine="360"/>
        <w:jc w:val="both"/>
      </w:pPr>
      <w:r>
        <w:rPr>
          <w:spacing w:val="-2"/>
        </w:rPr>
        <w:t>曹军波先生，</w:t>
      </w:r>
      <w:r>
        <w:rPr>
          <w:rFonts w:ascii="Times New Roman" w:hAnsi="Times New Roman" w:cs="Times New Roman" w:eastAsia="Times New Roman" w:hint="default"/>
          <w:spacing w:val="-2"/>
        </w:rPr>
        <w:t>1977</w:t>
      </w:r>
      <w:r>
        <w:rPr>
          <w:spacing w:val="-2"/>
        </w:rPr>
        <w:t>年出生，中国国籍，无境外永久居留权，外交学院国际经济关系专业硕士学历。曾任上海艾瑞市场咨</w:t>
      </w:r>
      <w:r>
        <w:rPr/>
        <w:t> </w:t>
      </w:r>
      <w:r>
        <w:rPr>
          <w:spacing w:val="-2"/>
        </w:rPr>
        <w:t>询有限公司副总裁、首席分析师、研究院院长，现任宁波梅山保税港区佰兴投资管理有限公司研究部负责人、上海新文化传</w:t>
      </w:r>
      <w:r>
        <w:rPr>
          <w:spacing w:val="-64"/>
        </w:rPr>
        <w:t> </w:t>
      </w:r>
      <w:r>
        <w:rPr>
          <w:spacing w:val="-64"/>
        </w:rPr>
      </w:r>
      <w:r>
        <w:rPr/>
        <w:t>媒集团股份有限公司独立董事。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月起至今任本公司独立董事。</w:t>
      </w:r>
    </w:p>
    <w:p>
      <w:pPr>
        <w:pStyle w:val="BodyText"/>
        <w:spacing w:line="343" w:lineRule="auto" w:before="11"/>
        <w:ind w:right="189" w:firstLine="360"/>
        <w:jc w:val="both"/>
      </w:pPr>
      <w:r>
        <w:rPr>
          <w:spacing w:val="-2"/>
        </w:rPr>
        <w:t>马旗戟先生，</w:t>
      </w:r>
      <w:r>
        <w:rPr>
          <w:rFonts w:ascii="Times New Roman" w:hAnsi="Times New Roman" w:cs="Times New Roman" w:eastAsia="Times New Roman" w:hint="default"/>
          <w:spacing w:val="-2"/>
        </w:rPr>
        <w:t>1966</w:t>
      </w:r>
      <w:r>
        <w:rPr>
          <w:spacing w:val="-2"/>
        </w:rPr>
        <w:t>年出生，中国国籍，无境外永久居留权，青岛海洋大学（现中国海洋大学）大学应用数学本科。曾任</w:t>
      </w:r>
      <w:r>
        <w:rPr/>
        <w:t> 职互联网实验室高级副总裁兼首席运营官、新生代市场监测机构副总经理、</w:t>
      </w:r>
      <w:r>
        <w:rPr>
          <w:rFonts w:ascii="Times New Roman" w:hAnsi="Times New Roman" w:cs="Times New Roman" w:eastAsia="Times New Roman" w:hint="default"/>
        </w:rPr>
        <w:t>Nielsen Online</w:t>
      </w:r>
      <w:r>
        <w:rPr>
          <w:rFonts w:ascii="Times New Roman" w:hAnsi="Times New Roman" w:cs="Times New Roman" w:eastAsia="Times New Roman" w:hint="default"/>
          <w:spacing w:val="-23"/>
        </w:rPr>
        <w:t> </w:t>
      </w:r>
      <w:r>
        <w:rPr>
          <w:rFonts w:ascii="Times New Roman" w:hAnsi="Times New Roman" w:cs="Times New Roman" w:eastAsia="Times New Roman" w:hint="default"/>
        </w:rPr>
        <w:t>China</w:t>
      </w:r>
      <w:r>
        <w:rPr/>
        <w:t>高级副总裁、互帮国际技术 有限公司</w:t>
      </w:r>
      <w:r>
        <w:rPr>
          <w:spacing w:val="-18"/>
        </w:rPr>
        <w:t> </w:t>
      </w:r>
      <w:r>
        <w:rPr/>
        <w:t>高级副总裁、首席市场官职务。现任中国商务广告协会数字营销研究中心主任、宁波宇宸股权投资管理合伙企业</w:t>
      </w:r>
      <w:r>
        <w:rPr/>
        <w:t> 有限合伙人。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月起至今任本公司独立董事。</w:t>
      </w:r>
    </w:p>
    <w:p>
      <w:pPr>
        <w:pStyle w:val="BodyText"/>
        <w:spacing w:line="343" w:lineRule="auto" w:before="15"/>
        <w:ind w:right="189" w:firstLine="360"/>
        <w:jc w:val="right"/>
      </w:pPr>
      <w:r>
        <w:rPr>
          <w:spacing w:val="-2"/>
        </w:rPr>
        <w:t>梁华权先生，</w:t>
      </w:r>
      <w:r>
        <w:rPr>
          <w:rFonts w:ascii="Times New Roman" w:hAnsi="Times New Roman" w:cs="Times New Roman" w:eastAsia="Times New Roman" w:hint="default"/>
          <w:spacing w:val="-2"/>
        </w:rPr>
        <w:t>1981</w:t>
      </w:r>
      <w:r>
        <w:rPr>
          <w:spacing w:val="-2"/>
        </w:rPr>
        <w:t>年出生，中国国籍，无境外永久居留权，企业管理专业硕士学历。曾任职于深圳市宇阳科技发展有限</w:t>
      </w:r>
      <w:r>
        <w:rPr/>
        <w:t> </w:t>
      </w:r>
      <w:r>
        <w:rPr>
          <w:spacing w:val="-2"/>
        </w:rPr>
        <w:t>公司、中国航空技术深圳有限公司、深圳证券交易所。现任上海信公企业管理咨询有限公司董事、深圳信公企业管理咨询有</w:t>
      </w:r>
      <w:r>
        <w:rPr>
          <w:spacing w:val="-73"/>
        </w:rPr>
        <w:t> </w:t>
      </w:r>
      <w:r>
        <w:rPr>
          <w:spacing w:val="-73"/>
        </w:rPr>
      </w:r>
      <w:r>
        <w:rPr>
          <w:spacing w:val="-2"/>
        </w:rPr>
        <w:t>限公司董事兼总经理、佛山市国星光电股份有限公司独立董事、远光软件股份有限公司独立董事、珠海恒基达鑫国际化工仓</w:t>
      </w:r>
      <w:r>
        <w:rPr>
          <w:spacing w:val="-73"/>
        </w:rPr>
        <w:t> </w:t>
      </w:r>
      <w:r>
        <w:rPr>
          <w:spacing w:val="-73"/>
        </w:rPr>
      </w:r>
      <w:r>
        <w:rPr/>
        <w:t>储股份有限公司独立董事以及常州中英科技股份有限公司（非上市公司）独立董事。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月起至今任本公司独立董事。 </w:t>
      </w:r>
      <w:r>
        <w:rPr>
          <w:rFonts w:ascii="Times New Roman" w:hAnsi="Times New Roman" w:cs="Times New Roman" w:eastAsia="Times New Roman" w:hint="default"/>
        </w:rPr>
        <w:t>Xuan Richard Gu </w:t>
      </w:r>
      <w:r>
        <w:rPr/>
        <w:t>先生（曾用名：顾旋），</w:t>
      </w:r>
      <w:r>
        <w:rPr>
          <w:rFonts w:ascii="Times New Roman" w:hAnsi="Times New Roman" w:cs="Times New Roman" w:eastAsia="Times New Roman" w:hint="default"/>
        </w:rPr>
        <w:t>1970</w:t>
      </w:r>
      <w:r>
        <w:rPr>
          <w:rFonts w:ascii="Times New Roman" w:hAnsi="Times New Roman" w:cs="Times New Roman" w:eastAsia="Times New Roman" w:hint="default"/>
          <w:spacing w:val="8"/>
        </w:rPr>
        <w:t> </w:t>
      </w:r>
      <w:r>
        <w:rPr/>
        <w:t>年出生，美国国籍，先后就读于美国密苏里州立大学理学专业</w:t>
      </w:r>
      <w:r>
        <w:rPr>
          <w:rFonts w:ascii="Times New Roman" w:hAnsi="Times New Roman" w:cs="Times New Roman" w:eastAsia="Times New Roman" w:hint="default"/>
        </w:rPr>
        <w:t>(Missouri State</w:t>
      </w:r>
      <w:r>
        <w:rPr>
          <w:rFonts w:ascii="Times New Roman" w:hAnsi="Times New Roman" w:cs="Times New Roman" w:eastAsia="Times New Roman" w:hint="default"/>
          <w:spacing w:val="-13"/>
        </w:rPr>
        <w:t> </w:t>
      </w:r>
      <w:r>
        <w:rPr>
          <w:rFonts w:ascii="Times New Roman" w:hAnsi="Times New Roman" w:cs="Times New Roman" w:eastAsia="Times New Roman" w:hint="default"/>
        </w:rPr>
        <w:t>University</w:t>
      </w:r>
      <w:r>
        <w:rPr>
          <w:rFonts w:ascii="Times New Roman" w:hAnsi="Times New Roman" w:cs="Times New Roman" w:eastAsia="Times New Roman" w:hint="default"/>
          <w:spacing w:val="-16"/>
        </w:rPr>
        <w:t> </w:t>
      </w:r>
      <w:r>
        <w:rPr>
          <w:rFonts w:ascii="Times New Roman" w:hAnsi="Times New Roman" w:cs="Times New Roman" w:eastAsia="Times New Roman" w:hint="default"/>
        </w:rPr>
        <w:t>/CIS)</w:t>
      </w:r>
      <w:r>
        <w:rPr/>
        <w:t>，宾夕法尼亚大学沃顿商学院高级经理人培训专业</w:t>
      </w:r>
      <w:r>
        <w:rPr>
          <w:rFonts w:ascii="Times New Roman" w:hAnsi="Times New Roman" w:cs="Times New Roman" w:eastAsia="Times New Roman" w:hint="default"/>
        </w:rPr>
        <w:t>(Wharton</w:t>
      </w:r>
      <w:r>
        <w:rPr>
          <w:rFonts w:ascii="Times New Roman" w:hAnsi="Times New Roman" w:cs="Times New Roman" w:eastAsia="Times New Roman" w:hint="default"/>
          <w:spacing w:val="-11"/>
        </w:rPr>
        <w:t> </w:t>
      </w:r>
      <w:r>
        <w:rPr>
          <w:rFonts w:ascii="Times New Roman" w:hAnsi="Times New Roman" w:cs="Times New Roman" w:eastAsia="Times New Roman" w:hint="default"/>
        </w:rPr>
        <w:t>School</w:t>
      </w:r>
      <w:r>
        <w:rPr/>
        <w:t>，</w:t>
      </w:r>
      <w:r>
        <w:rPr>
          <w:spacing w:val="-44"/>
        </w:rPr>
        <w:t> </w:t>
      </w:r>
      <w:r>
        <w:rPr>
          <w:rFonts w:ascii="Times New Roman" w:hAnsi="Times New Roman" w:cs="Times New Roman" w:eastAsia="Times New Roman" w:hint="default"/>
        </w:rPr>
        <w:t>University</w:t>
      </w:r>
      <w:r>
        <w:rPr>
          <w:rFonts w:ascii="Times New Roman" w:hAnsi="Times New Roman" w:cs="Times New Roman" w:eastAsia="Times New Roman" w:hint="default"/>
          <w:spacing w:val="-16"/>
        </w:rPr>
        <w:t> </w:t>
      </w:r>
      <w:r>
        <w:rPr>
          <w:rFonts w:ascii="Times New Roman" w:hAnsi="Times New Roman" w:cs="Times New Roman" w:eastAsia="Times New Roman" w:hint="default"/>
        </w:rPr>
        <w:t>of</w:t>
      </w:r>
      <w:r>
        <w:rPr>
          <w:rFonts w:ascii="Times New Roman" w:hAnsi="Times New Roman" w:cs="Times New Roman" w:eastAsia="Times New Roman" w:hint="default"/>
          <w:spacing w:val="-15"/>
        </w:rPr>
        <w:t> </w:t>
      </w:r>
      <w:r>
        <w:rPr>
          <w:rFonts w:ascii="Times New Roman" w:hAnsi="Times New Roman" w:cs="Times New Roman" w:eastAsia="Times New Roman" w:hint="default"/>
        </w:rPr>
        <w:t>Pennsylvania</w:t>
      </w:r>
      <w:r>
        <w:rPr>
          <w:rFonts w:ascii="Times New Roman" w:hAnsi="Times New Roman" w:cs="Times New Roman" w:eastAsia="Times New Roman" w:hint="default"/>
          <w:spacing w:val="-13"/>
        </w:rPr>
        <w:t> </w:t>
      </w:r>
      <w:r>
        <w:rPr>
          <w:rFonts w:ascii="Times New Roman" w:hAnsi="Times New Roman" w:cs="Times New Roman" w:eastAsia="Times New Roman" w:hint="default"/>
        </w:rPr>
        <w:t>/Wharton</w:t>
      </w:r>
      <w:r>
        <w:rPr>
          <w:rFonts w:ascii="Times New Roman" w:hAnsi="Times New Roman" w:cs="Times New Roman" w:eastAsia="Times New Roman" w:hint="default"/>
        </w:rPr>
        <w:t> Fellow)</w:t>
      </w:r>
      <w:r>
        <w:rPr/>
        <w:t>。历任</w:t>
      </w:r>
      <w:r>
        <w:rPr>
          <w:spacing w:val="-27"/>
        </w:rPr>
        <w:t> </w:t>
      </w:r>
      <w:r>
        <w:rPr>
          <w:rFonts w:ascii="Times New Roman" w:hAnsi="Times New Roman" w:cs="Times New Roman" w:eastAsia="Times New Roman" w:hint="default"/>
        </w:rPr>
        <w:t>Premium</w:t>
      </w:r>
      <w:r>
        <w:rPr>
          <w:rFonts w:ascii="Times New Roman" w:hAnsi="Times New Roman" w:cs="Times New Roman" w:eastAsia="Times New Roman" w:hint="default"/>
          <w:spacing w:val="-17"/>
        </w:rPr>
        <w:t> </w:t>
      </w:r>
      <w:r>
        <w:rPr>
          <w:rFonts w:ascii="Times New Roman" w:hAnsi="Times New Roman" w:cs="Times New Roman" w:eastAsia="Times New Roman" w:hint="default"/>
        </w:rPr>
        <w:t>Consulting</w:t>
      </w:r>
      <w:r>
        <w:rPr>
          <w:rFonts w:ascii="Times New Roman" w:hAnsi="Times New Roman" w:cs="Times New Roman" w:eastAsia="Times New Roman" w:hint="default"/>
          <w:spacing w:val="-15"/>
        </w:rPr>
        <w:t> </w:t>
      </w:r>
      <w:r>
        <w:rPr>
          <w:rFonts w:ascii="Times New Roman" w:hAnsi="Times New Roman" w:cs="Times New Roman" w:eastAsia="Times New Roman" w:hint="default"/>
        </w:rPr>
        <w:t>Group</w:t>
      </w:r>
      <w:r>
        <w:rPr>
          <w:rFonts w:ascii="Times New Roman" w:hAnsi="Times New Roman" w:cs="Times New Roman" w:eastAsia="Times New Roman" w:hint="default"/>
          <w:spacing w:val="22"/>
        </w:rPr>
        <w:t> </w:t>
      </w:r>
      <w:r>
        <w:rPr/>
        <w:t>合伙人，</w:t>
      </w:r>
      <w:r>
        <w:rPr>
          <w:spacing w:val="-39"/>
        </w:rPr>
        <w:t> </w:t>
      </w:r>
      <w:r>
        <w:rPr>
          <w:rFonts w:ascii="Times New Roman" w:hAnsi="Times New Roman" w:cs="Times New Roman" w:eastAsia="Times New Roman" w:hint="default"/>
        </w:rPr>
        <w:t>Zytalis</w:t>
      </w:r>
      <w:r>
        <w:rPr>
          <w:rFonts w:ascii="Times New Roman" w:hAnsi="Times New Roman" w:cs="Times New Roman" w:eastAsia="Times New Roman" w:hint="default"/>
          <w:spacing w:val="19"/>
        </w:rPr>
        <w:t> </w:t>
      </w:r>
      <w:r>
        <w:rPr/>
        <w:t>联合创始人、</w:t>
      </w:r>
      <w:r>
        <w:rPr>
          <w:rFonts w:ascii="Times New Roman" w:hAnsi="Times New Roman" w:cs="Times New Roman" w:eastAsia="Times New Roman" w:hint="default"/>
        </w:rPr>
        <w:t>COO</w:t>
      </w:r>
      <w:r>
        <w:rPr/>
        <w:t>，</w:t>
      </w:r>
      <w:r>
        <w:rPr>
          <w:spacing w:val="-37"/>
        </w:rPr>
        <w:t> </w:t>
      </w:r>
      <w:r>
        <w:rPr>
          <w:rFonts w:ascii="Times New Roman" w:hAnsi="Times New Roman" w:cs="Times New Roman" w:eastAsia="Times New Roman" w:hint="default"/>
        </w:rPr>
        <w:t>AXON</w:t>
      </w:r>
      <w:r>
        <w:rPr>
          <w:rFonts w:ascii="Times New Roman" w:hAnsi="Times New Roman" w:cs="Times New Roman" w:eastAsia="Times New Roman" w:hint="default"/>
          <w:spacing w:val="18"/>
        </w:rPr>
        <w:t> </w:t>
      </w:r>
      <w:r>
        <w:rPr/>
        <w:t>美国区</w:t>
      </w:r>
      <w:r>
        <w:rPr>
          <w:spacing w:val="-26"/>
        </w:rPr>
        <w:t> </w:t>
      </w:r>
      <w:r>
        <w:rPr>
          <w:rFonts w:ascii="Times New Roman" w:hAnsi="Times New Roman" w:cs="Times New Roman" w:eastAsia="Times New Roman" w:hint="default"/>
        </w:rPr>
        <w:t>EVP</w:t>
      </w:r>
      <w:r>
        <w:rPr/>
        <w:t>、执行副总裁，</w:t>
      </w:r>
      <w:r>
        <w:rPr>
          <w:rFonts w:ascii="Times New Roman" w:hAnsi="Times New Roman" w:cs="Times New Roman" w:eastAsia="Times New Roman" w:hint="default"/>
        </w:rPr>
        <w:t>HCL</w:t>
      </w:r>
      <w:r>
        <w:rPr>
          <w:rFonts w:ascii="Times New Roman" w:hAnsi="Times New Roman" w:cs="Times New Roman" w:eastAsia="Times New Roman" w:hint="default"/>
          <w:spacing w:val="19"/>
        </w:rPr>
        <w:t> </w:t>
      </w:r>
      <w:r>
        <w:rPr/>
        <w:t>亚 太区</w:t>
      </w:r>
      <w:r>
        <w:rPr>
          <w:spacing w:val="-26"/>
        </w:rPr>
        <w:t> </w:t>
      </w:r>
      <w:r>
        <w:rPr>
          <w:rFonts w:ascii="Times New Roman" w:hAnsi="Times New Roman" w:cs="Times New Roman" w:eastAsia="Times New Roman" w:hint="default"/>
        </w:rPr>
        <w:t>COO</w:t>
      </w:r>
      <w:r>
        <w:rPr/>
        <w:t>、</w:t>
      </w:r>
      <w:r>
        <w:rPr>
          <w:spacing w:val="-29"/>
        </w:rPr>
        <w:t> </w:t>
      </w:r>
      <w:r>
        <w:rPr/>
        <w:t>大中国区总裁，</w:t>
      </w:r>
      <w:r>
        <w:rPr>
          <w:rFonts w:ascii="Times New Roman" w:hAnsi="Times New Roman" w:cs="Times New Roman" w:eastAsia="Times New Roman" w:hint="default"/>
        </w:rPr>
        <w:t>SAP</w:t>
      </w:r>
      <w:r>
        <w:rPr>
          <w:rFonts w:ascii="Times New Roman" w:hAnsi="Times New Roman" w:cs="Times New Roman" w:eastAsia="Times New Roman" w:hint="default"/>
          <w:spacing w:val="22"/>
        </w:rPr>
        <w:t> </w:t>
      </w:r>
      <w:r>
        <w:rPr/>
        <w:t>中国服务业务总经理；现任成为投资管理咨询（上海）有限公司董事总经理。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p>
    <w:p>
      <w:pPr>
        <w:pStyle w:val="BodyText"/>
        <w:spacing w:line="240" w:lineRule="auto" w:before="13"/>
        <w:ind w:right="0"/>
        <w:jc w:val="both"/>
      </w:pPr>
      <w:r>
        <w:rPr/>
        <w:t>起至今任本公司独立董事。</w:t>
      </w:r>
    </w:p>
    <w:p>
      <w:pPr>
        <w:pStyle w:val="BodyText"/>
        <w:spacing w:line="348" w:lineRule="auto" w:before="115"/>
        <w:ind w:right="100" w:firstLine="360"/>
        <w:jc w:val="both"/>
      </w:pPr>
      <w:r>
        <w:rPr>
          <w:spacing w:val="-1"/>
        </w:rPr>
        <w:t>宋思勤先生，</w:t>
      </w:r>
      <w:r>
        <w:rPr>
          <w:rFonts w:ascii="Times New Roman" w:hAnsi="Times New Roman" w:cs="Times New Roman" w:eastAsia="Times New Roman" w:hint="default"/>
          <w:spacing w:val="-1"/>
        </w:rPr>
        <w:t>1981</w:t>
      </w:r>
      <w:r>
        <w:rPr>
          <w:rFonts w:ascii="Times New Roman" w:hAnsi="Times New Roman" w:cs="Times New Roman" w:eastAsia="Times New Roman" w:hint="default"/>
          <w:spacing w:val="7"/>
        </w:rPr>
        <w:t> </w:t>
      </w:r>
      <w:r>
        <w:rPr>
          <w:spacing w:val="-2"/>
        </w:rPr>
        <w:t>年出生，中国国籍，无境外永久居留权，对外经济贸易大学管理学硕士。曾任职于美林证券（亚太）</w:t>
      </w:r>
      <w:r>
        <w:rPr/>
        <w:t> </w:t>
      </w:r>
      <w:r>
        <w:rPr>
          <w:spacing w:val="-4"/>
        </w:rPr>
        <w:t>有限公司、工商东亚金融控股有限公司及中信戴卡轮毂制造股份有限公司董事会办公室。现任和君集团有限公司资深合伙人，</w:t>
      </w:r>
      <w:r>
        <w:rPr>
          <w:spacing w:val="-44"/>
        </w:rPr>
        <w:t> </w:t>
      </w:r>
      <w:r>
        <w:rPr>
          <w:spacing w:val="-44"/>
        </w:rPr>
      </w:r>
      <w:r>
        <w:rPr/>
        <w:t>深圳新生资产管理有限公司创始合伙人，上海勤弘投资管理有限公司董事长，湖南泰嘉新材料科技股份有限公司独立董事。</w:t>
      </w:r>
    </w:p>
    <w:p>
      <w:pPr>
        <w:pStyle w:val="BodyText"/>
        <w:spacing w:line="338" w:lineRule="auto" w:before="34"/>
        <w:ind w:right="192" w:firstLine="360"/>
        <w:jc w:val="both"/>
      </w:pPr>
      <w:r>
        <w:rPr>
          <w:spacing w:val="-2"/>
        </w:rPr>
        <w:t>廖建中先生：</w:t>
      </w:r>
      <w:r>
        <w:rPr>
          <w:rFonts w:ascii="Times New Roman" w:hAnsi="Times New Roman" w:cs="Times New Roman" w:eastAsia="Times New Roman" w:hint="default"/>
          <w:spacing w:val="-2"/>
        </w:rPr>
        <w:t>1970</w:t>
      </w:r>
      <w:r>
        <w:rPr>
          <w:spacing w:val="-2"/>
        </w:rPr>
        <w:t>年出生，中国国籍，无境外永久居留权，硕士学历、注册会计师非执业资格。曾任职华宝国际控股有</w:t>
      </w:r>
      <w:r>
        <w:rPr/>
        <w:t> 限公司集团财务部副总经理、广东省金叶科技开发有限公司副总经理、财务总监职务，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月加入本公司，现任公司财 务负责人</w:t>
      </w:r>
      <w:r>
        <w:rPr>
          <w:rFonts w:ascii="Times New Roman" w:hAnsi="Times New Roman" w:cs="Times New Roman" w:eastAsia="Times New Roman" w:hint="default"/>
        </w:rPr>
        <w:t>/</w:t>
      </w:r>
      <w:r>
        <w:rPr/>
        <w:t>董事、上海利宣广告有限公司董事和新余益瑞投资合伙企业（有限合伙）有限合伙人。</w:t>
      </w:r>
    </w:p>
    <w:p>
      <w:pPr>
        <w:pStyle w:val="BodyText"/>
        <w:spacing w:line="338" w:lineRule="auto" w:before="19"/>
        <w:ind w:left="513" w:right="94"/>
        <w:jc w:val="left"/>
      </w:pPr>
      <w:r>
        <w:rPr>
          <w:rFonts w:ascii="Times New Roman" w:hAnsi="Times New Roman" w:cs="Times New Roman" w:eastAsia="Times New Roman" w:hint="default"/>
          <w:b/>
          <w:bCs/>
        </w:rPr>
        <w:t>2</w:t>
      </w:r>
      <w:r>
        <w:rPr>
          <w:rFonts w:ascii="宋体" w:hAnsi="宋体" w:cs="宋体" w:eastAsia="宋体" w:hint="default"/>
          <w:b/>
          <w:bCs/>
        </w:rPr>
        <w:t>、公司现任监事的任职情况</w:t>
      </w:r>
      <w:r>
        <w:rPr>
          <w:rFonts w:ascii="宋体" w:hAnsi="宋体" w:cs="宋体" w:eastAsia="宋体" w:hint="default"/>
          <w:b/>
          <w:bCs/>
          <w:w w:val="99"/>
        </w:rPr>
        <w:t> </w:t>
      </w:r>
      <w:r>
        <w:rPr>
          <w:spacing w:val="-2"/>
        </w:rPr>
        <w:t>曾惠明先生：</w:t>
      </w:r>
      <w:r>
        <w:rPr>
          <w:rFonts w:ascii="Times New Roman" w:hAnsi="Times New Roman" w:cs="Times New Roman" w:eastAsia="Times New Roman" w:hint="default"/>
          <w:spacing w:val="-2"/>
        </w:rPr>
        <w:t>1966</w:t>
      </w:r>
      <w:r>
        <w:rPr>
          <w:spacing w:val="-2"/>
        </w:rPr>
        <w:t>年出生，中国国籍，无境外永久居留权，大专学历。</w:t>
      </w:r>
      <w:r>
        <w:rPr>
          <w:rFonts w:ascii="Times New Roman" w:hAnsi="Times New Roman" w:cs="Times New Roman" w:eastAsia="Times New Roman" w:hint="default"/>
          <w:spacing w:val="-2"/>
        </w:rPr>
        <w:t>2007</w:t>
      </w:r>
      <w:r>
        <w:rPr>
          <w:spacing w:val="-2"/>
        </w:rPr>
        <w:t>年至今曾先后任职于深圳市实益达科技股份</w:t>
      </w:r>
    </w:p>
    <w:p>
      <w:pPr>
        <w:pStyle w:val="BodyText"/>
        <w:spacing w:line="240" w:lineRule="auto" w:before="20"/>
        <w:ind w:right="0"/>
        <w:jc w:val="both"/>
      </w:pPr>
      <w:r>
        <w:rPr/>
        <w:t>有限公司采购部、行政部等部门，现任行政部主管。</w:t>
      </w:r>
    </w:p>
    <w:p>
      <w:pPr>
        <w:pStyle w:val="BodyText"/>
        <w:spacing w:line="343" w:lineRule="auto" w:before="112"/>
        <w:ind w:right="189" w:firstLine="360"/>
        <w:jc w:val="both"/>
      </w:pPr>
      <w:r>
        <w:rPr/>
        <w:t>陈晓燕女士：</w:t>
      </w:r>
      <w:r>
        <w:rPr>
          <w:rFonts w:ascii="Times New Roman" w:hAnsi="Times New Roman" w:cs="Times New Roman" w:eastAsia="Times New Roman" w:hint="default"/>
        </w:rPr>
        <w:t>1983</w:t>
      </w:r>
      <w:r>
        <w:rPr>
          <w:rFonts w:ascii="Times New Roman" w:hAnsi="Times New Roman" w:cs="Times New Roman" w:eastAsia="Times New Roman" w:hint="default"/>
          <w:spacing w:val="24"/>
        </w:rPr>
        <w:t> </w:t>
      </w:r>
      <w:r>
        <w:rPr/>
        <w:t>年出生，中国国籍，无境外永久居留权，中专学历。</w:t>
      </w:r>
      <w:r>
        <w:rPr>
          <w:rFonts w:ascii="Times New Roman" w:hAnsi="Times New Roman" w:cs="Times New Roman" w:eastAsia="Times New Roman" w:hint="default"/>
        </w:rPr>
        <w:t>2003</w:t>
      </w:r>
      <w:r>
        <w:rPr/>
        <w:t>年至今任职于深圳市实益达科技股份有限 </w:t>
      </w:r>
      <w:r>
        <w:rPr>
          <w:spacing w:val="-2"/>
        </w:rPr>
        <w:t>公司人力资源部，</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w:t>
      </w:r>
      <w:r>
        <w:rPr>
          <w:spacing w:val="-2"/>
        </w:rPr>
        <w:t>日起至今任本公司非职工代表监事，兼任深圳市汇大光电科技股份有限公司监事，深圳市元通</w:t>
      </w:r>
      <w:r>
        <w:rPr>
          <w:spacing w:val="-59"/>
        </w:rPr>
        <w:t> </w:t>
      </w:r>
      <w:r>
        <w:rPr>
          <w:spacing w:val="-59"/>
        </w:rPr>
      </w:r>
      <w:r>
        <w:rPr>
          <w:spacing w:val="-2"/>
        </w:rPr>
        <w:t>孵化有限公司监事，深圳市实益达工业有限公司监事，深圳市实益达技术股份有限公司监事，深圳市实益达智能技术有限公</w:t>
      </w:r>
      <w:r>
        <w:rPr>
          <w:spacing w:val="-62"/>
        </w:rPr>
        <w:t> </w:t>
      </w:r>
      <w:r>
        <w:rPr>
          <w:spacing w:val="-62"/>
        </w:rPr>
      </w:r>
      <w:r>
        <w:rPr/>
        <w:t>司监事，深圳市昇泰物业有限公司监事，深圳市真源生命科学有限公司监事。</w:t>
      </w:r>
    </w:p>
    <w:p>
      <w:pPr>
        <w:pStyle w:val="BodyText"/>
        <w:spacing w:line="240" w:lineRule="auto" w:before="37"/>
        <w:ind w:left="513" w:right="94"/>
        <w:jc w:val="left"/>
      </w:pPr>
      <w:r>
        <w:rPr>
          <w:spacing w:val="-2"/>
        </w:rPr>
        <w:t>冯敏先生：男，</w:t>
      </w:r>
      <w:r>
        <w:rPr>
          <w:rFonts w:ascii="Times New Roman" w:hAnsi="Times New Roman" w:cs="Times New Roman" w:eastAsia="Times New Roman" w:hint="default"/>
          <w:spacing w:val="-2"/>
        </w:rPr>
        <w:t>1990</w:t>
      </w:r>
      <w:r>
        <w:rPr>
          <w:rFonts w:ascii="Times New Roman" w:hAnsi="Times New Roman" w:cs="Times New Roman" w:eastAsia="Times New Roman" w:hint="default"/>
        </w:rPr>
        <w:t> </w:t>
      </w:r>
      <w:r>
        <w:rPr>
          <w:rFonts w:ascii="Times New Roman" w:hAnsi="Times New Roman" w:cs="Times New Roman" w:eastAsia="Times New Roman" w:hint="default"/>
          <w:spacing w:val="31"/>
        </w:rPr>
        <w:t> </w:t>
      </w:r>
      <w:r>
        <w:rPr>
          <w:spacing w:val="-2"/>
        </w:rPr>
        <w:t>年出生，汉族，中国国籍，无境外永久居留权，本科学历。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月先后任职深圳</w:t>
      </w:r>
    </w:p>
    <w:p>
      <w:pPr>
        <w:spacing w:after="0" w:line="240" w:lineRule="auto"/>
        <w:jc w:val="left"/>
        <w:sectPr>
          <w:pgSz w:w="11910" w:h="16840"/>
          <w:pgMar w:header="745" w:footer="980" w:top="1060" w:bottom="1160" w:left="980" w:right="940"/>
        </w:sectPr>
      </w:pPr>
    </w:p>
    <w:p>
      <w:pPr>
        <w:spacing w:line="240" w:lineRule="auto" w:before="8"/>
        <w:rPr>
          <w:rFonts w:ascii="宋体" w:hAnsi="宋体" w:cs="宋体" w:eastAsia="宋体" w:hint="default"/>
          <w:sz w:val="22"/>
          <w:szCs w:val="22"/>
        </w:rPr>
      </w:pPr>
    </w:p>
    <w:p>
      <w:pPr>
        <w:pStyle w:val="BodyText"/>
        <w:spacing w:line="338" w:lineRule="auto" w:before="44"/>
        <w:ind w:left="441" w:right="94" w:hanging="289"/>
        <w:jc w:val="left"/>
      </w:pPr>
      <w:r>
        <w:rPr/>
        <w:t>市麦达数字股份有限公司法务助理、法务主管；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月至今任职深圳市实益达技术股份有限公司法务经理。 </w:t>
      </w:r>
      <w:r>
        <w:rPr>
          <w:rFonts w:ascii="Times New Roman" w:hAnsi="Times New Roman" w:cs="Times New Roman" w:eastAsia="Times New Roman" w:hint="default"/>
          <w:b/>
          <w:bCs/>
        </w:rPr>
        <w:t>3</w:t>
      </w:r>
      <w:r>
        <w:rPr>
          <w:rFonts w:ascii="宋体" w:hAnsi="宋体" w:cs="宋体" w:eastAsia="宋体" w:hint="default"/>
          <w:b/>
          <w:bCs/>
        </w:rPr>
        <w:t>、高级管理人员的任职情况</w:t>
      </w:r>
      <w:r>
        <w:rPr>
          <w:rFonts w:ascii="宋体" w:hAnsi="宋体" w:cs="宋体" w:eastAsia="宋体" w:hint="default"/>
          <w:b/>
          <w:bCs/>
          <w:w w:val="99"/>
        </w:rPr>
        <w:t> </w:t>
      </w:r>
      <w:r>
        <w:rPr/>
        <w:t>乔昕先生、廖建中先生和高礼强先生的简历参见</w:t>
      </w:r>
      <w:r>
        <w:rPr>
          <w:rFonts w:ascii="Times New Roman" w:hAnsi="Times New Roman" w:cs="Times New Roman" w:eastAsia="Times New Roman" w:hint="default"/>
        </w:rPr>
        <w:t>“</w:t>
      </w:r>
      <w:r>
        <w:rPr/>
        <w:t>本节、（三）、</w:t>
      </w:r>
      <w:r>
        <w:rPr>
          <w:rFonts w:ascii="Times New Roman" w:hAnsi="Times New Roman" w:cs="Times New Roman" w:eastAsia="Times New Roman" w:hint="default"/>
        </w:rPr>
        <w:t>1</w:t>
      </w:r>
      <w:r>
        <w:rPr/>
        <w:t>、公司现任董事的任职情况</w:t>
      </w:r>
      <w:r>
        <w:rPr>
          <w:rFonts w:ascii="Times New Roman" w:hAnsi="Times New Roman" w:cs="Times New Roman" w:eastAsia="Times New Roman" w:hint="default"/>
        </w:rPr>
        <w:t>”</w:t>
      </w:r>
      <w:r>
        <w:rPr/>
        <w:t>。 </w:t>
      </w:r>
      <w:r>
        <w:rPr>
          <w:spacing w:val="-2"/>
        </w:rPr>
        <w:t>朱蕾女士：</w:t>
      </w:r>
      <w:r>
        <w:rPr>
          <w:rFonts w:ascii="Times New Roman" w:hAnsi="Times New Roman" w:cs="Times New Roman" w:eastAsia="Times New Roman" w:hint="default"/>
          <w:spacing w:val="-2"/>
        </w:rPr>
        <w:t>1984</w:t>
      </w:r>
      <w:r>
        <w:rPr>
          <w:spacing w:val="-2"/>
        </w:rPr>
        <w:t>年出生，中国国籍，无境外永久居留权，硕士研究生学历。曾任职于</w:t>
      </w:r>
      <w:r>
        <w:rPr>
          <w:rFonts w:ascii="Times New Roman" w:hAnsi="Times New Roman" w:cs="Times New Roman" w:eastAsia="Times New Roman" w:hint="default"/>
          <w:spacing w:val="-2"/>
        </w:rPr>
        <w:t>DTZ</w:t>
      </w:r>
      <w:r>
        <w:rPr>
          <w:spacing w:val="-2"/>
        </w:rPr>
        <w:t>戴德梁行深圳公司工业物流部、</w:t>
      </w:r>
    </w:p>
    <w:p>
      <w:pPr>
        <w:pStyle w:val="BodyText"/>
        <w:spacing w:line="336" w:lineRule="auto" w:before="19"/>
        <w:ind w:right="184"/>
        <w:jc w:val="left"/>
      </w:pPr>
      <w:r>
        <w:rPr/>
        <w:t>浙江星星瑞金科技股份有限公司董事会办公室，</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月加入公司，现任公司副总裁、董事会秘书，兼任新余益瑞投资合</w:t>
      </w:r>
      <w:r>
        <w:rPr>
          <w:spacing w:val="-85"/>
        </w:rPr>
        <w:t> </w:t>
      </w:r>
      <w:r>
        <w:rPr>
          <w:spacing w:val="-85"/>
        </w:rPr>
      </w:r>
      <w:r>
        <w:rPr/>
        <w:t>伙企业（有限合伙）有限合伙人。</w:t>
      </w:r>
    </w:p>
    <w:p>
      <w:pPr>
        <w:pStyle w:val="BodyText"/>
        <w:spacing w:line="240" w:lineRule="auto" w:before="124"/>
        <w:ind w:right="254"/>
        <w:jc w:val="left"/>
      </w:pPr>
      <w:r>
        <w:rPr/>
        <w:t>在股东单位任职情况</w:t>
      </w:r>
    </w:p>
    <w:p>
      <w:pPr>
        <w:pStyle w:val="BodyText"/>
        <w:spacing w:line="240" w:lineRule="auto" w:before="117"/>
        <w:ind w:right="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7"/>
        <w:gridCol w:w="3037"/>
        <w:gridCol w:w="1272"/>
        <w:gridCol w:w="1212"/>
        <w:gridCol w:w="1346"/>
        <w:gridCol w:w="1486"/>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71" w:right="89" w:hanging="180"/>
              <w:jc w:val="left"/>
              <w:rPr>
                <w:rFonts w:ascii="宋体" w:hAnsi="宋体" w:cs="宋体" w:eastAsia="宋体" w:hint="default"/>
                <w:sz w:val="18"/>
                <w:szCs w:val="18"/>
              </w:rPr>
            </w:pPr>
            <w:r>
              <w:rPr>
                <w:rFonts w:ascii="宋体" w:hAnsi="宋体" w:cs="宋体" w:eastAsia="宋体" w:hint="default"/>
                <w:sz w:val="18"/>
                <w:szCs w:val="18"/>
              </w:rPr>
              <w:t>在股东单位担 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97" w:right="106"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6"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宋思勤</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新余海和投资管理中心（有限合伙）</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执行事务合伙 人委派代表</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254"/>
        <w:jc w:val="left"/>
      </w:pPr>
      <w:r>
        <w:rPr/>
        <w:t>在其他单位任职情况</w:t>
      </w:r>
    </w:p>
    <w:p>
      <w:pPr>
        <w:pStyle w:val="BodyText"/>
        <w:spacing w:line="240" w:lineRule="auto" w:before="115"/>
        <w:ind w:right="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2"/>
        <w:gridCol w:w="3118"/>
        <w:gridCol w:w="1133"/>
        <w:gridCol w:w="1560"/>
        <w:gridCol w:w="1560"/>
        <w:gridCol w:w="1344"/>
      </w:tblGrid>
      <w:tr>
        <w:trPr>
          <w:trHeight w:val="71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0" w:right="60" w:hanging="181"/>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2" w:right="108"/>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7" w:right="35"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无锡实益达电子有限公司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实益达科技（香港）有限公司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拉萨市冠德成科技发展有限公司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凯扬商贸（香港）有限公司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深圳前海实益达投资发展有限公司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深圳市日升投资有限公司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深圳市晨杨投资合伙企业（有限合伙）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新余元通投资管理有限公司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深圳市前海麦达数字有限公司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Mindata Holding</w:t>
            </w:r>
            <w:r>
              <w:rPr>
                <w:rFonts w:ascii="Times New Roman"/>
                <w:spacing w:val="-7"/>
                <w:sz w:val="18"/>
              </w:rPr>
              <w:t> </w:t>
            </w:r>
            <w:r>
              <w:rPr>
                <w:rFonts w:ascii="Times New Roman"/>
                <w:sz w:val="18"/>
              </w:rPr>
              <w:t>Co.,Ltd</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乔昕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百华科技发展有限公司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乔昕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广州讯友数码科技有限公司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乔昕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拉萨市冠德成科技发展有限公司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乔昕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深圳前海实益达投资发展有限公司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乔昕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深圳前海实益达投资发展有限公司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乔昕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深圳市电明科技有限责任公司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乔昕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深圳市电明科技股份有限公司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乔昕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深圳市汇大光电科技有限公司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52"/>
        <w:gridCol w:w="3118"/>
        <w:gridCol w:w="1133"/>
        <w:gridCol w:w="1560"/>
        <w:gridCol w:w="1560"/>
        <w:gridCol w:w="1344"/>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乔昕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深圳市汇大光电科技股份有限公司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乔昕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无锡实益达电子有限公司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乔昕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无锡实益达照明科技有限公司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乔昕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新余益瑞投资合伙企业（有限合伙）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乔昕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深圳市日升投资有限公司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乔昕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上海顺为广告传播有限公司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乔昕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深圳市实益达技术股份有限公司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乔昕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新余元通投资管理有限公司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乔昕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深圳市真源生命科学有限公司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乔昕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深圳市六度人和科技有限公司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乔昕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北京麦达数字技术服务有限公司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乔昕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奇思国际广告（北京）有限公司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廖建中</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上海利宣广告有限公司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朱蕾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深圳前海实益达投资发展有限公司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陈晓燕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深圳市汇大光电科技股份有限公司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陈晓燕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深圳市元通孵化有限公司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陈晓燕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深圳市实益达工业有限公司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陈晓燕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深圳市昇泰物业有限公司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陈晓燕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深圳市永康装饰有限公司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陈晓燕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深圳市实益达智能技术有限公司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陈晓燕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深圳市真源生命科学有限公司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陈晓燕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深圳市实益达技术股份有限公司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34" w:right="136" w:firstLine="3"/>
              <w:jc w:val="center"/>
              <w:rPr>
                <w:rFonts w:ascii="Times New Roman" w:hAnsi="Times New Roman" w:cs="Times New Roman" w:eastAsia="Times New Roman" w:hint="default"/>
                <w:sz w:val="18"/>
                <w:szCs w:val="18"/>
              </w:rPr>
            </w:pPr>
            <w:r>
              <w:rPr>
                <w:rFonts w:ascii="Times New Roman"/>
                <w:sz w:val="18"/>
              </w:rPr>
              <w:t>Xuan Richard </w:t>
            </w:r>
            <w:r>
              <w:rPr>
                <w:rFonts w:ascii="Times New Roman"/>
                <w:spacing w:val="-3"/>
                <w:sz w:val="18"/>
              </w:rPr>
              <w:t>Gu</w:t>
            </w:r>
            <w:r>
              <w:rPr>
                <w:rFonts w:ascii="Times New Roman"/>
                <w:sz w:val="18"/>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 w:right="0"/>
              <w:jc w:val="center"/>
              <w:rPr>
                <w:rFonts w:ascii="宋体" w:hAnsi="宋体" w:cs="宋体" w:eastAsia="宋体" w:hint="default"/>
                <w:sz w:val="18"/>
                <w:szCs w:val="18"/>
              </w:rPr>
            </w:pPr>
            <w:r>
              <w:rPr>
                <w:rFonts w:ascii="宋体" w:hAnsi="宋体" w:cs="宋体" w:eastAsia="宋体" w:hint="default"/>
                <w:sz w:val="18"/>
                <w:szCs w:val="18"/>
              </w:rPr>
              <w:t>成为投资管理咨询（上海）有限公司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134" w:right="136" w:firstLine="3"/>
              <w:jc w:val="center"/>
              <w:rPr>
                <w:rFonts w:ascii="Times New Roman" w:hAnsi="Times New Roman" w:cs="Times New Roman" w:eastAsia="Times New Roman" w:hint="default"/>
                <w:sz w:val="18"/>
                <w:szCs w:val="18"/>
              </w:rPr>
            </w:pPr>
            <w:r>
              <w:rPr>
                <w:rFonts w:ascii="Times New Roman"/>
                <w:sz w:val="18"/>
              </w:rPr>
              <w:t>Xuan Richard </w:t>
            </w:r>
            <w:r>
              <w:rPr>
                <w:rFonts w:ascii="Times New Roman"/>
                <w:spacing w:val="-3"/>
                <w:sz w:val="18"/>
              </w:rPr>
              <w:t>Gu</w:t>
            </w:r>
            <w:r>
              <w:rPr>
                <w:rFonts w:ascii="Times New Roman"/>
                <w:sz w:val="18"/>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Chengwei</w:t>
            </w:r>
            <w:r>
              <w:rPr>
                <w:rFonts w:ascii="Times New Roman"/>
                <w:spacing w:val="-9"/>
                <w:sz w:val="18"/>
              </w:rPr>
              <w:t> </w:t>
            </w:r>
            <w:r>
              <w:rPr>
                <w:rFonts w:ascii="Times New Roman"/>
                <w:spacing w:val="-2"/>
                <w:sz w:val="18"/>
              </w:rPr>
              <w:t>Ventures,LLC</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34" w:right="136" w:firstLine="3"/>
              <w:jc w:val="center"/>
              <w:rPr>
                <w:rFonts w:ascii="Times New Roman" w:hAnsi="Times New Roman" w:cs="Times New Roman" w:eastAsia="Times New Roman" w:hint="default"/>
                <w:sz w:val="18"/>
                <w:szCs w:val="18"/>
              </w:rPr>
            </w:pPr>
            <w:r>
              <w:rPr>
                <w:rFonts w:ascii="Times New Roman"/>
                <w:sz w:val="18"/>
              </w:rPr>
              <w:t>Xuan Richard </w:t>
            </w:r>
            <w:r>
              <w:rPr>
                <w:rFonts w:ascii="Times New Roman"/>
                <w:spacing w:val="-3"/>
                <w:sz w:val="18"/>
              </w:rPr>
              <w:t>Gu</w:t>
            </w:r>
            <w:r>
              <w:rPr>
                <w:rFonts w:ascii="Times New Roman"/>
                <w:sz w:val="18"/>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 w:right="0"/>
              <w:jc w:val="center"/>
              <w:rPr>
                <w:rFonts w:ascii="宋体" w:hAnsi="宋体" w:cs="宋体" w:eastAsia="宋体" w:hint="default"/>
                <w:sz w:val="18"/>
                <w:szCs w:val="18"/>
              </w:rPr>
            </w:pPr>
            <w:r>
              <w:rPr>
                <w:rFonts w:ascii="宋体" w:hAnsi="宋体" w:cs="宋体" w:eastAsia="宋体" w:hint="default"/>
                <w:sz w:val="18"/>
                <w:szCs w:val="18"/>
              </w:rPr>
              <w:t>上海诚甲信息技术有限公司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Xuan</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北京蓝海讯通科技股份有限公司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52"/>
        <w:gridCol w:w="3118"/>
        <w:gridCol w:w="1133"/>
        <w:gridCol w:w="1560"/>
        <w:gridCol w:w="1560"/>
        <w:gridCol w:w="1344"/>
      </w:tblGrid>
      <w:tr>
        <w:trPr>
          <w:trHeight w:val="67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310" w:right="136" w:hanging="176"/>
              <w:jc w:val="left"/>
              <w:rPr>
                <w:rFonts w:ascii="Times New Roman" w:hAnsi="Times New Roman" w:cs="Times New Roman" w:eastAsia="Times New Roman" w:hint="default"/>
                <w:sz w:val="18"/>
                <w:szCs w:val="18"/>
              </w:rPr>
            </w:pPr>
            <w:r>
              <w:rPr>
                <w:rFonts w:ascii="Times New Roman"/>
                <w:sz w:val="18"/>
              </w:rPr>
              <w:t>Richard </w:t>
            </w:r>
            <w:r>
              <w:rPr>
                <w:rFonts w:ascii="Times New Roman"/>
                <w:spacing w:val="-3"/>
                <w:sz w:val="18"/>
              </w:rPr>
              <w:t>Gu</w:t>
            </w:r>
            <w:r>
              <w:rPr>
                <w:rFonts w:ascii="Times New Roman"/>
                <w:sz w:val="18"/>
              </w:rPr>
            </w:r>
          </w:p>
        </w:tc>
        <w:tc>
          <w:tcPr>
            <w:tcW w:w="31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34" w:right="136" w:firstLine="3"/>
              <w:jc w:val="center"/>
              <w:rPr>
                <w:rFonts w:ascii="Times New Roman" w:hAnsi="Times New Roman" w:cs="Times New Roman" w:eastAsia="Times New Roman" w:hint="default"/>
                <w:sz w:val="18"/>
                <w:szCs w:val="18"/>
              </w:rPr>
            </w:pPr>
            <w:r>
              <w:rPr>
                <w:rFonts w:ascii="Times New Roman"/>
                <w:sz w:val="18"/>
              </w:rPr>
              <w:t>Xuan Richard </w:t>
            </w:r>
            <w:r>
              <w:rPr>
                <w:rFonts w:ascii="Times New Roman"/>
                <w:spacing w:val="-3"/>
                <w:sz w:val="18"/>
              </w:rPr>
              <w:t>Gu</w:t>
            </w:r>
            <w:r>
              <w:rPr>
                <w:rFonts w:ascii="Times New Roman"/>
                <w:sz w:val="18"/>
              </w:rPr>
            </w:r>
          </w:p>
        </w:tc>
        <w:tc>
          <w:tcPr>
            <w:tcW w:w="311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41"/>
              <w:jc w:val="center"/>
              <w:rPr>
                <w:rFonts w:ascii="宋体" w:hAnsi="宋体" w:cs="宋体" w:eastAsia="宋体" w:hint="default"/>
                <w:sz w:val="18"/>
                <w:szCs w:val="18"/>
              </w:rPr>
            </w:pPr>
            <w:r>
              <w:rPr>
                <w:rFonts w:ascii="宋体" w:hAnsi="宋体" w:cs="宋体" w:eastAsia="宋体" w:hint="default"/>
                <w:spacing w:val="-4"/>
                <w:sz w:val="18"/>
                <w:szCs w:val="18"/>
              </w:rPr>
              <w:t>上海会甲信息技术有限公司（</w:t>
            </w:r>
            <w:r>
              <w:rPr>
                <w:rFonts w:ascii="Times New Roman" w:hAnsi="Times New Roman" w:cs="Times New Roman" w:eastAsia="Times New Roman" w:hint="default"/>
                <w:spacing w:val="-4"/>
                <w:sz w:val="18"/>
                <w:szCs w:val="18"/>
              </w:rPr>
              <w:t>HotelGG</w:t>
            </w:r>
            <w:r>
              <w:rPr>
                <w:rFonts w:ascii="宋体" w:hAnsi="宋体" w:cs="宋体" w:eastAsia="宋体" w:hint="default"/>
                <w:spacing w:val="-4"/>
                <w:sz w:val="18"/>
                <w:szCs w:val="18"/>
              </w:rPr>
              <w:t>）</w:t>
            </w:r>
            <w:r>
              <w:rPr>
                <w:rFonts w:ascii="宋体" w:hAnsi="宋体" w:cs="宋体" w:eastAsia="宋体" w:hint="default"/>
                <w:sz w:val="18"/>
                <w:szCs w:val="18"/>
              </w:rPr>
            </w:r>
          </w:p>
        </w:tc>
        <w:tc>
          <w:tcPr>
            <w:tcW w:w="113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6" w:right="0"/>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391" w:lineRule="exact"/>
              <w:ind w:left="16"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53.9pt;height:19.6pt;mso-position-horizontal-relative:char;mso-position-vertical-relative:line" coordorigin="0,0" coordsize="1078,392">
                  <v:group style="position:absolute;left:0;top:0;width:1078;height:392" coordorigin="0,0" coordsize="1078,392">
                    <v:shape style="position:absolute;left:0;top:0;width:1078;height:392" coordorigin="0,0" coordsize="1078,392" path="m0,391l1078,391,1078,0,0,0,0,391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pStyle w:val="TableParagraph"/>
              <w:spacing w:line="240" w:lineRule="auto" w:before="2"/>
              <w:ind w:right="0"/>
              <w:jc w:val="left"/>
              <w:rPr>
                <w:rFonts w:ascii="Times New Roman" w:hAnsi="Times New Roman" w:cs="Times New Roman" w:eastAsia="Times New Roman" w:hint="default"/>
                <w:sz w:val="27"/>
                <w:szCs w:val="27"/>
              </w:rPr>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34" w:right="136" w:firstLine="3"/>
              <w:jc w:val="center"/>
              <w:rPr>
                <w:rFonts w:ascii="Times New Roman" w:hAnsi="Times New Roman" w:cs="Times New Roman" w:eastAsia="Times New Roman" w:hint="default"/>
                <w:sz w:val="18"/>
                <w:szCs w:val="18"/>
              </w:rPr>
            </w:pPr>
            <w:r>
              <w:rPr>
                <w:rFonts w:ascii="Times New Roman"/>
                <w:sz w:val="18"/>
              </w:rPr>
              <w:t>Xuan Richard </w:t>
            </w:r>
            <w:r>
              <w:rPr>
                <w:rFonts w:ascii="Times New Roman"/>
                <w:spacing w:val="-3"/>
                <w:sz w:val="18"/>
              </w:rPr>
              <w:t>Gu</w:t>
            </w:r>
            <w:r>
              <w:rPr>
                <w:rFonts w:ascii="Times New Roman"/>
                <w:sz w:val="18"/>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AINEMO</w:t>
            </w:r>
            <w:r>
              <w:rPr>
                <w:rFonts w:ascii="Times New Roman"/>
                <w:spacing w:val="-4"/>
                <w:sz w:val="18"/>
              </w:rPr>
              <w:t> </w:t>
            </w:r>
            <w:r>
              <w:rPr>
                <w:rFonts w:ascii="Times New Roman"/>
                <w:sz w:val="18"/>
              </w:rPr>
              <w:t>INC.</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34" w:right="136" w:firstLine="3"/>
              <w:jc w:val="center"/>
              <w:rPr>
                <w:rFonts w:ascii="Times New Roman" w:hAnsi="Times New Roman" w:cs="Times New Roman" w:eastAsia="Times New Roman" w:hint="default"/>
                <w:sz w:val="18"/>
                <w:szCs w:val="18"/>
              </w:rPr>
            </w:pPr>
            <w:r>
              <w:rPr>
                <w:rFonts w:ascii="Times New Roman"/>
                <w:sz w:val="18"/>
              </w:rPr>
              <w:t>Xuan Richard </w:t>
            </w:r>
            <w:r>
              <w:rPr>
                <w:rFonts w:ascii="Times New Roman"/>
                <w:spacing w:val="-3"/>
                <w:sz w:val="18"/>
              </w:rPr>
              <w:t>Gu</w:t>
            </w:r>
            <w:r>
              <w:rPr>
                <w:rFonts w:ascii="Times New Roman"/>
                <w:sz w:val="18"/>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上海先烁信息科技有限公司（</w:t>
            </w:r>
            <w:r>
              <w:rPr>
                <w:rFonts w:ascii="Times New Roman" w:hAnsi="Times New Roman" w:cs="Times New Roman" w:eastAsia="Times New Roman" w:hint="default"/>
                <w:sz w:val="18"/>
                <w:szCs w:val="18"/>
              </w:rPr>
              <w:t>oTMS</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34" w:right="136" w:firstLine="3"/>
              <w:jc w:val="center"/>
              <w:rPr>
                <w:rFonts w:ascii="Times New Roman" w:hAnsi="Times New Roman" w:cs="Times New Roman" w:eastAsia="Times New Roman" w:hint="default"/>
                <w:sz w:val="18"/>
                <w:szCs w:val="18"/>
              </w:rPr>
            </w:pPr>
            <w:r>
              <w:rPr>
                <w:rFonts w:ascii="Times New Roman"/>
                <w:sz w:val="18"/>
              </w:rPr>
              <w:t>Xuan Richard </w:t>
            </w:r>
            <w:r>
              <w:rPr>
                <w:rFonts w:ascii="Times New Roman"/>
                <w:spacing w:val="-3"/>
                <w:sz w:val="18"/>
              </w:rPr>
              <w:t>Gu</w:t>
            </w:r>
            <w:r>
              <w:rPr>
                <w:rFonts w:ascii="Times New Roman"/>
                <w:sz w:val="18"/>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 w:right="0"/>
              <w:jc w:val="center"/>
              <w:rPr>
                <w:rFonts w:ascii="宋体" w:hAnsi="宋体" w:cs="宋体" w:eastAsia="宋体" w:hint="default"/>
                <w:sz w:val="18"/>
                <w:szCs w:val="18"/>
              </w:rPr>
            </w:pPr>
            <w:r>
              <w:rPr>
                <w:rFonts w:ascii="宋体" w:hAnsi="宋体" w:cs="宋体" w:eastAsia="宋体" w:hint="default"/>
                <w:sz w:val="18"/>
                <w:szCs w:val="18"/>
              </w:rPr>
              <w:t>优识云创（北京）科技有限公司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34" w:right="136" w:firstLine="3"/>
              <w:jc w:val="center"/>
              <w:rPr>
                <w:rFonts w:ascii="Times New Roman" w:hAnsi="Times New Roman" w:cs="Times New Roman" w:eastAsia="Times New Roman" w:hint="default"/>
                <w:sz w:val="18"/>
                <w:szCs w:val="18"/>
              </w:rPr>
            </w:pPr>
            <w:r>
              <w:rPr>
                <w:rFonts w:ascii="Times New Roman"/>
                <w:sz w:val="18"/>
              </w:rPr>
              <w:t>Xuan Richard </w:t>
            </w:r>
            <w:r>
              <w:rPr>
                <w:rFonts w:ascii="Times New Roman"/>
                <w:spacing w:val="-3"/>
                <w:sz w:val="18"/>
              </w:rPr>
              <w:t>Gu</w:t>
            </w:r>
            <w:r>
              <w:rPr>
                <w:rFonts w:ascii="Times New Roman"/>
                <w:sz w:val="18"/>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北京市百川快线网络科技有限公司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34" w:right="136" w:firstLine="3"/>
              <w:jc w:val="center"/>
              <w:rPr>
                <w:rFonts w:ascii="Times New Roman" w:hAnsi="Times New Roman" w:cs="Times New Roman" w:eastAsia="Times New Roman" w:hint="default"/>
                <w:sz w:val="18"/>
                <w:szCs w:val="18"/>
              </w:rPr>
            </w:pPr>
            <w:r>
              <w:rPr>
                <w:rFonts w:ascii="Times New Roman"/>
                <w:sz w:val="18"/>
              </w:rPr>
              <w:t>Xuan Richard </w:t>
            </w:r>
            <w:r>
              <w:rPr>
                <w:rFonts w:ascii="Times New Roman"/>
                <w:spacing w:val="-3"/>
                <w:sz w:val="18"/>
              </w:rPr>
              <w:t>Gu</w:t>
            </w:r>
            <w:r>
              <w:rPr>
                <w:rFonts w:ascii="Times New Roman"/>
                <w:sz w:val="18"/>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 w:right="0"/>
              <w:jc w:val="center"/>
              <w:rPr>
                <w:rFonts w:ascii="宋体" w:hAnsi="宋体" w:cs="宋体" w:eastAsia="宋体" w:hint="default"/>
                <w:sz w:val="18"/>
                <w:szCs w:val="18"/>
              </w:rPr>
            </w:pPr>
            <w:r>
              <w:rPr>
                <w:rFonts w:ascii="宋体" w:hAnsi="宋体" w:cs="宋体" w:eastAsia="宋体" w:hint="default"/>
                <w:sz w:val="18"/>
                <w:szCs w:val="18"/>
              </w:rPr>
              <w:t>深圳市云之讯网络技术有限公司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34" w:right="136" w:firstLine="3"/>
              <w:jc w:val="center"/>
              <w:rPr>
                <w:rFonts w:ascii="Times New Roman" w:hAnsi="Times New Roman" w:cs="Times New Roman" w:eastAsia="Times New Roman" w:hint="default"/>
                <w:sz w:val="18"/>
                <w:szCs w:val="18"/>
              </w:rPr>
            </w:pPr>
            <w:r>
              <w:rPr>
                <w:rFonts w:ascii="Times New Roman"/>
                <w:sz w:val="18"/>
              </w:rPr>
              <w:t>Xuan Richard </w:t>
            </w:r>
            <w:r>
              <w:rPr>
                <w:rFonts w:ascii="Times New Roman"/>
                <w:spacing w:val="-3"/>
                <w:sz w:val="18"/>
              </w:rPr>
              <w:t>Gu</w:t>
            </w:r>
            <w:r>
              <w:rPr>
                <w:rFonts w:ascii="Times New Roman"/>
                <w:sz w:val="18"/>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 w:right="0"/>
              <w:jc w:val="center"/>
              <w:rPr>
                <w:rFonts w:ascii="宋体" w:hAnsi="宋体" w:cs="宋体" w:eastAsia="宋体" w:hint="default"/>
                <w:sz w:val="18"/>
                <w:szCs w:val="18"/>
              </w:rPr>
            </w:pPr>
            <w:r>
              <w:rPr>
                <w:rFonts w:ascii="宋体" w:hAnsi="宋体" w:cs="宋体" w:eastAsia="宋体" w:hint="default"/>
                <w:sz w:val="18"/>
                <w:szCs w:val="18"/>
              </w:rPr>
              <w:t>上海鑫谊麟禾科技有限公司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梁华权</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佛山市国星光电股份有限公司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梁华权</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远光软件股份有限公司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梁华权</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常州中英科技股份有限公司（非上市）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梁华权</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463" w:right="22" w:hanging="1440"/>
              <w:jc w:val="left"/>
              <w:rPr>
                <w:rFonts w:ascii="宋体" w:hAnsi="宋体" w:cs="宋体" w:eastAsia="宋体" w:hint="default"/>
                <w:sz w:val="18"/>
                <w:szCs w:val="18"/>
              </w:rPr>
            </w:pPr>
            <w:r>
              <w:rPr>
                <w:rFonts w:ascii="宋体" w:hAnsi="宋体" w:cs="宋体" w:eastAsia="宋体" w:hint="default"/>
                <w:sz w:val="18"/>
                <w:szCs w:val="18"/>
              </w:rPr>
              <w:t>珠海恒基达鑫国际化工仓储股份有限公 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梁华权</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上海信公企业管理咨询有限公司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梁华权</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深圳信公企业管理咨询有限公司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宋思勤</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北京和思资产管理有限公司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宋思勤</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北京新生众联资产管理有限公司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宋思勤</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新余和思投资管理中心（有限合伙）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宋思勤</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上海勤弘投资管理有限公司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宋思勤</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深圳新生资产管理有限公司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创始合伙人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52"/>
        <w:gridCol w:w="3118"/>
        <w:gridCol w:w="1133"/>
        <w:gridCol w:w="1560"/>
        <w:gridCol w:w="1560"/>
        <w:gridCol w:w="1344"/>
      </w:tblGrid>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宋思勤</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北京和君咨询有限公司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历任合伙人、 资深合伙人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宋思勤</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湖南泰嘉新材料科技股份有限公司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洪兵</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南京中电熊猫照明有限公司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洪兵</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375" w:right="22" w:hanging="1352"/>
              <w:jc w:val="left"/>
              <w:rPr>
                <w:rFonts w:ascii="宋体" w:hAnsi="宋体" w:cs="宋体" w:eastAsia="宋体" w:hint="default"/>
                <w:sz w:val="18"/>
                <w:szCs w:val="18"/>
              </w:rPr>
            </w:pPr>
            <w:r>
              <w:rPr>
                <w:rFonts w:ascii="宋体" w:hAnsi="宋体" w:cs="宋体" w:eastAsia="宋体" w:hint="default"/>
                <w:sz w:val="18"/>
                <w:szCs w:val="18"/>
              </w:rPr>
              <w:t>无锡明课堂企业管理咨询中心（有限合 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7" w:firstLine="91"/>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洪兵</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无锡立德时代科技有限公司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马旗戟</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中国商务广告协会数字营销研究中心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马旗戟</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83" w:right="22" w:hanging="1260"/>
              <w:jc w:val="left"/>
              <w:rPr>
                <w:rFonts w:ascii="宋体" w:hAnsi="宋体" w:cs="宋体" w:eastAsia="宋体" w:hint="default"/>
                <w:sz w:val="18"/>
                <w:szCs w:val="18"/>
              </w:rPr>
            </w:pPr>
            <w:r>
              <w:rPr>
                <w:rFonts w:ascii="宋体" w:hAnsi="宋体" w:cs="宋体" w:eastAsia="宋体" w:hint="default"/>
                <w:sz w:val="18"/>
                <w:szCs w:val="18"/>
              </w:rPr>
              <w:t>宁波宇宸股权投资管理合伙企业（有限 合伙）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有限合伙人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曹军波</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上海新文化传媒集团股份有限公司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曹军波</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463" w:right="22" w:hanging="1440"/>
              <w:jc w:val="left"/>
              <w:rPr>
                <w:rFonts w:ascii="宋体" w:hAnsi="宋体" w:cs="宋体" w:eastAsia="宋体" w:hint="default"/>
                <w:sz w:val="18"/>
                <w:szCs w:val="18"/>
              </w:rPr>
            </w:pPr>
            <w:r>
              <w:rPr>
                <w:rFonts w:ascii="宋体" w:hAnsi="宋体" w:cs="宋体" w:eastAsia="宋体" w:hint="default"/>
                <w:sz w:val="18"/>
                <w:szCs w:val="18"/>
              </w:rPr>
              <w:t>宁波梅山保税港区佰兴投资管理有限公 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研究部负责 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高礼强</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芜湖集信通达企业管理咨询合伙企业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高礼强</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北京麦达数字技术服务有限公司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在其他单 位任职情 况的说明</w:t>
            </w:r>
          </w:p>
        </w:tc>
        <w:tc>
          <w:tcPr>
            <w:tcW w:w="8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254"/>
        <w:jc w:val="left"/>
      </w:pPr>
      <w:r>
        <w:rPr/>
        <w:t>公司现任及报告期内离任董事、监事和高级管理人员近三年证券监管机构处罚的情况</w:t>
      </w:r>
    </w:p>
    <w:p>
      <w:pPr>
        <w:pStyle w:val="BodyText"/>
        <w:spacing w:line="240" w:lineRule="auto" w:before="115"/>
        <w:ind w:right="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254"/>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3" w:right="94" w:hanging="361"/>
        <w:jc w:val="left"/>
      </w:pPr>
      <w:r>
        <w:rPr/>
        <w:t>董事、监事、高级管理人员报酬的决策程序、确定依据、实际支付情况 </w:t>
      </w:r>
      <w:r>
        <w:rPr>
          <w:spacing w:val="-2"/>
        </w:rPr>
        <w:t>公司董事、监事、高级管理人员报酬的决策程序是依据董事会和监事会成员的报酬和支付方法由股东大会确定，高级管</w:t>
      </w:r>
    </w:p>
    <w:p>
      <w:pPr>
        <w:pStyle w:val="BodyText"/>
        <w:spacing w:line="355" w:lineRule="auto" w:before="57"/>
        <w:ind w:left="513" w:right="94" w:hanging="361"/>
        <w:jc w:val="left"/>
      </w:pPr>
      <w:r>
        <w:rPr/>
        <w:t>理人员的报酬和支付方法由总裁提议并报董事会确定。 </w:t>
      </w:r>
      <w:r>
        <w:rPr>
          <w:spacing w:val="-2"/>
        </w:rPr>
        <w:t>董事、监事、高级管理人员报酬确定依据是按照《公司章程》的规定，根据岗位的主要范围、职责、重要性以及其他相</w:t>
      </w:r>
    </w:p>
    <w:p>
      <w:pPr>
        <w:pStyle w:val="BodyText"/>
        <w:spacing w:line="357" w:lineRule="auto" w:before="28"/>
        <w:ind w:left="513" w:right="93" w:hanging="361"/>
        <w:jc w:val="left"/>
      </w:pPr>
      <w:r>
        <w:rPr/>
        <w:t>关企业相关岗位的薪酬水平确定董事、监事和高级管理人员的报酬。 董事、监事和高级管理人员报酬的实际支付情况为，根据公司相关规定，如期支付董事、监事和高级管理人员的报酬。</w:t>
      </w:r>
    </w:p>
    <w:p>
      <w:pPr>
        <w:spacing w:line="240" w:lineRule="auto" w:before="9"/>
        <w:rPr>
          <w:rFonts w:ascii="宋体" w:hAnsi="宋体" w:cs="宋体" w:eastAsia="宋体" w:hint="default"/>
          <w:sz w:val="28"/>
          <w:szCs w:val="28"/>
        </w:rPr>
      </w:pPr>
    </w:p>
    <w:p>
      <w:pPr>
        <w:pStyle w:val="BodyText"/>
        <w:spacing w:line="240" w:lineRule="auto" w:before="44"/>
        <w:ind w:right="254"/>
        <w:jc w:val="left"/>
      </w:pPr>
      <w:r>
        <w:rPr/>
        <w:t>公司报告期内董事、监事和高级管理人员报酬情况</w:t>
      </w:r>
    </w:p>
    <w:p>
      <w:pPr>
        <w:pStyle w:val="BodyText"/>
        <w:spacing w:line="240" w:lineRule="auto" w:before="118"/>
        <w:ind w:left="0" w:right="19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466"/>
        <w:gridCol w:w="1270"/>
        <w:gridCol w:w="1366"/>
        <w:gridCol w:w="1368"/>
        <w:gridCol w:w="1366"/>
        <w:gridCol w:w="1369"/>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8"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乔昕</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4"/>
                <w:sz w:val="18"/>
                <w:szCs w:val="18"/>
              </w:rPr>
              <w:t>董事、首席执行官</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466"/>
        <w:gridCol w:w="1270"/>
        <w:gridCol w:w="1366"/>
        <w:gridCol w:w="1368"/>
        <w:gridCol w:w="1366"/>
        <w:gridCol w:w="1369"/>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高礼强</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董事、总裁</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廖建中</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pacing w:val="-4"/>
                <w:sz w:val="18"/>
                <w:szCs w:val="18"/>
              </w:rPr>
              <w:t>董事、财务负责人</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102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洪兵</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陶向南</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马旗戟</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曹军波</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Xuan Richard</w:t>
            </w:r>
            <w:r>
              <w:rPr>
                <w:rFonts w:ascii="Times New Roman"/>
                <w:spacing w:val="-7"/>
                <w:sz w:val="18"/>
              </w:rPr>
              <w:t> </w:t>
            </w:r>
            <w:r>
              <w:rPr>
                <w:rFonts w:ascii="Times New Roman"/>
                <w:sz w:val="18"/>
              </w:rPr>
              <w:t>Gu</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宋思勤</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吴建栋</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原财务负责人</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77.59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朱蕾</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40" w:right="19" w:hanging="615"/>
              <w:jc w:val="left"/>
              <w:rPr>
                <w:rFonts w:ascii="宋体" w:hAnsi="宋体" w:cs="宋体" w:eastAsia="宋体" w:hint="default"/>
                <w:sz w:val="18"/>
                <w:szCs w:val="18"/>
              </w:rPr>
            </w:pPr>
            <w:r>
              <w:rPr>
                <w:rFonts w:ascii="宋体" w:hAnsi="宋体" w:cs="宋体" w:eastAsia="宋体" w:hint="default"/>
                <w:spacing w:val="-4"/>
                <w:sz w:val="18"/>
                <w:szCs w:val="18"/>
              </w:rPr>
              <w:t>副总裁、董事会秘</w:t>
            </w:r>
            <w:r>
              <w:rPr>
                <w:rFonts w:ascii="宋体" w:hAnsi="宋体" w:cs="宋体" w:eastAsia="宋体" w:hint="default"/>
                <w:sz w:val="18"/>
                <w:szCs w:val="18"/>
              </w:rPr>
              <w:t> 书</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曾惠明</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陈晓燕</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冯敏</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11.42</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640.02</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公司董事、高级管理人员报告期内被授予的股权激励情况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160" w:left="980" w:right="980"/>
          <w:cols w:num="2" w:equalWidth="0">
            <w:col w:w="4653" w:space="4267"/>
            <w:col w:w="103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2"/>
        <w:gridCol w:w="868"/>
        <w:gridCol w:w="872"/>
        <w:gridCol w:w="869"/>
        <w:gridCol w:w="869"/>
        <w:gridCol w:w="872"/>
        <w:gridCol w:w="869"/>
        <w:gridCol w:w="871"/>
        <w:gridCol w:w="869"/>
        <w:gridCol w:w="871"/>
      </w:tblGrid>
      <w:tr>
        <w:trPr>
          <w:trHeight w:val="134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2"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8"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7"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70"/>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67"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45" w:right="41"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p>
            <w:pPr>
              <w:pStyle w:val="TableParagraph"/>
              <w:spacing w:line="119"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70"/>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3"/>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朱蕾</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副总裁、董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事会秘书</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37,844</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4"/>
              <w:jc w:val="right"/>
              <w:rPr>
                <w:rFonts w:ascii="宋体" w:hAnsi="宋体" w:cs="宋体" w:eastAsia="宋体" w:hint="default"/>
                <w:sz w:val="18"/>
                <w:szCs w:val="18"/>
              </w:rPr>
            </w:pPr>
            <w:r>
              <w:rPr>
                <w:rFonts w:ascii="宋体" w:hAnsi="宋体" w:cs="宋体" w:eastAsia="宋体" w:hint="default"/>
                <w:sz w:val="18"/>
                <w:szCs w:val="18"/>
              </w:rPr>
              <w:t>廖建中</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负责人</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37,844</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4"/>
              <w:jc w:val="right"/>
              <w:rPr>
                <w:rFonts w:ascii="宋体" w:hAnsi="宋体" w:cs="宋体" w:eastAsia="宋体" w:hint="default"/>
                <w:sz w:val="18"/>
                <w:szCs w:val="18"/>
              </w:rPr>
            </w:pPr>
            <w:r>
              <w:rPr>
                <w:rFonts w:ascii="宋体" w:hAnsi="宋体" w:cs="宋体" w:eastAsia="宋体" w:hint="default"/>
                <w:sz w:val="18"/>
                <w:szCs w:val="18"/>
              </w:rPr>
              <w:t>吴建栋</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原财务负 责人</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2"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113,532</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75,688</w:t>
            </w:r>
          </w:p>
        </w:tc>
      </w:tr>
      <w:tr>
        <w:trPr>
          <w:trHeight w:val="1337" w:hRule="exact"/>
        </w:trPr>
        <w:tc>
          <w:tcPr>
            <w:tcW w:w="1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朱蕾报告期期初持有的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万股限制性股票系</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年度获授的股权激励股份，因未达解锁条件</w:t>
            </w:r>
            <w:r>
              <w:rPr>
                <w:rFonts w:ascii="Times New Roman" w:hAnsi="Times New Roman" w:cs="Times New Roman" w:eastAsia="Times New Roman" w:hint="default"/>
                <w:sz w:val="18"/>
                <w:szCs w:val="18"/>
              </w:rPr>
              <w:t>,</w:t>
            </w:r>
            <w:r>
              <w:rPr>
                <w:rFonts w:ascii="宋体" w:hAnsi="宋体" w:cs="宋体" w:eastAsia="宋体" w:hint="default"/>
                <w:sz w:val="18"/>
                <w:szCs w:val="18"/>
              </w:rPr>
              <w:t>已于</w:t>
            </w:r>
          </w:p>
          <w:p>
            <w:pPr>
              <w:pStyle w:val="TableParagraph"/>
              <w:spacing w:line="240" w:lineRule="auto" w:before="63"/>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日在中国证券登记结算有限责任公司深圳分公司完成回购注销手续。吴建栋先生因</w:t>
            </w:r>
          </w:p>
          <w:p>
            <w:pPr>
              <w:pStyle w:val="TableParagraph"/>
              <w:spacing w:line="300" w:lineRule="auto" w:before="63"/>
              <w:ind w:left="15" w:right="104"/>
              <w:jc w:val="left"/>
              <w:rPr>
                <w:rFonts w:ascii="宋体" w:hAnsi="宋体" w:cs="宋体" w:eastAsia="宋体" w:hint="default"/>
                <w:sz w:val="18"/>
                <w:szCs w:val="18"/>
              </w:rPr>
            </w:pPr>
            <w:r>
              <w:rPr>
                <w:rFonts w:ascii="宋体" w:hAnsi="宋体" w:cs="宋体" w:eastAsia="宋体" w:hint="default"/>
                <w:sz w:val="18"/>
                <w:szCs w:val="18"/>
              </w:rPr>
              <w:t>离职不再符合激励对象资格</w:t>
            </w:r>
            <w:r>
              <w:rPr>
                <w:rFonts w:ascii="Times New Roman" w:hAnsi="Times New Roman" w:cs="Times New Roman" w:eastAsia="Times New Roman" w:hint="default"/>
                <w:sz w:val="18"/>
                <w:szCs w:val="18"/>
              </w:rPr>
              <w:t>,</w:t>
            </w:r>
            <w:r>
              <w:rPr>
                <w:rFonts w:ascii="宋体" w:hAnsi="宋体" w:cs="宋体" w:eastAsia="宋体" w:hint="default"/>
                <w:sz w:val="18"/>
                <w:szCs w:val="18"/>
              </w:rPr>
              <w:t>其持有的全部限制性股票已于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日在中国证券登记结算 有限责任公司深圳分公司完成回购注销手续。</w:t>
            </w:r>
          </w:p>
        </w:tc>
      </w:tr>
    </w:tbl>
    <w:p>
      <w:pPr>
        <w:spacing w:after="0" w:line="30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759</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w:t>
            </w:r>
          </w:p>
        </w:tc>
      </w:tr>
      <w:tr>
        <w:trPr>
          <w:trHeight w:val="404"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大专（专科）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大专（专科）以下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51" w:firstLine="360"/>
        <w:jc w:val="both"/>
      </w:pPr>
      <w:r>
        <w:rPr>
          <w:spacing w:val="-2"/>
        </w:rPr>
        <w:t>公司始终秉持</w:t>
      </w:r>
      <w:r>
        <w:rPr>
          <w:rFonts w:ascii="Times New Roman" w:hAnsi="Times New Roman" w:cs="Times New Roman" w:eastAsia="Times New Roman" w:hint="default"/>
          <w:spacing w:val="-2"/>
        </w:rPr>
        <w:t>“</w:t>
      </w:r>
      <w:r>
        <w:rPr>
          <w:spacing w:val="-2"/>
        </w:rPr>
        <w:t>以人为本、成就员工</w:t>
      </w:r>
      <w:r>
        <w:rPr>
          <w:rFonts w:ascii="Times New Roman" w:hAnsi="Times New Roman" w:cs="Times New Roman" w:eastAsia="Times New Roman" w:hint="default"/>
          <w:spacing w:val="-2"/>
        </w:rPr>
        <w:t>”</w:t>
      </w:r>
      <w:r>
        <w:rPr>
          <w:spacing w:val="-2"/>
        </w:rPr>
        <w:t>的理念，依法向员工提供稳定而具有竞争力的薪酬福利，报告期内公司进一步完善</w:t>
      </w:r>
      <w:r>
        <w:rPr/>
        <w:t> </w:t>
      </w:r>
      <w:r>
        <w:rPr>
          <w:spacing w:val="-2"/>
        </w:rPr>
        <w:t>了事业合伙，利益共享和绩效考核等激励机制，以经营责任为主要绩效目标，并通过季度和年度对经营指标、利润指标和内</w:t>
      </w:r>
      <w:r>
        <w:rPr>
          <w:spacing w:val="-65"/>
        </w:rPr>
        <w:t> </w:t>
      </w:r>
      <w:r>
        <w:rPr>
          <w:spacing w:val="-65"/>
        </w:rPr>
      </w:r>
      <w:r>
        <w:rPr/>
        <w:t>控指标进行考评。将员工的个人利益与公司利益、个人目标与公司目标有机结合，最大限度的使员工与公司达到双赢。</w:t>
      </w:r>
    </w:p>
    <w:p>
      <w:pPr>
        <w:spacing w:line="240" w:lineRule="auto" w:before="3"/>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48" w:firstLine="360"/>
        <w:jc w:val="both"/>
      </w:pPr>
      <w:r>
        <w:rPr>
          <w:spacing w:val="-2"/>
        </w:rPr>
        <w:t>为贯彻公司</w:t>
      </w:r>
      <w:r>
        <w:rPr>
          <w:rFonts w:ascii="Times New Roman" w:hAnsi="Times New Roman" w:cs="Times New Roman" w:eastAsia="Times New Roman" w:hint="default"/>
          <w:spacing w:val="-2"/>
        </w:rPr>
        <w:t>“</w:t>
      </w:r>
      <w:r>
        <w:rPr>
          <w:spacing w:val="-2"/>
        </w:rPr>
        <w:t>以文化治企</w:t>
      </w:r>
      <w:r>
        <w:rPr>
          <w:rFonts w:ascii="Times New Roman" w:hAnsi="Times New Roman" w:cs="Times New Roman" w:eastAsia="Times New Roman" w:hint="default"/>
          <w:spacing w:val="-2"/>
        </w:rPr>
        <w:t>”</w:t>
      </w:r>
      <w:r>
        <w:rPr>
          <w:spacing w:val="-2"/>
        </w:rPr>
        <w:t>的管理理念，满足员工职业发展各阶段需求，公司整合内外培训学习资源，将需求与内容，投</w:t>
      </w:r>
      <w:r>
        <w:rPr/>
        <w:t> </w:t>
      </w:r>
      <w:r>
        <w:rPr>
          <w:spacing w:val="-2"/>
        </w:rPr>
        <w:t>入与产出相结合的方式，多渠道提供专业、经营、行业知识等层面的资源来满足员工各阶段成长需求。全方位提高员工的业</w:t>
      </w:r>
      <w:r>
        <w:rPr>
          <w:spacing w:val="-63"/>
        </w:rPr>
        <w:t> </w:t>
      </w:r>
      <w:r>
        <w:rPr>
          <w:spacing w:val="-63"/>
        </w:rPr>
      </w:r>
      <w:r>
        <w:rPr/>
        <w:t>务能力和管理水平，实现企业和员工的双赢。</w:t>
      </w:r>
    </w:p>
    <w:p>
      <w:pPr>
        <w:spacing w:after="0" w:line="309"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50"/>
        <w:jc w:val="center"/>
        <w:rPr>
          <w:b w:val="0"/>
          <w:bCs w:val="0"/>
        </w:rPr>
      </w:pPr>
      <w:bookmarkStart w:name="_bookmark7" w:id="8"/>
      <w:bookmarkEnd w:id="8"/>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2"/>
        <w:rPr>
          <w:rFonts w:ascii="宋体" w:hAnsi="宋体" w:cs="宋体" w:eastAsia="宋体" w:hint="default"/>
          <w:b/>
          <w:bCs/>
          <w:sz w:val="23"/>
          <w:szCs w:val="23"/>
        </w:rPr>
      </w:pPr>
    </w:p>
    <w:p>
      <w:pPr>
        <w:pStyle w:val="BodyText"/>
        <w:spacing w:line="357" w:lineRule="auto"/>
        <w:ind w:right="94" w:firstLine="360"/>
        <w:jc w:val="left"/>
      </w:pPr>
      <w:r>
        <w:rPr>
          <w:spacing w:val="-2"/>
        </w:rPr>
        <w:t>报告期内，公司严格按照相关法律法规及规范性文件的要求，不断提高公司规范运作水平，完善法人治理结构，建立健</w:t>
      </w:r>
      <w:r>
        <w:rPr/>
        <w:t> </w:t>
      </w:r>
      <w:r>
        <w:rPr>
          <w:spacing w:val="-2"/>
        </w:rPr>
        <w:t>全公司内部控制管理体系。截至报告期末，公司整体运作规范，独立性强，信息披露规范，公司治理基本符合证监会有关上</w:t>
      </w:r>
      <w:r>
        <w:rPr>
          <w:spacing w:val="-67"/>
        </w:rPr>
        <w:t> </w:t>
      </w:r>
      <w:r>
        <w:rPr>
          <w:spacing w:val="-67"/>
        </w:rPr>
      </w:r>
      <w:r>
        <w:rPr/>
        <w:t>市公司治理规范性文件的要求。公司将按照有关法律、行政法规的要求，进一步规范公司运作，不断提高公司的治理水平，</w:t>
      </w:r>
      <w:r>
        <w:rPr/>
        <w:t> 维护股东和公司利益。</w:t>
      </w:r>
    </w:p>
    <w:p>
      <w:pPr>
        <w:pStyle w:val="BodyText"/>
        <w:spacing w:line="338" w:lineRule="auto" w:before="26"/>
        <w:ind w:left="441" w:right="94"/>
        <w:jc w:val="left"/>
      </w:pPr>
      <w:r>
        <w:rPr>
          <w:rFonts w:ascii="Times New Roman" w:hAnsi="Times New Roman" w:cs="Times New Roman" w:eastAsia="Times New Roman" w:hint="default"/>
        </w:rPr>
        <w:t>1</w:t>
      </w:r>
      <w:r>
        <w:rPr/>
        <w:t>、关于三会运作 </w:t>
      </w:r>
      <w:r>
        <w:rPr>
          <w:spacing w:val="-1"/>
        </w:rPr>
        <w:t>报告期内，公司股东大会、董事会和监事会均严格按照相关法律、法规的规定规范运作，三会与其他内部机构也都保持</w:t>
      </w:r>
    </w:p>
    <w:p>
      <w:pPr>
        <w:pStyle w:val="BodyText"/>
        <w:spacing w:line="343" w:lineRule="auto" w:before="41"/>
        <w:ind w:right="189"/>
        <w:jc w:val="both"/>
      </w:pPr>
      <w:r>
        <w:rPr/>
        <w:t>了独立运作，各位董事、监事均能认真履行自己的职责，勤勉尽责。报告期内，公司共召开了</w:t>
      </w:r>
      <w:r>
        <w:rPr>
          <w:rFonts w:ascii="Times New Roman" w:hAnsi="Times New Roman" w:cs="Times New Roman" w:eastAsia="Times New Roman" w:hint="default"/>
        </w:rPr>
        <w:t>6</w:t>
      </w:r>
      <w:r>
        <w:rPr/>
        <w:t>次股东大会、</w:t>
      </w:r>
      <w:r>
        <w:rPr>
          <w:rFonts w:ascii="Times New Roman" w:hAnsi="Times New Roman" w:cs="Times New Roman" w:eastAsia="Times New Roman" w:hint="default"/>
        </w:rPr>
        <w:t>12</w:t>
      </w:r>
      <w:r>
        <w:rPr/>
        <w:t>次董事会和 </w:t>
      </w:r>
      <w:r>
        <w:rPr>
          <w:rFonts w:ascii="Times New Roman" w:hAnsi="Times New Roman" w:cs="Times New Roman" w:eastAsia="Times New Roman" w:hint="default"/>
          <w:spacing w:val="-2"/>
        </w:rPr>
        <w:t>11</w:t>
      </w:r>
      <w:r>
        <w:rPr>
          <w:spacing w:val="-2"/>
        </w:rPr>
        <w:t>次监事会，会议召集、召开及表决程序均符合法律法规的规定，各位董事、监事都能积极参加会议，行使法律法规赋予的</w:t>
      </w:r>
      <w:r>
        <w:rPr>
          <w:spacing w:val="-66"/>
        </w:rPr>
        <w:t> </w:t>
      </w:r>
      <w:r>
        <w:rPr>
          <w:spacing w:val="-66"/>
        </w:rPr>
      </w:r>
      <w:r>
        <w:rPr>
          <w:spacing w:val="-2"/>
        </w:rPr>
        <w:t>权利，履行法律法规赋予的职责和义务，各位高级管理人员也严格按照相关法律法规以及《公司章程》的规定列席了相关会</w:t>
      </w:r>
      <w:r>
        <w:rPr>
          <w:spacing w:val="-63"/>
        </w:rPr>
        <w:t> </w:t>
      </w:r>
      <w:r>
        <w:rPr>
          <w:spacing w:val="-63"/>
        </w:rPr>
      </w:r>
      <w:r>
        <w:rPr/>
        <w:t>议，就公司未来发展与股东和董事开展多层次、深入的沟通交流，并回答质询。</w:t>
      </w:r>
    </w:p>
    <w:p>
      <w:pPr>
        <w:pStyle w:val="BodyText"/>
        <w:spacing w:line="338" w:lineRule="auto" w:before="37"/>
        <w:ind w:left="441" w:right="165" w:firstLine="72"/>
        <w:jc w:val="left"/>
      </w:pPr>
      <w:r>
        <w:rPr>
          <w:rFonts w:ascii="Times New Roman" w:hAnsi="Times New Roman" w:cs="Times New Roman" w:eastAsia="Times New Roman" w:hint="default"/>
        </w:rPr>
        <w:t>2</w:t>
      </w:r>
      <w:r>
        <w:rPr/>
        <w:t>、关于控股股东与上市公司 公司在业务、人员、资产和财务等方面均保持了独立性，与控股股东各自独立运作、独立核算并独立承担责任和风险。</w:t>
      </w:r>
    </w:p>
    <w:p>
      <w:pPr>
        <w:pStyle w:val="BodyText"/>
        <w:spacing w:line="357" w:lineRule="auto" w:before="41"/>
        <w:ind w:right="189"/>
        <w:jc w:val="both"/>
      </w:pPr>
      <w:r>
        <w:rPr>
          <w:spacing w:val="-2"/>
        </w:rPr>
        <w:t>控股股东均能严格规范自己的行为，没有发生超越股东大会直接或间接干预公司的决策和经营活动的行为，公司不存在为控</w:t>
      </w:r>
      <w:r>
        <w:rPr>
          <w:spacing w:val="-64"/>
        </w:rPr>
        <w:t> </w:t>
      </w:r>
      <w:r>
        <w:rPr>
          <w:spacing w:val="-64"/>
        </w:rPr>
      </w:r>
      <w:r>
        <w:rPr>
          <w:spacing w:val="-2"/>
        </w:rPr>
        <w:t>股股东、实际控制人及其关联人提供资金等财务资助的行为，也不存在控股股东及实际控制人占用公司资金或非经营性资金</w:t>
      </w:r>
      <w:r>
        <w:rPr>
          <w:spacing w:val="-64"/>
        </w:rPr>
        <w:t> </w:t>
      </w:r>
      <w:r>
        <w:rPr>
          <w:spacing w:val="-64"/>
        </w:rPr>
      </w:r>
      <w:r>
        <w:rPr>
          <w:spacing w:val="-2"/>
        </w:rPr>
        <w:t>往来的情况，公司日常经营性关联交易定价公允，公司严格按照相关法律法规的规定进行了披露，控股股东和实际控制人也</w:t>
      </w:r>
      <w:r>
        <w:rPr>
          <w:spacing w:val="-62"/>
        </w:rPr>
        <w:t> </w:t>
      </w:r>
      <w:r>
        <w:rPr>
          <w:spacing w:val="-62"/>
        </w:rPr>
      </w:r>
      <w:r>
        <w:rPr/>
        <w:t>不存在同业竞争及其他违反法律法规损害公司利益的行为。</w:t>
      </w:r>
    </w:p>
    <w:p>
      <w:pPr>
        <w:pStyle w:val="BodyText"/>
        <w:spacing w:line="338" w:lineRule="auto" w:before="24"/>
        <w:ind w:left="441" w:right="165" w:firstLine="72"/>
        <w:jc w:val="left"/>
      </w:pPr>
      <w:r>
        <w:rPr>
          <w:rFonts w:ascii="Times New Roman" w:hAnsi="Times New Roman" w:cs="Times New Roman" w:eastAsia="Times New Roman" w:hint="default"/>
        </w:rPr>
        <w:t>3</w:t>
      </w:r>
      <w:r>
        <w:rPr/>
        <w:t>、关于公司治理 报告期内，公司管理层在董事会的领导下对公司进行日常经营管理。公司经营管理层，行使经营管理职权，通过指挥、</w:t>
      </w:r>
    </w:p>
    <w:p>
      <w:pPr>
        <w:pStyle w:val="BodyText"/>
        <w:spacing w:line="240" w:lineRule="auto" w:before="41"/>
        <w:ind w:right="0"/>
        <w:jc w:val="both"/>
      </w:pPr>
      <w:r>
        <w:rPr/>
        <w:t>协调、管理、监督各职能部门、全资及控股子公司，保证公司的正常经营运转。</w:t>
      </w:r>
    </w:p>
    <w:p>
      <w:pPr>
        <w:pStyle w:val="BodyText"/>
        <w:spacing w:line="338" w:lineRule="auto" w:before="115"/>
        <w:ind w:left="441" w:right="94" w:firstLine="72"/>
        <w:jc w:val="left"/>
      </w:pPr>
      <w:r>
        <w:rPr>
          <w:rFonts w:ascii="Times New Roman" w:hAnsi="Times New Roman" w:cs="Times New Roman" w:eastAsia="Times New Roman" w:hint="default"/>
        </w:rPr>
        <w:t>4</w:t>
      </w:r>
      <w:r>
        <w:rPr/>
        <w:t>、关于绩效评价与激励约束机制 </w:t>
      </w:r>
      <w:r>
        <w:rPr>
          <w:spacing w:val="-1"/>
        </w:rPr>
        <w:t>公司董事、监事、高级管理人员的任免程序公开、透明，符合法律、法规及《公司章程》的有关规定，公司已初步建立</w:t>
      </w:r>
    </w:p>
    <w:p>
      <w:pPr>
        <w:pStyle w:val="BodyText"/>
        <w:spacing w:line="240" w:lineRule="auto" w:before="41"/>
        <w:ind w:right="0"/>
        <w:jc w:val="both"/>
      </w:pPr>
      <w:r>
        <w:rPr/>
        <w:t>了公正透明的董事、监事、高级管理人员绩效评价标准和激励约束机制。</w:t>
      </w:r>
    </w:p>
    <w:p>
      <w:pPr>
        <w:pStyle w:val="BodyText"/>
        <w:spacing w:line="338" w:lineRule="auto" w:before="115"/>
        <w:ind w:left="441" w:right="94" w:firstLine="72"/>
        <w:jc w:val="left"/>
      </w:pPr>
      <w:r>
        <w:rPr>
          <w:rFonts w:ascii="Times New Roman" w:hAnsi="Times New Roman" w:cs="Times New Roman" w:eastAsia="Times New Roman" w:hint="default"/>
        </w:rPr>
        <w:t>5</w:t>
      </w:r>
      <w:r>
        <w:rPr/>
        <w:t>、关于信息披露与透明度 </w:t>
      </w:r>
      <w:r>
        <w:rPr>
          <w:spacing w:val="-1"/>
        </w:rPr>
        <w:t>公司制定并严格执行了《信息披露制度》、《投资者关系管理制度》、《内幕信息知情人登记和报备制度》，同时指定</w:t>
      </w:r>
    </w:p>
    <w:p>
      <w:pPr>
        <w:pStyle w:val="BodyText"/>
        <w:spacing w:line="357" w:lineRule="auto" w:before="41"/>
        <w:ind w:right="104"/>
        <w:jc w:val="both"/>
      </w:pPr>
      <w:r>
        <w:rPr>
          <w:spacing w:val="-4"/>
        </w:rPr>
        <w:t>董事会秘书全面负责公司投资者关系管理和信息披露工作，接待股东及相关人员来访和咨询。公司依照有关规定真实、准确、</w:t>
      </w:r>
      <w:r>
        <w:rPr>
          <w:spacing w:val="-44"/>
        </w:rPr>
        <w:t> </w:t>
      </w:r>
      <w:r>
        <w:rPr>
          <w:spacing w:val="-44"/>
        </w:rPr>
      </w:r>
      <w:r>
        <w:rPr/>
        <w:t>完整、及时地披露有关信息，确保公司所有投资者公平的享有知情权。</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BodyText"/>
        <w:spacing w:line="240" w:lineRule="auto"/>
        <w:ind w:right="0"/>
        <w:jc w:val="both"/>
      </w:pPr>
      <w:r>
        <w:rPr/>
        <w:t>公司治理的实际状况与中国证监会发布的有关上市公司治理的规范性文件是否存在重大差异</w:t>
      </w:r>
    </w:p>
    <w:p>
      <w:pPr>
        <w:pStyle w:val="BodyText"/>
        <w:spacing w:line="338" w:lineRule="auto" w:before="118"/>
        <w:ind w:right="26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513" w:right="0"/>
        <w:jc w:val="left"/>
      </w:pPr>
      <w:r>
        <w:rPr/>
        <w:t>公司具有独立的生产经营能力，独立的产供销体系，公司业务、人员、资产、机构、财务等方面均独立于控股股东及主</w:t>
      </w:r>
    </w:p>
    <w:p>
      <w:pPr>
        <w:spacing w:after="0" w:line="240" w:lineRule="auto"/>
        <w:jc w:val="left"/>
        <w:sectPr>
          <w:pgSz w:w="11910" w:h="16840"/>
          <w:pgMar w:header="745" w:footer="980" w:top="1060" w:bottom="1160" w:left="980" w:right="940"/>
        </w:sectPr>
      </w:pPr>
    </w:p>
    <w:p>
      <w:pPr>
        <w:spacing w:line="240" w:lineRule="auto" w:before="8"/>
        <w:rPr>
          <w:rFonts w:ascii="宋体" w:hAnsi="宋体" w:cs="宋体" w:eastAsia="宋体" w:hint="default"/>
          <w:sz w:val="22"/>
          <w:szCs w:val="22"/>
        </w:rPr>
      </w:pPr>
    </w:p>
    <w:p>
      <w:pPr>
        <w:pStyle w:val="BodyText"/>
        <w:spacing w:line="357" w:lineRule="auto" w:before="44"/>
        <w:ind w:right="151"/>
        <w:jc w:val="both"/>
      </w:pPr>
      <w:r>
        <w:rPr>
          <w:spacing w:val="-2"/>
        </w:rPr>
        <w:t>要股东。公司拥有生产经营所需的完整的资产，生产经营所需技术为公司合法独立拥有，没有产权争议；公司具有完整的业</w:t>
      </w:r>
      <w:r>
        <w:rPr>
          <w:spacing w:val="-65"/>
        </w:rPr>
        <w:t> </w:t>
      </w:r>
      <w:r>
        <w:rPr>
          <w:spacing w:val="-65"/>
        </w:rPr>
      </w:r>
      <w:r>
        <w:rPr>
          <w:spacing w:val="-2"/>
        </w:rPr>
        <w:t>务体系及面向市场独立经营的能力；公司的劳动及工资管理独立于控股股东及主要股东；董事、监事以及高级管理人员、核</w:t>
      </w:r>
      <w:r>
        <w:rPr>
          <w:spacing w:val="-64"/>
        </w:rPr>
        <w:t> </w:t>
      </w:r>
      <w:r>
        <w:rPr>
          <w:spacing w:val="-64"/>
        </w:rPr>
      </w:r>
      <w:r>
        <w:rPr>
          <w:spacing w:val="-2"/>
        </w:rPr>
        <w:t>心技术人员不存在法律禁止的交叉任职现象；公司设有独立的财务部门，建立了独立的财务核算体系并具有独立的财务会计</w:t>
      </w:r>
      <w:r>
        <w:rPr>
          <w:spacing w:val="-63"/>
        </w:rPr>
        <w:t> </w:t>
      </w:r>
      <w:r>
        <w:rPr>
          <w:spacing w:val="-63"/>
        </w:rPr>
      </w:r>
      <w:r>
        <w:rPr/>
        <w:t>制度，开立了独立银行账户并依法独立纳税。具体的独立运营情况如下：</w:t>
      </w:r>
    </w:p>
    <w:p>
      <w:pPr>
        <w:pStyle w:val="BodyText"/>
        <w:spacing w:line="336" w:lineRule="auto" w:before="26"/>
        <w:ind w:left="441" w:right="153"/>
        <w:jc w:val="left"/>
      </w:pPr>
      <w:r>
        <w:rPr>
          <w:rFonts w:ascii="Times New Roman" w:hAnsi="Times New Roman" w:cs="Times New Roman" w:eastAsia="Times New Roman" w:hint="default"/>
        </w:rPr>
        <w:t>1</w:t>
      </w:r>
      <w:r>
        <w:rPr/>
        <w:t>、业务独立性 </w:t>
      </w:r>
      <w:r>
        <w:rPr>
          <w:spacing w:val="-1"/>
        </w:rPr>
        <w:t>公司是独立从事生产经营的企业法人，拥有独立、完整的研发、生产、采购、销售体系，具有独立完整的业务体系及面</w:t>
      </w:r>
    </w:p>
    <w:p>
      <w:pPr>
        <w:pStyle w:val="BodyText"/>
        <w:spacing w:line="357" w:lineRule="auto" w:before="43"/>
        <w:ind w:right="150"/>
        <w:jc w:val="both"/>
      </w:pPr>
      <w:r>
        <w:rPr>
          <w:spacing w:val="-2"/>
        </w:rPr>
        <w:t>向市场独立经营的能力，不依赖于股东或其他任何关联方，与控股股东之间无同业竞争，控股股东不存在直接或间接干预公</w:t>
      </w:r>
      <w:r>
        <w:rPr>
          <w:spacing w:val="-63"/>
        </w:rPr>
        <w:t> </w:t>
      </w:r>
      <w:r>
        <w:rPr>
          <w:spacing w:val="-63"/>
        </w:rPr>
      </w:r>
      <w:r>
        <w:rPr/>
        <w:t>司经营运作的情形。</w:t>
      </w:r>
    </w:p>
    <w:p>
      <w:pPr>
        <w:pStyle w:val="BodyText"/>
        <w:spacing w:line="338" w:lineRule="auto" w:before="26"/>
        <w:ind w:left="441" w:right="153"/>
        <w:jc w:val="left"/>
      </w:pPr>
      <w:r>
        <w:rPr>
          <w:rFonts w:ascii="Times New Roman" w:hAnsi="Times New Roman" w:cs="Times New Roman" w:eastAsia="Times New Roman" w:hint="default"/>
        </w:rPr>
        <w:t>2</w:t>
      </w:r>
      <w:r>
        <w:rPr/>
        <w:t>、人员独立性 </w:t>
      </w:r>
      <w:r>
        <w:rPr>
          <w:spacing w:val="-1"/>
        </w:rPr>
        <w:t>本公司</w:t>
      </w:r>
      <w:r>
        <w:rPr>
          <w:rFonts w:ascii="Times New Roman" w:hAnsi="Times New Roman" w:cs="Times New Roman" w:eastAsia="Times New Roman" w:hint="default"/>
          <w:spacing w:val="-1"/>
        </w:rPr>
        <w:t>CEO</w:t>
      </w:r>
      <w:r>
        <w:rPr>
          <w:spacing w:val="-1"/>
        </w:rPr>
        <w:t>（首席执行官）、总裁、副总裁、董事会秘书、财务负责人等高级管理人员与核心技术人员均专职在本公司</w:t>
      </w:r>
    </w:p>
    <w:p>
      <w:pPr>
        <w:pStyle w:val="BodyText"/>
        <w:spacing w:line="357" w:lineRule="auto" w:before="19"/>
        <w:ind w:right="150"/>
        <w:jc w:val="both"/>
      </w:pPr>
      <w:r>
        <w:rPr>
          <w:spacing w:val="-2"/>
        </w:rPr>
        <w:t>工作并领取报酬，没有在股东单位中担任任何行政职务，也没有在股东单位领薪；公司董事、监事及高级管理人员均严格按</w:t>
      </w:r>
      <w:r>
        <w:rPr>
          <w:spacing w:val="-65"/>
        </w:rPr>
        <w:t> </w:t>
      </w:r>
      <w:r>
        <w:rPr>
          <w:spacing w:val="-65"/>
        </w:rPr>
      </w:r>
      <w:r>
        <w:rPr>
          <w:spacing w:val="-2"/>
        </w:rPr>
        <w:t>照《公司法》、《公司章程》的有关规定产生，不存在控股股东越过公司股东大会、董事会、监事会而作出人事任免决定的</w:t>
      </w:r>
      <w:r>
        <w:rPr>
          <w:spacing w:val="-65"/>
        </w:rPr>
        <w:t> </w:t>
      </w:r>
      <w:r>
        <w:rPr>
          <w:spacing w:val="-65"/>
        </w:rPr>
      </w:r>
      <w:r>
        <w:rPr/>
        <w:t>情况；公司员工独立于股东单位及其关联方，并执行独立的劳动、人事及工资管理制度。</w:t>
      </w:r>
    </w:p>
    <w:p>
      <w:pPr>
        <w:pStyle w:val="BodyText"/>
        <w:spacing w:line="338" w:lineRule="auto" w:before="26"/>
        <w:ind w:left="441" w:right="125"/>
        <w:jc w:val="left"/>
      </w:pPr>
      <w:r>
        <w:rPr>
          <w:rFonts w:ascii="Times New Roman" w:hAnsi="Times New Roman" w:cs="Times New Roman" w:eastAsia="Times New Roman" w:hint="default"/>
        </w:rPr>
        <w:t>3</w:t>
      </w:r>
      <w:r>
        <w:rPr/>
        <w:t>、资产独立性 本公司与控股股东及主要股东资产权属明确，不存在控股股东及主要股东违规占用本公司资金、资产及其他资源情况。</w:t>
      </w:r>
    </w:p>
    <w:p>
      <w:pPr>
        <w:pStyle w:val="BodyText"/>
        <w:spacing w:line="357" w:lineRule="auto" w:before="38"/>
        <w:ind w:right="151"/>
        <w:jc w:val="both"/>
      </w:pPr>
      <w:r>
        <w:rPr>
          <w:spacing w:val="-2"/>
        </w:rPr>
        <w:t>本公司的土地使用权、房产、机器设备、商标、专利、专有技术及其他资产的权属完全由公司独立享有，没有依赖股东资产</w:t>
      </w:r>
      <w:r>
        <w:rPr>
          <w:spacing w:val="-66"/>
        </w:rPr>
        <w:t> </w:t>
      </w:r>
      <w:r>
        <w:rPr>
          <w:spacing w:val="-66"/>
        </w:rPr>
      </w:r>
      <w:r>
        <w:rPr/>
        <w:t>进行生产经营的情况。公司对所有资产拥有完全的控制和支配权。</w:t>
      </w:r>
    </w:p>
    <w:p>
      <w:pPr>
        <w:pStyle w:val="BodyText"/>
        <w:spacing w:line="338" w:lineRule="auto" w:before="26"/>
        <w:ind w:left="441" w:right="153"/>
        <w:jc w:val="left"/>
      </w:pPr>
      <w:r>
        <w:rPr>
          <w:rFonts w:ascii="Times New Roman" w:hAnsi="Times New Roman" w:cs="Times New Roman" w:eastAsia="Times New Roman" w:hint="default"/>
        </w:rPr>
        <w:t>4</w:t>
      </w:r>
      <w:r>
        <w:rPr/>
        <w:t>、机构独立性 </w:t>
      </w:r>
      <w:r>
        <w:rPr>
          <w:spacing w:val="-1"/>
        </w:rPr>
        <w:t>本公司建立健全了股东大会、董事会、监事会、</w:t>
      </w:r>
      <w:r>
        <w:rPr>
          <w:rFonts w:ascii="宋体" w:hAnsi="宋体" w:cs="宋体" w:eastAsia="宋体" w:hint="default"/>
          <w:spacing w:val="-1"/>
        </w:rPr>
        <w:t>CEO</w:t>
      </w:r>
      <w:r>
        <w:rPr>
          <w:spacing w:val="-1"/>
        </w:rPr>
        <w:t>负责的管理层等机构及相应的三会议事规则和《</w:t>
      </w:r>
      <w:r>
        <w:rPr>
          <w:rFonts w:ascii="宋体" w:hAnsi="宋体" w:cs="宋体" w:eastAsia="宋体" w:hint="default"/>
          <w:spacing w:val="-1"/>
        </w:rPr>
        <w:t>CEO</w:t>
      </w:r>
      <w:r>
        <w:rPr>
          <w:spacing w:val="-1"/>
        </w:rPr>
        <w:t>工作细则》，形</w:t>
      </w:r>
    </w:p>
    <w:p>
      <w:pPr>
        <w:pStyle w:val="BodyText"/>
        <w:spacing w:line="357" w:lineRule="auto" w:before="41"/>
        <w:ind w:right="151"/>
        <w:jc w:val="both"/>
      </w:pPr>
      <w:r>
        <w:rPr>
          <w:spacing w:val="-2"/>
        </w:rPr>
        <w:t>成完善的法人治理结构；公司适应生产经营需要设置了总经办、技术部、质量部、财务部、生产部、销售部、采购部、人力</w:t>
      </w:r>
      <w:r>
        <w:rPr>
          <w:spacing w:val="-68"/>
        </w:rPr>
        <w:t> </w:t>
      </w:r>
      <w:r>
        <w:rPr>
          <w:spacing w:val="-68"/>
        </w:rPr>
      </w:r>
      <w:r>
        <w:rPr>
          <w:spacing w:val="-2"/>
        </w:rPr>
        <w:t>资源部、审计部、董事会办公室等职能部门，各职能部门按规定的职责独立运作；公司各职能部门与股东单位及其职能部门</w:t>
      </w:r>
      <w:r>
        <w:rPr>
          <w:spacing w:val="-64"/>
        </w:rPr>
        <w:t> </w:t>
      </w:r>
      <w:r>
        <w:rPr>
          <w:spacing w:val="-64"/>
        </w:rPr>
      </w:r>
      <w:r>
        <w:rPr/>
        <w:t>之间不存在上下级关系，不存在股东单位干预本公司组织机构设立与运作情况。</w:t>
      </w:r>
    </w:p>
    <w:p>
      <w:pPr>
        <w:pStyle w:val="BodyText"/>
        <w:spacing w:line="338" w:lineRule="auto" w:before="26"/>
        <w:ind w:left="441" w:right="153"/>
        <w:jc w:val="left"/>
      </w:pPr>
      <w:r>
        <w:rPr>
          <w:rFonts w:ascii="Times New Roman" w:hAnsi="Times New Roman" w:cs="Times New Roman" w:eastAsia="Times New Roman" w:hint="default"/>
        </w:rPr>
        <w:t>5</w:t>
      </w:r>
      <w:r>
        <w:rPr/>
        <w:t>、财务独立性 </w:t>
      </w:r>
      <w:r>
        <w:rPr>
          <w:spacing w:val="-1"/>
        </w:rPr>
        <w:t>本公司设立了独立的财务部门，建立了独立的会计核算体系和财务管理制度，独立进行财务决策；公司独立在银行开设</w:t>
      </w:r>
    </w:p>
    <w:p>
      <w:pPr>
        <w:pStyle w:val="BodyText"/>
        <w:spacing w:line="355" w:lineRule="auto" w:before="41"/>
        <w:ind w:right="150"/>
        <w:jc w:val="both"/>
      </w:pPr>
      <w:r>
        <w:rPr>
          <w:spacing w:val="-2"/>
        </w:rPr>
        <w:t>账户，不存在与股东单位共用银行账户的现象，公司依法独立进行纳税申报和履行纳税义务；公司不存在股东单位或其他关</w:t>
      </w:r>
      <w:r>
        <w:rPr>
          <w:spacing w:val="-63"/>
        </w:rPr>
        <w:t> </w:t>
      </w:r>
      <w:r>
        <w:rPr>
          <w:spacing w:val="-63"/>
        </w:rPr>
      </w:r>
      <w:r>
        <w:rPr/>
        <w:t>联方占用本公司货币资金或其他资产的情形；公司独立对外签订合同。</w:t>
      </w:r>
    </w:p>
    <w:p>
      <w:pPr>
        <w:spacing w:line="240" w:lineRule="auto" w:before="9"/>
        <w:rPr>
          <w:rFonts w:ascii="宋体" w:hAnsi="宋体" w:cs="宋体" w:eastAsia="宋体" w:hint="default"/>
          <w:sz w:val="24"/>
          <w:szCs w:val="24"/>
        </w:rPr>
      </w:pPr>
    </w:p>
    <w:p>
      <w:pPr>
        <w:pStyle w:val="Heading2"/>
        <w:spacing w:line="240" w:lineRule="auto"/>
        <w:ind w:right="0"/>
        <w:jc w:val="both"/>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60"/>
        <w:gridCol w:w="1274"/>
        <w:gridCol w:w="1561"/>
        <w:gridCol w:w="1560"/>
        <w:gridCol w:w="1702"/>
        <w:gridCol w:w="1911"/>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97" w:lineRule="auto"/>
              <w:ind w:left="326" w:right="26" w:hanging="29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年度第一次临 时股东大会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974" w:right="0"/>
              <w:jc w:val="left"/>
              <w:rPr>
                <w:rFonts w:ascii="Times New Roman" w:hAnsi="Times New Roman" w:cs="Times New Roman" w:eastAsia="Times New Roman" w:hint="default"/>
                <w:sz w:val="18"/>
                <w:szCs w:val="18"/>
              </w:rPr>
            </w:pPr>
            <w:r>
              <w:rPr>
                <w:rFonts w:ascii="Times New Roman"/>
                <w:sz w:val="18"/>
              </w:rPr>
              <w:t>66.67%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6"/>
              <w:jc w:val="both"/>
              <w:rPr>
                <w:rFonts w:ascii="宋体" w:hAnsi="宋体" w:cs="宋体" w:eastAsia="宋体" w:hint="default"/>
                <w:sz w:val="18"/>
                <w:szCs w:val="18"/>
              </w:rPr>
            </w:pPr>
            <w:r>
              <w:rPr>
                <w:rFonts w:ascii="宋体" w:hAnsi="宋体" w:cs="宋体" w:eastAsia="宋体" w:hint="default"/>
                <w:spacing w:val="-17"/>
                <w:sz w:val="18"/>
                <w:szCs w:val="18"/>
              </w:rPr>
              <w:t>详见《证券时报》、《中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国证券报》及巨潮资讯 网披露的《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 一次临时股东大会决议 公告》</w:t>
            </w:r>
          </w:p>
        </w:tc>
      </w:tr>
    </w:tbl>
    <w:p>
      <w:pPr>
        <w:spacing w:after="0" w:line="312"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60"/>
        <w:gridCol w:w="1274"/>
        <w:gridCol w:w="1561"/>
        <w:gridCol w:w="1560"/>
        <w:gridCol w:w="1702"/>
        <w:gridCol w:w="1911"/>
      </w:tblGrid>
      <w:tr>
        <w:trPr>
          <w:trHeight w:val="164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0" w:lineRule="auto"/>
              <w:ind w:left="326" w:right="26" w:hanging="29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年度第二次临 时股东大会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6"/>
              <w:jc w:val="both"/>
              <w:rPr>
                <w:rFonts w:ascii="宋体" w:hAnsi="宋体" w:cs="宋体" w:eastAsia="宋体" w:hint="default"/>
                <w:sz w:val="18"/>
                <w:szCs w:val="18"/>
              </w:rPr>
            </w:pPr>
            <w:r>
              <w:rPr>
                <w:rFonts w:ascii="宋体" w:hAnsi="宋体" w:cs="宋体" w:eastAsia="宋体" w:hint="default"/>
                <w:spacing w:val="-17"/>
                <w:sz w:val="18"/>
                <w:szCs w:val="18"/>
              </w:rPr>
              <w:t>详见《证券时报》、《中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国证券报》及巨潮资讯 网披露的《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 二次临时股东大会决议 公告》</w:t>
            </w:r>
          </w:p>
        </w:tc>
      </w:tr>
      <w:tr>
        <w:trPr>
          <w:trHeight w:val="133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6"/>
              <w:jc w:val="both"/>
              <w:rPr>
                <w:rFonts w:ascii="宋体" w:hAnsi="宋体" w:cs="宋体" w:eastAsia="宋体" w:hint="default"/>
                <w:sz w:val="18"/>
                <w:szCs w:val="18"/>
              </w:rPr>
            </w:pPr>
            <w:r>
              <w:rPr>
                <w:rFonts w:ascii="宋体" w:hAnsi="宋体" w:cs="宋体" w:eastAsia="宋体" w:hint="default"/>
                <w:spacing w:val="-17"/>
                <w:sz w:val="18"/>
                <w:szCs w:val="18"/>
              </w:rPr>
              <w:t>详见《证券时报》、《中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国证券报》及巨潮资讯 网披露的《</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 东大会决议公告》</w:t>
            </w:r>
          </w:p>
        </w:tc>
      </w:tr>
      <w:tr>
        <w:trPr>
          <w:trHeight w:val="164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0" w:lineRule="auto"/>
              <w:ind w:left="326" w:right="26" w:hanging="29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年度第三次临 时股东大会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6"/>
              <w:jc w:val="both"/>
              <w:rPr>
                <w:rFonts w:ascii="宋体" w:hAnsi="宋体" w:cs="宋体" w:eastAsia="宋体" w:hint="default"/>
                <w:sz w:val="18"/>
                <w:szCs w:val="18"/>
              </w:rPr>
            </w:pPr>
            <w:r>
              <w:rPr>
                <w:rFonts w:ascii="宋体" w:hAnsi="宋体" w:cs="宋体" w:eastAsia="宋体" w:hint="default"/>
                <w:spacing w:val="-17"/>
                <w:sz w:val="18"/>
                <w:szCs w:val="18"/>
              </w:rPr>
              <w:t>详见《证券时报》、《中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国证券报》及巨潮资讯 网披露的《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 三次临时股东大会决议 公告》</w:t>
            </w:r>
          </w:p>
        </w:tc>
      </w:tr>
      <w:tr>
        <w:trPr>
          <w:trHeight w:val="165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97" w:lineRule="auto"/>
              <w:ind w:left="326" w:right="26" w:hanging="29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年度第四次临 时股东大会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6"/>
              <w:jc w:val="both"/>
              <w:rPr>
                <w:rFonts w:ascii="宋体" w:hAnsi="宋体" w:cs="宋体" w:eastAsia="宋体" w:hint="default"/>
                <w:sz w:val="18"/>
                <w:szCs w:val="18"/>
              </w:rPr>
            </w:pPr>
            <w:r>
              <w:rPr>
                <w:rFonts w:ascii="宋体" w:hAnsi="宋体" w:cs="宋体" w:eastAsia="宋体" w:hint="default"/>
                <w:spacing w:val="-17"/>
                <w:sz w:val="18"/>
                <w:szCs w:val="18"/>
              </w:rPr>
              <w:t>详见《证券时报》、《中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国证券报》及巨潮资讯 网披露的《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 四次临时股东大会决议 公告》</w:t>
            </w:r>
          </w:p>
        </w:tc>
      </w:tr>
      <w:tr>
        <w:trPr>
          <w:trHeight w:val="165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0" w:lineRule="auto"/>
              <w:ind w:left="326" w:right="26" w:hanging="29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年度第五次临 时股东大会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6"/>
              <w:jc w:val="both"/>
              <w:rPr>
                <w:rFonts w:ascii="宋体" w:hAnsi="宋体" w:cs="宋体" w:eastAsia="宋体" w:hint="default"/>
                <w:sz w:val="18"/>
                <w:szCs w:val="18"/>
              </w:rPr>
            </w:pPr>
            <w:r>
              <w:rPr>
                <w:rFonts w:ascii="宋体" w:hAnsi="宋体" w:cs="宋体" w:eastAsia="宋体" w:hint="default"/>
                <w:spacing w:val="-17"/>
                <w:sz w:val="18"/>
                <w:szCs w:val="18"/>
              </w:rPr>
              <w:t>详见《证券时报》、《中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国证券报》及巨潮资讯 网披露的《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 五次临时股东大会决议 公告》</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洪兵</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马旗戟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曹军波</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梁华权</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Xuan Richard</w:t>
            </w:r>
            <w:r>
              <w:rPr>
                <w:rFonts w:ascii="Times New Roman"/>
                <w:spacing w:val="-7"/>
                <w:sz w:val="18"/>
              </w:rPr>
              <w:t> </w:t>
            </w:r>
            <w:r>
              <w:rPr>
                <w:rFonts w:ascii="Times New Roman"/>
                <w:sz w:val="18"/>
              </w:rPr>
              <w:t>Gu</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陶向南</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49"/>
        <w:ind w:right="254"/>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right="254"/>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54"/>
        <w:jc w:val="left"/>
      </w:pPr>
      <w:r>
        <w:rPr/>
        <w:t>独立董事对公司有关事项是否提出异议</w:t>
      </w:r>
    </w:p>
    <w:p>
      <w:pPr>
        <w:pStyle w:val="BodyText"/>
        <w:spacing w:line="340" w:lineRule="auto" w:before="117"/>
        <w:ind w:right="6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3"/>
        <w:rPr>
          <w:rFonts w:ascii="宋体" w:hAnsi="宋体" w:cs="宋体" w:eastAsia="宋体" w:hint="default"/>
          <w:sz w:val="21"/>
          <w:szCs w:val="21"/>
        </w:rPr>
      </w:pPr>
    </w:p>
    <w:p>
      <w:pPr>
        <w:pStyle w:val="Heading3"/>
        <w:spacing w:line="240" w:lineRule="auto"/>
        <w:ind w:right="254"/>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254"/>
        <w:jc w:val="left"/>
      </w:pPr>
      <w:r>
        <w:rPr/>
        <w:t>独立董事对公司有关建议是否被采纳</w:t>
      </w:r>
    </w:p>
    <w:p>
      <w:pPr>
        <w:pStyle w:val="BodyText"/>
        <w:spacing w:line="340" w:lineRule="auto" w:before="117"/>
        <w:ind w:right="5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357" w:lineRule="auto"/>
        <w:ind w:right="190" w:firstLine="360"/>
        <w:jc w:val="both"/>
      </w:pPr>
      <w:r>
        <w:rPr>
          <w:spacing w:val="-2"/>
        </w:rPr>
        <w:t>公司独立董事严格按照《公司章程》和《独立董事工作制度》等法律法规的规定，关注公司运作的规范性，独立履行职</w:t>
      </w:r>
      <w:r>
        <w:rPr/>
        <w:t> </w:t>
      </w:r>
      <w:r>
        <w:rPr>
          <w:spacing w:val="-2"/>
        </w:rPr>
        <w:t>责，对公司的制度完善和日常经营决策等方面提出了许多宝贵的专业性意见，对报告期内公司发生的聘请年度审计机构、重</w:t>
      </w:r>
      <w:r>
        <w:rPr>
          <w:spacing w:val="-63"/>
        </w:rPr>
        <w:t> </w:t>
      </w:r>
      <w:r>
        <w:rPr>
          <w:spacing w:val="-63"/>
        </w:rPr>
      </w:r>
      <w:r>
        <w:rPr>
          <w:spacing w:val="-2"/>
        </w:rPr>
        <w:t>大资产出售事项等事项发表了独立、公正的意见，对公司财务及生产经营活动进行了有效监督，为完善公司监督机制，维护</w:t>
      </w:r>
      <w:r>
        <w:rPr>
          <w:spacing w:val="-66"/>
        </w:rPr>
        <w:t> </w:t>
      </w:r>
      <w:r>
        <w:rPr>
          <w:spacing w:val="-66"/>
        </w:rPr>
      </w:r>
      <w:r>
        <w:rPr/>
        <w:t>公司和全体股东的合法权益发挥了应有的作用。</w:t>
      </w:r>
    </w:p>
    <w:p>
      <w:pPr>
        <w:spacing w:line="240" w:lineRule="auto" w:before="7"/>
        <w:rPr>
          <w:rFonts w:ascii="宋体" w:hAnsi="宋体" w:cs="宋体" w:eastAsia="宋体" w:hint="default"/>
          <w:sz w:val="24"/>
          <w:szCs w:val="24"/>
        </w:rPr>
      </w:pPr>
    </w:p>
    <w:p>
      <w:pPr>
        <w:pStyle w:val="Heading2"/>
        <w:spacing w:line="240" w:lineRule="auto"/>
        <w:ind w:right="254"/>
        <w:jc w:val="left"/>
        <w:rPr>
          <w:b w:val="0"/>
          <w:bCs w:val="0"/>
        </w:rPr>
      </w:pPr>
      <w:r>
        <w:rPr/>
        <w:t>六、董事会下设专门委员会在报告期内履行职责情况</w:t>
      </w:r>
      <w:r>
        <w:rPr>
          <w:b w:val="0"/>
          <w:bCs w:val="0"/>
        </w:rPr>
      </w:r>
    </w:p>
    <w:p>
      <w:pPr>
        <w:spacing w:line="240" w:lineRule="auto" w:before="2"/>
        <w:rPr>
          <w:rFonts w:ascii="宋体" w:hAnsi="宋体" w:cs="宋体" w:eastAsia="宋体" w:hint="default"/>
          <w:b/>
          <w:bCs/>
          <w:sz w:val="23"/>
          <w:szCs w:val="23"/>
        </w:rPr>
      </w:pPr>
    </w:p>
    <w:p>
      <w:pPr>
        <w:pStyle w:val="BodyText"/>
        <w:spacing w:line="338" w:lineRule="auto"/>
        <w:ind w:left="441" w:right="94" w:firstLine="38"/>
        <w:jc w:val="left"/>
      </w:pPr>
      <w:r>
        <w:rPr>
          <w:rFonts w:ascii="Times New Roman" w:hAnsi="Times New Roman" w:cs="Times New Roman" w:eastAsia="Times New Roman" w:hint="default"/>
        </w:rPr>
        <w:t>1</w:t>
      </w:r>
      <w:r>
        <w:rPr/>
        <w:t>、审计委员会履职情况 </w:t>
      </w:r>
      <w:r>
        <w:rPr>
          <w:spacing w:val="-1"/>
        </w:rPr>
        <w:t>报告期内公司董事会审计委员会每季度召开例行会议，审议审计部提交的工作计划和报告，对公司内部审计工作情况进</w:t>
      </w:r>
    </w:p>
    <w:p>
      <w:pPr>
        <w:pStyle w:val="BodyText"/>
        <w:spacing w:line="350" w:lineRule="auto" w:before="41"/>
        <w:ind w:right="94"/>
        <w:jc w:val="left"/>
      </w:pPr>
      <w:r>
        <w:rPr>
          <w:spacing w:val="-2"/>
        </w:rPr>
        <w:t>行检查并提出指导意见；按照年报审计工作相关规程规定，做好</w:t>
      </w:r>
      <w:r>
        <w:rPr>
          <w:rFonts w:ascii="Times New Roman" w:hAnsi="Times New Roman" w:cs="Times New Roman" w:eastAsia="Times New Roman" w:hint="default"/>
          <w:spacing w:val="-2"/>
        </w:rPr>
        <w:t>2016</w:t>
      </w:r>
      <w:r>
        <w:rPr>
          <w:spacing w:val="-2"/>
        </w:rPr>
        <w:t>年度报告审计的相关工作，与审计机构进行及时沟通与</w:t>
      </w:r>
      <w:r>
        <w:rPr>
          <w:spacing w:val="-60"/>
        </w:rPr>
        <w:t> </w:t>
      </w:r>
      <w:r>
        <w:rPr>
          <w:spacing w:val="-60"/>
        </w:rPr>
      </w:r>
      <w:r>
        <w:rPr>
          <w:spacing w:val="-4"/>
        </w:rPr>
        <w:t>交流，对财务报表出具审核意见，对审计机构的审计工作进行总结评价，充分发挥审计委员会的专业职能和监督作用；同时，</w:t>
      </w:r>
      <w:r>
        <w:rPr>
          <w:spacing w:val="-46"/>
        </w:rPr>
        <w:t> </w:t>
      </w:r>
      <w:r>
        <w:rPr>
          <w:spacing w:val="-46"/>
        </w:rPr>
      </w:r>
      <w:r>
        <w:rPr/>
        <w:t>在公司使用闲置募集资金暂时补充流动资金等事项过程中，全面监督相关项目的可行性以及募集资金项目的资金使用效率。 报告期内，审计委员会切实履行了各项职责，对公司控制风险、完善内部监管机制起着有效的监督作用。</w:t>
      </w:r>
    </w:p>
    <w:p>
      <w:pPr>
        <w:pStyle w:val="BodyText"/>
        <w:spacing w:line="338" w:lineRule="auto" w:before="32"/>
        <w:ind w:left="513" w:right="94"/>
        <w:jc w:val="left"/>
      </w:pPr>
      <w:r>
        <w:rPr>
          <w:rFonts w:ascii="Times New Roman" w:hAnsi="Times New Roman" w:cs="Times New Roman" w:eastAsia="Times New Roman" w:hint="default"/>
        </w:rPr>
        <w:t>2</w:t>
      </w:r>
      <w:r>
        <w:rPr/>
        <w:t>、薪酬委员会履职情况 </w:t>
      </w:r>
      <w:r>
        <w:rPr>
          <w:spacing w:val="-2"/>
        </w:rPr>
        <w:t>报告期内，董事会薪酬委员会按照《公司章程》、《薪酬委员会工作细则》等相关规定行使职能，报告期内薪酬委员会</w:t>
      </w:r>
    </w:p>
    <w:p>
      <w:pPr>
        <w:pStyle w:val="BodyText"/>
        <w:spacing w:line="336" w:lineRule="auto" w:before="41"/>
        <w:ind w:right="94"/>
        <w:jc w:val="left"/>
      </w:pPr>
      <w:r>
        <w:rPr>
          <w:spacing w:val="-2"/>
        </w:rPr>
        <w:t>对公司非独立董事、高级管理人员</w:t>
      </w:r>
      <w:r>
        <w:rPr>
          <w:rFonts w:ascii="Times New Roman" w:hAnsi="Times New Roman" w:cs="Times New Roman" w:eastAsia="Times New Roman" w:hint="default"/>
          <w:spacing w:val="-2"/>
        </w:rPr>
        <w:t>2016</w:t>
      </w:r>
      <w:r>
        <w:rPr>
          <w:spacing w:val="-2"/>
        </w:rPr>
        <w:t>年度的工作履职情况进行评定，并对公司董事、高级管理人员</w:t>
      </w:r>
      <w:r>
        <w:rPr>
          <w:rFonts w:ascii="Times New Roman" w:hAnsi="Times New Roman" w:cs="Times New Roman" w:eastAsia="Times New Roman" w:hint="default"/>
          <w:spacing w:val="-2"/>
        </w:rPr>
        <w:t>2016</w:t>
      </w:r>
      <w:r>
        <w:rPr>
          <w:spacing w:val="-2"/>
        </w:rPr>
        <w:t>年度薪酬发放出具</w:t>
      </w:r>
      <w:r>
        <w:rPr>
          <w:spacing w:val="-61"/>
        </w:rPr>
        <w:t> </w:t>
      </w:r>
      <w:r>
        <w:rPr>
          <w:spacing w:val="-61"/>
        </w:rPr>
      </w:r>
      <w:r>
        <w:rPr/>
        <w:t>了审核意见。报告期内，薪酬委员会切实履行了各项职责，对公司董事、高管薪酬政策执行情况进行了有效监督。</w:t>
      </w:r>
    </w:p>
    <w:p>
      <w:pPr>
        <w:pStyle w:val="BodyText"/>
        <w:spacing w:line="338" w:lineRule="auto" w:before="43"/>
        <w:ind w:left="513" w:right="94"/>
        <w:jc w:val="left"/>
      </w:pPr>
      <w:r>
        <w:rPr>
          <w:rFonts w:ascii="Times New Roman" w:hAnsi="Times New Roman" w:cs="Times New Roman" w:eastAsia="Times New Roman" w:hint="default"/>
        </w:rPr>
        <w:t>3</w:t>
      </w:r>
      <w:r>
        <w:rPr/>
        <w:t>、提名委员会履职情况 </w:t>
      </w:r>
      <w:r>
        <w:rPr>
          <w:spacing w:val="-2"/>
        </w:rPr>
        <w:t>报告期内，董事会提名委员会按照《公司章程》、《提名委员会工作细则》等相关规定行使职能，对公司第五届董事会</w:t>
      </w:r>
    </w:p>
    <w:p>
      <w:pPr>
        <w:pStyle w:val="BodyText"/>
        <w:spacing w:line="357" w:lineRule="auto" w:before="41"/>
        <w:ind w:right="190"/>
        <w:jc w:val="both"/>
      </w:pPr>
      <w:r>
        <w:rPr>
          <w:spacing w:val="-2"/>
        </w:rPr>
        <w:t>董事、高级管理人员候选人以及股东推荐的增补第五届董事会董事、高级管理人员候选人的任职资格进行了充分考察。报告</w:t>
      </w:r>
      <w:r>
        <w:rPr>
          <w:spacing w:val="-63"/>
        </w:rPr>
        <w:t> </w:t>
      </w:r>
      <w:r>
        <w:rPr>
          <w:spacing w:val="-63"/>
        </w:rPr>
      </w:r>
      <w:r>
        <w:rPr>
          <w:spacing w:val="-2"/>
        </w:rPr>
        <w:t>期内，提名委员会切实履行了各项职责，确保了公司董事、高级管理人员等产生的程序公正、合法，聘用的高级管理人员具</w:t>
      </w:r>
      <w:r>
        <w:rPr>
          <w:spacing w:val="-67"/>
        </w:rPr>
        <w:t> </w:t>
      </w:r>
      <w:r>
        <w:rPr>
          <w:spacing w:val="-67"/>
        </w:rPr>
      </w:r>
      <w:r>
        <w:rPr/>
        <w:t>备拟任职务所要求的经验。</w:t>
      </w:r>
    </w:p>
    <w:p>
      <w:pPr>
        <w:pStyle w:val="BodyText"/>
        <w:spacing w:line="338" w:lineRule="auto" w:before="26"/>
        <w:ind w:left="441" w:right="94" w:firstLine="72"/>
        <w:jc w:val="left"/>
      </w:pPr>
      <w:r>
        <w:rPr>
          <w:rFonts w:ascii="Times New Roman" w:hAnsi="Times New Roman" w:cs="Times New Roman" w:eastAsia="Times New Roman" w:hint="default"/>
        </w:rPr>
        <w:t>4</w:t>
      </w:r>
      <w:r>
        <w:rPr/>
        <w:t>、战略委员会履职情况 </w:t>
      </w:r>
      <w:r>
        <w:rPr>
          <w:spacing w:val="-1"/>
        </w:rPr>
        <w:t>报告期内，董事会战略委员会按照《公司章程》、《战略委员会工作细则》等相关规定行使职能，对公司</w:t>
      </w:r>
      <w:r>
        <w:rPr>
          <w:rFonts w:ascii="Times New Roman" w:hAnsi="Times New Roman" w:cs="Times New Roman" w:eastAsia="Times New Roman" w:hint="default"/>
          <w:spacing w:val="-1"/>
        </w:rPr>
        <w:t>2016</w:t>
      </w:r>
      <w:r>
        <w:rPr>
          <w:spacing w:val="-1"/>
        </w:rPr>
        <w:t>年度经营</w:t>
      </w:r>
    </w:p>
    <w:p>
      <w:pPr>
        <w:pStyle w:val="BodyText"/>
        <w:spacing w:line="357" w:lineRule="auto" w:before="19"/>
        <w:ind w:right="94"/>
        <w:jc w:val="left"/>
      </w:pPr>
      <w:r>
        <w:rPr>
          <w:spacing w:val="-2"/>
        </w:rPr>
        <w:t>战略进行了认真的总结，并对公司未来发展战略提出了意见和建议；根据公司战略发展以及实际情况的需要，经过充分的研</w:t>
      </w:r>
      <w:r>
        <w:rPr>
          <w:spacing w:val="-63"/>
        </w:rPr>
        <w:t> </w:t>
      </w:r>
      <w:r>
        <w:rPr>
          <w:spacing w:val="-63"/>
        </w:rPr>
      </w:r>
      <w:r>
        <w:rPr>
          <w:spacing w:val="-2"/>
        </w:rPr>
        <w:t>究、论证后，提议对公司现有的组织架构进行调整、完善，使得公司的组织架构更为清晰、完整；对公司重大资产出售、投</w:t>
      </w:r>
    </w:p>
    <w:p>
      <w:pPr>
        <w:spacing w:after="0" w:line="357" w:lineRule="auto"/>
        <w:jc w:val="left"/>
        <w:sectPr>
          <w:pgSz w:w="11910" w:h="16840"/>
          <w:pgMar w:header="745" w:footer="980" w:top="1060" w:bottom="1160" w:left="980" w:right="940"/>
        </w:sectPr>
      </w:pPr>
    </w:p>
    <w:p>
      <w:pPr>
        <w:spacing w:line="240" w:lineRule="auto" w:before="8"/>
        <w:rPr>
          <w:rFonts w:ascii="宋体" w:hAnsi="宋体" w:cs="宋体" w:eastAsia="宋体" w:hint="default"/>
          <w:sz w:val="22"/>
          <w:szCs w:val="22"/>
        </w:rPr>
      </w:pPr>
    </w:p>
    <w:p>
      <w:pPr>
        <w:pStyle w:val="BodyText"/>
        <w:spacing w:line="357" w:lineRule="auto" w:before="44"/>
        <w:ind w:right="94"/>
        <w:jc w:val="left"/>
      </w:pPr>
      <w:r>
        <w:rPr>
          <w:spacing w:val="-2"/>
        </w:rPr>
        <w:t>资等事项进行了深入讨论和前期论证，并听取了高级管理人员及相关人员的意见。报告期内，战略委员会切实履行了各项职</w:t>
      </w:r>
      <w:r>
        <w:rPr>
          <w:spacing w:val="-63"/>
        </w:rPr>
        <w:t> </w:t>
      </w:r>
      <w:r>
        <w:rPr>
          <w:spacing w:val="-63"/>
        </w:rPr>
      </w:r>
      <w:r>
        <w:rPr/>
        <w:t>责，为公司的战略规划提出了专业的参谋意见。</w:t>
      </w:r>
    </w:p>
    <w:p>
      <w:pPr>
        <w:spacing w:line="240" w:lineRule="auto" w:before="7"/>
        <w:rPr>
          <w:rFonts w:ascii="宋体" w:hAnsi="宋体" w:cs="宋体" w:eastAsia="宋体" w:hint="default"/>
          <w:sz w:val="24"/>
          <w:szCs w:val="24"/>
        </w:rPr>
      </w:pPr>
    </w:p>
    <w:p>
      <w:pPr>
        <w:pStyle w:val="Heading2"/>
        <w:spacing w:line="240" w:lineRule="auto"/>
        <w:ind w:right="254"/>
        <w:jc w:val="left"/>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54"/>
        <w:jc w:val="left"/>
      </w:pPr>
      <w:r>
        <w:rPr/>
        <w:t>监事会在报告期内的监督活动中发现公司是否存在风险</w:t>
      </w:r>
    </w:p>
    <w:p>
      <w:pPr>
        <w:pStyle w:val="BodyText"/>
        <w:spacing w:line="340" w:lineRule="auto" w:before="117"/>
        <w:ind w:right="67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254"/>
        <w:jc w:val="left"/>
        <w:rPr>
          <w:b w:val="0"/>
          <w:bCs w:val="0"/>
        </w:rPr>
      </w:pPr>
      <w:r>
        <w:rPr/>
        <w:t>八、高级管理人员的考评及激励情况</w:t>
      </w:r>
      <w:r>
        <w:rPr>
          <w:b w:val="0"/>
          <w:bCs w:val="0"/>
        </w:rPr>
      </w:r>
    </w:p>
    <w:p>
      <w:pPr>
        <w:spacing w:line="240" w:lineRule="auto" w:before="5"/>
        <w:rPr>
          <w:rFonts w:ascii="宋体" w:hAnsi="宋体" w:cs="宋体" w:eastAsia="宋体" w:hint="default"/>
          <w:b/>
          <w:bCs/>
          <w:sz w:val="23"/>
          <w:szCs w:val="23"/>
        </w:rPr>
      </w:pPr>
    </w:p>
    <w:p>
      <w:pPr>
        <w:pStyle w:val="BodyText"/>
        <w:spacing w:line="357" w:lineRule="auto"/>
        <w:ind w:right="94" w:firstLine="360"/>
        <w:jc w:val="left"/>
      </w:pPr>
      <w:r>
        <w:rPr/>
        <w:t>公司建立了完善的高级管理人员绩效考评体系和薪酬制度，通过科学合理的业绩考核与评价体系，强化责任目标约束， </w:t>
      </w:r>
      <w:r>
        <w:rPr>
          <w:spacing w:val="-2"/>
        </w:rPr>
        <w:t>确保高级管理人员的工作绩效与其收入直接挂钩，充分发挥和调动公司高级管理人员的工作积极性和创造性，提高公司整体</w:t>
      </w:r>
      <w:r>
        <w:rPr>
          <w:spacing w:val="-64"/>
        </w:rPr>
        <w:t> </w:t>
      </w:r>
      <w:r>
        <w:rPr>
          <w:spacing w:val="-64"/>
        </w:rPr>
      </w:r>
      <w:r>
        <w:rPr>
          <w:spacing w:val="-2"/>
        </w:rPr>
        <w:t>管理水平。报告期内，公司董事会薪酬委员会负责对高级管理人员的工作能力、履职情况、责任目标完成情况等进行年终考</w:t>
      </w:r>
      <w:r>
        <w:rPr>
          <w:spacing w:val="-64"/>
        </w:rPr>
        <w:t> </w:t>
      </w:r>
      <w:r>
        <w:rPr>
          <w:spacing w:val="-64"/>
        </w:rPr>
      </w:r>
      <w:r>
        <w:rPr/>
        <w:t>评，制定具体的薪酬方案后上报公司董事会审议批准执行。</w:t>
      </w:r>
    </w:p>
    <w:p>
      <w:pPr>
        <w:spacing w:line="240" w:lineRule="auto" w:before="7"/>
        <w:rPr>
          <w:rFonts w:ascii="宋体" w:hAnsi="宋体" w:cs="宋体" w:eastAsia="宋体" w:hint="default"/>
          <w:sz w:val="24"/>
          <w:szCs w:val="24"/>
        </w:rPr>
      </w:pPr>
    </w:p>
    <w:p>
      <w:pPr>
        <w:pStyle w:val="Heading2"/>
        <w:spacing w:line="240" w:lineRule="auto"/>
        <w:ind w:right="254"/>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254"/>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254"/>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2"/>
          <w:szCs w:val="12"/>
        </w:rPr>
      </w:pPr>
    </w:p>
    <w:p>
      <w:pPr>
        <w:spacing w:line="312" w:lineRule="exact"/>
        <w:ind w:left="6987"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35.4pt;height:15.65pt;mso-position-horizontal-relative:char;mso-position-vertical-relative:line" coordorigin="0,0" coordsize="2708,313">
            <v:group style="position:absolute;left:0;top:0;width:2708;height:313" coordorigin="0,0" coordsize="2708,313">
              <v:shape style="position:absolute;left:0;top:0;width:2708;height:313" coordorigin="0,0" coordsize="2708,313" path="m0,312l2708,312,2708,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4"/>
          <w:szCs w:val="24"/>
        </w:rPr>
      </w:pPr>
    </w:p>
    <w:p>
      <w:pPr>
        <w:pStyle w:val="BodyText"/>
        <w:spacing w:line="240" w:lineRule="auto" w:before="44"/>
        <w:ind w:left="0" w:right="199"/>
        <w:jc w:val="right"/>
      </w:pPr>
      <w:r>
        <w:rPr/>
        <w:pict>
          <v:shape style="position:absolute;margin-left:56.400002pt;margin-top:-246.178284pt;width:479.3pt;height:310.850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24"/>
                    <w:gridCol w:w="3594"/>
                    <w:gridCol w:w="2753"/>
                  </w:tblGrid>
                  <w:tr>
                    <w:trPr>
                      <w:trHeight w:val="404" w:hRule="exact"/>
                    </w:trPr>
                    <w:tc>
                      <w:tcPr>
                        <w:tcW w:w="3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47"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1" w:hRule="exact"/>
                    </w:trPr>
                    <w:tc>
                      <w:tcPr>
                        <w:tcW w:w="3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47"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《深圳市麦达数字股份有限公司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年度内部控制自我评价报告》</w:t>
                        </w:r>
                      </w:p>
                    </w:tc>
                  </w:tr>
                  <w:tr>
                    <w:trPr>
                      <w:trHeight w:val="715" w:hRule="exact"/>
                    </w:trPr>
                    <w:tc>
                      <w:tcPr>
                        <w:tcW w:w="3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47"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85.02%</w:t>
                        </w:r>
                      </w:p>
                    </w:tc>
                  </w:tr>
                  <w:tr>
                    <w:trPr>
                      <w:trHeight w:val="714" w:hRule="exact"/>
                    </w:trPr>
                    <w:tc>
                      <w:tcPr>
                        <w:tcW w:w="3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47"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95.41%</w:t>
                        </w:r>
                      </w:p>
                    </w:tc>
                  </w:tr>
                  <w:tr>
                    <w:trPr>
                      <w:trHeight w:val="397"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390" w:hRule="exact"/>
                    </w:trPr>
                    <w:tc>
                      <w:tcPr>
                        <w:tcW w:w="32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4" w:type="dxa"/>
                        <w:vMerge w:val="restart"/>
                        <w:tcBorders>
                          <w:top w:val="single" w:sz="4" w:space="0" w:color="000000"/>
                          <w:left w:val="single" w:sz="9" w:space="0" w:color="D2D2D2"/>
                          <w:right w:val="single" w:sz="13" w:space="0" w:color="FFFFFF"/>
                        </w:tcBorders>
                      </w:tcPr>
                      <w:p>
                        <w:pPr>
                          <w:pStyle w:val="TableParagraph"/>
                          <w:spacing w:line="307" w:lineRule="auto" w:before="51"/>
                          <w:ind w:left="56"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A.</w:t>
                        </w:r>
                        <w:r>
                          <w:rPr>
                            <w:rFonts w:ascii="宋体" w:hAnsi="宋体" w:cs="宋体" w:eastAsia="宋体" w:hint="default"/>
                            <w:sz w:val="18"/>
                            <w:szCs w:val="18"/>
                          </w:rPr>
                          <w:t>公司董事、监事和高级管理 人员舞弊并给公司造成重大的财务损失；</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注册会计师发现当期财务报表存在重大错 </w:t>
                        </w:r>
                        <w:r>
                          <w:rPr>
                            <w:rFonts w:ascii="宋体" w:hAnsi="宋体" w:cs="宋体" w:eastAsia="宋体" w:hint="default"/>
                            <w:spacing w:val="-3"/>
                            <w:sz w:val="18"/>
                            <w:szCs w:val="18"/>
                          </w:rPr>
                          <w:t>报，而内部控制在运行过程中未能发现错报；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C.</w:t>
                        </w:r>
                        <w:r>
                          <w:rPr>
                            <w:rFonts w:ascii="宋体" w:hAnsi="宋体" w:cs="宋体" w:eastAsia="宋体" w:hint="default"/>
                            <w:sz w:val="18"/>
                            <w:szCs w:val="18"/>
                          </w:rPr>
                          <w:t>董事会或其授权机构及内审部门对公司的 内部控制的监督无效。</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A.</w:t>
                        </w:r>
                        <w:r>
                          <w:rPr>
                            <w:rFonts w:ascii="宋体" w:hAnsi="宋体" w:cs="宋体" w:eastAsia="宋体" w:hint="default"/>
                            <w:sz w:val="18"/>
                            <w:szCs w:val="18"/>
                          </w:rPr>
                          <w:t>未依 照公认会计准则选择和应用会计政策；</w:t>
                        </w:r>
                        <w:r>
                          <w:rPr>
                            <w:rFonts w:ascii="Times New Roman" w:hAnsi="Times New Roman" w:cs="Times New Roman" w:eastAsia="Times New Roman" w:hint="default"/>
                            <w:sz w:val="18"/>
                            <w:szCs w:val="18"/>
                          </w:rPr>
                          <w:t>B.</w:t>
                        </w:r>
                        <w:r>
                          <w:rPr>
                            <w:rFonts w:ascii="宋体" w:hAnsi="宋体" w:cs="宋体" w:eastAsia="宋体" w:hint="default"/>
                            <w:sz w:val="18"/>
                            <w:szCs w:val="18"/>
                          </w:rPr>
                          <w:t>未 建立反舞弊程序和控制措施；</w:t>
                        </w:r>
                        <w:r>
                          <w:rPr>
                            <w:rFonts w:ascii="Times New Roman" w:hAnsi="Times New Roman" w:cs="Times New Roman" w:eastAsia="Times New Roman" w:hint="default"/>
                            <w:sz w:val="18"/>
                            <w:szCs w:val="18"/>
                          </w:rPr>
                          <w:t>C.</w:t>
                        </w:r>
                        <w:r>
                          <w:rPr>
                            <w:rFonts w:ascii="宋体" w:hAnsi="宋体" w:cs="宋体" w:eastAsia="宋体" w:hint="default"/>
                            <w:sz w:val="18"/>
                            <w:szCs w:val="18"/>
                          </w:rPr>
                          <w:t>对于非常规 或特殊交易的账务处理没有建立相应的控制 机制或没有实施且没有相应的补偿性控制；</w:t>
                        </w:r>
                      </w:p>
                    </w:tc>
                    <w:tc>
                      <w:tcPr>
                        <w:tcW w:w="2753" w:type="dxa"/>
                        <w:vMerge w:val="restart"/>
                        <w:tcBorders>
                          <w:top w:val="single" w:sz="4" w:space="0" w:color="000000"/>
                          <w:left w:val="single" w:sz="13" w:space="0" w:color="FFFFFF"/>
                          <w:right w:val="single" w:sz="4" w:space="0" w:color="000000"/>
                        </w:tcBorders>
                      </w:tcPr>
                      <w:p>
                        <w:pPr>
                          <w:pStyle w:val="TableParagraph"/>
                          <w:spacing w:line="314" w:lineRule="auto" w:before="51"/>
                          <w:ind w:right="22"/>
                          <w:jc w:val="left"/>
                          <w:rPr>
                            <w:rFonts w:ascii="宋体" w:hAnsi="宋体" w:cs="宋体" w:eastAsia="宋体" w:hint="default"/>
                            <w:sz w:val="18"/>
                            <w:szCs w:val="18"/>
                          </w:rPr>
                        </w:pPr>
                        <w:r>
                          <w:rPr>
                            <w:rFonts w:ascii="宋体" w:hAnsi="宋体" w:cs="宋体" w:eastAsia="宋体" w:hint="default"/>
                            <w:sz w:val="18"/>
                            <w:szCs w:val="18"/>
                          </w:rPr>
                          <w:t>非财务报告的缺陷认定主要以缺陷 对业务流程的影响程度、发生的可 </w:t>
                        </w:r>
                        <w:r>
                          <w:rPr>
                            <w:rFonts w:ascii="宋体" w:hAnsi="宋体" w:cs="宋体" w:eastAsia="宋体" w:hint="default"/>
                            <w:spacing w:val="-6"/>
                            <w:sz w:val="18"/>
                            <w:szCs w:val="18"/>
                          </w:rPr>
                          <w:t>能性作判定。</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）如果缺陷发生的可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能性高，会严重降低工作效率或效 果，或严重加大效果的不确定性、 或使之严重偏离预期目标为重大缺 </w:t>
                        </w:r>
                        <w:r>
                          <w:rPr>
                            <w:rFonts w:ascii="宋体" w:hAnsi="宋体" w:cs="宋体" w:eastAsia="宋体" w:hint="default"/>
                            <w:spacing w:val="-11"/>
                            <w:sz w:val="18"/>
                            <w:szCs w:val="18"/>
                          </w:rPr>
                          <w:t>陷；</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）如果缺陷发生的可能性较高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会显著降低工作效率或效果，或显 著加大效果的不确定性、或使之显 </w:t>
                        </w:r>
                        <w:r>
                          <w:rPr>
                            <w:rFonts w:ascii="宋体" w:hAnsi="宋体" w:cs="宋体" w:eastAsia="宋体" w:hint="default"/>
                            <w:spacing w:val="-8"/>
                            <w:sz w:val="18"/>
                            <w:szCs w:val="18"/>
                          </w:rPr>
                          <w:t>著偏离预期目标为重要缺陷；</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）如</w:t>
                        </w:r>
                        <w:r>
                          <w:rPr>
                            <w:rFonts w:ascii="宋体" w:hAnsi="宋体" w:cs="宋体" w:eastAsia="宋体" w:hint="default"/>
                            <w:sz w:val="18"/>
                            <w:szCs w:val="18"/>
                          </w:rPr>
                        </w:r>
                      </w:p>
                    </w:tc>
                  </w:tr>
                  <w:tr>
                    <w:trPr>
                      <w:trHeight w:val="394" w:hRule="exact"/>
                    </w:trPr>
                    <w:tc>
                      <w:tcPr>
                        <w:tcW w:w="32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594" w:type="dxa"/>
                        <w:vMerge/>
                        <w:tcBorders>
                          <w:left w:val="single" w:sz="9" w:space="0" w:color="D2D2D2"/>
                          <w:right w:val="single" w:sz="13" w:space="0" w:color="FFFFFF"/>
                        </w:tcBorders>
                      </w:tcPr>
                      <w:p>
                        <w:pPr/>
                      </w:p>
                    </w:tc>
                    <w:tc>
                      <w:tcPr>
                        <w:tcW w:w="2753" w:type="dxa"/>
                        <w:vMerge/>
                        <w:tcBorders>
                          <w:left w:val="single" w:sz="13" w:space="0" w:color="FFFFFF"/>
                          <w:right w:val="single" w:sz="4" w:space="0" w:color="000000"/>
                        </w:tcBorders>
                      </w:tcPr>
                      <w:p>
                        <w:pPr/>
                      </w:p>
                    </w:tc>
                  </w:tr>
                  <w:tr>
                    <w:trPr>
                      <w:trHeight w:val="1387" w:hRule="exact"/>
                    </w:trPr>
                    <w:tc>
                      <w:tcPr>
                        <w:tcW w:w="3224" w:type="dxa"/>
                        <w:tcBorders>
                          <w:top w:val="nil" w:sz="6" w:space="0" w:color="auto"/>
                          <w:left w:val="single" w:sz="4" w:space="0" w:color="000000"/>
                          <w:bottom w:val="single" w:sz="4" w:space="0" w:color="000000"/>
                          <w:right w:val="single" w:sz="4" w:space="0" w:color="000000"/>
                        </w:tcBorders>
                        <w:shd w:val="clear" w:color="auto" w:fill="D2D2D2"/>
                      </w:tcPr>
                      <w:p>
                        <w:pPr/>
                      </w:p>
                    </w:tc>
                    <w:tc>
                      <w:tcPr>
                        <w:tcW w:w="3594" w:type="dxa"/>
                        <w:vMerge/>
                        <w:tcBorders>
                          <w:left w:val="single" w:sz="9" w:space="0" w:color="D2D2D2"/>
                          <w:bottom w:val="single" w:sz="4" w:space="0" w:color="000000"/>
                          <w:right w:val="single" w:sz="13" w:space="0" w:color="FFFFFF"/>
                        </w:tcBorders>
                      </w:tcPr>
                      <w:p>
                        <w:pPr/>
                      </w:p>
                    </w:tc>
                    <w:tc>
                      <w:tcPr>
                        <w:tcW w:w="2753" w:type="dxa"/>
                        <w:vMerge/>
                        <w:tcBorders>
                          <w:left w:val="single" w:sz="13" w:space="0" w:color="FFFFFF"/>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61"/>
        <w:gridCol w:w="3543"/>
        <w:gridCol w:w="2765"/>
      </w:tblGrid>
      <w:tr>
        <w:trPr>
          <w:trHeight w:val="161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宋体" w:hAnsi="宋体" w:cs="宋体" w:eastAsia="宋体" w:hint="default"/>
                <w:sz w:val="18"/>
                <w:szCs w:val="18"/>
              </w:rPr>
              <w:t>对于期末财务报告过程的控制存在一项或 多项缺陷且不能合理保证编制的财务报表达 </w:t>
            </w:r>
            <w:r>
              <w:rPr>
                <w:rFonts w:ascii="宋体" w:hAnsi="宋体" w:cs="宋体" w:eastAsia="宋体" w:hint="default"/>
                <w:spacing w:val="-2"/>
                <w:sz w:val="18"/>
                <w:szCs w:val="18"/>
              </w:rPr>
              <w:t>到真实、完整的目标。</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）一般缺陷：不构成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重大缺陷和重要缺陷的其他财务报告内部控 制缺陷。</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9"/>
              <w:jc w:val="both"/>
              <w:rPr>
                <w:rFonts w:ascii="宋体" w:hAnsi="宋体" w:cs="宋体" w:eastAsia="宋体" w:hint="default"/>
                <w:sz w:val="18"/>
                <w:szCs w:val="18"/>
              </w:rPr>
            </w:pPr>
            <w:r>
              <w:rPr>
                <w:rFonts w:ascii="宋体" w:hAnsi="宋体" w:cs="宋体" w:eastAsia="宋体" w:hint="default"/>
                <w:sz w:val="18"/>
                <w:szCs w:val="18"/>
              </w:rPr>
              <w:t>果缺陷发生的可能性较小，会降低 工作效率或效果，或加大效果的不 确定性、或使之偏离预期目标为一 般缺陷。</w:t>
            </w:r>
          </w:p>
        </w:tc>
      </w:tr>
      <w:tr>
        <w:trPr>
          <w:trHeight w:val="4769"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定量标准以营业收入、资产总额作为衡量指 </w:t>
            </w:r>
            <w:r>
              <w:rPr>
                <w:rFonts w:ascii="宋体" w:hAnsi="宋体" w:cs="宋体" w:eastAsia="宋体" w:hint="default"/>
                <w:spacing w:val="-2"/>
                <w:sz w:val="18"/>
                <w:szCs w:val="18"/>
              </w:rPr>
              <w:t>标。</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）内部控制缺陷可能导致或导致的损失</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与利润表相关的，以营业收入指标衡量。如 果该缺陷单独或连同其他缺陷可能导致财务 报告错报金额小于营业收入的</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，则认定为</w:t>
            </w:r>
            <w:r>
              <w:rPr>
                <w:rFonts w:ascii="宋体" w:hAnsi="宋体" w:cs="宋体" w:eastAsia="宋体" w:hint="default"/>
                <w:sz w:val="18"/>
                <w:szCs w:val="18"/>
              </w:rPr>
              <w:t> 一般缺陷；如果超过营业收入的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，则认定为重要缺陷；如果超过营业收入 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，则认定为重大缺陷。</w:t>
            </w:r>
            <w:r>
              <w:rPr>
                <w:rFonts w:ascii="Times New Roman" w:hAnsi="Times New Roman" w:cs="Times New Roman" w:eastAsia="Times New Roman" w:hint="default"/>
                <w:sz w:val="18"/>
                <w:szCs w:val="18"/>
              </w:rPr>
              <w:t>2</w:t>
            </w:r>
            <w:r>
              <w:rPr>
                <w:rFonts w:ascii="宋体" w:hAnsi="宋体" w:cs="宋体" w:eastAsia="宋体" w:hint="default"/>
                <w:sz w:val="18"/>
                <w:szCs w:val="18"/>
              </w:rPr>
              <w:t>）内部控制缺 陷可能导致或导致的损失与资产管理相关 的，以资产总额指标衡量。如果该缺陷单独 或连同其他缺陷可能导致财务报告错报金额 小于资产总额的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 如果超过资产总额的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 定为重要缺陷；如果超过资产总额的</w:t>
            </w:r>
            <w:r>
              <w:rPr>
                <w:rFonts w:ascii="宋体" w:hAnsi="宋体" w:cs="宋体" w:eastAsia="宋体" w:hint="default"/>
                <w:spacing w:val="-54"/>
                <w:sz w:val="18"/>
                <w:szCs w:val="18"/>
              </w:rPr>
              <w:t> </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，则</w:t>
            </w:r>
            <w:r>
              <w:rPr>
                <w:rFonts w:ascii="宋体" w:hAnsi="宋体" w:cs="宋体" w:eastAsia="宋体" w:hint="default"/>
                <w:spacing w:val="-20"/>
                <w:sz w:val="18"/>
                <w:szCs w:val="18"/>
              </w:rPr>
              <w:t> </w:t>
            </w:r>
            <w:r>
              <w:rPr>
                <w:rFonts w:ascii="宋体" w:hAnsi="宋体" w:cs="宋体" w:eastAsia="宋体" w:hint="default"/>
                <w:sz w:val="18"/>
                <w:szCs w:val="18"/>
              </w:rPr>
              <w:t>认定为重大缺陷。</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9" w:lineRule="auto"/>
              <w:ind w:left="23" w:right="29"/>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 量标准参照财务报告内部控制缺陷 评价的定量标准执行。</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内部控制鉴证报告</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82" w:firstLine="360"/>
              <w:jc w:val="left"/>
              <w:rPr>
                <w:rFonts w:ascii="宋体" w:hAnsi="宋体" w:cs="宋体" w:eastAsia="宋体" w:hint="default"/>
                <w:sz w:val="18"/>
                <w:szCs w:val="18"/>
              </w:rPr>
            </w:pPr>
            <w:r>
              <w:rPr>
                <w:rFonts w:ascii="宋体" w:hAnsi="宋体" w:cs="宋体" w:eastAsia="宋体" w:hint="default"/>
                <w:sz w:val="18"/>
                <w:szCs w:val="18"/>
              </w:rPr>
              <w:t>我们认为，麦达数字公司按照《企业内部控制基本规范》和相关规定于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日在所有重大方面保持了与 财务报表相关的有效的内部控制。</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内部控制鉴证报告全文于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日在巨潮资讯网披露</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标准意见（内部控制有效）</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53"/>
        <w:jc w:val="left"/>
      </w:pPr>
      <w:r>
        <w:rPr/>
        <w:t>会计师事务所是否出具非标准意见的内部控制鉴证报告</w:t>
      </w:r>
    </w:p>
    <w:p>
      <w:pPr>
        <w:pStyle w:val="BodyText"/>
        <w:spacing w:line="338" w:lineRule="auto" w:before="117"/>
        <w:ind w:right="36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3"/>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153"/>
        <w:jc w:val="left"/>
        <w:rPr>
          <w:b w:val="0"/>
          <w:bCs w:val="0"/>
        </w:rPr>
      </w:pPr>
      <w:bookmarkStart w:name="_bookmark8" w:id="9"/>
      <w:bookmarkEnd w:id="9"/>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113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55"/>
        <w:jc w:val="center"/>
        <w:rPr>
          <w:b w:val="0"/>
          <w:bCs w:val="0"/>
        </w:rPr>
      </w:pPr>
      <w:bookmarkStart w:name="_bookmark9" w:id="10"/>
      <w:bookmarkEnd w:id="10"/>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254"/>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[2018]006891</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张兴、吴金娥</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4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pStyle w:val="BodyText"/>
        <w:spacing w:line="316" w:lineRule="auto"/>
        <w:ind w:left="513" w:right="-20" w:hanging="361"/>
        <w:jc w:val="left"/>
      </w:pPr>
      <w:r>
        <w:rPr/>
        <w:t>深圳市麦达数字股份有限公司全体股东： 一、审计意见</w:t>
      </w:r>
    </w:p>
    <w:p>
      <w:pPr>
        <w:pStyle w:val="BodyText"/>
        <w:spacing w:line="240" w:lineRule="auto" w:before="49"/>
        <w:ind w:right="0"/>
        <w:jc w:val="left"/>
      </w:pPr>
      <w:r>
        <w:rPr/>
        <w:br w:type="column"/>
      </w:r>
      <w:r>
        <w:rPr/>
        <w:t>审计报告正文</w:t>
      </w:r>
    </w:p>
    <w:p>
      <w:pPr>
        <w:spacing w:after="0" w:line="240" w:lineRule="auto"/>
        <w:jc w:val="left"/>
        <w:sectPr>
          <w:type w:val="continuous"/>
          <w:pgSz w:w="11910" w:h="16840"/>
          <w:pgMar w:top="1060" w:bottom="1160" w:left="980" w:right="940"/>
          <w:cols w:num="2" w:equalWidth="0">
            <w:col w:w="3393" w:space="887"/>
            <w:col w:w="5710"/>
          </w:cols>
        </w:sectPr>
      </w:pPr>
    </w:p>
    <w:p>
      <w:pPr>
        <w:pStyle w:val="BodyText"/>
        <w:spacing w:line="300" w:lineRule="auto" w:before="19"/>
        <w:ind w:right="94" w:firstLine="360"/>
        <w:jc w:val="left"/>
      </w:pPr>
      <w:r>
        <w:rPr/>
        <w:t>我们审计了深圳市麦达数字股份有限公司</w:t>
      </w:r>
      <w:r>
        <w:rPr>
          <w:rFonts w:ascii="Times New Roman" w:hAnsi="Times New Roman" w:cs="Times New Roman" w:eastAsia="Times New Roman" w:hint="default"/>
        </w:rPr>
        <w:t>(</w:t>
      </w:r>
      <w:r>
        <w:rPr/>
        <w:t>以下简称麦达数字公司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 </w:t>
      </w:r>
      <w:r>
        <w:rPr>
          <w:spacing w:val="-4"/>
        </w:rPr>
        <w:t>负债表，</w:t>
      </w:r>
      <w:r>
        <w:rPr>
          <w:rFonts w:ascii="Times New Roman" w:hAnsi="Times New Roman" w:cs="Times New Roman" w:eastAsia="Times New Roman" w:hint="default"/>
          <w:spacing w:val="-4"/>
        </w:rPr>
        <w:t>2017</w:t>
      </w:r>
      <w:r>
        <w:rPr>
          <w:spacing w:val="-4"/>
        </w:rPr>
        <w:t>年度的合并及母公司利润表、合并及母公司现金流量表、合并及母公司股东权益变动表以及相关财务报表附注。</w:t>
      </w:r>
      <w:r>
        <w:rPr>
          <w:spacing w:val="-38"/>
        </w:rPr>
        <w:t> </w:t>
      </w:r>
      <w:r>
        <w:rPr>
          <w:spacing w:val="-38"/>
        </w:rPr>
      </w:r>
      <w:r>
        <w:rPr>
          <w:spacing w:val="-2"/>
        </w:rPr>
        <w:t>我们认为，后附的财务报表在所有重大方面按照企业会计准则的规定编制，公允反映了麦达数字公司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spacing w:val="-59"/>
        </w:rPr>
        <w:t> </w:t>
      </w:r>
      <w:r>
        <w:rPr>
          <w:spacing w:val="-59"/>
        </w:rPr>
      </w:r>
      <w:r>
        <w:rPr/>
        <w:t>及母公司财务状况以及</w:t>
      </w:r>
      <w:r>
        <w:rPr>
          <w:rFonts w:ascii="Times New Roman" w:hAnsi="Times New Roman" w:cs="Times New Roman" w:eastAsia="Times New Roman" w:hint="default"/>
        </w:rPr>
        <w:t>2017</w:t>
      </w:r>
      <w:r>
        <w:rPr/>
        <w:t>年度的合并及母公司经营成果和现金流量。</w:t>
      </w:r>
    </w:p>
    <w:p>
      <w:pPr>
        <w:pStyle w:val="BodyText"/>
        <w:spacing w:line="316" w:lineRule="auto" w:before="13"/>
        <w:ind w:left="513" w:right="94"/>
        <w:jc w:val="left"/>
      </w:pPr>
      <w:r>
        <w:rPr/>
        <w:t>二、形成审计意见的基础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right="94"/>
        <w:jc w:val="left"/>
      </w:pPr>
      <w:r>
        <w:rPr>
          <w:spacing w:val="-2"/>
        </w:rPr>
        <w:t>阐述了我们在这些准则下的责任。按照中国注册会计师职业道德守则，我们独立于麦达数字公司，并履行了职业道德方面的</w:t>
      </w:r>
      <w:r>
        <w:rPr>
          <w:spacing w:val="-63"/>
        </w:rPr>
        <w:t> </w:t>
      </w:r>
      <w:r>
        <w:rPr>
          <w:spacing w:val="-63"/>
        </w:rPr>
      </w:r>
      <w:r>
        <w:rPr/>
        <w:t>其他责任。我们相信，我们获取的审计证据是充分、适当的，为发表审计意见提供了基础。</w:t>
      </w:r>
    </w:p>
    <w:p>
      <w:pPr>
        <w:pStyle w:val="BodyText"/>
        <w:spacing w:line="319" w:lineRule="auto" w:before="19"/>
        <w:ind w:left="513" w:right="94"/>
        <w:jc w:val="left"/>
      </w:pPr>
      <w:r>
        <w:rPr/>
        <w:t>三、关键审计事项 </w:t>
      </w:r>
      <w:r>
        <w:rPr>
          <w:spacing w:val="-2"/>
        </w:rPr>
        <w:t>关键审计事项是我们根据职业判断，认为对本期财务报表审计最为重要的事项。这些事项的应对以对财务报表整体进行</w:t>
      </w:r>
    </w:p>
    <w:p>
      <w:pPr>
        <w:pStyle w:val="BodyText"/>
        <w:spacing w:line="316" w:lineRule="auto" w:before="17"/>
        <w:ind w:right="4774"/>
        <w:jc w:val="left"/>
      </w:pPr>
      <w:r>
        <w:rPr/>
        <w:t>审计并形成审计意见为背景，我们不对这些事项单独发表意见。 我们确定下列事项是需要在审计报告中沟通的关键审计事项：</w:t>
      </w:r>
    </w:p>
    <w:p>
      <w:pPr>
        <w:pStyle w:val="BodyText"/>
        <w:spacing w:line="240" w:lineRule="auto" w:before="19"/>
        <w:ind w:left="513" w:right="254"/>
        <w:jc w:val="left"/>
      </w:pPr>
      <w:r>
        <w:rPr>
          <w:rFonts w:ascii="Times New Roman" w:hAnsi="Times New Roman" w:cs="Times New Roman" w:eastAsia="Times New Roman" w:hint="default"/>
        </w:rPr>
        <w:t>1.</w:t>
      </w:r>
      <w:r>
        <w:rPr/>
        <w:t>应收账款的减值；</w:t>
      </w:r>
    </w:p>
    <w:p>
      <w:pPr>
        <w:pStyle w:val="BodyText"/>
        <w:spacing w:line="240" w:lineRule="auto" w:before="63"/>
        <w:ind w:left="513" w:right="254"/>
        <w:jc w:val="left"/>
      </w:pPr>
      <w:r>
        <w:rPr>
          <w:rFonts w:ascii="Times New Roman" w:hAnsi="Times New Roman" w:cs="Times New Roman" w:eastAsia="Times New Roman" w:hint="default"/>
        </w:rPr>
        <w:t>2.</w:t>
      </w:r>
      <w:r>
        <w:rPr/>
        <w:t>商誉的减值。</w:t>
      </w:r>
    </w:p>
    <w:p>
      <w:pPr>
        <w:pStyle w:val="BodyText"/>
        <w:spacing w:line="240" w:lineRule="auto" w:before="63"/>
        <w:ind w:left="314" w:right="7832"/>
        <w:jc w:val="center"/>
      </w:pPr>
      <w:r>
        <w:rPr/>
        <w:t>（一）应收账款的减值</w:t>
      </w:r>
    </w:p>
    <w:p>
      <w:pPr>
        <w:pStyle w:val="BodyText"/>
        <w:spacing w:line="240" w:lineRule="auto" w:before="76"/>
        <w:ind w:left="513" w:right="254"/>
        <w:jc w:val="left"/>
      </w:pPr>
      <w:r>
        <w:rPr>
          <w:rFonts w:ascii="Times New Roman" w:hAnsi="Times New Roman" w:cs="Times New Roman" w:eastAsia="Times New Roman" w:hint="default"/>
        </w:rPr>
        <w:t>1.</w:t>
      </w:r>
      <w:r>
        <w:rPr/>
        <w:t>事项描述</w:t>
      </w:r>
    </w:p>
    <w:p>
      <w:pPr>
        <w:pStyle w:val="BodyText"/>
        <w:spacing w:line="300" w:lineRule="auto" w:before="63"/>
        <w:ind w:right="186" w:firstLine="360"/>
        <w:jc w:val="left"/>
      </w:pPr>
      <w:r>
        <w:rPr>
          <w:spacing w:val="-1"/>
        </w:rPr>
        <w:t>请参阅合并财务报表附注七</w:t>
      </w:r>
      <w:r>
        <w:rPr>
          <w:rFonts w:ascii="Times New Roman" w:hAnsi="Times New Roman" w:cs="Times New Roman" w:eastAsia="Times New Roman" w:hint="default"/>
          <w:spacing w:val="-1"/>
        </w:rPr>
        <w:t>-</w:t>
      </w:r>
      <w:r>
        <w:rPr>
          <w:spacing w:val="-1"/>
        </w:rPr>
        <w:t>注释</w:t>
      </w:r>
      <w:r>
        <w:rPr>
          <w:rFonts w:ascii="Times New Roman" w:hAnsi="Times New Roman" w:cs="Times New Roman" w:eastAsia="Times New Roman" w:hint="default"/>
          <w:spacing w:val="-1"/>
        </w:rPr>
        <w:t>5</w:t>
      </w:r>
      <w:r>
        <w:rPr>
          <w:spacing w:val="-1"/>
        </w:rPr>
        <w:t>。截至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日止，公司应收账款账面价值为人民币</w:t>
      </w:r>
      <w:r>
        <w:rPr>
          <w:rFonts w:ascii="Times New Roman" w:hAnsi="Times New Roman" w:cs="Times New Roman" w:eastAsia="Times New Roman" w:hint="default"/>
          <w:spacing w:val="-1"/>
        </w:rPr>
        <w:t>25,842.66</w:t>
      </w:r>
      <w:r>
        <w:rPr>
          <w:spacing w:val="-1"/>
        </w:rPr>
        <w:t>万元，占资产总</w:t>
      </w:r>
      <w:r>
        <w:rPr/>
        <w:t> 额的</w:t>
      </w:r>
      <w:r>
        <w:rPr>
          <w:rFonts w:ascii="Times New Roman" w:hAnsi="Times New Roman" w:cs="Times New Roman" w:eastAsia="Times New Roman" w:hint="default"/>
        </w:rPr>
        <w:t>12.44%</w:t>
      </w:r>
      <w:r>
        <w:rPr/>
        <w:t>，已提减值准备</w:t>
      </w:r>
      <w:r>
        <w:rPr>
          <w:rFonts w:ascii="Times New Roman" w:hAnsi="Times New Roman" w:cs="Times New Roman" w:eastAsia="Times New Roman" w:hint="default"/>
        </w:rPr>
        <w:t>3,111.79</w:t>
      </w:r>
      <w:r>
        <w:rPr/>
        <w:t>万元。</w:t>
      </w:r>
    </w:p>
    <w:p>
      <w:pPr>
        <w:pStyle w:val="BodyText"/>
        <w:spacing w:line="314" w:lineRule="auto" w:before="13"/>
        <w:ind w:right="183" w:firstLine="360"/>
        <w:jc w:val="left"/>
      </w:pPr>
      <w:r>
        <w:rPr>
          <w:spacing w:val="-2"/>
        </w:rPr>
        <w:t>管理层定期对重大客户进行单独的信用风险评估。对该等评估重点关注客户的历史结算记录及当前支付能力，并考虑客</w:t>
      </w:r>
      <w:r>
        <w:rPr/>
        <w:t> </w:t>
      </w:r>
      <w:r>
        <w:rPr>
          <w:spacing w:val="-2"/>
        </w:rPr>
        <w:t>户自身及其所处行业的经济环境的特定信息。对于无须进行单独评估或单独评估未发生减值的应收款项，管理层在考虑该等</w:t>
      </w:r>
      <w:r>
        <w:rPr>
          <w:spacing w:val="-64"/>
        </w:rPr>
        <w:t> </w:t>
      </w:r>
      <w:r>
        <w:rPr>
          <w:spacing w:val="-64"/>
        </w:rPr>
      </w:r>
      <w:r>
        <w:rPr>
          <w:spacing w:val="-2"/>
        </w:rPr>
        <w:t>客户组账龄分析及发生减值损失的历史记录基础上实施了组合减值评估。本期公司将对原大客户乐视相关单位的应收账款用</w:t>
      </w:r>
      <w:r>
        <w:rPr>
          <w:spacing w:val="-64"/>
        </w:rPr>
        <w:t> </w:t>
      </w:r>
      <w:r>
        <w:rPr>
          <w:spacing w:val="-64"/>
        </w:rPr>
      </w:r>
      <w:r>
        <w:rPr/>
        <w:t>于采购其关联单位乐风移动的媒体资源（参见财务报表附注七</w:t>
      </w:r>
      <w:r>
        <w:rPr>
          <w:spacing w:val="1"/>
        </w:rPr>
        <w:t> </w:t>
      </w:r>
      <w:r>
        <w:rPr>
          <w:rFonts w:ascii="宋体" w:hAnsi="宋体" w:cs="宋体" w:eastAsia="宋体" w:hint="default"/>
          <w:spacing w:val="1"/>
        </w:rPr>
      </w:r>
      <w:r>
        <w:rPr/>
        <w:t>注释</w:t>
      </w:r>
      <w:r>
        <w:rPr>
          <w:rFonts w:ascii="Times New Roman" w:hAnsi="Times New Roman" w:cs="Times New Roman" w:eastAsia="Times New Roman" w:hint="default"/>
        </w:rPr>
        <w:t>10</w:t>
      </w:r>
      <w:r>
        <w:rPr/>
        <w:t>）。对于本期从应收账款转移而来的媒体资源，管理 层根据其预计未来现金流量现值低于其账面价值的差额进行减值评估。 </w:t>
      </w:r>
      <w:r>
        <w:rPr>
          <w:spacing w:val="-2"/>
        </w:rPr>
        <w:t>由于应收账款可收回性的确定、本期新增媒体资源的价值评估需要管理层识别已发生减值的项目和客观证据、评估预期未来</w:t>
      </w:r>
      <w:r>
        <w:rPr>
          <w:spacing w:val="-64"/>
        </w:rPr>
        <w:t> </w:t>
      </w:r>
      <w:r>
        <w:rPr>
          <w:spacing w:val="-64"/>
        </w:rPr>
      </w:r>
      <w:r>
        <w:rPr>
          <w:spacing w:val="-2"/>
        </w:rPr>
        <w:t>可获取的现金流量并确定其现值，涉及管理层运用重大会计估计和判断，且其可收回性对于财务报表具有重要性，因此，我</w:t>
      </w:r>
      <w:r>
        <w:rPr>
          <w:spacing w:val="-64"/>
        </w:rPr>
        <w:t> </w:t>
      </w:r>
      <w:r>
        <w:rPr>
          <w:spacing w:val="-64"/>
        </w:rPr>
      </w:r>
      <w:r>
        <w:rPr/>
        <w:t>们将应收账款及其衍生的媒体资源的可收回性认定为关键审计事项。</w:t>
      </w:r>
    </w:p>
    <w:p>
      <w:pPr>
        <w:pStyle w:val="BodyText"/>
        <w:spacing w:line="300" w:lineRule="auto" w:before="20"/>
        <w:ind w:left="513" w:right="5133"/>
        <w:jc w:val="left"/>
      </w:pPr>
      <w:r>
        <w:rPr>
          <w:rFonts w:ascii="Times New Roman" w:hAnsi="Times New Roman" w:cs="Times New Roman" w:eastAsia="Times New Roman" w:hint="default"/>
        </w:rPr>
        <w:t>2.</w:t>
      </w:r>
      <w:r>
        <w:rPr/>
        <w:t>审计应对 我们针对应收账款的减值所实施的重要审计程序包括：</w:t>
      </w:r>
    </w:p>
    <w:p>
      <w:pPr>
        <w:spacing w:after="0" w:line="300" w:lineRule="auto"/>
        <w:jc w:val="left"/>
        <w:sectPr>
          <w:type w:val="continuous"/>
          <w:pgSz w:w="11910" w:h="16840"/>
          <w:pgMar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332" w:right="254"/>
        <w:jc w:val="left"/>
      </w:pPr>
      <w:r>
        <w:rPr/>
        <w:t>（</w:t>
      </w:r>
      <w:r>
        <w:rPr>
          <w:rFonts w:ascii="Times New Roman" w:hAnsi="Times New Roman" w:cs="Times New Roman" w:eastAsia="Times New Roman" w:hint="default"/>
        </w:rPr>
        <w:t>1</w:t>
      </w:r>
      <w:r>
        <w:rPr/>
        <w:t>）我们对与应收账款日常管理及可收回性评估相关的内部控制的设计及运行有效性进行了解、评估及测试；</w:t>
      </w:r>
    </w:p>
    <w:p>
      <w:pPr>
        <w:pStyle w:val="BodyText"/>
        <w:spacing w:line="300" w:lineRule="auto" w:before="63"/>
        <w:ind w:right="94" w:firstLine="180"/>
        <w:jc w:val="left"/>
      </w:pPr>
      <w:r>
        <w:rPr/>
        <w:t>（</w:t>
      </w:r>
      <w:r>
        <w:rPr>
          <w:rFonts w:ascii="Times New Roman" w:hAnsi="Times New Roman" w:cs="Times New Roman" w:eastAsia="Times New Roman" w:hint="default"/>
        </w:rPr>
        <w:t>2</w:t>
      </w:r>
      <w:r>
        <w:rPr/>
        <w:t>）我们复核管理层在评估应收账款的可收回性方面的判断及估计，关注管理层是否充分识别已发生减值的项目，当中 </w:t>
      </w:r>
      <w:r>
        <w:rPr>
          <w:spacing w:val="-4"/>
        </w:rPr>
        <w:t>考虑过往的回款模式、实际信用条款的遵守情况，以及我们对经营环境及行业基准的认知（特别是帐龄及逾期应收款项）等；</w:t>
      </w:r>
    </w:p>
    <w:p>
      <w:pPr>
        <w:pStyle w:val="BodyText"/>
        <w:spacing w:line="300" w:lineRule="auto" w:before="31"/>
        <w:ind w:right="184" w:firstLine="180"/>
        <w:jc w:val="left"/>
      </w:pPr>
      <w:r>
        <w:rPr/>
        <w:t>（</w:t>
      </w:r>
      <w:r>
        <w:rPr>
          <w:rFonts w:ascii="Times New Roman" w:hAnsi="Times New Roman" w:cs="Times New Roman" w:eastAsia="Times New Roman" w:hint="default"/>
        </w:rPr>
        <w:t>3</w:t>
      </w:r>
      <w:r>
        <w:rPr/>
        <w:t>）我们将前期坏账准备的会计估计与本期实际发生的坏账损失及坏账准备转回情况、坏账准备计提情况进行对比，以 评估管理层对应收账款可收回性的可靠性和历史准确性，并向管理层询问显著差异的原因；</w:t>
      </w:r>
    </w:p>
    <w:p>
      <w:pPr>
        <w:pStyle w:val="BodyText"/>
        <w:spacing w:line="300" w:lineRule="auto" w:before="31"/>
        <w:ind w:right="94" w:firstLine="180"/>
        <w:jc w:val="left"/>
      </w:pPr>
      <w:r>
        <w:rPr/>
        <w:t>（</w:t>
      </w:r>
      <w:r>
        <w:rPr>
          <w:rFonts w:ascii="Times New Roman" w:hAnsi="Times New Roman" w:cs="Times New Roman" w:eastAsia="Times New Roman" w:hint="default"/>
        </w:rPr>
        <w:t>4</w:t>
      </w:r>
      <w:r>
        <w:rPr/>
        <w:t>）我们从管理层获取了对重大客户信用风险评估的详细分析，对单项金额重大并已单独计提坏账准备的应收账款进行 了抽样减值测试，复核管理层对预计未来可获得的现金流量做出评估的依据，以核实坏账准备的计提时点和金额的合理性；</w:t>
      </w:r>
    </w:p>
    <w:p>
      <w:pPr>
        <w:pStyle w:val="BodyText"/>
        <w:spacing w:line="240" w:lineRule="auto" w:before="31"/>
        <w:ind w:left="332" w:right="0"/>
        <w:jc w:val="left"/>
      </w:pPr>
      <w:r>
        <w:rPr>
          <w:spacing w:val="-2"/>
        </w:rPr>
        <w:t>（</w:t>
      </w:r>
      <w:r>
        <w:rPr>
          <w:rFonts w:ascii="Times New Roman" w:hAnsi="Times New Roman" w:cs="Times New Roman" w:eastAsia="Times New Roman" w:hint="default"/>
          <w:spacing w:val="-2"/>
        </w:rPr>
        <w:t>5</w:t>
      </w:r>
      <w:r>
        <w:rPr>
          <w:spacing w:val="-2"/>
        </w:rPr>
        <w:t>）我们对管理层按照信用风险特征组合计提坏账准备的应收账款进行了减值测试，评价管理层坏账准备计提的合理性；</w:t>
      </w:r>
    </w:p>
    <w:p>
      <w:pPr>
        <w:pStyle w:val="BodyText"/>
        <w:spacing w:line="300" w:lineRule="auto" w:before="63"/>
        <w:ind w:right="184" w:firstLine="180"/>
        <w:jc w:val="left"/>
      </w:pPr>
      <w:r>
        <w:rPr/>
        <w:t>（</w:t>
      </w:r>
      <w:r>
        <w:rPr>
          <w:rFonts w:ascii="Times New Roman" w:hAnsi="Times New Roman" w:cs="Times New Roman" w:eastAsia="Times New Roman" w:hint="default"/>
        </w:rPr>
        <w:t>6</w:t>
      </w:r>
      <w:r>
        <w:rPr/>
        <w:t>）对于涉及诉讼事项的应收款项，我们通过查阅相关文件评估应收款项的可收回性，并与管理层、管理层聘请的律师 讨论诉讼事项对应收账款可收回金额的估计；</w:t>
      </w:r>
    </w:p>
    <w:p>
      <w:pPr>
        <w:pStyle w:val="BodyText"/>
        <w:spacing w:line="240" w:lineRule="auto" w:before="31"/>
        <w:ind w:left="332" w:right="254"/>
        <w:jc w:val="left"/>
      </w:pPr>
      <w:r>
        <w:rPr/>
        <w:t>（</w:t>
      </w:r>
      <w:r>
        <w:rPr>
          <w:rFonts w:ascii="Times New Roman" w:hAnsi="Times New Roman" w:cs="Times New Roman" w:eastAsia="Times New Roman" w:hint="default"/>
        </w:rPr>
        <w:t>7</w:t>
      </w:r>
      <w:r>
        <w:rPr/>
        <w:t>）我们抽样检查了期后回款情况；</w:t>
      </w:r>
    </w:p>
    <w:p>
      <w:pPr>
        <w:pStyle w:val="BodyText"/>
        <w:spacing w:line="300" w:lineRule="auto" w:before="63"/>
        <w:ind w:right="184" w:firstLine="180"/>
        <w:jc w:val="left"/>
      </w:pPr>
      <w:r>
        <w:rPr/>
        <w:t>（</w:t>
      </w:r>
      <w:r>
        <w:rPr>
          <w:rFonts w:ascii="Times New Roman" w:hAnsi="Times New Roman" w:cs="Times New Roman" w:eastAsia="Times New Roman" w:hint="default"/>
        </w:rPr>
        <w:t>8</w:t>
      </w:r>
      <w:r>
        <w:rPr/>
        <w:t>）对于应收账款衍生的媒体资源，我们了解相关交易背景，检查相关协议，检查相关媒体资源在报告期及期后的订单 及售卖情况，我们关注相关客户的回款情况。</w:t>
      </w:r>
    </w:p>
    <w:p>
      <w:pPr>
        <w:pStyle w:val="BodyText"/>
        <w:spacing w:line="300" w:lineRule="auto" w:before="32"/>
        <w:ind w:right="634" w:firstLine="180"/>
        <w:jc w:val="left"/>
      </w:pPr>
      <w:r>
        <w:rPr/>
        <w:t>（</w:t>
      </w:r>
      <w:r>
        <w:rPr>
          <w:rFonts w:ascii="Times New Roman" w:hAnsi="Times New Roman" w:cs="Times New Roman" w:eastAsia="Times New Roman" w:hint="default"/>
        </w:rPr>
        <w:t>9</w:t>
      </w:r>
      <w:r>
        <w:rPr/>
        <w:t>）我们评估了管理层于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日对应收账款坏账准备的会计处理及披露。 基于获取的审计证据，我们得出审计结论，麦达数字公司管理层对应收账款的可收回性的相关判断及估计是合理的。</w:t>
      </w:r>
    </w:p>
    <w:p>
      <w:pPr>
        <w:pStyle w:val="BodyText"/>
        <w:spacing w:line="240" w:lineRule="auto" w:before="31"/>
        <w:ind w:left="332" w:right="254"/>
        <w:jc w:val="left"/>
      </w:pPr>
      <w:r>
        <w:rPr/>
        <w:t>（二）商誉的减值</w:t>
      </w:r>
    </w:p>
    <w:p>
      <w:pPr>
        <w:pStyle w:val="BodyText"/>
        <w:spacing w:line="240" w:lineRule="auto" w:before="76"/>
        <w:ind w:left="513" w:right="254"/>
        <w:jc w:val="left"/>
      </w:pPr>
      <w:r>
        <w:rPr>
          <w:rFonts w:ascii="Times New Roman" w:hAnsi="Times New Roman" w:cs="Times New Roman" w:eastAsia="Times New Roman" w:hint="default"/>
        </w:rPr>
        <w:t>1.</w:t>
      </w:r>
      <w:r>
        <w:rPr/>
        <w:t>事项描述</w:t>
      </w:r>
    </w:p>
    <w:p>
      <w:pPr>
        <w:pStyle w:val="BodyText"/>
        <w:spacing w:line="300" w:lineRule="auto" w:before="63"/>
        <w:ind w:right="226" w:firstLine="360"/>
        <w:jc w:val="both"/>
        <w:rPr>
          <w:rFonts w:ascii="宋体" w:hAnsi="宋体" w:cs="宋体" w:eastAsia="宋体" w:hint="default"/>
        </w:rPr>
      </w:pPr>
      <w:r>
        <w:rPr/>
        <w:t>请参阅合并财务报表附注七</w:t>
      </w:r>
      <w:r>
        <w:rPr>
          <w:rFonts w:ascii="Times New Roman" w:hAnsi="Times New Roman" w:cs="Times New Roman" w:eastAsia="Times New Roman" w:hint="default"/>
        </w:rPr>
        <w:t>-</w:t>
      </w:r>
      <w:r>
        <w:rPr/>
        <w:t>注释</w:t>
      </w:r>
      <w:r>
        <w:rPr>
          <w:rFonts w:ascii="宋体" w:hAnsi="宋体" w:cs="宋体" w:eastAsia="宋体" w:hint="default"/>
        </w:rPr>
        <w:t>17</w:t>
      </w:r>
      <w:r>
        <w:rPr/>
        <w:t>、商誉。截至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日止，公司合并财务报表中商誉的账面价值为</w:t>
      </w:r>
      <w:r>
        <w:rPr>
          <w:rFonts w:ascii="Times New Roman" w:hAnsi="Times New Roman" w:cs="Times New Roman" w:eastAsia="Times New Roman" w:hint="default"/>
        </w:rPr>
        <w:t>54,157.15 </w:t>
      </w:r>
      <w:r>
        <w:rPr/>
        <w:t>万元，占资产总额</w:t>
      </w:r>
      <w:r>
        <w:rPr>
          <w:rFonts w:ascii="Times New Roman" w:hAnsi="Times New Roman" w:cs="Times New Roman" w:eastAsia="Times New Roman" w:hint="default"/>
        </w:rPr>
        <w:t>26.07%</w:t>
      </w:r>
      <w:r>
        <w:rPr/>
        <w:t>，已提减值准备</w:t>
      </w:r>
      <w:r>
        <w:rPr>
          <w:rFonts w:ascii="Times New Roman" w:hAnsi="Times New Roman" w:cs="Times New Roman" w:eastAsia="Times New Roman" w:hint="default"/>
        </w:rPr>
        <w:t>1,045.13</w:t>
      </w:r>
      <w:r>
        <w:rPr/>
        <w:t>万元。</w:t>
      </w:r>
      <w:r>
        <w:rPr>
          <w:rFonts w:ascii="宋体" w:hAnsi="宋体" w:cs="宋体" w:eastAsia="宋体" w:hint="default"/>
        </w:rPr>
        <w:t> </w:t>
      </w:r>
    </w:p>
    <w:p>
      <w:pPr>
        <w:pStyle w:val="BodyText"/>
        <w:spacing w:line="316" w:lineRule="auto" w:before="13"/>
        <w:ind w:right="190" w:firstLine="360"/>
        <w:jc w:val="both"/>
      </w:pPr>
      <w:r>
        <w:rPr>
          <w:spacing w:val="-2"/>
        </w:rPr>
        <w:t>管理层在每年年终终了对商誉进行减值测试，并依据减值测试的结果调整商誉的账面价值。由于商誉减值测试的结果很</w:t>
      </w:r>
      <w:r>
        <w:rPr/>
        <w:t> </w:t>
      </w:r>
      <w:r>
        <w:rPr>
          <w:spacing w:val="-2"/>
        </w:rPr>
        <w:t>大程度上依赖于管理层所做的估计和采用的假设，特别是在预测相关资产组的未来收入及长期收入增长率、毛利率、经营费</w:t>
      </w:r>
      <w:r>
        <w:rPr>
          <w:spacing w:val="-66"/>
        </w:rPr>
        <w:t> </w:t>
      </w:r>
      <w:r>
        <w:rPr>
          <w:spacing w:val="-66"/>
        </w:rPr>
      </w:r>
      <w:r>
        <w:rPr>
          <w:spacing w:val="-2"/>
        </w:rPr>
        <w:t>用、折现率等涉及管理层的重大判断。该等估计均存在固定不确定性，受管理层对未来市场以及对经济环境判断的影响，采</w:t>
      </w:r>
      <w:r>
        <w:rPr>
          <w:spacing w:val="-63"/>
        </w:rPr>
        <w:t> </w:t>
      </w:r>
      <w:r>
        <w:rPr>
          <w:spacing w:val="-63"/>
        </w:rPr>
      </w:r>
      <w:r>
        <w:rPr/>
        <w:t>用不同的估计和假设会对评估的商誉可收回价值有很大的影响。</w:t>
      </w:r>
    </w:p>
    <w:p>
      <w:pPr>
        <w:pStyle w:val="BodyText"/>
        <w:spacing w:line="240" w:lineRule="auto" w:before="19"/>
        <w:ind w:left="513" w:right="254"/>
        <w:jc w:val="left"/>
      </w:pPr>
      <w:r>
        <w:rPr/>
        <w:t>由于商誉金额重大，且管理层需要作出重大判断，因此我们将商誉的减值确定为关键审计事项。</w:t>
      </w:r>
    </w:p>
    <w:p>
      <w:pPr>
        <w:pStyle w:val="BodyText"/>
        <w:spacing w:line="300" w:lineRule="auto" w:before="76"/>
        <w:ind w:left="513" w:right="5493"/>
        <w:jc w:val="left"/>
      </w:pPr>
      <w:r>
        <w:rPr>
          <w:rFonts w:ascii="Times New Roman" w:hAnsi="Times New Roman" w:cs="Times New Roman" w:eastAsia="Times New Roman" w:hint="default"/>
        </w:rPr>
        <w:t>2.</w:t>
      </w:r>
      <w:r>
        <w:rPr/>
        <w:t>审计应对 我们针对商誉的减值所实施的重要审计程序包括：</w:t>
      </w:r>
    </w:p>
    <w:p>
      <w:pPr>
        <w:pStyle w:val="BodyText"/>
        <w:spacing w:line="240" w:lineRule="auto" w:before="31"/>
        <w:ind w:left="332" w:right="254"/>
        <w:jc w:val="left"/>
      </w:pPr>
      <w:r>
        <w:rPr/>
        <w:t>（</w:t>
      </w:r>
      <w:r>
        <w:rPr>
          <w:rFonts w:ascii="Times New Roman" w:hAnsi="Times New Roman" w:cs="Times New Roman" w:eastAsia="Times New Roman" w:hint="default"/>
        </w:rPr>
        <w:t>1</w:t>
      </w:r>
      <w:r>
        <w:rPr/>
        <w:t>）评价与管理层确定商誉可收回金额相关的关键内部控制的设计和运行有效性；</w:t>
      </w:r>
    </w:p>
    <w:p>
      <w:pPr>
        <w:pStyle w:val="BodyText"/>
        <w:spacing w:line="240" w:lineRule="auto" w:before="63"/>
        <w:ind w:left="332" w:right="254"/>
        <w:jc w:val="left"/>
      </w:pPr>
      <w:r>
        <w:rPr/>
        <w:t>（</w:t>
      </w:r>
      <w:r>
        <w:rPr>
          <w:rFonts w:ascii="Times New Roman" w:hAnsi="Times New Roman" w:cs="Times New Roman" w:eastAsia="Times New Roman" w:hint="default"/>
        </w:rPr>
        <w:t>2</w:t>
      </w:r>
      <w:r>
        <w:rPr/>
        <w:t>）复核管理层对资产组的认定和商誉的分摊方法；</w:t>
      </w:r>
    </w:p>
    <w:p>
      <w:pPr>
        <w:pStyle w:val="BodyText"/>
        <w:spacing w:line="300" w:lineRule="auto" w:before="63"/>
        <w:ind w:right="184" w:firstLine="180"/>
        <w:jc w:val="left"/>
      </w:pPr>
      <w:r>
        <w:rPr/>
        <w:t>（</w:t>
      </w:r>
      <w:r>
        <w:rPr>
          <w:rFonts w:ascii="Times New Roman" w:hAnsi="Times New Roman" w:cs="Times New Roman" w:eastAsia="Times New Roman" w:hint="default"/>
        </w:rPr>
        <w:t>3</w:t>
      </w:r>
      <w:r>
        <w:rPr/>
        <w:t>）与公司管理层讨论商誉减值测试过程中所使用的方法、关键评估的假设、参数的选择、预测未来收入及现金流折现 率等的合理性；</w:t>
      </w:r>
    </w:p>
    <w:p>
      <w:pPr>
        <w:pStyle w:val="BodyText"/>
        <w:spacing w:line="300" w:lineRule="auto" w:before="31"/>
        <w:ind w:right="184" w:firstLine="180"/>
        <w:jc w:val="left"/>
      </w:pPr>
      <w:r>
        <w:rPr/>
        <w:t>（</w:t>
      </w:r>
      <w:r>
        <w:rPr>
          <w:rFonts w:ascii="Times New Roman" w:hAnsi="Times New Roman" w:cs="Times New Roman" w:eastAsia="Times New Roman" w:hint="default"/>
        </w:rPr>
        <w:t>4</w:t>
      </w:r>
      <w:r>
        <w:rPr/>
        <w:t>）与公司管理层聘请的外部评估机构专家等讨论商誉减值测试过程中所使用的方法、关键评估的假设、参数的选择、 预测未来收入及现金流折现率等的合理性；</w:t>
      </w:r>
    </w:p>
    <w:p>
      <w:pPr>
        <w:pStyle w:val="BodyText"/>
        <w:spacing w:line="309" w:lineRule="auto" w:before="31"/>
        <w:ind w:right="190" w:firstLine="180"/>
        <w:jc w:val="both"/>
      </w:pPr>
      <w:r>
        <w:rPr/>
        <w:t>（</w:t>
      </w:r>
      <w:r>
        <w:rPr>
          <w:rFonts w:ascii="Times New Roman" w:hAnsi="Times New Roman" w:cs="Times New Roman" w:eastAsia="Times New Roman" w:hint="default"/>
        </w:rPr>
        <w:t>5</w:t>
      </w:r>
      <w:r>
        <w:rPr/>
        <w:t>）将公司管理层在以往年度商誉减值测试过程中所使用的关键假设和参数、预测的未来收入及现金流量等，与本年度 </w:t>
      </w:r>
      <w:r>
        <w:rPr>
          <w:spacing w:val="-2"/>
        </w:rPr>
        <w:t>所使用的关键假设和参数、本年经营业绩等作对比，以评估管理层预测过程的可靠性和历史准确性，并向管理层询问显著差</w:t>
      </w:r>
      <w:r>
        <w:rPr>
          <w:spacing w:val="-63"/>
        </w:rPr>
        <w:t> </w:t>
      </w:r>
      <w:r>
        <w:rPr>
          <w:spacing w:val="-63"/>
        </w:rPr>
      </w:r>
      <w:r>
        <w:rPr/>
        <w:t>异的原因；</w:t>
      </w:r>
    </w:p>
    <w:p>
      <w:pPr>
        <w:pStyle w:val="BodyText"/>
        <w:spacing w:line="240" w:lineRule="auto" w:before="24"/>
        <w:ind w:left="332" w:right="254"/>
        <w:jc w:val="left"/>
      </w:pPr>
      <w:r>
        <w:rPr/>
        <w:t>（</w:t>
      </w:r>
      <w:r>
        <w:rPr>
          <w:rFonts w:ascii="Times New Roman" w:hAnsi="Times New Roman" w:cs="Times New Roman" w:eastAsia="Times New Roman" w:hint="default"/>
        </w:rPr>
        <w:t>6</w:t>
      </w:r>
      <w:r>
        <w:rPr/>
        <w:t>）评价由公司管理层聘请的外部评估机构的独立性、客观性、经验和资质；</w:t>
      </w:r>
    </w:p>
    <w:p>
      <w:pPr>
        <w:pStyle w:val="BodyText"/>
        <w:spacing w:line="240" w:lineRule="auto" w:before="63"/>
        <w:ind w:left="332" w:right="254"/>
        <w:jc w:val="left"/>
      </w:pPr>
      <w:r>
        <w:rPr/>
        <w:t>（</w:t>
      </w:r>
      <w:r>
        <w:rPr>
          <w:rFonts w:ascii="Times New Roman" w:hAnsi="Times New Roman" w:cs="Times New Roman" w:eastAsia="Times New Roman" w:hint="default"/>
        </w:rPr>
        <w:t>7</w:t>
      </w:r>
      <w:r>
        <w:rPr/>
        <w:t>）测试未来现金流量净现值的计算是否准确；</w:t>
      </w:r>
    </w:p>
    <w:p>
      <w:pPr>
        <w:pStyle w:val="BodyText"/>
        <w:spacing w:line="300" w:lineRule="auto" w:before="63"/>
        <w:ind w:right="1354" w:firstLine="180"/>
        <w:jc w:val="left"/>
      </w:pPr>
      <w:r>
        <w:rPr/>
        <w:t>（</w:t>
      </w:r>
      <w:r>
        <w:rPr>
          <w:rFonts w:ascii="Times New Roman" w:hAnsi="Times New Roman" w:cs="Times New Roman" w:eastAsia="Times New Roman" w:hint="default"/>
        </w:rPr>
        <w:t>8</w:t>
      </w:r>
      <w:r>
        <w:rPr/>
        <w:t>）评估管理层于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日对商誉及其减值估计结果、财务报表的披露是否恰当。 基于获取的审计证据，我们得出审计结论，麦达数字公司管理层在商誉减值测试中作出的判断是可接受的。</w:t>
      </w:r>
    </w:p>
    <w:p>
      <w:pPr>
        <w:pStyle w:val="BodyText"/>
        <w:spacing w:line="316" w:lineRule="auto" w:before="31"/>
        <w:ind w:left="513" w:right="94"/>
        <w:jc w:val="left"/>
      </w:pPr>
      <w:r>
        <w:rPr/>
        <w:t>四、其他信息 </w:t>
      </w:r>
      <w:r>
        <w:rPr>
          <w:spacing w:val="-4"/>
        </w:rPr>
        <w:t>麦达数字公司管理层对其他信息负责。其他信息包括</w:t>
      </w:r>
      <w:r>
        <w:rPr>
          <w:rFonts w:ascii="Times New Roman" w:hAnsi="Times New Roman" w:cs="Times New Roman" w:eastAsia="Times New Roman" w:hint="default"/>
          <w:spacing w:val="-4"/>
        </w:rPr>
        <w:t>2017</w:t>
      </w:r>
      <w:r>
        <w:rPr>
          <w:spacing w:val="-4"/>
        </w:rPr>
        <w:t>年度报告中涵盖的信息，但不包括财务报表和我们的审计报告。</w:t>
      </w:r>
    </w:p>
    <w:p>
      <w:pPr>
        <w:pStyle w:val="BodyText"/>
        <w:spacing w:line="316" w:lineRule="auto"/>
        <w:ind w:right="94"/>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结合我们对财务报表的审计，我们的责任是阅读其他信息，在此过程中，考虑其他信息是否与财务报表或我们在审计过程中</w:t>
      </w:r>
      <w:r>
        <w:rPr>
          <w:spacing w:val="-63"/>
        </w:rPr>
        <w:t> </w:t>
      </w:r>
      <w:r>
        <w:rPr>
          <w:spacing w:val="-63"/>
        </w:rPr>
      </w:r>
      <w:r>
        <w:rPr/>
        <w:t>了解的情况存在重大不一致或者似乎存在重大错报。</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3" w:firstLine="360"/>
        <w:jc w:val="both"/>
      </w:pPr>
      <w:r>
        <w:rPr>
          <w:spacing w:val="-2"/>
        </w:rPr>
        <w:t>基于我们已执行的工作，如果我们确定其他信息存在重大错报，我们应当报告该事实。在这方面，我们无任何事项需要</w:t>
      </w:r>
      <w:r>
        <w:rPr/>
        <w:t> 报告。</w:t>
      </w:r>
    </w:p>
    <w:p>
      <w:pPr>
        <w:pStyle w:val="BodyText"/>
        <w:spacing w:line="316" w:lineRule="auto" w:before="17"/>
        <w:ind w:left="513" w:right="94"/>
        <w:jc w:val="left"/>
      </w:pPr>
      <w:r>
        <w:rPr/>
        <w:t>五、管理层和治理层对财务报表的责任 </w:t>
      </w:r>
      <w:r>
        <w:rPr>
          <w:spacing w:val="-2"/>
        </w:rPr>
        <w:t>麦达数字公司管理层负责按照企业会计准则的规定编制财务报表，使其实现公允反映，并设计、执行和维护必要的内部</w:t>
      </w:r>
    </w:p>
    <w:p>
      <w:pPr>
        <w:pStyle w:val="BodyText"/>
        <w:spacing w:line="316" w:lineRule="auto" w:before="19"/>
        <w:ind w:left="513" w:right="94" w:hanging="361"/>
        <w:jc w:val="left"/>
      </w:pPr>
      <w:r>
        <w:rPr/>
        <w:t>控制，以使财务报表不存在由于舞弊或错误导致的重大错报。 </w:t>
      </w:r>
      <w:r>
        <w:rPr>
          <w:spacing w:val="-7"/>
        </w:rPr>
        <w:t>在编制财务报表时，麦达数字公司管理层负责评估麦达数字公司的持续经营能力，披露与持续经营相关的事项（如适用），</w:t>
      </w:r>
    </w:p>
    <w:p>
      <w:pPr>
        <w:pStyle w:val="BodyText"/>
        <w:spacing w:line="316" w:lineRule="auto" w:before="19"/>
        <w:ind w:left="513" w:right="2434" w:hanging="361"/>
        <w:jc w:val="left"/>
      </w:pPr>
      <w:r>
        <w:rPr/>
        <w:t>并运用持续经营假设，除非管理层计划清算麦达数字公司、终止运营或别无其他现实的选择。 治理层负责监督麦达数字公司的财务报告过程。</w:t>
      </w:r>
    </w:p>
    <w:p>
      <w:pPr>
        <w:pStyle w:val="BodyText"/>
        <w:spacing w:line="316" w:lineRule="auto" w:before="19"/>
        <w:ind w:left="513" w:right="94"/>
        <w:jc w:val="left"/>
      </w:pPr>
      <w:r>
        <w:rPr/>
        <w:t>六、注册会计师对财务报表审计的责任 </w:t>
      </w:r>
      <w:r>
        <w:rPr>
          <w:spacing w:val="-2"/>
        </w:rPr>
        <w:t>我们的目标是对财务报表整体是否不存在由于舞弊或错误导致的重大错报获取合理保证，并出具包含审计意见的审计报</w:t>
      </w:r>
    </w:p>
    <w:p>
      <w:pPr>
        <w:pStyle w:val="BodyText"/>
        <w:spacing w:line="316" w:lineRule="auto" w:before="19"/>
        <w:ind w:right="190"/>
        <w:jc w:val="both"/>
      </w:pP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513" w:right="254"/>
        <w:jc w:val="left"/>
      </w:pPr>
      <w:r>
        <w:rPr/>
        <w:t>在按照审计准则执行审计工作的过程中，我们运用职业判断，并保持职业怀疑。同时，我们也执行以下工作：</w:t>
      </w:r>
    </w:p>
    <w:p>
      <w:pPr>
        <w:pStyle w:val="BodyText"/>
        <w:spacing w:line="309" w:lineRule="auto" w:before="76"/>
        <w:ind w:right="195" w:firstLine="360"/>
        <w:jc w:val="both"/>
      </w:pP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．识别和评估由于舞弊或错误导致的财务报表重大错报风险，设计和实施审计程序以应对这些风险，并获取充分、适 </w:t>
      </w:r>
      <w:r>
        <w:rPr>
          <w:spacing w:val="-2"/>
        </w:rPr>
        <w:t>当的审计证据，作为发表审计意见的基础。由于舞弊可能涉及串通、伪造、故意遗漏、虚假陈述或凌驾于内部控制之上，未</w:t>
      </w:r>
      <w:r>
        <w:rPr>
          <w:spacing w:val="-70"/>
        </w:rPr>
        <w:t> </w:t>
      </w:r>
      <w:r>
        <w:rPr>
          <w:spacing w:val="-70"/>
        </w:rPr>
      </w:r>
      <w:r>
        <w:rPr/>
        <w:t>能发现由于舞弊导致的重大错报的风险高于未能发现由于错误导致的重大错报的风险。</w:t>
      </w:r>
    </w:p>
    <w:p>
      <w:pPr>
        <w:pStyle w:val="BodyText"/>
        <w:spacing w:line="240" w:lineRule="auto" w:before="24"/>
        <w:ind w:left="513" w:right="254"/>
        <w:jc w:val="left"/>
      </w:pPr>
      <w:r>
        <w:rPr>
          <w:rFonts w:ascii="Times New Roman" w:hAnsi="Times New Roman" w:cs="Times New Roman" w:eastAsia="Times New Roman" w:hint="default"/>
        </w:rPr>
        <w:t>2</w:t>
      </w:r>
      <w:r>
        <w:rPr/>
        <w:t>．了解与审计相关的内部控制，以设计恰当的审计程序。</w:t>
      </w:r>
    </w:p>
    <w:p>
      <w:pPr>
        <w:pStyle w:val="BodyText"/>
        <w:spacing w:line="240" w:lineRule="auto" w:before="63"/>
        <w:ind w:left="513" w:right="254"/>
        <w:jc w:val="left"/>
      </w:pP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93" w:firstLine="360"/>
        <w:jc w:val="both"/>
      </w:pPr>
      <w:r>
        <w:rPr>
          <w:rFonts w:ascii="Times New Roman" w:hAnsi="Times New Roman" w:cs="Times New Roman" w:eastAsia="Times New Roman" w:hint="default"/>
        </w:rPr>
        <w:t>4</w:t>
      </w:r>
      <w:r>
        <w:rPr/>
        <w:t>．对管理层使用持续经营假设的恰当性得出结论。同时，根据获取的审计证据，就可能导致对麦达数字公司持续经营 </w:t>
      </w:r>
      <w:r>
        <w:rPr>
          <w:spacing w:val="-2"/>
        </w:rPr>
        <w:t>能力产生重大疑虑的事项或情况是否存在重大不确定性得出结论。如果我们得出结论认为存在重大不确定性，审计准则要求</w:t>
      </w:r>
      <w:r>
        <w:rPr>
          <w:spacing w:val="-64"/>
        </w:rPr>
        <w:t> </w:t>
      </w:r>
      <w:r>
        <w:rPr>
          <w:spacing w:val="-64"/>
        </w:rPr>
      </w:r>
      <w:r>
        <w:rPr>
          <w:spacing w:val="-2"/>
        </w:rPr>
        <w:t>我们在审计报告中提请报告使用者注意财务报表中的相关披露；如果披露不充分，我们应当发表非无保留意见。我们的结论</w:t>
      </w:r>
      <w:r>
        <w:rPr>
          <w:spacing w:val="-66"/>
        </w:rPr>
        <w:t> </w:t>
      </w:r>
      <w:r>
        <w:rPr>
          <w:spacing w:val="-66"/>
        </w:rPr>
      </w:r>
      <w:r>
        <w:rPr/>
        <w:t>基于截至审计报告日可获得的信息。然而，未来的事项或情况可能导致麦达数字公司不能持续经营。</w:t>
      </w:r>
    </w:p>
    <w:p>
      <w:pPr>
        <w:pStyle w:val="BodyText"/>
        <w:spacing w:line="240" w:lineRule="auto" w:before="22"/>
        <w:ind w:left="513" w:right="254"/>
        <w:jc w:val="left"/>
      </w:pP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12" w:lineRule="auto" w:before="63"/>
        <w:ind w:right="184" w:firstLine="360"/>
        <w:jc w:val="left"/>
      </w:pPr>
      <w:r>
        <w:rPr>
          <w:rFonts w:ascii="Times New Roman" w:hAnsi="Times New Roman" w:cs="Times New Roman" w:eastAsia="Times New Roman" w:hint="default"/>
        </w:rPr>
        <w:t>6</w:t>
      </w:r>
      <w:r>
        <w:rPr/>
        <w:t>．就麦达数字公司中实体或业务活动的财务信息获取充分、适当的审计证据，以对合并财务报表发表审计意见。我们 负责指导、监督和执行集团审计，并对审计意见承担全部责任。 </w:t>
      </w:r>
      <w:r>
        <w:rPr>
          <w:spacing w:val="-2"/>
        </w:rPr>
        <w:t>我们与治理层就计划的审计范围、时间安排和重大审计发现等事项进行沟通，包括沟通我们在审计中识别出的值得关注的内</w:t>
      </w:r>
      <w:r>
        <w:rPr>
          <w:spacing w:val="-64"/>
        </w:rPr>
        <w:t> </w:t>
      </w:r>
      <w:r>
        <w:rPr>
          <w:spacing w:val="-64"/>
        </w:rPr>
      </w:r>
      <w:r>
        <w:rPr/>
        <w:t>部控制缺陷。</w:t>
      </w:r>
    </w:p>
    <w:p>
      <w:pPr>
        <w:pStyle w:val="BodyText"/>
        <w:spacing w:line="316" w:lineRule="auto" w:before="22"/>
        <w:ind w:right="192"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6" w:lineRule="auto" w:before="19"/>
        <w:ind w:right="189"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2"/>
        </w:rPr>
        <w:t> </w:t>
      </w:r>
      <w:r>
        <w:rPr>
          <w:spacing w:val="-62"/>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2"/>
        <w:spacing w:line="240" w:lineRule="auto"/>
        <w:ind w:right="254"/>
        <w:jc w:val="left"/>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54"/>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21"/>
        <w:ind w:right="254"/>
        <w:jc w:val="left"/>
        <w:rPr>
          <w:b w:val="0"/>
          <w:bCs w:val="0"/>
        </w:rPr>
      </w:pPr>
      <w:r>
        <w:rPr>
          <w:rFonts w:ascii="Times New Roman" w:hAnsi="Times New Roman" w:cs="Times New Roman" w:eastAsia="Times New Roman" w:hint="default"/>
        </w:rPr>
        <w:t>1</w:t>
      </w:r>
      <w:r>
        <w:rPr/>
        <w:t>、</w:t>
      </w:r>
      <w:r>
        <w:rPr>
          <w:spacing w:val="-60"/>
        </w:rPr>
        <w:t> </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40"/>
        </w:sectPr>
      </w:pPr>
    </w:p>
    <w:p>
      <w:pPr>
        <w:pStyle w:val="BodyText"/>
        <w:spacing w:line="240" w:lineRule="auto" w:before="44"/>
        <w:ind w:right="-20"/>
        <w:jc w:val="left"/>
      </w:pPr>
      <w:r>
        <w:rPr/>
        <w:t>编制单位：深圳市麦达数字股份有限公司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40"/>
          <w:cols w:num="3" w:equalWidth="0">
            <w:col w:w="3393" w:space="683"/>
            <w:col w:w="1641" w:space="3203"/>
            <w:col w:w="1070"/>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264,648,521.96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123,729,128.53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73,740.00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9,806,932.00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7,892,529.00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258,426,582.25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249,531,421.22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5,437,466.36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8,071,769.13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3,817.41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873,111.33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18,839,802.96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11,807,870.00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54,493,173.31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49,832,153.04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485,910,986.34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508,608,694.45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1,097,641,022.59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960,346,676.70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73,311,568.78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3,181,568.78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173,060,338.37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180,499,114.15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29,401,748.46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30,891,106.45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108,093,681.68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55,815,059.71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58,680,344.53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48,570,419.07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66,200,201.53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541,571,539.43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541,571,539.43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2,649,511.87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2,934,086.15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2,994,852.53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3,533,582.43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315,408.60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76,923.08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979,969,068.79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943,383,526.24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2,077,610,091.38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1,903,730,202.94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15,312,597.83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6,292,925.88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200,138,502.46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176,706,116.26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13,506,452.56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9,497,540.91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21,317,163.26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18,060,647.04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46,747,413.64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38,402,793.61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10,367.50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39,778,304.31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17,522,394.20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344,810,801.56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266,482,417.90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2,145,738.24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1,655,341.82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140,775.12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865,349.84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983,651.87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3,151,863.20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2,638,993.69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347,962,664.76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269,121,411.59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579,343,790.00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576,382,117.00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959,797,474.08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931,631,237.57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19,394,776.25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1,204,700.00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19,616.09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34,315.24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18,174,142.20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18,174,142.20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159,551,082.82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84,223,785.38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1,697,491,328.94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1,609,240,897.39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32,156,097.68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25,367,893.96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1,729,647,426.62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1,634,608,791.35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2,077,610,091.38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1,903,730,202.94</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153"/>
        <w:jc w:val="left"/>
      </w:pPr>
      <w:r>
        <w:rPr/>
        <w:t>法定代表人：陈亚妹</w:t>
        <w:tab/>
      </w:r>
      <w:r>
        <w:rPr>
          <w:spacing w:val="-1"/>
        </w:rPr>
        <w:t>主管会计工作负责人：廖建中</w:t>
        <w:tab/>
      </w:r>
      <w:r>
        <w:rPr/>
        <w:t>会计机构负责人：袁素华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1"/>
        <w:gridCol w:w="3315"/>
        <w:gridCol w:w="3303"/>
      </w:tblGrid>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9,066,482.06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20,916,694.00</w:t>
            </w:r>
          </w:p>
        </w:tc>
      </w:tr>
      <w:tr>
        <w:trPr>
          <w:trHeight w:val="71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452,364.08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680,729.37</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239,599.51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42,645.48</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679,704.20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8,811,761.47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17,130,732.70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107,281.11</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177,000,639.30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269,041,407.75</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195,570,846.42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308,599,194.61</w:t>
            </w: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73,130,000.00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1,242,652,445.01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1,230,671,626.85</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29,401,748.46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30,891,106.45</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9,568,905.82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10,249,201.26</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11,467,372.48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12,215,690.18</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592,828.08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1,366,813,299.85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1,287,027,624.74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1,562,384,146.27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1,595,626,819.35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1,193,045.17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1,080,025.70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227,798.07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522,429.09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9,776,406.68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6,559,908.41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690,800.12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346,709.33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24,383,986.18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35,814,435.34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36,272,036.22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44,323,507.87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2,145,738.24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1,655,341.82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2,145,738.24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1,655,341.82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38,417,774.46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45,978,849.69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579,343,790.00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576,382,117.00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957,413,732.14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929,429,609.02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19,394,776.25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1,204,700.00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18,174,142.20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18,174,142.20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-11,570,516.28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26,866,801.44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1,523,966,371.81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1,549,647,969.66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1,562,384,146.27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1,595,626,819.35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935,965,359.52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798,906,480.91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935,965,359.52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798,906,480.91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820,550,854.50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734,738,085.90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708,217,585.57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602,058,003.69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7,689,419.42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5,102,381.76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259.519989pt;width:158.9pt;height:20.65pt;mso-position-horizontal-relative:page;mso-position-vertical-relative:page;z-index:-1101496" coordorigin="4220,5190" coordsize="3178,413">
            <v:group style="position:absolute;left:4231;top:5201;width:2;height:392" coordorigin="4231,5201" coordsize="2,392">
              <v:shape style="position:absolute;left:4231;top:5201;width:2;height:392" coordorigin="4231,5201" coordsize="0,392" path="m4231,5201l4231,5592e" filled="false" stroked="true" strokeweight="1.08pt" strokecolor="#ffffff">
                <v:path arrowok="t"/>
              </v:shape>
            </v:group>
            <v:group style="position:absolute;left:4242;top:5201;width:3157;height:392" coordorigin="4242,5201" coordsize="3157,392">
              <v:shape style="position:absolute;left:4242;top:5201;width:3157;height:392" coordorigin="4242,5201" coordsize="3157,392" path="m4242,5592l7398,5592,7398,5201,4242,5201,4242,5592xe" filled="true" fillcolor="#ffffff" stroked="false">
                <v:path arrowok="t"/>
                <v:fill type="solid"/>
              </v:shape>
            </v:group>
            <w10:wrap type="none"/>
          </v:group>
        </w:pict>
      </w:r>
      <w:r>
        <w:rPr/>
        <w:pict>
          <v:group style="position:absolute;margin-left:211.009995pt;margin-top:395.749969pt;width:158.9pt;height:20.65pt;mso-position-horizontal-relative:page;mso-position-vertical-relative:page;z-index:-1101472" coordorigin="4220,7915" coordsize="3178,413">
            <v:group style="position:absolute;left:4231;top:7926;width:2;height:392" coordorigin="4231,7926" coordsize="2,392">
              <v:shape style="position:absolute;left:4231;top:7926;width:2;height:392" coordorigin="4231,7926" coordsize="0,392" path="m4231,7926l4231,8317e" filled="false" stroked="true" strokeweight="1.08pt" strokecolor="#ffffff">
                <v:path arrowok="t"/>
              </v:shape>
            </v:group>
            <v:group style="position:absolute;left:4242;top:7926;width:3157;height:392" coordorigin="4242,7926" coordsize="3157,392">
              <v:shape style="position:absolute;left:4242;top:7926;width:3157;height:392" coordorigin="4242,7926" coordsize="3157,392" path="m4242,8317l7398,8317,7398,7926,4242,7926,4242,831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1075"/>
        <w:gridCol w:w="2148"/>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27,447,515.31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28,554,787.54</w:t>
            </w: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90,814,129.07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79,959,615.08</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86" w:right="0"/>
              <w:jc w:val="left"/>
              <w:rPr>
                <w:rFonts w:ascii="Times New Roman" w:hAnsi="Times New Roman" w:cs="Times New Roman" w:eastAsia="Times New Roman" w:hint="default"/>
                <w:sz w:val="18"/>
                <w:szCs w:val="18"/>
              </w:rPr>
            </w:pPr>
            <w:r>
              <w:rPr>
                <w:rFonts w:ascii="Times New Roman"/>
                <w:sz w:val="18"/>
              </w:rPr>
              <w:t>-14,420,985.36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-15,121,964.49</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803,190.49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34,185,262.32</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73,740.00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7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-7,441,639.88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113,164,122.12</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-7,441,639.88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资产处置收益（损失以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-5,203,450.14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1,519,876.28</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5,392,632.56</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108,235,787.56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178,852,393.41</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5,758,655.07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4,817,381.39</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827,535.48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2,665,543.09</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5"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99" w:right="0"/>
              <w:jc w:val="left"/>
              <w:rPr>
                <w:rFonts w:ascii="Times New Roman" w:hAnsi="Times New Roman" w:cs="Times New Roman" w:eastAsia="Times New Roman" w:hint="default"/>
                <w:sz w:val="18"/>
                <w:szCs w:val="18"/>
              </w:rPr>
            </w:pPr>
            <w:r>
              <w:rPr>
                <w:rFonts w:ascii="Times New Roman"/>
                <w:sz w:val="18"/>
              </w:rPr>
              <w:t>113,166,907.15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181,004,231.71</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34,873,400.68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28,263,411.69</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78,293,506.47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152,740,820.02</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78,293,506.47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152,740,820.02</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（二）终止经营净利润（净亏损以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75,327,297.44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149,987,651.76</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2,966,209.03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2,753,168.26</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-12,423.81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4,928,925.31</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-14,699.15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4,928,925.31</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（二）以后将重分类进损益的其他</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-14,699.15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4,928,925.31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 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-14,699.15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4,928,925.31</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2,275.34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78,281,082.66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157,669,745.33</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75,312,598.29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154,916,577.07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2,968,484.37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2,753,168.26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0.1308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0.2630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0.1304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0.2625</w:t>
            </w:r>
          </w:p>
        </w:tc>
      </w:tr>
    </w:tbl>
    <w:p>
      <w:pPr>
        <w:pStyle w:val="BodyText"/>
        <w:tabs>
          <w:tab w:pos="3578" w:val="left" w:leader="none"/>
          <w:tab w:pos="7721" w:val="left" w:leader="none"/>
        </w:tabs>
        <w:spacing w:line="624" w:lineRule="auto" w:before="49"/>
        <w:ind w:right="243"/>
        <w:jc w:val="left"/>
      </w:pPr>
      <w:r>
        <w:rPr/>
        <w:t>本期发生同一控制下企业合并的，被合并方在合并前实现的净利润为：元，上期被合并方实现的净利润为：元。 法定代表人：陈亚妹</w:t>
        <w:tab/>
      </w:r>
      <w:r>
        <w:rPr>
          <w:spacing w:val="-1"/>
        </w:rPr>
        <w:t>主管会计工作负责人：廖建中</w:t>
        <w:tab/>
      </w:r>
      <w:r>
        <w:rPr/>
        <w:t>会计机构负责人：袁素华</w:t>
      </w:r>
    </w:p>
    <w:p>
      <w:pPr>
        <w:pStyle w:val="Heading3"/>
        <w:spacing w:line="240" w:lineRule="auto" w:before="68"/>
        <w:ind w:right="15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6,194,226.22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37,036,222.78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2,549,915.11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32,349,349.98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547,185.62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805,730.16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263,625.43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33,059,450.66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33,658,790.31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-4,427,224.68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-5,823,317.91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241,743.58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16,038,096.12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-12,459,681.64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3,012,833.26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-9,264,446.34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95,566.92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106,926,793.58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6,837.07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-38,134,121.72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69,683,575.53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156,068.40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1,219,182.84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800,112.97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486,967.69</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-38,778,166.29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70,415,790.68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-340,848.57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340,848.57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-38,437,317.72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70,074,942.11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-38,437,317.72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70,074,942.11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2178" w:right="0"/>
              <w:jc w:val="left"/>
              <w:rPr>
                <w:rFonts w:ascii="Times New Roman" w:hAnsi="Times New Roman" w:cs="Times New Roman" w:eastAsia="Times New Roman" w:hint="default"/>
                <w:sz w:val="18"/>
                <w:szCs w:val="18"/>
              </w:rPr>
            </w:pPr>
            <w:r>
              <w:rPr>
                <w:rFonts w:ascii="Times New Roman"/>
                <w:sz w:val="18"/>
              </w:rPr>
              <w:t>-38,437,317.72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70,074,942.11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907,692,200.16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758,763,675.16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27,780,457.47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2"/>
                <w:sz w:val="18"/>
              </w:rPr>
              <w:t>12,511,083.11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10,826,813.71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22,956,801.78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946,299,471.34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794,231,560.05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606,638,267.86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542,258,033.64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125,613,642.97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109,915,914.99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54,388,652.11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52,088,453.75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54,347,322.35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55,132,631.66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840,987,885.29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759,395,034.04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105,311,586.05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34,836,526.01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3,818,431.22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20,894,117.25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14,483,670.95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1,528,984.48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10,505,465.32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202,674,955.28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4,811,499,084.73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5,395,406,634.01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4,833,922,186.46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5,626,889,156.78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7,902,240.55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11,568,193.99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70,130,000.00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169,942,198.00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4,754,836,874.96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5,839,816,634.01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4,832,869,115.51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6,021,327,026.00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1,053,070.95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-394,437,869.22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23,790,086.55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581,790,000.00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10,540,000.00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7,958,933.33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44,749,019.88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581,790,000.00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74,470.00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314,617.42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20,401,993.24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102,605,961.10</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20,476,463.24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155,920,578.52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24,272,556.64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425,869,421.48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-5,088,011.15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1,783,300.07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125,549,202.49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68,051,378.34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120,897,311.87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52,845,933.53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246,446,514.36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120,897,311.87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1,325,864.29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52,121,513.82</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269,996.39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578,186.22</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21,038,334.14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81,045,890.50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22,634,194.82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133,745,590.54</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107,748.20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10,905,513.71</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12,877,998.98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11,964,067.64</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802,533.44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2,911,948.95</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29,270,369.19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139,990,409.72</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43,058,649.81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165,771,940.02</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-20,424,454.99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-32,026,349.48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15,606,000.00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265,000,000.00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5,309,323.67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8,533,680.57</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11,551.44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10,638,826.43</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1,625.70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1,087,865,630.95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3,168,905,000.00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1,108,794,131.76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3,453,077,507.00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1,028,084.41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1,648,462.83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110,130,000.00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235,962,198.00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3,437,705,000.00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1,096,158,084.41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3,675,315,660.83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12,636,047.35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-222,238,153.83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19,790,086.55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571,250,000.00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19,790,086.55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571,250,000.00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268,250.00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24,946,739.34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246,550,278.96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24,946,739.34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296,818,528.96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-5,156,652.79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274,431,471.04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-473,359.51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115,114.22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-13,418,419.94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20,282,081.95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20,916,694.00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634,612.05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7,498,274.06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20,916,694.00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t>本期金额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50"/>
        <w:gridCol w:w="550"/>
        <w:gridCol w:w="533"/>
        <w:gridCol w:w="531"/>
        <w:gridCol w:w="530"/>
        <w:gridCol w:w="665"/>
        <w:gridCol w:w="665"/>
        <w:gridCol w:w="665"/>
        <w:gridCol w:w="665"/>
        <w:gridCol w:w="665"/>
        <w:gridCol w:w="665"/>
        <w:gridCol w:w="665"/>
        <w:gridCol w:w="665"/>
        <w:gridCol w:w="660"/>
      </w:tblGrid>
      <w:tr>
        <w:trPr>
          <w:trHeight w:val="403" w:hRule="exact"/>
        </w:trPr>
        <w:tc>
          <w:tcPr>
            <w:tcW w:w="1450" w:type="dxa"/>
            <w:vMerge w:val="restart"/>
            <w:tcBorders>
              <w:top w:val="single" w:sz="4" w:space="0" w:color="000000"/>
              <w:left w:val="single" w:sz="4" w:space="0" w:color="000000"/>
              <w:right w:val="single" w:sz="4" w:space="0" w:color="000000"/>
            </w:tcBorders>
            <w:shd w:val="clear" w:color="auto" w:fill="D2D2D2"/>
          </w:tcPr>
          <w:p>
            <w:pPr/>
          </w:p>
        </w:tc>
        <w:tc>
          <w:tcPr>
            <w:tcW w:w="812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0" w:hRule="exact"/>
        </w:trPr>
        <w:tc>
          <w:tcPr>
            <w:tcW w:w="1450" w:type="dxa"/>
            <w:vMerge/>
            <w:tcBorders>
              <w:left w:val="single" w:sz="4" w:space="0" w:color="000000"/>
              <w:right w:val="single" w:sz="4" w:space="0" w:color="000000"/>
            </w:tcBorders>
            <w:shd w:val="clear" w:color="auto" w:fill="D2D2D2"/>
          </w:tcPr>
          <w:p>
            <w:pPr/>
          </w:p>
        </w:tc>
        <w:tc>
          <w:tcPr>
            <w:tcW w:w="6798"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6798"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50"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5"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550"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50" w:type="dxa"/>
            <w:vMerge w:val="restart"/>
            <w:tcBorders>
              <w:top w:val="nil" w:sz="6" w:space="0" w:color="auto"/>
              <w:left w:val="single" w:sz="4" w:space="0" w:color="000000"/>
              <w:right w:val="single" w:sz="4" w:space="0" w:color="000000"/>
            </w:tcBorders>
            <w:shd w:val="clear" w:color="auto" w:fill="D2D2D2"/>
          </w:tcPr>
          <w:p>
            <w:pPr/>
          </w:p>
        </w:tc>
        <w:tc>
          <w:tcPr>
            <w:tcW w:w="5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8" w:hRule="exact"/>
        </w:trPr>
        <w:tc>
          <w:tcPr>
            <w:tcW w:w="1450" w:type="dxa"/>
            <w:vMerge/>
            <w:tcBorders>
              <w:left w:val="single" w:sz="4" w:space="0" w:color="000000"/>
              <w:right w:val="single" w:sz="4" w:space="0" w:color="000000"/>
            </w:tcBorders>
            <w:shd w:val="clear" w:color="auto" w:fill="D2D2D2"/>
          </w:tcPr>
          <w:p>
            <w:pPr/>
          </w:p>
        </w:tc>
        <w:tc>
          <w:tcPr>
            <w:tcW w:w="550"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50" w:type="dxa"/>
            <w:vMerge/>
            <w:tcBorders>
              <w:left w:val="single" w:sz="4" w:space="0" w:color="000000"/>
              <w:right w:val="single" w:sz="4" w:space="0" w:color="000000"/>
            </w:tcBorders>
            <w:shd w:val="clear" w:color="auto" w:fill="D2D2D2"/>
          </w:tcPr>
          <w:p>
            <w:pPr/>
          </w:p>
        </w:tc>
        <w:tc>
          <w:tcPr>
            <w:tcW w:w="550"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50" w:type="dxa"/>
            <w:vMerge/>
            <w:tcBorders>
              <w:left w:val="single" w:sz="4" w:space="0" w:color="000000"/>
              <w:bottom w:val="single" w:sz="4" w:space="0" w:color="000000"/>
              <w:right w:val="single" w:sz="4" w:space="0" w:color="000000"/>
            </w:tcBorders>
            <w:shd w:val="clear" w:color="auto" w:fill="D2D2D2"/>
          </w:tcPr>
          <w:p>
            <w:pPr/>
          </w:p>
        </w:tc>
        <w:tc>
          <w:tcPr>
            <w:tcW w:w="550"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50" w:type="dxa"/>
            <w:vMerge w:val="restart"/>
            <w:tcBorders>
              <w:top w:val="single" w:sz="4" w:space="0" w:color="000000"/>
              <w:left w:val="single" w:sz="10" w:space="0" w:color="D2D2D2"/>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576,38</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2,117.</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931,631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,237.57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1,204,7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34,315.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18,174,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142.20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84,223,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785.38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25,367,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893.96</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08,791.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r>
      <w:tr>
        <w:trPr>
          <w:trHeight w:val="394" w:hRule="exact"/>
        </w:trPr>
        <w:tc>
          <w:tcPr>
            <w:tcW w:w="14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0"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0"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576,38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2,117.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931,631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,237.57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1,204,7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34,315.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18,174,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142.20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84,223,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785.38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25,367,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893.96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08,791.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2,961,</w:t>
            </w:r>
          </w:p>
          <w:p>
            <w:pPr>
              <w:pStyle w:val="TableParagraph"/>
              <w:spacing w:line="240" w:lineRule="auto" w:before="103"/>
              <w:ind w:left="35" w:right="0"/>
              <w:jc w:val="left"/>
              <w:rPr>
                <w:rFonts w:ascii="Times New Roman" w:hAnsi="Times New Roman" w:cs="Times New Roman" w:eastAsia="Times New Roman" w:hint="default"/>
                <w:sz w:val="18"/>
                <w:szCs w:val="18"/>
              </w:rPr>
            </w:pPr>
            <w:r>
              <w:rPr>
                <w:rFonts w:ascii="Times New Roman"/>
                <w:sz w:val="18"/>
              </w:rPr>
              <w:t>673.00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28,166,</w:t>
            </w:r>
          </w:p>
          <w:p>
            <w:pPr>
              <w:pStyle w:val="TableParagraph"/>
              <w:spacing w:line="240" w:lineRule="auto" w:before="103"/>
              <w:ind w:left="136" w:right="0"/>
              <w:jc w:val="left"/>
              <w:rPr>
                <w:rFonts w:ascii="Times New Roman" w:hAnsi="Times New Roman" w:cs="Times New Roman" w:eastAsia="Times New Roman" w:hint="default"/>
                <w:sz w:val="18"/>
                <w:szCs w:val="18"/>
              </w:rPr>
            </w:pPr>
            <w:r>
              <w:rPr>
                <w:rFonts w:ascii="Times New Roman"/>
                <w:sz w:val="18"/>
              </w:rPr>
              <w:t>236.51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18,190,</w:t>
            </w:r>
          </w:p>
          <w:p>
            <w:pPr>
              <w:pStyle w:val="TableParagraph"/>
              <w:spacing w:line="240" w:lineRule="auto" w:before="103"/>
              <w:ind w:left="139" w:right="0"/>
              <w:jc w:val="left"/>
              <w:rPr>
                <w:rFonts w:ascii="Times New Roman" w:hAnsi="Times New Roman" w:cs="Times New Roman" w:eastAsia="Times New Roman" w:hint="default"/>
                <w:sz w:val="18"/>
                <w:szCs w:val="18"/>
              </w:rPr>
            </w:pPr>
            <w:r>
              <w:rPr>
                <w:rFonts w:ascii="Times New Roman"/>
                <w:sz w:val="18"/>
              </w:rPr>
              <w:t>076.25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-14,699.</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75,327,</w:t>
            </w:r>
          </w:p>
          <w:p>
            <w:pPr>
              <w:pStyle w:val="TableParagraph"/>
              <w:spacing w:line="240" w:lineRule="auto" w:before="103"/>
              <w:ind w:left="139" w:right="0"/>
              <w:jc w:val="left"/>
              <w:rPr>
                <w:rFonts w:ascii="Times New Roman" w:hAnsi="Times New Roman" w:cs="Times New Roman" w:eastAsia="Times New Roman" w:hint="default"/>
                <w:sz w:val="18"/>
                <w:szCs w:val="18"/>
              </w:rPr>
            </w:pPr>
            <w:r>
              <w:rPr>
                <w:rFonts w:ascii="Times New Roman"/>
                <w:sz w:val="18"/>
              </w:rPr>
              <w:t>297.44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6,788,2</w:t>
            </w:r>
          </w:p>
          <w:p>
            <w:pPr>
              <w:pStyle w:val="TableParagraph"/>
              <w:spacing w:line="240" w:lineRule="auto" w:before="103"/>
              <w:ind w:left="207" w:right="0"/>
              <w:jc w:val="center"/>
              <w:rPr>
                <w:rFonts w:ascii="Times New Roman" w:hAnsi="Times New Roman" w:cs="Times New Roman" w:eastAsia="Times New Roman" w:hint="default"/>
                <w:sz w:val="18"/>
                <w:szCs w:val="18"/>
              </w:rPr>
            </w:pPr>
            <w:r>
              <w:rPr>
                <w:rFonts w:ascii="Times New Roman"/>
                <w:sz w:val="18"/>
              </w:rPr>
              <w:t>03.72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95,038,</w:t>
            </w:r>
          </w:p>
          <w:p>
            <w:pPr>
              <w:pStyle w:val="TableParagraph"/>
              <w:spacing w:line="240" w:lineRule="auto" w:before="103"/>
              <w:ind w:left="131" w:right="0"/>
              <w:jc w:val="left"/>
              <w:rPr>
                <w:rFonts w:ascii="Times New Roman" w:hAnsi="Times New Roman" w:cs="Times New Roman" w:eastAsia="Times New Roman" w:hint="default"/>
                <w:sz w:val="18"/>
                <w:szCs w:val="18"/>
              </w:rPr>
            </w:pPr>
            <w:r>
              <w:rPr>
                <w:rFonts w:ascii="Times New Roman"/>
                <w:sz w:val="18"/>
              </w:rPr>
              <w:t>635.27</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-14,699.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75,327,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297.44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2,968,4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84.37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78,281,</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082.66</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2,961,</w:t>
            </w:r>
          </w:p>
          <w:p>
            <w:pPr>
              <w:pStyle w:val="TableParagraph"/>
              <w:spacing w:line="240" w:lineRule="auto" w:before="102"/>
              <w:ind w:left="35" w:right="0"/>
              <w:jc w:val="left"/>
              <w:rPr>
                <w:rFonts w:ascii="Times New Roman" w:hAnsi="Times New Roman" w:cs="Times New Roman" w:eastAsia="Times New Roman" w:hint="default"/>
                <w:sz w:val="18"/>
                <w:szCs w:val="18"/>
              </w:rPr>
            </w:pPr>
            <w:r>
              <w:rPr>
                <w:rFonts w:ascii="Times New Roman"/>
                <w:sz w:val="18"/>
              </w:rPr>
              <w:t>673.00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28,166,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236.51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18,190,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076.25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3,819,7</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19.35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16,757,</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552.61</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2,961,</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673.00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15,228,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403.25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18,190,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076.25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2,440,0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88.92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2,440,0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88.92</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10,497,</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744.34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-180,28</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0.65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10,317,</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463.69</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579,34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3,790.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959,797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,474.08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19,394,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776.25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19,616.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18,174,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142.20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159,551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,082.82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32,156,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097.68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47,426.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r>
    </w:tbl>
    <w:p>
      <w:pPr>
        <w:pStyle w:val="BodyText"/>
        <w:spacing w:line="240" w:lineRule="auto" w:before="49"/>
        <w:ind w:right="153"/>
        <w:jc w:val="left"/>
      </w:pPr>
      <w:r>
        <w:rPr/>
        <w:t>上期金额</w:t>
      </w:r>
    </w:p>
    <w:p>
      <w:pPr>
        <w:pStyle w:val="BodyText"/>
        <w:spacing w:line="240" w:lineRule="auto" w:before="117"/>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0"/>
        <w:gridCol w:w="531"/>
        <w:gridCol w:w="533"/>
        <w:gridCol w:w="662"/>
        <w:gridCol w:w="665"/>
        <w:gridCol w:w="668"/>
        <w:gridCol w:w="665"/>
        <w:gridCol w:w="662"/>
        <w:gridCol w:w="665"/>
        <w:gridCol w:w="680"/>
        <w:gridCol w:w="653"/>
        <w:gridCol w:w="658"/>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2" w:hRule="exact"/>
        </w:trPr>
        <w:tc>
          <w:tcPr>
            <w:tcW w:w="1426"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0"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5"/>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7"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9"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3"/>
              <w:ind w:left="29" w:right="0"/>
              <w:jc w:val="left"/>
              <w:rPr>
                <w:rFonts w:ascii="Times New Roman" w:hAnsi="Times New Roman" w:cs="Times New Roman" w:eastAsia="Times New Roman" w:hint="default"/>
                <w:sz w:val="18"/>
                <w:szCs w:val="18"/>
              </w:rPr>
            </w:pPr>
            <w:r>
              <w:rPr>
                <w:rFonts w:ascii="Times New Roman"/>
                <w:sz w:val="18"/>
              </w:rPr>
              <w:t>510,60</w:t>
            </w:r>
          </w:p>
          <w:p>
            <w:pPr>
              <w:pStyle w:val="TableParagraph"/>
              <w:spacing w:line="240" w:lineRule="auto" w:before="102"/>
              <w:ind w:left="73" w:right="0"/>
              <w:jc w:val="left"/>
              <w:rPr>
                <w:rFonts w:ascii="Times New Roman" w:hAnsi="Times New Roman" w:cs="Times New Roman" w:eastAsia="Times New Roman" w:hint="default"/>
                <w:sz w:val="18"/>
                <w:szCs w:val="18"/>
              </w:rPr>
            </w:pPr>
            <w:r>
              <w:rPr>
                <w:rFonts w:ascii="Times New Roman"/>
                <w:sz w:val="18"/>
              </w:rPr>
              <w:t>9,376.</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444,232</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,347.76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4,265,4</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00.00</w:t>
            </w: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-4,894,6</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10.07</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15,188,</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942.04</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-62,778,</w:t>
            </w:r>
          </w:p>
          <w:p>
            <w:pPr>
              <w:pStyle w:val="TableParagraph"/>
              <w:spacing w:line="240" w:lineRule="auto" w:before="102"/>
              <w:ind w:left="127" w:right="0"/>
              <w:jc w:val="center"/>
              <w:rPr>
                <w:rFonts w:ascii="Times New Roman" w:hAnsi="Times New Roman" w:cs="Times New Roman" w:eastAsia="Times New Roman" w:hint="default"/>
                <w:sz w:val="18"/>
                <w:szCs w:val="18"/>
              </w:rPr>
            </w:pPr>
            <w:r>
              <w:rPr>
                <w:rFonts w:ascii="Times New Roman"/>
                <w:sz w:val="18"/>
              </w:rPr>
              <w:t>666.22</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13,314,</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569.32</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911,406</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,558.83</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510,60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9,376.</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444,232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,347.76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4,265,4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-4,894,6</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10.07</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15,188,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942.04</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-62,778,</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666.22</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13,314,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569.32</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911,406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,558.83</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8"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65,772</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,741.0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487,398</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,889.81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-3,060,7</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4,928,9</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25.31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2,985,2</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00.16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147,002</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,451.60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12,053,</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324.64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723,202</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,232.52</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4,928,9</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25.31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149,987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,651.76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2,753,1</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68.26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157,669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,745.33</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2"/>
              <w:ind w:left="25" w:right="0"/>
              <w:jc w:val="left"/>
              <w:rPr>
                <w:rFonts w:ascii="Times New Roman" w:hAnsi="Times New Roman" w:cs="Times New Roman" w:eastAsia="Times New Roman" w:hint="default"/>
                <w:sz w:val="18"/>
                <w:szCs w:val="18"/>
              </w:rPr>
            </w:pPr>
            <w:r>
              <w:rPr>
                <w:rFonts w:ascii="Times New Roman"/>
                <w:sz w:val="18"/>
              </w:rPr>
              <w:t>65,772</w:t>
            </w:r>
          </w:p>
          <w:p>
            <w:pPr>
              <w:pStyle w:val="TableParagraph"/>
              <w:spacing w:line="240" w:lineRule="auto" w:before="105"/>
              <w:ind w:left="68" w:right="0"/>
              <w:jc w:val="left"/>
              <w:rPr>
                <w:rFonts w:ascii="Times New Roman" w:hAnsi="Times New Roman" w:cs="Times New Roman" w:eastAsia="Times New Roman" w:hint="default"/>
                <w:sz w:val="18"/>
                <w:szCs w:val="18"/>
              </w:rPr>
            </w:pPr>
            <w:r>
              <w:rPr>
                <w:rFonts w:ascii="Times New Roman"/>
                <w:sz w:val="18"/>
              </w:rPr>
              <w:t>,741.0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487,398</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,889.81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-3,060,7</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9,300,1</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56.38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565,532</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,487.19</w:t>
            </w:r>
          </w:p>
        </w:tc>
      </w:tr>
    </w:tbl>
    <w:p>
      <w:pPr>
        <w:spacing w:after="0" w:line="240" w:lineRule="auto"/>
        <w:jc w:val="left"/>
        <w:rPr>
          <w:rFonts w:ascii="Times New Roman" w:hAnsi="Times New Roman" w:cs="Times New Roman" w:eastAsia="Times New Roman" w:hint="default"/>
          <w:sz w:val="18"/>
          <w:szCs w:val="18"/>
        </w:rPr>
        <w:sectPr>
          <w:footerReference w:type="default" r:id="rId20"/>
          <w:pgSz w:w="11910" w:h="16840"/>
          <w:pgMar w:footer="980" w:header="745"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66,976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491,491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,400.16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9,300,1</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56.38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567,768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,297.54</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-1,856,7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-3,060,7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-2,235,8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10.35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-2,235,8</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10.35</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2,985,2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00.16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-2,985,2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00.16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2,985,2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00.16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-2,985,2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00.16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576,38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2,117.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931,631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,237.57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1,204,7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34,315.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18,174,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142.20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84,223,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785.38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25,367,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893.96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08,791.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r>
    </w:tbl>
    <w:p>
      <w:pPr>
        <w:spacing w:after="0" w:line="240" w:lineRule="auto"/>
        <w:jc w:val="right"/>
        <w:rPr>
          <w:rFonts w:ascii="Times New Roman" w:hAnsi="Times New Roman" w:cs="Times New Roman" w:eastAsia="Times New Roman" w:hint="default"/>
          <w:sz w:val="18"/>
          <w:szCs w:val="18"/>
        </w:rPr>
        <w:sectPr>
          <w:footerReference w:type="default" r:id="rId21"/>
          <w:pgSz w:w="11910" w:h="16840"/>
          <w:pgMar w:footer="980" w:header="745" w:top="1060" w:bottom="1160" w:left="980" w:right="980"/>
          <w:pgNumType w:start="101"/>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15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t>本期金额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8"/>
        <w:gridCol w:w="665"/>
        <w:gridCol w:w="797"/>
        <w:gridCol w:w="797"/>
        <w:gridCol w:w="797"/>
        <w:gridCol w:w="799"/>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4" w:right="63"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576,382,</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117.00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929,429,6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09.02</w:t>
            </w:r>
          </w:p>
        </w:tc>
        <w:tc>
          <w:tcPr>
            <w:tcW w:w="797" w:type="dxa"/>
            <w:vMerge w:val="restart"/>
            <w:tcBorders>
              <w:top w:val="single" w:sz="17" w:space="0" w:color="D2D2D2"/>
              <w:left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1,204,700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97" w:type="dxa"/>
            <w:vMerge w:val="restart"/>
            <w:tcBorders>
              <w:top w:val="single" w:sz="17"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18,174,14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2.20</w:t>
            </w:r>
          </w:p>
        </w:tc>
        <w:tc>
          <w:tcPr>
            <w:tcW w:w="677" w:type="dxa"/>
            <w:vMerge w:val="restart"/>
            <w:tcBorders>
              <w:top w:val="single" w:sz="17" w:space="0" w:color="D2D2D2"/>
              <w:left w:val="single" w:sz="4" w:space="0" w:color="000000"/>
              <w:right w:val="single" w:sz="4" w:space="0" w:color="000000"/>
            </w:tcBorders>
          </w:tcPr>
          <w:p>
            <w:pPr>
              <w:pStyle w:val="TableParagraph"/>
              <w:spacing w:line="240" w:lineRule="auto" w:before="76"/>
              <w:ind w:left="103" w:right="0"/>
              <w:jc w:val="left"/>
              <w:rPr>
                <w:rFonts w:ascii="Times New Roman" w:hAnsi="Times New Roman" w:cs="Times New Roman" w:eastAsia="Times New Roman" w:hint="default"/>
                <w:sz w:val="18"/>
                <w:szCs w:val="18"/>
              </w:rPr>
            </w:pPr>
            <w:r>
              <w:rPr>
                <w:rFonts w:ascii="Times New Roman"/>
                <w:sz w:val="18"/>
              </w:rPr>
              <w:t>26,866,</w:t>
            </w:r>
          </w:p>
          <w:p>
            <w:pPr>
              <w:pStyle w:val="TableParagraph"/>
              <w:spacing w:line="240" w:lineRule="auto" w:before="102"/>
              <w:ind w:left="149" w:right="0"/>
              <w:jc w:val="left"/>
              <w:rPr>
                <w:rFonts w:ascii="Times New Roman" w:hAnsi="Times New Roman" w:cs="Times New Roman" w:eastAsia="Times New Roman" w:hint="default"/>
                <w:sz w:val="18"/>
                <w:szCs w:val="18"/>
              </w:rPr>
            </w:pPr>
            <w:r>
              <w:rPr>
                <w:rFonts w:ascii="Times New Roman"/>
                <w:sz w:val="18"/>
              </w:rPr>
              <w:t>801.44</w:t>
            </w:r>
          </w:p>
        </w:tc>
        <w:tc>
          <w:tcPr>
            <w:tcW w:w="780" w:type="dxa"/>
            <w:vMerge w:val="restart"/>
            <w:tcBorders>
              <w:top w:val="single" w:sz="17" w:space="0" w:color="D2D2D2"/>
              <w:left w:val="single" w:sz="4" w:space="0" w:color="000000"/>
              <w:right w:val="single" w:sz="4" w:space="0" w:color="000000"/>
            </w:tcBorders>
          </w:tcPr>
          <w:p>
            <w:pPr>
              <w:pStyle w:val="TableParagraph"/>
              <w:spacing w:line="240" w:lineRule="auto" w:before="76"/>
              <w:ind w:left="7" w:right="0"/>
              <w:jc w:val="center"/>
              <w:rPr>
                <w:rFonts w:ascii="Times New Roman" w:hAnsi="Times New Roman" w:cs="Times New Roman" w:eastAsia="Times New Roman" w:hint="default"/>
                <w:sz w:val="18"/>
                <w:szCs w:val="18"/>
              </w:rPr>
            </w:pPr>
            <w:r>
              <w:rPr>
                <w:rFonts w:ascii="Times New Roman"/>
                <w:sz w:val="18"/>
              </w:rPr>
              <w:t>1,549,647</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,969.66</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576,382,</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117.00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929,429,6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09.02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1,204,700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18,174,14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2.20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26,866,</w:t>
            </w:r>
          </w:p>
          <w:p>
            <w:pPr>
              <w:pStyle w:val="TableParagraph"/>
              <w:spacing w:line="240" w:lineRule="auto" w:before="102"/>
              <w:ind w:left="149" w:right="0"/>
              <w:jc w:val="left"/>
              <w:rPr>
                <w:rFonts w:ascii="Times New Roman" w:hAnsi="Times New Roman" w:cs="Times New Roman" w:eastAsia="Times New Roman" w:hint="default"/>
                <w:sz w:val="18"/>
                <w:szCs w:val="18"/>
              </w:rPr>
            </w:pPr>
            <w:r>
              <w:rPr>
                <w:rFonts w:ascii="Times New Roman"/>
                <w:sz w:val="18"/>
              </w:rPr>
              <w:t>801.44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1,549,647</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,969.66</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2,961,67</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27,984,12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18,190,07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-38,437,</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317.72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-25,681,5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97.85</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-38,437,</w:t>
            </w:r>
          </w:p>
          <w:p>
            <w:pPr>
              <w:pStyle w:val="TableParagraph"/>
              <w:spacing w:line="240" w:lineRule="auto" w:before="102"/>
              <w:ind w:left="126" w:right="0"/>
              <w:jc w:val="center"/>
              <w:rPr>
                <w:rFonts w:ascii="Times New Roman" w:hAnsi="Times New Roman" w:cs="Times New Roman" w:eastAsia="Times New Roman" w:hint="default"/>
                <w:sz w:val="18"/>
                <w:szCs w:val="18"/>
              </w:rPr>
            </w:pPr>
            <w:r>
              <w:rPr>
                <w:rFonts w:ascii="Times New Roman"/>
                <w:sz w:val="18"/>
              </w:rPr>
              <w:t>317.72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-38,437,3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17.72</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2,961,67</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27,984,12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18,190,07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12,755,71</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9.87</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2,961,67</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15,228,40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18,190,07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6.25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2,440,088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2,440,088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.92</w:t>
            </w: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10,315,63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0.95</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10,315,63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0.95</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4"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pacing w:val="-7"/>
                <w:sz w:val="18"/>
                <w:szCs w:val="18"/>
              </w:rPr>
              <w:t>（四）所有者权益</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579,343,</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790.00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957,413,7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32.14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19,394,77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18,174,14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2.20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-11,570,</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516.28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1,523,966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,371.81</w:t>
            </w:r>
          </w:p>
        </w:tc>
      </w:tr>
    </w:tbl>
    <w:p>
      <w:pPr>
        <w:pStyle w:val="BodyText"/>
        <w:spacing w:line="240" w:lineRule="auto" w:before="49"/>
        <w:ind w:right="153"/>
        <w:jc w:val="left"/>
      </w:pPr>
      <w:r>
        <w:rPr/>
        <w:t>上期金额</w:t>
      </w:r>
    </w:p>
    <w:p>
      <w:pPr>
        <w:pStyle w:val="BodyText"/>
        <w:spacing w:line="240" w:lineRule="auto" w:before="117"/>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8"/>
        <w:gridCol w:w="665"/>
        <w:gridCol w:w="797"/>
        <w:gridCol w:w="797"/>
        <w:gridCol w:w="797"/>
        <w:gridCol w:w="799"/>
        <w:gridCol w:w="797"/>
        <w:gridCol w:w="677"/>
        <w:gridCol w:w="780"/>
      </w:tblGrid>
      <w:tr>
        <w:trPr>
          <w:trHeight w:val="397"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4" w:right="63"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510,609,</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376.00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443,270,5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61.84</w:t>
            </w:r>
          </w:p>
        </w:tc>
        <w:tc>
          <w:tcPr>
            <w:tcW w:w="797" w:type="dxa"/>
            <w:vMerge w:val="restart"/>
            <w:tcBorders>
              <w:top w:val="single" w:sz="18" w:space="0" w:color="D2D2D2"/>
              <w:left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4,265,400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7" w:type="dxa"/>
            <w:vMerge w:val="restart"/>
            <w:tcBorders>
              <w:top w:val="single" w:sz="18"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15,188,94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2.04</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73"/>
              <w:ind w:left="20" w:right="0"/>
              <w:jc w:val="center"/>
              <w:rPr>
                <w:rFonts w:ascii="Times New Roman" w:hAnsi="Times New Roman" w:cs="Times New Roman" w:eastAsia="Times New Roman" w:hint="default"/>
                <w:sz w:val="18"/>
                <w:szCs w:val="18"/>
              </w:rPr>
            </w:pPr>
            <w:r>
              <w:rPr>
                <w:rFonts w:ascii="Times New Roman"/>
                <w:sz w:val="18"/>
              </w:rPr>
              <w:t>-40,222,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940.51</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sz w:val="18"/>
              </w:rPr>
              <w:t>924,580,5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39.37</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510,609,</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376.00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443,270,5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61.84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4,265,400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15,188,94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2.04</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-40,222,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940.51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924,580,5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39.37</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65,772,7</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41.00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486,159,0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47.18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-3,060,70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2,985,200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67,089,</w:t>
            </w:r>
          </w:p>
          <w:p>
            <w:pPr>
              <w:pStyle w:val="TableParagraph"/>
              <w:spacing w:line="240" w:lineRule="auto" w:before="102"/>
              <w:ind w:left="149" w:right="0"/>
              <w:jc w:val="left"/>
              <w:rPr>
                <w:rFonts w:ascii="Times New Roman" w:hAnsi="Times New Roman" w:cs="Times New Roman" w:eastAsia="Times New Roman" w:hint="default"/>
                <w:sz w:val="18"/>
                <w:szCs w:val="18"/>
              </w:rPr>
            </w:pPr>
            <w:r>
              <w:rPr>
                <w:rFonts w:ascii="Times New Roman"/>
                <w:sz w:val="18"/>
              </w:rPr>
              <w:t>741.95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625,067,4</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30.29</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70,074,</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942.11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70,074,94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2.11</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65,772,7</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41.00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486,159,0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47.18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-3,060,70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554,992,4</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88.18</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66,976,7</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41.00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490,251,5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57.53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557,228,2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98.53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-1,204,0</w:t>
            </w:r>
          </w:p>
          <w:p>
            <w:pPr>
              <w:pStyle w:val="TableParagraph"/>
              <w:spacing w:line="240" w:lineRule="auto" w:before="102"/>
              <w:ind w:left="238"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-1,856,70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-3,060,70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-2,235,81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0.35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-2,235,81</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0.35</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2,985,200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-2,985,2</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00.16</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2,985,200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-2,985,2</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00.16</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576,382,</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117.00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929,429,6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09.02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1,204,700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18,174,14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2.20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26,866,</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801.44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1,549,647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,969.66</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三、公司基本情况</w:t>
      </w:r>
      <w:r>
        <w:rPr>
          <w:b w:val="0"/>
          <w:bCs w:val="0"/>
        </w:rPr>
      </w:r>
    </w:p>
    <w:p>
      <w:pPr>
        <w:spacing w:line="240" w:lineRule="auto" w:before="2"/>
        <w:rPr>
          <w:rFonts w:ascii="宋体" w:hAnsi="宋体" w:cs="宋体" w:eastAsia="宋体" w:hint="default"/>
          <w:b/>
          <w:bCs/>
          <w:sz w:val="23"/>
          <w:szCs w:val="23"/>
        </w:rPr>
      </w:pPr>
    </w:p>
    <w:p>
      <w:pPr>
        <w:pStyle w:val="BodyText"/>
        <w:spacing w:line="338" w:lineRule="auto"/>
        <w:ind w:left="513" w:right="9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公司注册地、组织形式和总部地址</w:t>
      </w:r>
      <w:r>
        <w:rPr>
          <w:w w:val="99"/>
        </w:rPr>
        <w:t> </w:t>
      </w:r>
      <w:r>
        <w:rPr>
          <w:spacing w:val="-2"/>
        </w:rPr>
        <w:t>深圳市麦达数字股份有限公司（以下简称</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）前身系深圳市实益达实业有限公司</w:t>
      </w:r>
      <w:r>
        <w:rPr>
          <w:rFonts w:ascii="Times New Roman" w:hAnsi="Times New Roman" w:cs="Times New Roman" w:eastAsia="Times New Roman" w:hint="default"/>
          <w:spacing w:val="-2"/>
        </w:rPr>
        <w:t>(</w:t>
      </w:r>
      <w:r>
        <w:rPr>
          <w:spacing w:val="-2"/>
        </w:rPr>
        <w:t>以下简称原有限公司</w:t>
      </w:r>
      <w:r>
        <w:rPr>
          <w:rFonts w:ascii="Times New Roman" w:hAnsi="Times New Roman" w:cs="Times New Roman" w:eastAsia="Times New Roman" w:hint="default"/>
          <w:spacing w:val="-2"/>
        </w:rPr>
        <w:t>)</w:t>
      </w:r>
      <w:r>
        <w:rPr>
          <w:spacing w:val="-2"/>
        </w:rPr>
        <w:t>，</w:t>
      </w:r>
    </w:p>
    <w:p>
      <w:pPr>
        <w:pStyle w:val="BodyText"/>
        <w:spacing w:line="338" w:lineRule="auto" w:before="19"/>
        <w:ind w:right="188"/>
        <w:jc w:val="both"/>
      </w:pPr>
      <w:r>
        <w:rPr>
          <w:spacing w:val="-1"/>
        </w:rPr>
        <w:t>于</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5</w:t>
      </w:r>
      <w:r>
        <w:rPr>
          <w:spacing w:val="-1"/>
        </w:rPr>
        <w:t>日在深圳市工商管理局注册成立，成立时的注册资本为人民币</w:t>
      </w:r>
      <w:r>
        <w:rPr>
          <w:rFonts w:ascii="Times New Roman" w:hAnsi="Times New Roman" w:cs="Times New Roman" w:eastAsia="Times New Roman" w:hint="default"/>
          <w:spacing w:val="-1"/>
        </w:rPr>
        <w:t>100.00</w:t>
      </w:r>
      <w:r>
        <w:rPr>
          <w:spacing w:val="-1"/>
        </w:rPr>
        <w:t>万元；</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w:t>
      </w:r>
      <w:r>
        <w:rPr>
          <w:spacing w:val="-1"/>
        </w:rPr>
        <w:t>日，原有限公司注册资</w:t>
      </w:r>
      <w:r>
        <w:rPr>
          <w:spacing w:val="-74"/>
        </w:rPr>
        <w:t> </w:t>
      </w:r>
      <w:r>
        <w:rPr>
          <w:spacing w:val="-74"/>
        </w:rPr>
      </w:r>
      <w:r>
        <w:rPr/>
        <w:t>本变更为人民币</w:t>
      </w:r>
      <w:r>
        <w:rPr>
          <w:rFonts w:ascii="Times New Roman" w:hAnsi="Times New Roman" w:cs="Times New Roman" w:eastAsia="Times New Roman" w:hint="default"/>
        </w:rPr>
        <w:t>500.00</w:t>
      </w:r>
      <w:r>
        <w:rPr/>
        <w:t>万元；</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日，原有限公司注册资本变更为人民币</w:t>
      </w:r>
      <w:r>
        <w:rPr>
          <w:rFonts w:ascii="Times New Roman" w:hAnsi="Times New Roman" w:cs="Times New Roman" w:eastAsia="Times New Roman" w:hint="default"/>
        </w:rPr>
        <w:t>1,000.00</w:t>
      </w:r>
      <w:r>
        <w:rPr/>
        <w:t>万元。</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日，经深圳市 </w:t>
      </w:r>
      <w:r>
        <w:rPr>
          <w:spacing w:val="-1"/>
        </w:rPr>
        <w:t>人民政府深府股</w:t>
      </w:r>
      <w:r>
        <w:rPr>
          <w:rFonts w:ascii="Times New Roman" w:hAnsi="Times New Roman" w:cs="Times New Roman" w:eastAsia="Times New Roman" w:hint="default"/>
          <w:spacing w:val="-1"/>
        </w:rPr>
        <w:t>[2005]13</w:t>
      </w:r>
      <w:r>
        <w:rPr>
          <w:spacing w:val="-1"/>
        </w:rPr>
        <w:t>号文件批准，以原有限公司净资产折股，深圳市实益达实业有限公司整体变更为深圳市实益达科技</w:t>
      </w:r>
      <w:r>
        <w:rPr>
          <w:spacing w:val="-59"/>
        </w:rPr>
        <w:t> </w:t>
      </w:r>
      <w:r>
        <w:rPr>
          <w:spacing w:val="-59"/>
        </w:rPr>
      </w:r>
      <w:r>
        <w:rPr>
          <w:spacing w:val="-2"/>
        </w:rPr>
        <w:t>股份有限公司，</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15</w:t>
      </w:r>
      <w:r>
        <w:rPr>
          <w:spacing w:val="-2"/>
        </w:rPr>
        <w:t>日，经</w:t>
      </w:r>
      <w:r>
        <w:rPr>
          <w:rFonts w:ascii="Times New Roman" w:hAnsi="Times New Roman" w:cs="Times New Roman" w:eastAsia="Times New Roman" w:hint="default"/>
          <w:spacing w:val="-2"/>
        </w:rPr>
        <w:t>2006</w:t>
      </w:r>
      <w:r>
        <w:rPr>
          <w:spacing w:val="-2"/>
        </w:rPr>
        <w:t>年第二次临时股东大会决议，麦达数字公司以经审计的截至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日止的未分</w:t>
      </w:r>
      <w:r>
        <w:rPr>
          <w:spacing w:val="-52"/>
        </w:rPr>
        <w:t> </w:t>
      </w:r>
      <w:r>
        <w:rPr>
          <w:spacing w:val="-52"/>
        </w:rPr>
      </w:r>
      <w:r>
        <w:rPr/>
        <w:t>配利润</w:t>
      </w:r>
      <w:r>
        <w:rPr>
          <w:rFonts w:ascii="Times New Roman" w:hAnsi="Times New Roman" w:cs="Times New Roman" w:eastAsia="Times New Roman" w:hint="default"/>
        </w:rPr>
        <w:t>35,208,975.00</w:t>
      </w:r>
      <w:r>
        <w:rPr/>
        <w:t>元实施每</w:t>
      </w:r>
      <w:r>
        <w:rPr>
          <w:rFonts w:ascii="Times New Roman" w:hAnsi="Times New Roman" w:cs="Times New Roman" w:eastAsia="Times New Roman" w:hint="default"/>
        </w:rPr>
        <w:t>10</w:t>
      </w:r>
      <w:r>
        <w:rPr/>
        <w:t>股派送</w:t>
      </w:r>
      <w:r>
        <w:rPr>
          <w:rFonts w:ascii="Times New Roman" w:hAnsi="Times New Roman" w:cs="Times New Roman" w:eastAsia="Times New Roman" w:hint="default"/>
        </w:rPr>
        <w:t>5.4342</w:t>
      </w:r>
      <w:r>
        <w:rPr/>
        <w:t>股红股的利润分配方案，共送红股</w:t>
      </w:r>
      <w:r>
        <w:rPr>
          <w:rFonts w:ascii="Times New Roman" w:hAnsi="Times New Roman" w:cs="Times New Roman" w:eastAsia="Times New Roman" w:hint="default"/>
        </w:rPr>
        <w:t>35,208,975</w:t>
      </w:r>
      <w:r>
        <w:rPr/>
        <w:t>股，注册资本变更为人民币</w:t>
      </w:r>
    </w:p>
    <w:p>
      <w:pPr>
        <w:spacing w:after="0" w:line="338" w:lineRule="auto"/>
        <w:jc w:val="both"/>
        <w:sectPr>
          <w:pgSz w:w="11910" w:h="16840"/>
          <w:pgMar w:header="745" w:footer="980" w:top="1060" w:bottom="1160" w:left="980" w:right="940"/>
        </w:sectPr>
      </w:pPr>
    </w:p>
    <w:p>
      <w:pPr>
        <w:spacing w:line="240" w:lineRule="auto" w:before="8"/>
        <w:rPr>
          <w:rFonts w:ascii="宋体" w:hAnsi="宋体" w:cs="宋体" w:eastAsia="宋体" w:hint="default"/>
          <w:sz w:val="22"/>
          <w:szCs w:val="22"/>
        </w:rPr>
      </w:pPr>
    </w:p>
    <w:p>
      <w:pPr>
        <w:pStyle w:val="BodyText"/>
        <w:spacing w:line="338" w:lineRule="auto" w:before="44"/>
        <w:ind w:right="94"/>
        <w:jc w:val="left"/>
      </w:pPr>
      <w:r>
        <w:rPr>
          <w:rFonts w:ascii="Times New Roman" w:hAnsi="Times New Roman" w:cs="Times New Roman" w:eastAsia="Times New Roman" w:hint="default"/>
        </w:rPr>
        <w:t>10,000.00</w:t>
      </w:r>
      <w:r>
        <w:rPr/>
        <w:t>万元。</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日在深圳证券交易所上市，注册资本变更为人民币</w:t>
      </w:r>
      <w:r>
        <w:rPr>
          <w:rFonts w:ascii="Times New Roman" w:hAnsi="Times New Roman" w:cs="Times New Roman" w:eastAsia="Times New Roman" w:hint="default"/>
        </w:rPr>
        <w:t>13,340.00</w:t>
      </w:r>
      <w:r>
        <w:rPr/>
        <w:t>万元。根据麦达数字公司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2007</w:t>
      </w:r>
      <w:r>
        <w:rPr/>
        <w:t>年度股东大会决议，以</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13,340</w:t>
      </w:r>
      <w:r>
        <w:rPr/>
        <w:t>万股为基数，按每</w:t>
      </w:r>
      <w:r>
        <w:rPr>
          <w:rFonts w:ascii="Times New Roman" w:hAnsi="Times New Roman" w:cs="Times New Roman" w:eastAsia="Times New Roman" w:hint="default"/>
        </w:rPr>
        <w:t>10</w:t>
      </w:r>
      <w:r>
        <w:rPr/>
        <w:t>股由资本公积金转增</w:t>
      </w:r>
      <w:r>
        <w:rPr>
          <w:rFonts w:ascii="Times New Roman" w:hAnsi="Times New Roman" w:cs="Times New Roman" w:eastAsia="Times New Roman" w:hint="default"/>
        </w:rPr>
        <w:t>5</w:t>
      </w:r>
      <w:r>
        <w:rPr/>
        <w:t>股，共计转增 </w:t>
      </w:r>
      <w:r>
        <w:rPr>
          <w:rFonts w:ascii="Times New Roman" w:hAnsi="Times New Roman" w:cs="Times New Roman" w:eastAsia="Times New Roman" w:hint="default"/>
          <w:spacing w:val="-4"/>
        </w:rPr>
        <w:t>6,670.00</w:t>
      </w:r>
      <w:r>
        <w:rPr>
          <w:spacing w:val="-4"/>
        </w:rPr>
        <w:t>万股，并于</w:t>
      </w:r>
      <w:r>
        <w:rPr>
          <w:rFonts w:ascii="Times New Roman" w:hAnsi="Times New Roman" w:cs="Times New Roman" w:eastAsia="Times New Roman" w:hint="default"/>
          <w:spacing w:val="-4"/>
        </w:rPr>
        <w:t>2008</w:t>
      </w:r>
      <w:r>
        <w:rPr>
          <w:spacing w:val="-4"/>
        </w:rPr>
        <w:t>年度实施。转增后，注册资本增至人民币</w:t>
      </w:r>
      <w:r>
        <w:rPr>
          <w:rFonts w:ascii="Times New Roman" w:hAnsi="Times New Roman" w:cs="Times New Roman" w:eastAsia="Times New Roman" w:hint="default"/>
          <w:spacing w:val="-4"/>
        </w:rPr>
        <w:t>20,010.00</w:t>
      </w:r>
      <w:r>
        <w:rPr>
          <w:spacing w:val="-4"/>
        </w:rPr>
        <w:t>万元。根据麦达数字公司</w:t>
      </w:r>
      <w:r>
        <w:rPr>
          <w:rFonts w:ascii="Times New Roman" w:hAnsi="Times New Roman" w:cs="Times New Roman" w:eastAsia="Times New Roman" w:hint="default"/>
          <w:spacing w:val="-4"/>
        </w:rPr>
        <w:t>2009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15</w:t>
      </w:r>
      <w:r>
        <w:rPr>
          <w:spacing w:val="-4"/>
        </w:rPr>
        <w:t>日召开的</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spacing w:val="-2"/>
        </w:rPr>
        <w:t>年度股东大会决议，以</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20,010.00</w:t>
      </w:r>
      <w:r>
        <w:rPr>
          <w:spacing w:val="-2"/>
        </w:rPr>
        <w:t>万股为基数，按每</w:t>
      </w:r>
      <w:r>
        <w:rPr>
          <w:rFonts w:ascii="Times New Roman" w:hAnsi="Times New Roman" w:cs="Times New Roman" w:eastAsia="Times New Roman" w:hint="default"/>
          <w:spacing w:val="-2"/>
        </w:rPr>
        <w:t>10</w:t>
      </w:r>
      <w:r>
        <w:rPr>
          <w:spacing w:val="-2"/>
        </w:rPr>
        <w:t>股由资本公积金转增</w:t>
      </w:r>
      <w:r>
        <w:rPr>
          <w:rFonts w:ascii="Times New Roman" w:hAnsi="Times New Roman" w:cs="Times New Roman" w:eastAsia="Times New Roman" w:hint="default"/>
          <w:spacing w:val="-2"/>
        </w:rPr>
        <w:t>3</w:t>
      </w:r>
      <w:r>
        <w:rPr>
          <w:spacing w:val="-2"/>
        </w:rPr>
        <w:t>股，共计转增</w:t>
      </w:r>
      <w:r>
        <w:rPr>
          <w:rFonts w:ascii="Times New Roman" w:hAnsi="Times New Roman" w:cs="Times New Roman" w:eastAsia="Times New Roman" w:hint="default"/>
          <w:spacing w:val="-2"/>
        </w:rPr>
        <w:t>6,003.00</w:t>
      </w:r>
      <w:r>
        <w:rPr>
          <w:spacing w:val="-2"/>
        </w:rPr>
        <w:t>万股，并于</w:t>
      </w:r>
      <w:r>
        <w:rPr>
          <w:spacing w:val="-43"/>
        </w:rPr>
        <w:t> </w:t>
      </w:r>
      <w:r>
        <w:rPr>
          <w:spacing w:val="-43"/>
        </w:rPr>
      </w:r>
      <w:r>
        <w:rPr>
          <w:rFonts w:ascii="Times New Roman" w:hAnsi="Times New Roman" w:cs="Times New Roman" w:eastAsia="Times New Roman" w:hint="default"/>
        </w:rPr>
        <w:t>2009</w:t>
      </w:r>
      <w:r>
        <w:rPr/>
        <w:t>年度实施。转增后，注册资本增至人民币</w:t>
      </w:r>
      <w:r>
        <w:rPr>
          <w:rFonts w:ascii="Times New Roman" w:hAnsi="Times New Roman" w:cs="Times New Roman" w:eastAsia="Times New Roman" w:hint="default"/>
        </w:rPr>
        <w:t>26,013.00</w:t>
      </w:r>
      <w:r>
        <w:rPr/>
        <w:t>万元。</w:t>
      </w:r>
    </w:p>
    <w:p>
      <w:pPr>
        <w:pStyle w:val="BodyText"/>
        <w:spacing w:line="338" w:lineRule="auto" w:before="17"/>
        <w:ind w:right="189" w:firstLine="360"/>
        <w:jc w:val="both"/>
      </w:pPr>
      <w:r>
        <w:rPr>
          <w:spacing w:val="-2"/>
        </w:rPr>
        <w:t>根据麦达数字公司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日召开的</w:t>
      </w:r>
      <w:r>
        <w:rPr>
          <w:rFonts w:ascii="Times New Roman" w:hAnsi="Times New Roman" w:cs="Times New Roman" w:eastAsia="Times New Roman" w:hint="default"/>
          <w:spacing w:val="-2"/>
        </w:rPr>
        <w:t>2010</w:t>
      </w:r>
      <w:r>
        <w:rPr>
          <w:spacing w:val="-2"/>
        </w:rPr>
        <w:t>年度股东大会决议，公司增加注册资本人民币</w:t>
      </w:r>
      <w:r>
        <w:rPr>
          <w:rFonts w:ascii="Times New Roman" w:hAnsi="Times New Roman" w:cs="Times New Roman" w:eastAsia="Times New Roman" w:hint="default"/>
          <w:spacing w:val="-2"/>
        </w:rPr>
        <w:t>5,202.60</w:t>
      </w:r>
      <w:r>
        <w:rPr>
          <w:spacing w:val="-2"/>
        </w:rPr>
        <w:t>万元，由资本公积转</w:t>
      </w:r>
      <w:r>
        <w:rPr/>
        <w:t> 增股本，转增完成日期为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04</w:t>
      </w:r>
      <w:r>
        <w:rPr/>
        <w:t>月</w:t>
      </w:r>
      <w:r>
        <w:rPr>
          <w:rFonts w:ascii="Times New Roman" w:hAnsi="Times New Roman" w:cs="Times New Roman" w:eastAsia="Times New Roman" w:hint="default"/>
        </w:rPr>
        <w:t>13</w:t>
      </w:r>
      <w:r>
        <w:rPr/>
        <w:t>日，变更后的注册资本为人民币</w:t>
      </w:r>
      <w:r>
        <w:rPr>
          <w:rFonts w:ascii="Times New Roman" w:hAnsi="Times New Roman" w:cs="Times New Roman" w:eastAsia="Times New Roman" w:hint="default"/>
        </w:rPr>
        <w:t>31,215.60</w:t>
      </w:r>
      <w:r>
        <w:rPr/>
        <w:t>万元。根据公司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日召开的公司 </w:t>
      </w:r>
      <w:r>
        <w:rPr>
          <w:rFonts w:ascii="Times New Roman" w:hAnsi="Times New Roman" w:cs="Times New Roman" w:eastAsia="Times New Roman" w:hint="default"/>
        </w:rPr>
        <w:t>2012</w:t>
      </w:r>
      <w:r>
        <w:rPr/>
        <w:t>年度股东大会决议，以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31,215.60</w:t>
      </w:r>
      <w:r>
        <w:rPr/>
        <w:t>万股为基数，按每</w:t>
      </w:r>
      <w:r>
        <w:rPr>
          <w:rFonts w:ascii="Times New Roman" w:hAnsi="Times New Roman" w:cs="Times New Roman" w:eastAsia="Times New Roman" w:hint="default"/>
        </w:rPr>
        <w:t>10</w:t>
      </w:r>
      <w:r>
        <w:rPr/>
        <w:t>股以资本公积金转增</w:t>
      </w:r>
      <w:r>
        <w:rPr>
          <w:rFonts w:ascii="Times New Roman" w:hAnsi="Times New Roman" w:cs="Times New Roman" w:eastAsia="Times New Roman" w:hint="default"/>
        </w:rPr>
        <w:t>3.5</w:t>
      </w:r>
      <w:r>
        <w:rPr/>
        <w:t>股，共计转增</w:t>
      </w:r>
      <w:r>
        <w:rPr>
          <w:rFonts w:ascii="Times New Roman" w:hAnsi="Times New Roman" w:cs="Times New Roman" w:eastAsia="Times New Roman" w:hint="default"/>
        </w:rPr>
        <w:t>10,925.46</w:t>
      </w:r>
      <w:r>
        <w:rPr/>
        <w:t>万 </w:t>
      </w:r>
      <w:r>
        <w:rPr>
          <w:spacing w:val="-2"/>
        </w:rPr>
        <w:t>股，转增完成日期为</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6</w:t>
      </w:r>
      <w:r>
        <w:rPr>
          <w:spacing w:val="-2"/>
        </w:rPr>
        <w:t>日，变更后的注册资本为人民币</w:t>
      </w:r>
      <w:r>
        <w:rPr>
          <w:rFonts w:ascii="Times New Roman" w:hAnsi="Times New Roman" w:cs="Times New Roman" w:eastAsia="Times New Roman" w:hint="default"/>
          <w:spacing w:val="-2"/>
        </w:rPr>
        <w:t>42,141.06</w:t>
      </w:r>
      <w:r>
        <w:rPr>
          <w:spacing w:val="-2"/>
        </w:rPr>
        <w:t>万元。</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9</w:t>
      </w:r>
      <w:r>
        <w:rPr>
          <w:spacing w:val="-2"/>
        </w:rPr>
        <w:t>日公司完成非公开发行股票，新</w:t>
      </w:r>
      <w:r>
        <w:rPr>
          <w:spacing w:val="-49"/>
        </w:rPr>
        <w:t> </w:t>
      </w:r>
      <w:r>
        <w:rPr>
          <w:spacing w:val="-49"/>
        </w:rPr>
      </w:r>
      <w:r>
        <w:rPr/>
        <w:t>增股份</w:t>
      </w:r>
      <w:r>
        <w:rPr>
          <w:rFonts w:ascii="Times New Roman" w:hAnsi="Times New Roman" w:cs="Times New Roman" w:eastAsia="Times New Roman" w:hint="default"/>
        </w:rPr>
        <w:t>3,700.00</w:t>
      </w:r>
      <w:r>
        <w:rPr/>
        <w:t>万股于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日上市交易，公司注册资本变更为</w:t>
      </w:r>
      <w:r>
        <w:rPr>
          <w:rFonts w:ascii="Times New Roman" w:hAnsi="Times New Roman" w:cs="Times New Roman" w:eastAsia="Times New Roman" w:hint="default"/>
        </w:rPr>
        <w:t>45,841.06</w:t>
      </w:r>
      <w:r>
        <w:rPr/>
        <w:t>万元。</w:t>
      </w:r>
    </w:p>
    <w:p>
      <w:pPr>
        <w:pStyle w:val="BodyText"/>
        <w:spacing w:line="338" w:lineRule="auto" w:before="19"/>
        <w:ind w:right="180" w:firstLine="360"/>
        <w:jc w:val="left"/>
      </w:pPr>
      <w:r>
        <w:rPr/>
        <w:t>根据麦达数字公司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月</w:t>
      </w:r>
      <w:r>
        <w:rPr>
          <w:rFonts w:ascii="Times New Roman" w:hAnsi="Times New Roman" w:cs="Times New Roman" w:eastAsia="Times New Roman" w:hint="default"/>
        </w:rPr>
        <w:t>18</w:t>
      </w:r>
      <w:r>
        <w:rPr/>
        <w:t>日召开的第三届董事会第二十一次会议审议通过的《关于公司</w:t>
      </w:r>
      <w:r>
        <w:rPr>
          <w:rFonts w:ascii="Times New Roman" w:hAnsi="Times New Roman" w:cs="Times New Roman" w:eastAsia="Times New Roman" w:hint="default"/>
        </w:rPr>
        <w:t>&lt;</w:t>
      </w:r>
      <w:r>
        <w:rPr/>
        <w:t>股票期权与限制性股票 </w:t>
      </w:r>
      <w:r>
        <w:rPr>
          <w:spacing w:val="-1"/>
        </w:rPr>
        <w:t>激励计划（草案）</w:t>
      </w:r>
      <w:r>
        <w:rPr>
          <w:rFonts w:ascii="Times New Roman" w:hAnsi="Times New Roman" w:cs="Times New Roman" w:eastAsia="Times New Roman" w:hint="default"/>
          <w:spacing w:val="-1"/>
        </w:rPr>
        <w:t>&gt;</w:t>
      </w:r>
      <w:r>
        <w:rPr>
          <w:spacing w:val="-1"/>
        </w:rPr>
        <w:t>及其摘要的议案》、《关于公司</w:t>
      </w:r>
      <w:r>
        <w:rPr>
          <w:rFonts w:ascii="Times New Roman" w:hAnsi="Times New Roman" w:cs="Times New Roman" w:eastAsia="Times New Roman" w:hint="default"/>
          <w:spacing w:val="-1"/>
        </w:rPr>
        <w:t>&lt;</w:t>
      </w:r>
      <w:r>
        <w:rPr>
          <w:spacing w:val="-1"/>
        </w:rPr>
        <w:t>股票期权与限制性股票激励计划实施考核管理办法</w:t>
      </w:r>
      <w:r>
        <w:rPr>
          <w:rFonts w:ascii="Times New Roman" w:hAnsi="Times New Roman" w:cs="Times New Roman" w:eastAsia="Times New Roman" w:hint="default"/>
          <w:spacing w:val="-1"/>
        </w:rPr>
        <w:t>&gt;</w:t>
      </w:r>
      <w:r>
        <w:rPr>
          <w:spacing w:val="-1"/>
        </w:rPr>
        <w:t>的议案》、《关于</w:t>
      </w:r>
      <w:r>
        <w:rPr>
          <w:spacing w:val="-63"/>
        </w:rPr>
        <w:t> </w:t>
      </w:r>
      <w:r>
        <w:rPr>
          <w:spacing w:val="-63"/>
        </w:rPr>
      </w:r>
      <w:r>
        <w:rPr/>
        <w:t>提请股东大会授权董事会办理公司股票期权与限制性股票激励计划相关事宜的议案》；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18</w:t>
      </w:r>
      <w:r>
        <w:rPr/>
        <w:t>日召开的第三届监事会 </w:t>
      </w:r>
      <w:r>
        <w:rPr>
          <w:spacing w:val="-1"/>
        </w:rPr>
        <w:t>第十六次会议审议通过的《关于公司</w:t>
      </w:r>
      <w:r>
        <w:rPr>
          <w:rFonts w:ascii="Times New Roman" w:hAnsi="Times New Roman" w:cs="Times New Roman" w:eastAsia="Times New Roman" w:hint="default"/>
          <w:spacing w:val="-1"/>
        </w:rPr>
        <w:t>&lt;</w:t>
      </w:r>
      <w:r>
        <w:rPr>
          <w:spacing w:val="-1"/>
        </w:rPr>
        <w:t>股票期权与限制性股票激励计划（草案）</w:t>
      </w:r>
      <w:r>
        <w:rPr>
          <w:rFonts w:ascii="Times New Roman" w:hAnsi="Times New Roman" w:cs="Times New Roman" w:eastAsia="Times New Roman" w:hint="default"/>
          <w:spacing w:val="-1"/>
        </w:rPr>
        <w:t>&gt;</w:t>
      </w:r>
      <w:r>
        <w:rPr>
          <w:spacing w:val="-1"/>
        </w:rPr>
        <w:t>及其摘要的议案》、《关于公司</w:t>
      </w:r>
      <w:r>
        <w:rPr>
          <w:rFonts w:ascii="Times New Roman" w:hAnsi="Times New Roman" w:cs="Times New Roman" w:eastAsia="Times New Roman" w:hint="default"/>
          <w:spacing w:val="-1"/>
        </w:rPr>
        <w:t>&lt;</w:t>
      </w:r>
      <w:r>
        <w:rPr>
          <w:spacing w:val="-1"/>
        </w:rPr>
        <w:t>股票期权</w:t>
      </w:r>
      <w:r>
        <w:rPr>
          <w:spacing w:val="-66"/>
        </w:rPr>
        <w:t> </w:t>
      </w:r>
      <w:r>
        <w:rPr>
          <w:spacing w:val="-2"/>
        </w:rPr>
        <w:t>与限制性股票激励计划实施考核管理办法</w:t>
      </w:r>
      <w:r>
        <w:rPr>
          <w:rFonts w:ascii="Times New Roman" w:hAnsi="Times New Roman" w:cs="Times New Roman" w:eastAsia="Times New Roman" w:hint="default"/>
          <w:spacing w:val="-2"/>
        </w:rPr>
        <w:t>&gt;</w:t>
      </w:r>
      <w:r>
        <w:rPr>
          <w:spacing w:val="-2"/>
        </w:rPr>
        <w:t>的议案》、《关于公司</w:t>
      </w:r>
      <w:r>
        <w:rPr>
          <w:rFonts w:ascii="Times New Roman" w:hAnsi="Times New Roman" w:cs="Times New Roman" w:eastAsia="Times New Roman" w:hint="default"/>
          <w:spacing w:val="-2"/>
        </w:rPr>
        <w:t>&lt;</w:t>
      </w:r>
      <w:r>
        <w:rPr>
          <w:spacing w:val="-2"/>
        </w:rPr>
        <w:t>股票期权与限制性股票激励对象名单</w:t>
      </w:r>
      <w:r>
        <w:rPr>
          <w:rFonts w:ascii="Times New Roman" w:hAnsi="Times New Roman" w:cs="Times New Roman" w:eastAsia="Times New Roman" w:hint="default"/>
          <w:spacing w:val="-2"/>
        </w:rPr>
        <w:t>&gt;</w:t>
      </w:r>
      <w:r>
        <w:rPr>
          <w:spacing w:val="-2"/>
        </w:rPr>
        <w:t>的议案》；</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36"/>
        </w:rPr>
        <w:t> </w:t>
      </w:r>
      <w:r>
        <w:rPr/>
        <w:t>年 </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23</w:t>
      </w:r>
      <w:r>
        <w:rPr>
          <w:spacing w:val="-1"/>
        </w:rPr>
        <w:t>日召开的</w:t>
      </w:r>
      <w:r>
        <w:rPr>
          <w:rFonts w:ascii="Times New Roman" w:hAnsi="Times New Roman" w:cs="Times New Roman" w:eastAsia="Times New Roman" w:hint="default"/>
          <w:spacing w:val="-1"/>
        </w:rPr>
        <w:t>2014</w:t>
      </w:r>
      <w:r>
        <w:rPr>
          <w:spacing w:val="-1"/>
        </w:rPr>
        <w:t>年第一次临时股东大会审议通过的《关于公司</w:t>
      </w:r>
      <w:r>
        <w:rPr>
          <w:rFonts w:ascii="Times New Roman" w:hAnsi="Times New Roman" w:cs="Times New Roman" w:eastAsia="Times New Roman" w:hint="default"/>
          <w:spacing w:val="-1"/>
        </w:rPr>
        <w:t>&lt;</w:t>
      </w:r>
      <w:r>
        <w:rPr>
          <w:spacing w:val="-1"/>
        </w:rPr>
        <w:t>股票期权与限制性股票激励计划（草案）</w:t>
      </w:r>
      <w:r>
        <w:rPr>
          <w:rFonts w:ascii="Times New Roman" w:hAnsi="Times New Roman" w:cs="Times New Roman" w:eastAsia="Times New Roman" w:hint="default"/>
          <w:spacing w:val="-1"/>
        </w:rPr>
        <w:t>&gt;</w:t>
      </w:r>
      <w:r>
        <w:rPr>
          <w:spacing w:val="-1"/>
        </w:rPr>
        <w:t>及其摘要的议</w:t>
      </w:r>
      <w:r>
        <w:rPr>
          <w:spacing w:val="-50"/>
        </w:rPr>
        <w:t> </w:t>
      </w:r>
      <w:r>
        <w:rPr/>
        <w:t>案》、《关于公司</w:t>
      </w:r>
      <w:r>
        <w:rPr>
          <w:rFonts w:ascii="Times New Roman" w:hAnsi="Times New Roman" w:cs="Times New Roman" w:eastAsia="Times New Roman" w:hint="default"/>
        </w:rPr>
        <w:t>&lt;</w:t>
      </w:r>
      <w:r>
        <w:rPr/>
        <w:t>股票期权与限制性股票激励计划实施考核管理办法</w:t>
      </w:r>
      <w:r>
        <w:rPr>
          <w:rFonts w:ascii="Times New Roman" w:hAnsi="Times New Roman" w:cs="Times New Roman" w:eastAsia="Times New Roman" w:hint="default"/>
        </w:rPr>
        <w:t>&gt;</w:t>
      </w:r>
      <w:r>
        <w:rPr/>
        <w:t>的议案》、《关于提请股东大会授权董事会办理公 司股票期权与限制性股票激励计划相关事宜的议案》；以及</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日第四届董事会第一次会议和第四届监事会第一次 </w:t>
      </w:r>
      <w:r>
        <w:rPr>
          <w:spacing w:val="-2"/>
        </w:rPr>
        <w:t>会议决议通过的《关于公司股票期权与限制性股票激励计划授予调整的议案》。本公司向</w:t>
      </w:r>
      <w:r>
        <w:rPr>
          <w:rFonts w:ascii="Times New Roman" w:hAnsi="Times New Roman" w:cs="Times New Roman" w:eastAsia="Times New Roman" w:hint="default"/>
          <w:spacing w:val="-2"/>
        </w:rPr>
        <w:t>13</w:t>
      </w:r>
      <w:r>
        <w:rPr>
          <w:spacing w:val="-2"/>
        </w:rPr>
        <w:t>名激励对象首次授予限制性股票</w:t>
      </w:r>
      <w:r>
        <w:rPr>
          <w:spacing w:val="-61"/>
        </w:rPr>
        <w:t> </w:t>
      </w:r>
      <w:r>
        <w:rPr/>
        <w:t>共</w:t>
      </w:r>
      <w:r>
        <w:rPr>
          <w:rFonts w:ascii="Times New Roman" w:hAnsi="Times New Roman" w:cs="Times New Roman" w:eastAsia="Times New Roman" w:hint="default"/>
        </w:rPr>
        <w:t>279.00</w:t>
      </w:r>
      <w:r>
        <w:rPr/>
        <w:t>万股，授予价格为</w:t>
      </w:r>
      <w:r>
        <w:rPr>
          <w:spacing w:val="-25"/>
        </w:rPr>
        <w:t> </w:t>
      </w:r>
      <w:r>
        <w:rPr>
          <w:rFonts w:ascii="Times New Roman" w:hAnsi="Times New Roman" w:cs="Times New Roman" w:eastAsia="Times New Roman" w:hint="default"/>
        </w:rPr>
        <w:t>2</w:t>
      </w:r>
      <w:r>
        <w:rPr/>
        <w:t>元</w:t>
      </w:r>
      <w:r>
        <w:rPr>
          <w:rFonts w:ascii="Times New Roman" w:hAnsi="Times New Roman" w:cs="Times New Roman" w:eastAsia="Times New Roman" w:hint="default"/>
        </w:rPr>
        <w:t>/</w:t>
      </w:r>
      <w:r>
        <w:rPr/>
        <w:t>股。截至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日止，麦达数字公司已收到股权激励对象共</w:t>
      </w:r>
      <w:r>
        <w:rPr>
          <w:rFonts w:ascii="Times New Roman" w:hAnsi="Times New Roman" w:cs="Times New Roman" w:eastAsia="Times New Roman" w:hint="default"/>
        </w:rPr>
        <w:t>13</w:t>
      </w:r>
      <w:r>
        <w:rPr/>
        <w:t>人缴纳的股权激励增资 款合计人民币</w:t>
      </w:r>
      <w:r>
        <w:rPr>
          <w:rFonts w:ascii="Times New Roman" w:hAnsi="Times New Roman" w:cs="Times New Roman" w:eastAsia="Times New Roman" w:hint="default"/>
        </w:rPr>
        <w:t>558.00</w:t>
      </w:r>
      <w:r>
        <w:rPr/>
        <w:t>万元（大写：人民币伍佰伍拾捌万元整），各股东以货币出资</w:t>
      </w:r>
      <w:r>
        <w:rPr>
          <w:rFonts w:ascii="Times New Roman" w:hAnsi="Times New Roman" w:cs="Times New Roman" w:eastAsia="Times New Roman" w:hint="default"/>
        </w:rPr>
        <w:t>558.00</w:t>
      </w:r>
      <w:r>
        <w:rPr/>
        <w:t>万元。公司增加股本人民币</w:t>
      </w:r>
      <w:r>
        <w:rPr>
          <w:rFonts w:ascii="Times New Roman" w:hAnsi="Times New Roman" w:cs="Times New Roman" w:eastAsia="Times New Roman" w:hint="default"/>
        </w:rPr>
        <w:t>279.00 </w:t>
      </w:r>
      <w:r>
        <w:rPr/>
        <w:t>万元，增加资本公积人民币</w:t>
      </w:r>
      <w:r>
        <w:rPr>
          <w:rFonts w:ascii="Times New Roman" w:hAnsi="Times New Roman" w:cs="Times New Roman" w:eastAsia="Times New Roman" w:hint="default"/>
        </w:rPr>
        <w:t>279.00</w:t>
      </w:r>
      <w:r>
        <w:rPr/>
        <w:t>万元，变更后的股本为人民币</w:t>
      </w:r>
      <w:r>
        <w:rPr>
          <w:rFonts w:ascii="Times New Roman" w:hAnsi="Times New Roman" w:cs="Times New Roman" w:eastAsia="Times New Roman" w:hint="default"/>
        </w:rPr>
        <w:t>46,120.06</w:t>
      </w:r>
      <w:r>
        <w:rPr/>
        <w:t>万元。</w:t>
      </w:r>
    </w:p>
    <w:p>
      <w:pPr>
        <w:pStyle w:val="BodyText"/>
        <w:spacing w:line="338" w:lineRule="auto" w:before="19"/>
        <w:ind w:right="94" w:firstLine="360"/>
        <w:jc w:val="left"/>
      </w:pPr>
      <w:r>
        <w:rPr>
          <w:spacing w:val="-2"/>
        </w:rPr>
        <w:t>根据</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22</w:t>
      </w:r>
      <w:r>
        <w:rPr>
          <w:spacing w:val="-2"/>
        </w:rPr>
        <w:t>日第四届董事会第四次会议决议、</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12</w:t>
      </w:r>
      <w:r>
        <w:rPr>
          <w:spacing w:val="-2"/>
        </w:rPr>
        <w:t>日第四届董事会第八次会议决议和修改后章程的规定，</w:t>
      </w:r>
      <w:r>
        <w:rPr/>
        <w:t> 麦达数字公司申请减少注册资本</w:t>
      </w:r>
      <w:r>
        <w:rPr>
          <w:rFonts w:ascii="Times New Roman" w:hAnsi="Times New Roman" w:cs="Times New Roman" w:eastAsia="Times New Roman" w:hint="default"/>
        </w:rPr>
        <w:t>60.00</w:t>
      </w:r>
      <w:r>
        <w:rPr/>
        <w:t>万元，其中减少陈华明出资</w:t>
      </w:r>
      <w:r>
        <w:rPr>
          <w:rFonts w:ascii="Times New Roman" w:hAnsi="Times New Roman" w:cs="Times New Roman" w:eastAsia="Times New Roman" w:hint="default"/>
        </w:rPr>
        <w:t>30.00</w:t>
      </w:r>
      <w:r>
        <w:rPr/>
        <w:t>万元，减少陈钢出资</w:t>
      </w:r>
      <w:r>
        <w:rPr>
          <w:rFonts w:ascii="Times New Roman" w:hAnsi="Times New Roman" w:cs="Times New Roman" w:eastAsia="Times New Roman" w:hint="default"/>
        </w:rPr>
        <w:t>30.00</w:t>
      </w:r>
      <w:r>
        <w:rPr/>
        <w:t>万元，变更后的注册资本为 </w:t>
      </w:r>
      <w:r>
        <w:rPr>
          <w:rFonts w:ascii="Times New Roman" w:hAnsi="Times New Roman" w:cs="Times New Roman" w:eastAsia="Times New Roman" w:hint="default"/>
        </w:rPr>
        <w:t>46,060.06</w:t>
      </w:r>
      <w:r>
        <w:rPr/>
        <w:t>万元。</w:t>
      </w:r>
    </w:p>
    <w:p>
      <w:pPr>
        <w:pStyle w:val="BodyText"/>
        <w:spacing w:line="338" w:lineRule="auto" w:before="17"/>
        <w:ind w:right="94" w:firstLine="360"/>
        <w:jc w:val="left"/>
      </w:pPr>
      <w:r>
        <w:rPr/>
        <w:t>根据麦达数字公司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日召开的第四届董事会第七次会议诀议，公司向</w:t>
      </w:r>
      <w:r>
        <w:rPr>
          <w:rFonts w:ascii="Times New Roman" w:hAnsi="Times New Roman" w:cs="Times New Roman" w:eastAsia="Times New Roman" w:hint="default"/>
        </w:rPr>
        <w:t>2</w:t>
      </w:r>
      <w:r>
        <w:rPr/>
        <w:t>名激励对象授予预留限制性股票共 </w:t>
      </w:r>
      <w:r>
        <w:rPr>
          <w:rFonts w:ascii="Times New Roman" w:hAnsi="Times New Roman" w:cs="Times New Roman" w:eastAsia="Times New Roman" w:hint="default"/>
        </w:rPr>
        <w:t>31.00</w:t>
      </w:r>
      <w:r>
        <w:rPr/>
        <w:t>万股，授予价格为</w:t>
      </w:r>
      <w:r>
        <w:rPr>
          <w:rFonts w:ascii="Times New Roman" w:hAnsi="Times New Roman" w:cs="Times New Roman" w:eastAsia="Times New Roman" w:hint="default"/>
        </w:rPr>
        <w:t>4.14</w:t>
      </w:r>
      <w:r>
        <w:rPr/>
        <w:t>元</w:t>
      </w:r>
      <w:r>
        <w:rPr>
          <w:rFonts w:ascii="Times New Roman" w:hAnsi="Times New Roman" w:cs="Times New Roman" w:eastAsia="Times New Roman" w:hint="default"/>
        </w:rPr>
        <w:t>/</w:t>
      </w:r>
      <w:r>
        <w:rPr/>
        <w:t>股。截至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日止，公司已收到股权激励对象共</w:t>
      </w:r>
      <w:r>
        <w:rPr>
          <w:rFonts w:ascii="Times New Roman" w:hAnsi="Times New Roman" w:cs="Times New Roman" w:eastAsia="Times New Roman" w:hint="default"/>
        </w:rPr>
        <w:t>2</w:t>
      </w:r>
      <w:r>
        <w:rPr/>
        <w:t>人缴纳的股权激励增资款合计人民 </w:t>
      </w:r>
      <w:r>
        <w:rPr>
          <w:spacing w:val="-4"/>
        </w:rPr>
        <w:t>币</w:t>
      </w:r>
      <w:r>
        <w:rPr>
          <w:rFonts w:ascii="Times New Roman" w:hAnsi="Times New Roman" w:cs="Times New Roman" w:eastAsia="Times New Roman" w:hint="default"/>
          <w:spacing w:val="-4"/>
        </w:rPr>
        <w:t>128.34</w:t>
      </w:r>
      <w:r>
        <w:rPr>
          <w:spacing w:val="-4"/>
        </w:rPr>
        <w:t>万元（大写：人民币壹佰贰拾捌万叁仟肆佰元整），各股东以货币出资</w:t>
      </w:r>
      <w:r>
        <w:rPr>
          <w:rFonts w:ascii="Times New Roman" w:hAnsi="Times New Roman" w:cs="Times New Roman" w:eastAsia="Times New Roman" w:hint="default"/>
          <w:spacing w:val="-4"/>
        </w:rPr>
        <w:t>128.34</w:t>
      </w:r>
      <w:r>
        <w:rPr>
          <w:spacing w:val="-4"/>
        </w:rPr>
        <w:t>万元。公司增加股本人民币</w:t>
      </w:r>
      <w:r>
        <w:rPr>
          <w:rFonts w:ascii="Times New Roman" w:hAnsi="Times New Roman" w:cs="Times New Roman" w:eastAsia="Times New Roman" w:hint="default"/>
          <w:spacing w:val="-4"/>
        </w:rPr>
        <w:t>31.00</w:t>
      </w:r>
      <w:r>
        <w:rPr>
          <w:spacing w:val="-4"/>
        </w:rPr>
        <w:t>万元，</w:t>
      </w:r>
      <w:r>
        <w:rPr>
          <w:spacing w:val="-59"/>
        </w:rPr>
        <w:t> </w:t>
      </w:r>
      <w:r>
        <w:rPr>
          <w:rFonts w:ascii="宋体" w:hAnsi="宋体" w:cs="宋体" w:eastAsia="宋体" w:hint="default"/>
          <w:spacing w:val="-59"/>
        </w:rPr>
      </w:r>
      <w:r>
        <w:rPr/>
        <w:t>增加资本公积人民币</w:t>
      </w:r>
      <w:r>
        <w:rPr>
          <w:rFonts w:ascii="Times New Roman" w:hAnsi="Times New Roman" w:cs="Times New Roman" w:eastAsia="Times New Roman" w:hint="default"/>
        </w:rPr>
        <w:t>97.34</w:t>
      </w:r>
      <w:r>
        <w:rPr/>
        <w:t>万元，变更后的股本为人民币</w:t>
      </w:r>
      <w:r>
        <w:rPr>
          <w:rFonts w:ascii="Times New Roman" w:hAnsi="Times New Roman" w:cs="Times New Roman" w:eastAsia="Times New Roman" w:hint="default"/>
        </w:rPr>
        <w:t>46,091.06</w:t>
      </w:r>
      <w:r>
        <w:rPr/>
        <w:t>万元。</w:t>
      </w:r>
    </w:p>
    <w:p>
      <w:pPr>
        <w:pStyle w:val="BodyText"/>
        <w:spacing w:line="338" w:lineRule="auto" w:before="19"/>
        <w:ind w:right="184" w:firstLine="360"/>
        <w:jc w:val="left"/>
      </w:pPr>
      <w:r>
        <w:rPr/>
        <w:t>根据麦达数字公司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04</w:t>
      </w:r>
      <w:r>
        <w:rPr/>
        <w:t>日召开的第四届董事会第十三次会议决议，公司向</w:t>
      </w:r>
      <w:r>
        <w:rPr>
          <w:rFonts w:ascii="Times New Roman" w:hAnsi="Times New Roman" w:cs="Times New Roman" w:eastAsia="Times New Roman" w:hint="default"/>
        </w:rPr>
        <w:t>40</w:t>
      </w:r>
      <w:r>
        <w:rPr/>
        <w:t>名激励对象共计授予股票期权 </w:t>
      </w:r>
      <w:r>
        <w:rPr>
          <w:rFonts w:ascii="Times New Roman" w:hAnsi="Times New Roman" w:cs="Times New Roman" w:eastAsia="Times New Roman" w:hint="default"/>
        </w:rPr>
        <w:t>41.94</w:t>
      </w:r>
      <w:r>
        <w:rPr/>
        <w:t>万份，行权价格为</w:t>
      </w:r>
      <w:r>
        <w:rPr>
          <w:rFonts w:ascii="Times New Roman" w:hAnsi="Times New Roman" w:cs="Times New Roman" w:eastAsia="Times New Roman" w:hint="default"/>
        </w:rPr>
        <w:t>4.10</w:t>
      </w:r>
      <w:r>
        <w:rPr/>
        <w:t>元</w:t>
      </w:r>
      <w:r>
        <w:rPr>
          <w:rFonts w:ascii="Times New Roman" w:hAnsi="Times New Roman" w:cs="Times New Roman" w:eastAsia="Times New Roman" w:hint="default"/>
        </w:rPr>
        <w:t>/</w:t>
      </w:r>
      <w:r>
        <w:rPr/>
        <w:t>股。截至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12</w:t>
      </w:r>
      <w:r>
        <w:rPr/>
        <w:t>日止，公司已收到股权激励对象共</w:t>
      </w:r>
      <w:r>
        <w:rPr>
          <w:rFonts w:ascii="Times New Roman" w:hAnsi="Times New Roman" w:cs="Times New Roman" w:eastAsia="Times New Roman" w:hint="default"/>
        </w:rPr>
        <w:t>40</w:t>
      </w:r>
      <w:r>
        <w:rPr/>
        <w:t>人缴纳的股权激励增资款合计人 民币</w:t>
      </w:r>
      <w:r>
        <w:rPr>
          <w:rFonts w:ascii="Times New Roman" w:hAnsi="Times New Roman" w:cs="Times New Roman" w:eastAsia="Times New Roman" w:hint="default"/>
        </w:rPr>
        <w:t>1,719,540.00</w:t>
      </w:r>
      <w:r>
        <w:rPr/>
        <w:t>元（大写：人民币壹佰柒拾壹万玖仟伍佰肆拾元整），各股东以货币出资</w:t>
      </w:r>
      <w:r>
        <w:rPr>
          <w:rFonts w:ascii="Times New Roman" w:hAnsi="Times New Roman" w:cs="Times New Roman" w:eastAsia="Times New Roman" w:hint="default"/>
        </w:rPr>
        <w:t>1,719,540.00</w:t>
      </w:r>
      <w:r>
        <w:rPr/>
        <w:t>元。麦达数字公司增 加股本人民币</w:t>
      </w:r>
      <w:r>
        <w:rPr>
          <w:rFonts w:ascii="Times New Roman" w:hAnsi="Times New Roman" w:cs="Times New Roman" w:eastAsia="Times New Roman" w:hint="default"/>
        </w:rPr>
        <w:t>419,400.00</w:t>
      </w:r>
      <w:r>
        <w:rPr/>
        <w:t>元，变更后的股本为人民币</w:t>
      </w:r>
      <w:r>
        <w:rPr>
          <w:rFonts w:ascii="Times New Roman" w:hAnsi="Times New Roman" w:cs="Times New Roman" w:eastAsia="Times New Roman" w:hint="default"/>
        </w:rPr>
        <w:t>461,330,000.00</w:t>
      </w:r>
      <w:r>
        <w:rPr/>
        <w:t>元。</w:t>
      </w:r>
    </w:p>
    <w:p>
      <w:pPr>
        <w:pStyle w:val="BodyText"/>
        <w:spacing w:line="336" w:lineRule="auto" w:before="19"/>
        <w:ind w:right="191" w:firstLine="360"/>
        <w:jc w:val="both"/>
      </w:pPr>
      <w:r>
        <w:rPr/>
        <w:t>根据麦达数字公司于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日召开第四届董事会第十一次会议决议，审议通过了《关于回购注销部分限制性股票 </w:t>
      </w:r>
      <w:r>
        <w:rPr>
          <w:spacing w:val="-1"/>
        </w:rPr>
        <w:t>的议案》，同意公司将因离职而不再符合激励条件的原激励对象李维、张成已获授但尚未解锁的全部限制性股票</w:t>
      </w:r>
      <w:r>
        <w:rPr>
          <w:rFonts w:ascii="Times New Roman" w:hAnsi="Times New Roman" w:cs="Times New Roman" w:eastAsia="Times New Roman" w:hint="default"/>
          <w:spacing w:val="-1"/>
        </w:rPr>
        <w:t>6.00</w:t>
      </w:r>
      <w:r>
        <w:rPr>
          <w:spacing w:val="-1"/>
        </w:rPr>
        <w:t>万股进</w:t>
      </w:r>
      <w:r>
        <w:rPr>
          <w:spacing w:val="-74"/>
        </w:rPr>
        <w:t> </w:t>
      </w:r>
      <w:r>
        <w:rPr>
          <w:spacing w:val="-74"/>
        </w:rPr>
      </w:r>
      <w:r>
        <w:rPr>
          <w:spacing w:val="-1"/>
        </w:rPr>
        <w:t>行回购注销，回购价格为</w:t>
      </w:r>
      <w:r>
        <w:rPr>
          <w:rFonts w:ascii="Times New Roman" w:hAnsi="Times New Roman" w:cs="Times New Roman" w:eastAsia="Times New Roman" w:hint="default"/>
          <w:spacing w:val="-1"/>
        </w:rPr>
        <w:t>2.00</w:t>
      </w:r>
      <w:r>
        <w:rPr>
          <w:spacing w:val="-1"/>
        </w:rPr>
        <w:t>元</w:t>
      </w:r>
      <w:r>
        <w:rPr>
          <w:rFonts w:ascii="Times New Roman" w:hAnsi="Times New Roman" w:cs="Times New Roman" w:eastAsia="Times New Roman" w:hint="default"/>
          <w:spacing w:val="-1"/>
        </w:rPr>
        <w:t>/</w:t>
      </w:r>
      <w:r>
        <w:rPr>
          <w:spacing w:val="-1"/>
        </w:rPr>
        <w:t>股，本次回购的股份数量占公司股权激励计划之限制性股票总数的</w:t>
      </w:r>
      <w:r>
        <w:rPr>
          <w:rFonts w:ascii="Times New Roman" w:hAnsi="Times New Roman" w:cs="Times New Roman" w:eastAsia="Times New Roman" w:hint="default"/>
          <w:spacing w:val="-1"/>
        </w:rPr>
        <w:t>3.22%</w:t>
      </w:r>
      <w:r>
        <w:rPr>
          <w:spacing w:val="-1"/>
        </w:rPr>
        <w:t>，占公司回购注销</w:t>
      </w:r>
      <w:r>
        <w:rPr>
          <w:spacing w:val="-45"/>
        </w:rPr>
        <w:t> </w:t>
      </w:r>
      <w:r>
        <w:rPr>
          <w:spacing w:val="-45"/>
        </w:rPr>
      </w:r>
      <w:r>
        <w:rPr>
          <w:spacing w:val="-1"/>
        </w:rPr>
        <w:t>前总股本的</w:t>
      </w:r>
      <w:r>
        <w:rPr>
          <w:rFonts w:ascii="Times New Roman" w:hAnsi="Times New Roman" w:cs="Times New Roman" w:eastAsia="Times New Roman" w:hint="default"/>
          <w:spacing w:val="-1"/>
        </w:rPr>
        <w:t>0.01%</w:t>
      </w:r>
      <w:r>
        <w:rPr>
          <w:spacing w:val="-1"/>
        </w:rPr>
        <w:t>，本次回购完成后公司总股本将由</w:t>
      </w:r>
      <w:r>
        <w:rPr>
          <w:rFonts w:ascii="Times New Roman" w:hAnsi="Times New Roman" w:cs="Times New Roman" w:eastAsia="Times New Roman" w:hint="default"/>
          <w:spacing w:val="-1"/>
        </w:rPr>
        <w:t>46,133.00</w:t>
      </w:r>
      <w:r>
        <w:rPr>
          <w:spacing w:val="-1"/>
        </w:rPr>
        <w:t>万股减少至</w:t>
      </w:r>
      <w:r>
        <w:rPr>
          <w:rFonts w:ascii="Times New Roman" w:hAnsi="Times New Roman" w:cs="Times New Roman" w:eastAsia="Times New Roman" w:hint="default"/>
          <w:spacing w:val="-1"/>
        </w:rPr>
        <w:t>46,127.00</w:t>
      </w:r>
      <w:r>
        <w:rPr>
          <w:spacing w:val="-1"/>
        </w:rPr>
        <w:t>万股，注册资本也相应由</w:t>
      </w:r>
      <w:r>
        <w:rPr>
          <w:rFonts w:ascii="Times New Roman" w:hAnsi="Times New Roman" w:cs="Times New Roman" w:eastAsia="Times New Roman" w:hint="default"/>
          <w:spacing w:val="-1"/>
        </w:rPr>
        <w:t>46,133.00</w:t>
      </w:r>
      <w:r>
        <w:rPr>
          <w:spacing w:val="-1"/>
        </w:rPr>
        <w:t>万元减</w:t>
      </w:r>
      <w:r>
        <w:rPr>
          <w:spacing w:val="-38"/>
        </w:rPr>
        <w:t> </w:t>
      </w:r>
      <w:r>
        <w:rPr>
          <w:spacing w:val="-38"/>
        </w:rPr>
      </w:r>
      <w:r>
        <w:rPr/>
        <w:t>少至</w:t>
      </w:r>
      <w:r>
        <w:rPr>
          <w:rFonts w:ascii="Times New Roman" w:hAnsi="Times New Roman" w:cs="Times New Roman" w:eastAsia="Times New Roman" w:hint="default"/>
        </w:rPr>
        <w:t>46,127.00</w:t>
      </w:r>
      <w:r>
        <w:rPr/>
        <w:t>万元。</w:t>
      </w:r>
    </w:p>
    <w:p>
      <w:pPr>
        <w:pStyle w:val="BodyText"/>
        <w:spacing w:line="338" w:lineRule="auto" w:before="21"/>
        <w:ind w:right="94" w:firstLine="360"/>
        <w:jc w:val="left"/>
      </w:pPr>
      <w:r>
        <w:rPr>
          <w:spacing w:val="-1"/>
        </w:rPr>
        <w:t>根据麦达数字公司</w:t>
      </w:r>
      <w:r>
        <w:rPr>
          <w:rFonts w:ascii="Times New Roman" w:hAnsi="Times New Roman" w:cs="Times New Roman" w:eastAsia="Times New Roman" w:hint="default"/>
          <w:spacing w:val="-1"/>
        </w:rPr>
        <w:t>2015</w:t>
      </w:r>
      <w:r>
        <w:rPr>
          <w:rFonts w:ascii="Times New Roman" w:hAnsi="Times New Roman" w:cs="Times New Roman" w:eastAsia="Times New Roman" w:hint="default"/>
        </w:rPr>
        <w:t> </w:t>
      </w:r>
      <w:r>
        <w:rPr/>
        <w:t>年 </w:t>
      </w:r>
      <w:r>
        <w:rPr>
          <w:rFonts w:ascii="Times New Roman" w:hAnsi="Times New Roman" w:cs="Times New Roman" w:eastAsia="Times New Roman" w:hint="default"/>
          <w:spacing w:val="-1"/>
        </w:rPr>
        <w:t>07</w:t>
      </w:r>
      <w:r>
        <w:rPr>
          <w:rFonts w:ascii="Times New Roman" w:hAnsi="Times New Roman" w:cs="Times New Roman" w:eastAsia="Times New Roman" w:hint="default"/>
        </w:rPr>
        <w:t> </w:t>
      </w:r>
      <w:r>
        <w:rPr/>
        <w:t>月 </w:t>
      </w:r>
      <w:r>
        <w:rPr>
          <w:rFonts w:ascii="Times New Roman" w:hAnsi="Times New Roman" w:cs="Times New Roman" w:eastAsia="Times New Roman" w:hint="default"/>
        </w:rPr>
        <w:t>01 </w:t>
      </w:r>
      <w:r>
        <w:rPr>
          <w:spacing w:val="-5"/>
        </w:rPr>
        <w:t>日召开的第四届董事会第十四次会议、</w:t>
      </w:r>
      <w:r>
        <w:rPr>
          <w:rFonts w:ascii="Times New Roman" w:hAnsi="Times New Roman" w:cs="Times New Roman" w:eastAsia="Times New Roman" w:hint="default"/>
          <w:spacing w:val="-5"/>
        </w:rPr>
        <w:t>2015</w:t>
      </w:r>
      <w:r>
        <w:rPr>
          <w:rFonts w:ascii="Times New Roman" w:hAnsi="Times New Roman" w:cs="Times New Roman" w:eastAsia="Times New Roman" w:hint="default"/>
        </w:rPr>
        <w:t> </w:t>
      </w:r>
      <w:r>
        <w:rPr/>
        <w:t>年 </w:t>
      </w:r>
      <w:r>
        <w:rPr>
          <w:rFonts w:ascii="Times New Roman" w:hAnsi="Times New Roman" w:cs="Times New Roman" w:eastAsia="Times New Roman" w:hint="default"/>
          <w:spacing w:val="-1"/>
        </w:rPr>
        <w:t>07</w:t>
      </w:r>
      <w:r>
        <w:rPr>
          <w:rFonts w:ascii="Times New Roman" w:hAnsi="Times New Roman" w:cs="Times New Roman" w:eastAsia="Times New Roman" w:hint="default"/>
        </w:rPr>
        <w:t> </w:t>
      </w:r>
      <w:r>
        <w:rPr/>
        <w:t>月 </w:t>
      </w:r>
      <w:r>
        <w:rPr>
          <w:rFonts w:ascii="Times New Roman" w:hAnsi="Times New Roman" w:cs="Times New Roman" w:eastAsia="Times New Roman" w:hint="default"/>
          <w:spacing w:val="-1"/>
        </w:rPr>
        <w:t>01</w:t>
      </w:r>
      <w:r>
        <w:rPr>
          <w:rFonts w:ascii="Times New Roman" w:hAnsi="Times New Roman" w:cs="Times New Roman" w:eastAsia="Times New Roman" w:hint="default"/>
          <w:spacing w:val="29"/>
        </w:rPr>
        <w:t> </w:t>
      </w:r>
      <w:r>
        <w:rPr/>
        <w:t>日召开的第四届监事会第 十三次会议决、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07</w:t>
      </w:r>
      <w:r>
        <w:rPr/>
        <w:t>月</w:t>
      </w:r>
      <w:r>
        <w:rPr>
          <w:rFonts w:ascii="Times New Roman" w:hAnsi="Times New Roman" w:cs="Times New Roman" w:eastAsia="Times New Roman" w:hint="default"/>
        </w:rPr>
        <w:t>17</w:t>
      </w:r>
      <w:r>
        <w:rPr/>
        <w:t>日召开的</w:t>
      </w:r>
      <w:r>
        <w:rPr>
          <w:rFonts w:ascii="Times New Roman" w:hAnsi="Times New Roman" w:cs="Times New Roman" w:eastAsia="Times New Roman" w:hint="default"/>
        </w:rPr>
        <w:t>2015</w:t>
      </w:r>
      <w:r>
        <w:rPr/>
        <w:t>年度第二次临时股东大会决议，并经中国证券监督管理委员会证监许可〔</w:t>
      </w:r>
      <w:r>
        <w:rPr>
          <w:rFonts w:ascii="Times New Roman" w:hAnsi="Times New Roman" w:cs="Times New Roman" w:eastAsia="Times New Roman" w:hint="default"/>
        </w:rPr>
        <w:t>2015</w:t>
      </w:r>
      <w:r>
        <w:rPr/>
        <w:t>〕</w:t>
      </w:r>
    </w:p>
    <w:p>
      <w:pPr>
        <w:spacing w:after="0" w:line="338" w:lineRule="auto"/>
        <w:jc w:val="left"/>
        <w:sectPr>
          <w:footerReference w:type="default" r:id="rId22"/>
          <w:pgSz w:w="11910" w:h="16840"/>
          <w:pgMar w:footer="980" w:header="745" w:top="1060" w:bottom="1160" w:left="980" w:right="940"/>
          <w:pgNumType w:start="105"/>
        </w:sectPr>
      </w:pPr>
    </w:p>
    <w:p>
      <w:pPr>
        <w:spacing w:line="240" w:lineRule="auto" w:before="8"/>
        <w:rPr>
          <w:rFonts w:ascii="宋体" w:hAnsi="宋体" w:cs="宋体" w:eastAsia="宋体" w:hint="default"/>
          <w:sz w:val="22"/>
          <w:szCs w:val="22"/>
        </w:rPr>
      </w:pPr>
    </w:p>
    <w:p>
      <w:pPr>
        <w:pStyle w:val="BodyText"/>
        <w:spacing w:line="338" w:lineRule="auto" w:before="44"/>
        <w:ind w:right="89"/>
        <w:jc w:val="left"/>
      </w:pPr>
      <w:r>
        <w:rPr>
          <w:rFonts w:ascii="Times New Roman" w:hAnsi="Times New Roman" w:cs="Times New Roman" w:eastAsia="Times New Roman" w:hint="default"/>
          <w:spacing w:val="-2"/>
        </w:rPr>
        <w:t>2391</w:t>
      </w:r>
      <w:r>
        <w:rPr>
          <w:spacing w:val="-2"/>
        </w:rPr>
        <w:t>号文《关于核准深圳市实益达科技股份有限公司向张伟等发行股份购买资产并募集配套资金的批复》的核准，同意核准</w:t>
      </w:r>
      <w:r>
        <w:rPr>
          <w:spacing w:val="-64"/>
        </w:rPr>
        <w:t> </w:t>
      </w:r>
      <w:r>
        <w:rPr>
          <w:spacing w:val="-64"/>
        </w:rPr>
      </w:r>
      <w:r>
        <w:rPr/>
        <w:t>麦达数字公司向张伟等</w:t>
      </w:r>
      <w:r>
        <w:rPr>
          <w:rFonts w:ascii="Times New Roman" w:hAnsi="Times New Roman" w:cs="Times New Roman" w:eastAsia="Times New Roman" w:hint="default"/>
        </w:rPr>
        <w:t>7</w:t>
      </w:r>
      <w:r>
        <w:rPr/>
        <w:t>人共发行</w:t>
      </w:r>
      <w:r>
        <w:rPr>
          <w:rFonts w:ascii="Times New Roman" w:hAnsi="Times New Roman" w:cs="Times New Roman" w:eastAsia="Times New Roman" w:hint="default"/>
        </w:rPr>
        <w:t>49,339,376</w:t>
      </w:r>
      <w:r>
        <w:rPr/>
        <w:t>股股份和支付现金人民币</w:t>
      </w:r>
      <w:r>
        <w:rPr>
          <w:rFonts w:ascii="Times New Roman" w:hAnsi="Times New Roman" w:cs="Times New Roman" w:eastAsia="Times New Roman" w:hint="default"/>
        </w:rPr>
        <w:t>2.541</w:t>
      </w:r>
      <w:r>
        <w:rPr/>
        <w:t>亿元购买上海顺为广告传播有限公司（以下简称 </w:t>
      </w:r>
      <w:r>
        <w:rPr>
          <w:rFonts w:ascii="Times New Roman" w:hAnsi="Times New Roman" w:cs="Times New Roman" w:eastAsia="Times New Roman" w:hint="default"/>
        </w:rPr>
        <w:t>“</w:t>
      </w:r>
      <w:r>
        <w:rPr/>
        <w:t>顺为广告</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股权、奇思国际广告（北京）有限公司（以下简称</w:t>
      </w:r>
      <w:r>
        <w:rPr>
          <w:rFonts w:ascii="Times New Roman" w:hAnsi="Times New Roman" w:cs="Times New Roman" w:eastAsia="Times New Roman" w:hint="default"/>
        </w:rPr>
        <w:t>“</w:t>
      </w:r>
      <w:r>
        <w:rPr/>
        <w:t>奇思广告</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股权、上海利宣广告有限公司（以 下简称</w:t>
      </w:r>
      <w:r>
        <w:rPr>
          <w:rFonts w:ascii="Times New Roman" w:hAnsi="Times New Roman" w:cs="Times New Roman" w:eastAsia="Times New Roman" w:hint="default"/>
        </w:rPr>
        <w:t>“</w:t>
      </w:r>
      <w:r>
        <w:rPr/>
        <w:t>利宣广告</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rFonts w:ascii="Times New Roman" w:hAnsi="Times New Roman" w:cs="Times New Roman" w:eastAsia="Times New Roman" w:hint="default"/>
          <w:spacing w:val="25"/>
        </w:rPr>
        <w:t> </w:t>
      </w:r>
      <w:r>
        <w:rPr/>
        <w:t>股权及非公开发行不超过</w:t>
      </w:r>
      <w:r>
        <w:rPr>
          <w:rFonts w:ascii="Times New Roman" w:hAnsi="Times New Roman" w:cs="Times New Roman" w:eastAsia="Times New Roman" w:hint="default"/>
        </w:rPr>
        <w:t>73,837,206</w:t>
      </w:r>
      <w:r>
        <w:rPr/>
        <w:t>股新股募集本次发行股份购买资产的配套资金。每股面值人 民币</w:t>
      </w:r>
      <w:r>
        <w:rPr>
          <w:rFonts w:ascii="Times New Roman" w:hAnsi="Times New Roman" w:cs="Times New Roman" w:eastAsia="Times New Roman" w:hint="default"/>
        </w:rPr>
        <w:t>1.00</w:t>
      </w:r>
      <w:r>
        <w:rPr/>
        <w:t>元，发行股份购买资产的每股发行认购价格不低于本次非公开发行的定价基准日（董事会决议公告日）前六十个交 易日均价的</w:t>
      </w:r>
      <w:r>
        <w:rPr>
          <w:rFonts w:ascii="Times New Roman" w:hAnsi="Times New Roman" w:cs="Times New Roman" w:eastAsia="Times New Roman" w:hint="default"/>
        </w:rPr>
        <w:t>90%</w:t>
      </w:r>
      <w:r>
        <w:rPr/>
        <w:t>，以此为基础，交易各方约定本次发行股份购买资产的发行价格为</w:t>
      </w:r>
      <w:r>
        <w:rPr>
          <w:spacing w:val="-19"/>
        </w:rPr>
        <w:t> </w:t>
      </w:r>
      <w:r>
        <w:rPr>
          <w:rFonts w:ascii="Times New Roman" w:hAnsi="Times New Roman" w:cs="Times New Roman" w:eastAsia="Times New Roman" w:hint="default"/>
        </w:rPr>
        <w:t>7.72</w:t>
      </w:r>
      <w:r>
        <w:rPr/>
        <w:t>元</w:t>
      </w:r>
      <w:r>
        <w:rPr>
          <w:rFonts w:ascii="Times New Roman" w:hAnsi="Times New Roman" w:cs="Times New Roman" w:eastAsia="Times New Roman" w:hint="default"/>
        </w:rPr>
        <w:t>/</w:t>
      </w:r>
      <w:r>
        <w:rPr/>
        <w:t>股。截至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日止，麦 达数字公司已经持有顺为广告</w:t>
      </w:r>
      <w:r>
        <w:rPr>
          <w:rFonts w:ascii="Times New Roman" w:hAnsi="Times New Roman" w:cs="Times New Roman" w:eastAsia="Times New Roman" w:hint="default"/>
        </w:rPr>
        <w:t>100%</w:t>
      </w:r>
      <w:r>
        <w:rPr/>
        <w:t>股权、奇思广告</w:t>
      </w:r>
      <w:r>
        <w:rPr>
          <w:rFonts w:ascii="Times New Roman" w:hAnsi="Times New Roman" w:cs="Times New Roman" w:eastAsia="Times New Roman" w:hint="default"/>
        </w:rPr>
        <w:t>100%</w:t>
      </w:r>
      <w:r>
        <w:rPr/>
        <w:t>股权、利宣广告</w:t>
      </w:r>
      <w:r>
        <w:rPr>
          <w:rFonts w:ascii="Times New Roman" w:hAnsi="Times New Roman" w:cs="Times New Roman" w:eastAsia="Times New Roman" w:hint="default"/>
        </w:rPr>
        <w:t>100%</w:t>
      </w:r>
      <w:r>
        <w:rPr>
          <w:rFonts w:ascii="Times New Roman" w:hAnsi="Times New Roman" w:cs="Times New Roman" w:eastAsia="Times New Roman" w:hint="default"/>
          <w:spacing w:val="5"/>
        </w:rPr>
        <w:t> </w:t>
      </w:r>
      <w:r>
        <w:rPr/>
        <w:t>股权。新增注册资本人民币</w:t>
      </w:r>
      <w:r>
        <w:rPr>
          <w:rFonts w:ascii="Times New Roman" w:hAnsi="Times New Roman" w:cs="Times New Roman" w:eastAsia="Times New Roman" w:hint="default"/>
        </w:rPr>
        <w:t>49,339,376.00</w:t>
      </w:r>
      <w:r>
        <w:rPr/>
        <w:t>元， 股本人民币</w:t>
      </w:r>
      <w:r>
        <w:rPr>
          <w:rFonts w:ascii="Times New Roman" w:hAnsi="Times New Roman" w:cs="Times New Roman" w:eastAsia="Times New Roman" w:hint="default"/>
        </w:rPr>
        <w:t>49,339,376.00</w:t>
      </w:r>
      <w:r>
        <w:rPr/>
        <w:t>元，变更后的注册资本为人民币</w:t>
      </w:r>
      <w:r>
        <w:rPr>
          <w:rFonts w:ascii="Times New Roman" w:hAnsi="Times New Roman" w:cs="Times New Roman" w:eastAsia="Times New Roman" w:hint="default"/>
        </w:rPr>
        <w:t>510,609,376.00</w:t>
      </w:r>
      <w:r>
        <w:rPr/>
        <w:t>元，股本为人民币</w:t>
      </w:r>
      <w:r>
        <w:rPr>
          <w:rFonts w:ascii="Times New Roman" w:hAnsi="Times New Roman" w:cs="Times New Roman" w:eastAsia="Times New Roman" w:hint="default"/>
        </w:rPr>
        <w:t>510,609,376.00</w:t>
      </w:r>
      <w:r>
        <w:rPr/>
        <w:t>元，增加资本公积</w:t>
      </w:r>
      <w:r>
        <w:rPr>
          <w:rFonts w:ascii="Times New Roman" w:hAnsi="Times New Roman" w:cs="Times New Roman" w:eastAsia="Times New Roman" w:hint="default"/>
        </w:rPr>
        <w:t>- </w:t>
      </w:r>
      <w:r>
        <w:rPr/>
        <w:t>股本溢价</w:t>
      </w:r>
      <w:r>
        <w:rPr>
          <w:rFonts w:ascii="Times New Roman" w:hAnsi="Times New Roman" w:cs="Times New Roman" w:eastAsia="Times New Roman" w:hint="default"/>
        </w:rPr>
        <w:t>331,560,624.00</w:t>
      </w:r>
      <w:r>
        <w:rPr/>
        <w:t>元。</w:t>
      </w:r>
    </w:p>
    <w:p>
      <w:pPr>
        <w:pStyle w:val="BodyText"/>
        <w:spacing w:line="338" w:lineRule="auto" w:before="19"/>
        <w:ind w:right="124" w:firstLine="360"/>
        <w:jc w:val="left"/>
      </w:pPr>
      <w:r>
        <w:rPr>
          <w:spacing w:val="-1"/>
        </w:rPr>
        <w:t>根据麦达数字公司</w:t>
      </w:r>
      <w:r>
        <w:rPr>
          <w:rFonts w:ascii="Times New Roman" w:hAnsi="Times New Roman" w:cs="Times New Roman" w:eastAsia="Times New Roman" w:hint="default"/>
          <w:spacing w:val="-1"/>
        </w:rPr>
        <w:t>2015</w:t>
      </w:r>
      <w:r>
        <w:rPr>
          <w:rFonts w:ascii="Times New Roman" w:hAnsi="Times New Roman" w:cs="Times New Roman" w:eastAsia="Times New Roman" w:hint="default"/>
        </w:rPr>
        <w:t> </w:t>
      </w:r>
      <w:r>
        <w:rPr/>
        <w:t>年 </w:t>
      </w:r>
      <w:r>
        <w:rPr>
          <w:rFonts w:ascii="Times New Roman" w:hAnsi="Times New Roman" w:cs="Times New Roman" w:eastAsia="Times New Roman" w:hint="default"/>
          <w:spacing w:val="-1"/>
        </w:rPr>
        <w:t>07</w:t>
      </w:r>
      <w:r>
        <w:rPr>
          <w:rFonts w:ascii="Times New Roman" w:hAnsi="Times New Roman" w:cs="Times New Roman" w:eastAsia="Times New Roman" w:hint="default"/>
        </w:rPr>
        <w:t> </w:t>
      </w:r>
      <w:r>
        <w:rPr/>
        <w:t>月 </w:t>
      </w:r>
      <w:r>
        <w:rPr>
          <w:rFonts w:ascii="Times New Roman" w:hAnsi="Times New Roman" w:cs="Times New Roman" w:eastAsia="Times New Roman" w:hint="default"/>
        </w:rPr>
        <w:t>01</w:t>
      </w:r>
      <w:r>
        <w:rPr>
          <w:rFonts w:ascii="Times New Roman" w:hAnsi="Times New Roman" w:cs="Times New Roman" w:eastAsia="Times New Roman" w:hint="default"/>
          <w:spacing w:val="-4"/>
        </w:rPr>
        <w:t> </w:t>
      </w:r>
      <w:r>
        <w:rPr>
          <w:spacing w:val="-3"/>
        </w:rPr>
        <w:t>日召开的第四届董事会第十四次会议、</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07</w:t>
      </w:r>
      <w:r>
        <w:rPr>
          <w:spacing w:val="-3"/>
        </w:rPr>
        <w:t>月</w:t>
      </w:r>
      <w:r>
        <w:rPr>
          <w:rFonts w:ascii="Times New Roman" w:hAnsi="Times New Roman" w:cs="Times New Roman" w:eastAsia="Times New Roman" w:hint="default"/>
          <w:spacing w:val="-3"/>
        </w:rPr>
        <w:t>17</w:t>
      </w:r>
      <w:r>
        <w:rPr>
          <w:spacing w:val="-3"/>
        </w:rPr>
        <w:t>日召开的</w:t>
      </w:r>
      <w:r>
        <w:rPr>
          <w:rFonts w:ascii="Times New Roman" w:hAnsi="Times New Roman" w:cs="Times New Roman" w:eastAsia="Times New Roman" w:hint="default"/>
          <w:spacing w:val="-3"/>
        </w:rPr>
        <w:t>2015</w:t>
      </w:r>
      <w:r>
        <w:rPr>
          <w:spacing w:val="-3"/>
        </w:rPr>
        <w:t>年度第二次临时</w:t>
      </w:r>
      <w:r>
        <w:rPr/>
        <w:t> </w:t>
      </w:r>
      <w:r>
        <w:rPr>
          <w:spacing w:val="-2"/>
        </w:rPr>
        <w:t>股东大会决议，并经中国证券监督管理委员会证监许可〔</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2391</w:t>
      </w:r>
      <w:r>
        <w:rPr>
          <w:spacing w:val="-2"/>
        </w:rPr>
        <w:t>号文《关于核准深圳市实益达科技股份有限公司向张伟</w:t>
      </w:r>
      <w:r>
        <w:rPr>
          <w:spacing w:val="-60"/>
        </w:rPr>
        <w:t> </w:t>
      </w:r>
      <w:r>
        <w:rPr>
          <w:spacing w:val="-60"/>
        </w:rPr>
      </w:r>
      <w:r>
        <w:rPr/>
        <w:t>等发行股份购买资产并募集配套资金的批复》的核准，同意核准麦达数字公司非公开发行不超过</w:t>
      </w:r>
      <w:r>
        <w:rPr>
          <w:rFonts w:ascii="Times New Roman" w:hAnsi="Times New Roman" w:cs="Times New Roman" w:eastAsia="Times New Roman" w:hint="default"/>
        </w:rPr>
        <w:t>73,837,206</w:t>
      </w:r>
      <w:r>
        <w:rPr/>
        <w:t>股新股募集本次 发行股份购买资产的配套资金。募集配套资金发行价格不低于定价基准日前二十个交易日的股票交易均价的</w:t>
      </w:r>
      <w:r>
        <w:rPr>
          <w:rFonts w:ascii="Times New Roman" w:hAnsi="Times New Roman" w:cs="Times New Roman" w:eastAsia="Times New Roman" w:hint="default"/>
        </w:rPr>
        <w:t>90%</w:t>
      </w:r>
      <w:r>
        <w:rPr/>
        <w:t>，经协商， </w:t>
      </w:r>
      <w:r>
        <w:rPr>
          <w:spacing w:val="-3"/>
        </w:rPr>
        <w:t>确定为</w:t>
      </w:r>
      <w:r>
        <w:rPr>
          <w:rFonts w:ascii="Times New Roman" w:hAnsi="Times New Roman" w:cs="Times New Roman" w:eastAsia="Times New Roman" w:hint="default"/>
          <w:spacing w:val="-3"/>
        </w:rPr>
        <w:t>8.60</w:t>
      </w:r>
      <w:r>
        <w:rPr>
          <w:spacing w:val="-3"/>
        </w:rPr>
        <w:t>元</w:t>
      </w:r>
      <w:r>
        <w:rPr>
          <w:rFonts w:ascii="Times New Roman" w:hAnsi="Times New Roman" w:cs="Times New Roman" w:eastAsia="Times New Roman" w:hint="default"/>
          <w:spacing w:val="-3"/>
        </w:rPr>
        <w:t>/</w:t>
      </w:r>
      <w:r>
        <w:rPr>
          <w:spacing w:val="-3"/>
        </w:rPr>
        <w:t>股。根据麦达数字公司</w:t>
      </w:r>
      <w:r>
        <w:rPr>
          <w:rFonts w:ascii="Times New Roman" w:hAnsi="Times New Roman" w:cs="Times New Roman" w:eastAsia="Times New Roman" w:hint="default"/>
          <w:spacing w:val="-3"/>
        </w:rPr>
        <w:t>2015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28</w:t>
      </w:r>
      <w:r>
        <w:rPr>
          <w:rFonts w:ascii="Times New Roman" w:hAnsi="Times New Roman" w:cs="Times New Roman" w:eastAsia="Times New Roman" w:hint="default"/>
          <w:spacing w:val="-16"/>
        </w:rPr>
        <w:t> </w:t>
      </w:r>
      <w:r>
        <w:rPr/>
        <w:t>日召开的第四届董事会第二十二次会议决议，麦达数字公司本次募集 配套资金的发行数量调整为</w:t>
      </w:r>
      <w:r>
        <w:rPr>
          <w:rFonts w:ascii="Times New Roman" w:hAnsi="Times New Roman" w:cs="Times New Roman" w:eastAsia="Times New Roman" w:hint="default"/>
        </w:rPr>
        <w:t>66,976,741</w:t>
      </w:r>
      <w:r>
        <w:rPr/>
        <w:t>股</w:t>
      </w:r>
      <w:r>
        <w:rPr>
          <w:rFonts w:ascii="Times New Roman" w:hAnsi="Times New Roman" w:cs="Times New Roman" w:eastAsia="Times New Roman" w:hint="default"/>
        </w:rPr>
        <w:t>,</w:t>
      </w:r>
      <w:r>
        <w:rPr>
          <w:rFonts w:ascii="Times New Roman" w:hAnsi="Times New Roman" w:cs="Times New Roman" w:eastAsia="Times New Roman" w:hint="default"/>
          <w:spacing w:val="22"/>
        </w:rPr>
        <w:t> </w:t>
      </w:r>
      <w:r>
        <w:rPr/>
        <w:t>募集配套资金总额调整为</w:t>
      </w:r>
      <w:r>
        <w:rPr>
          <w:rFonts w:ascii="Times New Roman" w:hAnsi="Times New Roman" w:cs="Times New Roman" w:eastAsia="Times New Roman" w:hint="default"/>
        </w:rPr>
        <w:t>576,000,000.00</w:t>
      </w:r>
      <w:r>
        <w:rPr/>
        <w:t>元。麦达数字公司于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日向特定 投资者定价发行人民币</w:t>
      </w:r>
      <w:r>
        <w:rPr>
          <w:rFonts w:ascii="Times New Roman" w:hAnsi="Times New Roman" w:cs="Times New Roman" w:eastAsia="Times New Roman" w:hint="default"/>
        </w:rPr>
        <w:t>66,976,741</w:t>
      </w:r>
      <w:r>
        <w:rPr/>
        <w:t>股新股，本次非公开发行共计募集人民币</w:t>
      </w:r>
      <w:r>
        <w:rPr>
          <w:rFonts w:ascii="Times New Roman" w:hAnsi="Times New Roman" w:cs="Times New Roman" w:eastAsia="Times New Roman" w:hint="default"/>
        </w:rPr>
        <w:t>576,000,000.00</w:t>
      </w:r>
      <w:r>
        <w:rPr/>
        <w:t>元。经此发行，注册资本变更为人 民币</w:t>
      </w:r>
      <w:r>
        <w:rPr>
          <w:rFonts w:ascii="Times New Roman" w:hAnsi="Times New Roman" w:cs="Times New Roman" w:eastAsia="Times New Roman" w:hint="default"/>
        </w:rPr>
        <w:t>577,586,117.00</w:t>
      </w:r>
      <w:r>
        <w:rPr/>
        <w:t>元。经我们审验，截至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日止，麦达数字公司共计募集货币资金人民币</w:t>
      </w:r>
      <w:r>
        <w:rPr>
          <w:rFonts w:ascii="Times New Roman" w:hAnsi="Times New Roman" w:cs="Times New Roman" w:eastAsia="Times New Roman" w:hint="default"/>
        </w:rPr>
        <w:t>576,000,000.00</w:t>
      </w:r>
      <w:r>
        <w:rPr/>
        <w:t>元，扣除 </w:t>
      </w:r>
      <w:r>
        <w:rPr>
          <w:spacing w:val="-1"/>
        </w:rPr>
        <w:t>与发行有关的费用人民币</w:t>
      </w:r>
      <w:r>
        <w:rPr>
          <w:rFonts w:ascii="Times New Roman" w:hAnsi="Times New Roman" w:cs="Times New Roman" w:eastAsia="Times New Roman" w:hint="default"/>
          <w:spacing w:val="-1"/>
        </w:rPr>
        <w:t>20,196,316.12</w:t>
      </w:r>
      <w:r>
        <w:rPr>
          <w:spacing w:val="-1"/>
        </w:rPr>
        <w:t>元，麦达数字公司实际募集资金净额为人民币</w:t>
      </w:r>
      <w:r>
        <w:rPr>
          <w:rFonts w:ascii="Times New Roman" w:hAnsi="Times New Roman" w:cs="Times New Roman" w:eastAsia="Times New Roman" w:hint="default"/>
          <w:spacing w:val="-1"/>
        </w:rPr>
        <w:t>555,803,683.88</w:t>
      </w:r>
      <w:r>
        <w:rPr>
          <w:spacing w:val="-1"/>
        </w:rPr>
        <w:t>元，其中计入</w:t>
      </w:r>
      <w:r>
        <w:rPr>
          <w:rFonts w:ascii="Times New Roman" w:hAnsi="Times New Roman" w:cs="Times New Roman" w:eastAsia="Times New Roman" w:hint="default"/>
          <w:spacing w:val="-1"/>
        </w:rPr>
        <w:t>“</w:t>
      </w:r>
      <w:r>
        <w:rPr>
          <w:spacing w:val="-1"/>
        </w:rPr>
        <w:t>股本</w:t>
      </w:r>
      <w:r>
        <w:rPr>
          <w:rFonts w:ascii="Times New Roman" w:hAnsi="Times New Roman" w:cs="Times New Roman" w:eastAsia="Times New Roman" w:hint="default"/>
          <w:spacing w:val="-1"/>
        </w:rPr>
        <w:t>”</w:t>
      </w:r>
      <w:r>
        <w:rPr>
          <w:spacing w:val="-1"/>
        </w:rPr>
        <w:t>人民</w:t>
      </w:r>
      <w:r>
        <w:rPr/>
        <w:t> 币</w:t>
      </w:r>
      <w:r>
        <w:rPr>
          <w:rFonts w:ascii="Times New Roman" w:hAnsi="Times New Roman" w:cs="Times New Roman" w:eastAsia="Times New Roman" w:hint="default"/>
        </w:rPr>
        <w:t>66,976,741.00</w:t>
      </w:r>
      <w:r>
        <w:rPr/>
        <w:t>元。变更后的注册资本为人民币</w:t>
      </w:r>
      <w:r>
        <w:rPr>
          <w:rFonts w:ascii="Times New Roman" w:hAnsi="Times New Roman" w:cs="Times New Roman" w:eastAsia="Times New Roman" w:hint="default"/>
        </w:rPr>
        <w:t>577,586,117.00</w:t>
      </w:r>
      <w:r>
        <w:rPr/>
        <w:t>元，股本为人民币</w:t>
      </w:r>
      <w:r>
        <w:rPr>
          <w:rFonts w:ascii="Times New Roman" w:hAnsi="Times New Roman" w:cs="Times New Roman" w:eastAsia="Times New Roman" w:hint="default"/>
        </w:rPr>
        <w:t>577,586,117.00</w:t>
      </w:r>
      <w:r>
        <w:rPr/>
        <w:t>元。增加</w:t>
      </w:r>
      <w:r>
        <w:rPr>
          <w:rFonts w:ascii="Times New Roman" w:hAnsi="Times New Roman" w:cs="Times New Roman" w:eastAsia="Times New Roman" w:hint="default"/>
        </w:rPr>
        <w:t>“</w:t>
      </w:r>
      <w:r>
        <w:rPr/>
        <w:t>资本公积－股本溢 价</w:t>
      </w:r>
      <w:r>
        <w:rPr>
          <w:rFonts w:ascii="Times New Roman" w:hAnsi="Times New Roman" w:cs="Times New Roman" w:eastAsia="Times New Roman" w:hint="default"/>
        </w:rPr>
        <w:t>”</w:t>
      </w:r>
      <w:r>
        <w:rPr/>
        <w:t>人民币</w:t>
      </w:r>
      <w:r>
        <w:rPr>
          <w:rFonts w:ascii="Times New Roman" w:hAnsi="Times New Roman" w:cs="Times New Roman" w:eastAsia="Times New Roman" w:hint="default"/>
        </w:rPr>
        <w:t>488,826,942.88</w:t>
      </w:r>
      <w:r>
        <w:rPr/>
        <w:t>元。</w:t>
      </w:r>
    </w:p>
    <w:p>
      <w:pPr>
        <w:pStyle w:val="BodyText"/>
        <w:spacing w:line="340" w:lineRule="auto" w:before="19"/>
        <w:ind w:right="94" w:firstLine="360"/>
        <w:jc w:val="left"/>
      </w:pPr>
      <w:r>
        <w:rPr>
          <w:spacing w:val="-4"/>
        </w:rPr>
        <w:t>根据麦达数字公司于</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12</w:t>
      </w:r>
      <w:r>
        <w:rPr>
          <w:spacing w:val="-4"/>
        </w:rPr>
        <w:t>日召开第四届董事会第二十次会议审议通过《关于回购注销部分限制性股票的议案》，</w:t>
      </w:r>
      <w:r>
        <w:rPr/>
        <w:t> </w:t>
      </w:r>
      <w:r>
        <w:rPr>
          <w:spacing w:val="-2"/>
        </w:rPr>
        <w:t>鉴于原激励对象刘爱民、胡敏阅因离职而不再符合激励条件，根据《深圳市实益达科技股份有限公司股票期权与限制性股票</w:t>
      </w:r>
      <w:r>
        <w:rPr>
          <w:spacing w:val="-66"/>
        </w:rPr>
        <w:t> </w:t>
      </w:r>
      <w:r>
        <w:rPr>
          <w:spacing w:val="-66"/>
        </w:rPr>
      </w:r>
      <w:r>
        <w:rPr/>
        <w:t>激励计划（草案）》的相关规定，公司董事会对刘爱民、胡敏阅持有的已获授但尚未解锁的限制性股票</w:t>
      </w:r>
      <w:r>
        <w:rPr>
          <w:rFonts w:ascii="Times New Roman" w:hAnsi="Times New Roman" w:cs="Times New Roman" w:eastAsia="Times New Roman" w:hint="default"/>
        </w:rPr>
        <w:t>45.5</w:t>
      </w:r>
      <w:r>
        <w:rPr/>
        <w:t>万股进行回购注 </w:t>
      </w:r>
      <w:r>
        <w:rPr>
          <w:spacing w:val="-2"/>
        </w:rPr>
        <w:t>销，回购价格为</w:t>
      </w:r>
      <w:r>
        <w:rPr>
          <w:rFonts w:ascii="Times New Roman" w:hAnsi="Times New Roman" w:cs="Times New Roman" w:eastAsia="Times New Roman" w:hint="default"/>
          <w:spacing w:val="-2"/>
        </w:rPr>
        <w:t>2.00</w:t>
      </w:r>
      <w:r>
        <w:rPr>
          <w:spacing w:val="-2"/>
        </w:rPr>
        <w:t>元</w:t>
      </w:r>
      <w:r>
        <w:rPr>
          <w:rFonts w:ascii="Times New Roman" w:hAnsi="Times New Roman" w:cs="Times New Roman" w:eastAsia="Times New Roman" w:hint="default"/>
          <w:spacing w:val="-2"/>
        </w:rPr>
        <w:t>/</w:t>
      </w:r>
      <w:r>
        <w:rPr>
          <w:spacing w:val="-2"/>
        </w:rPr>
        <w:t>股，本次公司决定回购注销的限制性股票数量分别占股权激励计划限制性股票总数、回购注销前总股</w:t>
      </w:r>
      <w:r>
        <w:rPr>
          <w:spacing w:val="-66"/>
        </w:rPr>
        <w:t> </w:t>
      </w:r>
      <w:r>
        <w:rPr>
          <w:spacing w:val="-66"/>
        </w:rPr>
      </w:r>
      <w:r>
        <w:rPr>
          <w:spacing w:val="-3"/>
        </w:rPr>
        <w:t>本的</w:t>
      </w:r>
      <w:r>
        <w:rPr>
          <w:rFonts w:ascii="Times New Roman" w:hAnsi="Times New Roman" w:cs="Times New Roman" w:eastAsia="Times New Roman" w:hint="default"/>
          <w:spacing w:val="-3"/>
        </w:rPr>
        <w:t>25.26%</w:t>
      </w:r>
      <w:r>
        <w:rPr>
          <w:spacing w:val="-3"/>
        </w:rPr>
        <w:t>、</w:t>
      </w:r>
      <w:r>
        <w:rPr>
          <w:rFonts w:ascii="Times New Roman" w:hAnsi="Times New Roman" w:cs="Times New Roman" w:eastAsia="Times New Roman" w:hint="default"/>
          <w:spacing w:val="-3"/>
        </w:rPr>
        <w:t>0.08%</w:t>
      </w:r>
      <w:r>
        <w:rPr>
          <w:spacing w:val="-3"/>
        </w:rPr>
        <w:t>。本次回购完成后公司总股本将由</w:t>
      </w:r>
      <w:r>
        <w:rPr>
          <w:rFonts w:ascii="Times New Roman" w:hAnsi="Times New Roman" w:cs="Times New Roman" w:eastAsia="Times New Roman" w:hint="default"/>
          <w:spacing w:val="-3"/>
        </w:rPr>
        <w:t>57,758.6117</w:t>
      </w:r>
      <w:r>
        <w:rPr>
          <w:spacing w:val="-3"/>
        </w:rPr>
        <w:t>万股减少至</w:t>
      </w:r>
      <w:r>
        <w:rPr>
          <w:rFonts w:ascii="Times New Roman" w:hAnsi="Times New Roman" w:cs="Times New Roman" w:eastAsia="Times New Roman" w:hint="default"/>
          <w:spacing w:val="-3"/>
        </w:rPr>
        <w:t>57,713.1117</w:t>
      </w:r>
      <w:r>
        <w:rPr>
          <w:spacing w:val="-3"/>
        </w:rPr>
        <w:t>万股，注册资本也相应由</w:t>
      </w:r>
      <w:r>
        <w:rPr>
          <w:rFonts w:ascii="Times New Roman" w:hAnsi="Times New Roman" w:cs="Times New Roman" w:eastAsia="Times New Roman" w:hint="default"/>
          <w:spacing w:val="-3"/>
        </w:rPr>
        <w:t>57,758.6117</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万元减少至</w:t>
      </w:r>
      <w:r>
        <w:rPr>
          <w:rFonts w:ascii="Times New Roman" w:hAnsi="Times New Roman" w:cs="Times New Roman" w:eastAsia="Times New Roman" w:hint="default"/>
        </w:rPr>
        <w:t>57,713.1117</w:t>
      </w:r>
      <w:r>
        <w:rPr/>
        <w:t>万元。</w:t>
      </w:r>
    </w:p>
    <w:p>
      <w:pPr>
        <w:pStyle w:val="BodyText"/>
        <w:spacing w:line="340" w:lineRule="auto" w:before="17"/>
        <w:ind w:right="89" w:firstLine="360"/>
        <w:jc w:val="left"/>
      </w:pPr>
      <w:r>
        <w:rPr/>
        <w:t>根据麦达数字公司于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日召开第四届董事会第二十六次会议审议通过《关于注销</w:t>
      </w:r>
      <w:r>
        <w:rPr>
          <w:rFonts w:ascii="Times New Roman" w:hAnsi="Times New Roman" w:cs="Times New Roman" w:eastAsia="Times New Roman" w:hint="default"/>
        </w:rPr>
        <w:t>/</w:t>
      </w:r>
      <w:r>
        <w:rPr/>
        <w:t>回购注销未达行权</w:t>
      </w:r>
      <w:r>
        <w:rPr>
          <w:rFonts w:ascii="Times New Roman" w:hAnsi="Times New Roman" w:cs="Times New Roman" w:eastAsia="Times New Roman" w:hint="default"/>
        </w:rPr>
        <w:t>/</w:t>
      </w:r>
      <w:r>
        <w:rPr/>
        <w:t>解锁条 </w:t>
      </w:r>
      <w:r>
        <w:rPr>
          <w:spacing w:val="-2"/>
        </w:rPr>
        <w:t>件的股票期权和限制性股票及注销部分已离职激励对象的股票期权的议案》，因公司股权激励计划首次授予部分的第二个行</w:t>
      </w:r>
      <w:r>
        <w:rPr>
          <w:spacing w:val="-64"/>
        </w:rPr>
        <w:t> </w:t>
      </w:r>
      <w:r>
        <w:rPr>
          <w:spacing w:val="-64"/>
        </w:rPr>
      </w:r>
      <w:r>
        <w:rPr/>
        <w:t>权</w:t>
      </w:r>
      <w:r>
        <w:rPr>
          <w:rFonts w:ascii="Times New Roman" w:hAnsi="Times New Roman" w:cs="Times New Roman" w:eastAsia="Times New Roman" w:hint="default"/>
        </w:rPr>
        <w:t>/</w:t>
      </w:r>
      <w:r>
        <w:rPr/>
        <w:t>解锁期及预留部分第一个行权</w:t>
      </w:r>
      <w:r>
        <w:rPr>
          <w:rFonts w:ascii="Times New Roman" w:hAnsi="Times New Roman" w:cs="Times New Roman" w:eastAsia="Times New Roman" w:hint="default"/>
        </w:rPr>
        <w:t>/</w:t>
      </w:r>
      <w:r>
        <w:rPr/>
        <w:t>解锁期未达到行权</w:t>
      </w:r>
      <w:r>
        <w:rPr>
          <w:rFonts w:ascii="Times New Roman" w:hAnsi="Times New Roman" w:cs="Times New Roman" w:eastAsia="Times New Roman" w:hint="default"/>
        </w:rPr>
        <w:t>/</w:t>
      </w:r>
      <w:r>
        <w:rPr/>
        <w:t>解锁条件，公司决定回购注销激励对象所持有的未达到解锁条件的限制 性股票</w:t>
      </w:r>
      <w:r>
        <w:rPr>
          <w:rFonts w:ascii="Times New Roman" w:hAnsi="Times New Roman" w:cs="Times New Roman" w:eastAsia="Times New Roman" w:hint="default"/>
        </w:rPr>
        <w:t>59.9</w:t>
      </w:r>
      <w:r>
        <w:rPr/>
        <w:t>万股，其中回购注销首次授予的限制性股票</w:t>
      </w:r>
      <w:r>
        <w:rPr>
          <w:rFonts w:ascii="Times New Roman" w:hAnsi="Times New Roman" w:cs="Times New Roman" w:eastAsia="Times New Roman" w:hint="default"/>
        </w:rPr>
        <w:t>44.4</w:t>
      </w:r>
      <w:r>
        <w:rPr/>
        <w:t>万股，回购价格为</w:t>
      </w:r>
      <w:r>
        <w:rPr>
          <w:rFonts w:ascii="Times New Roman" w:hAnsi="Times New Roman" w:cs="Times New Roman" w:eastAsia="Times New Roman" w:hint="default"/>
        </w:rPr>
        <w:t>2</w:t>
      </w:r>
      <w:r>
        <w:rPr/>
        <w:t>元</w:t>
      </w:r>
      <w:r>
        <w:rPr>
          <w:rFonts w:ascii="Times New Roman" w:hAnsi="Times New Roman" w:cs="Times New Roman" w:eastAsia="Times New Roman" w:hint="default"/>
        </w:rPr>
        <w:t>/</w:t>
      </w:r>
      <w:r>
        <w:rPr/>
        <w:t>股；回购注销预留的限制性股票</w:t>
      </w:r>
      <w:r>
        <w:rPr>
          <w:rFonts w:ascii="Times New Roman" w:hAnsi="Times New Roman" w:cs="Times New Roman" w:eastAsia="Times New Roman" w:hint="default"/>
        </w:rPr>
        <w:t>15.5</w:t>
      </w:r>
      <w:r>
        <w:rPr/>
        <w:t>万股， </w:t>
      </w:r>
      <w:r>
        <w:rPr>
          <w:spacing w:val="-2"/>
        </w:rPr>
        <w:t>回购价格为</w:t>
      </w:r>
      <w:r>
        <w:rPr>
          <w:rFonts w:ascii="Times New Roman" w:hAnsi="Times New Roman" w:cs="Times New Roman" w:eastAsia="Times New Roman" w:hint="default"/>
          <w:spacing w:val="-2"/>
        </w:rPr>
        <w:t>4.14</w:t>
      </w:r>
      <w:r>
        <w:rPr>
          <w:spacing w:val="-2"/>
        </w:rPr>
        <w:t>元</w:t>
      </w:r>
      <w:r>
        <w:rPr>
          <w:rFonts w:ascii="Times New Roman" w:hAnsi="Times New Roman" w:cs="Times New Roman" w:eastAsia="Times New Roman" w:hint="default"/>
          <w:spacing w:val="-2"/>
        </w:rPr>
        <w:t>/</w:t>
      </w:r>
      <w:r>
        <w:rPr>
          <w:spacing w:val="-2"/>
        </w:rPr>
        <w:t>股，根据公司本次股权激励计划的相关规定，公司将回购注销所有激励对象获授但尚未解锁的限制性股票</w:t>
      </w:r>
      <w:r>
        <w:rPr>
          <w:spacing w:val="-67"/>
        </w:rPr>
        <w:t> </w:t>
      </w:r>
      <w:r>
        <w:rPr>
          <w:spacing w:val="-67"/>
        </w:rPr>
      </w:r>
      <w:r>
        <w:rPr/>
        <w:t>共计</w:t>
      </w:r>
      <w:r>
        <w:rPr>
          <w:rFonts w:ascii="Times New Roman" w:hAnsi="Times New Roman" w:cs="Times New Roman" w:eastAsia="Times New Roman" w:hint="default"/>
        </w:rPr>
        <w:t>59.9</w:t>
      </w:r>
      <w:r>
        <w:rPr/>
        <w:t>万股，占股权激励计划限制性股票总数、回购注销前总股本分别为</w:t>
      </w:r>
      <w:r>
        <w:rPr>
          <w:rFonts w:ascii="Times New Roman" w:hAnsi="Times New Roman" w:cs="Times New Roman" w:eastAsia="Times New Roman" w:hint="default"/>
        </w:rPr>
        <w:t>44.50%</w:t>
      </w:r>
      <w:r>
        <w:rPr/>
        <w:t>、</w:t>
      </w:r>
      <w:r>
        <w:rPr>
          <w:rFonts w:ascii="Times New Roman" w:hAnsi="Times New Roman" w:cs="Times New Roman" w:eastAsia="Times New Roman" w:hint="default"/>
        </w:rPr>
        <w:t>0.10%</w:t>
      </w:r>
      <w:r>
        <w:rPr/>
        <w:t>。本次回购完成后公司总股本将 由</w:t>
      </w:r>
      <w:r>
        <w:rPr>
          <w:rFonts w:ascii="Times New Roman" w:hAnsi="Times New Roman" w:cs="Times New Roman" w:eastAsia="Times New Roman" w:hint="default"/>
        </w:rPr>
        <w:t>57,713.1117</w:t>
      </w:r>
      <w:r>
        <w:rPr/>
        <w:t>万股减少至</w:t>
      </w:r>
      <w:r>
        <w:rPr>
          <w:rFonts w:ascii="Times New Roman" w:hAnsi="Times New Roman" w:cs="Times New Roman" w:eastAsia="Times New Roman" w:hint="default"/>
        </w:rPr>
        <w:t>57,653.2117</w:t>
      </w:r>
      <w:r>
        <w:rPr/>
        <w:t>万股，注册资本也相应由</w:t>
      </w:r>
      <w:r>
        <w:rPr>
          <w:rFonts w:ascii="Times New Roman" w:hAnsi="Times New Roman" w:cs="Times New Roman" w:eastAsia="Times New Roman" w:hint="default"/>
        </w:rPr>
        <w:t>57,713.1117</w:t>
      </w:r>
      <w:r>
        <w:rPr/>
        <w:t>万元减少至</w:t>
      </w:r>
      <w:r>
        <w:rPr>
          <w:rFonts w:ascii="Times New Roman" w:hAnsi="Times New Roman" w:cs="Times New Roman" w:eastAsia="Times New Roman" w:hint="default"/>
        </w:rPr>
        <w:t>57,653.2117</w:t>
      </w:r>
      <w:r>
        <w:rPr/>
        <w:t>万元。</w:t>
      </w:r>
    </w:p>
    <w:p>
      <w:pPr>
        <w:pStyle w:val="BodyText"/>
        <w:spacing w:line="340" w:lineRule="auto" w:before="17"/>
        <w:ind w:right="94" w:firstLine="360"/>
        <w:jc w:val="left"/>
      </w:pPr>
      <w:r>
        <w:rPr/>
        <w:t>根据麦达数字公司于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日召开第四届董事会第二十八次会议审议通过《关于回购注销部分限制性股票的议 </w:t>
      </w:r>
      <w:r>
        <w:rPr>
          <w:spacing w:val="-2"/>
        </w:rPr>
        <w:t>案》，鉴于原激励对象陶虎成因离职而不再符合激励条件，根据《公司股票期权与限制性股票激励计划（草案）》的相关规</w:t>
      </w:r>
      <w:r>
        <w:rPr>
          <w:spacing w:val="-73"/>
        </w:rPr>
        <w:t> </w:t>
      </w:r>
      <w:r>
        <w:rPr>
          <w:spacing w:val="-73"/>
        </w:rPr>
      </w:r>
      <w:r>
        <w:rPr>
          <w:spacing w:val="-2"/>
        </w:rPr>
        <w:t>定，公司董事会对陶虎成持有的已获授但尚未解锁的限制性股票</w:t>
      </w:r>
      <w:r>
        <w:rPr>
          <w:rFonts w:ascii="Times New Roman" w:hAnsi="Times New Roman" w:cs="Times New Roman" w:eastAsia="Times New Roman" w:hint="default"/>
          <w:spacing w:val="-2"/>
        </w:rPr>
        <w:t>15</w:t>
      </w:r>
      <w:r>
        <w:rPr>
          <w:spacing w:val="-2"/>
        </w:rPr>
        <w:t>万股进行回购注销，回购价格为</w:t>
      </w:r>
      <w:r>
        <w:rPr>
          <w:rFonts w:ascii="Times New Roman" w:hAnsi="Times New Roman" w:cs="Times New Roman" w:eastAsia="Times New Roman" w:hint="default"/>
          <w:spacing w:val="-2"/>
        </w:rPr>
        <w:t>4.14</w:t>
      </w:r>
      <w:r>
        <w:rPr>
          <w:spacing w:val="-2"/>
        </w:rPr>
        <w:t>元</w:t>
      </w:r>
      <w:r>
        <w:rPr>
          <w:rFonts w:ascii="Times New Roman" w:hAnsi="Times New Roman" w:cs="Times New Roman" w:eastAsia="Times New Roman" w:hint="default"/>
          <w:spacing w:val="-2"/>
        </w:rPr>
        <w:t>/</w:t>
      </w:r>
      <w:r>
        <w:rPr>
          <w:spacing w:val="-2"/>
        </w:rPr>
        <w:t>股，本次回购注销</w:t>
      </w:r>
      <w:r>
        <w:rPr>
          <w:spacing w:val="-64"/>
        </w:rPr>
        <w:t> </w:t>
      </w:r>
      <w:r>
        <w:rPr>
          <w:spacing w:val="-64"/>
        </w:rPr>
      </w:r>
      <w:r>
        <w:rPr>
          <w:spacing w:val="-2"/>
        </w:rPr>
        <w:t>的限制性股票系陶虎成剩余尚未解锁的限制性股票数量合计</w:t>
      </w:r>
      <w:r>
        <w:rPr>
          <w:rFonts w:ascii="Times New Roman" w:hAnsi="Times New Roman" w:cs="Times New Roman" w:eastAsia="Times New Roman" w:hint="default"/>
          <w:spacing w:val="-2"/>
        </w:rPr>
        <w:t>15</w:t>
      </w:r>
      <w:r>
        <w:rPr>
          <w:spacing w:val="-2"/>
        </w:rPr>
        <w:t>万股。本次公司决定回购注销的限制性股票数量分别占股权激</w:t>
      </w:r>
      <w:r>
        <w:rPr>
          <w:spacing w:val="-62"/>
        </w:rPr>
        <w:t> </w:t>
      </w:r>
      <w:r>
        <w:rPr>
          <w:spacing w:val="-62"/>
        </w:rPr>
      </w:r>
      <w:r>
        <w:rPr/>
        <w:t>励计划限制性股票总数、回购注销前总股本的</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0.03%</w:t>
      </w:r>
      <w:r>
        <w:rPr/>
        <w:t>。本次回购完成后公司总股本将由</w:t>
      </w:r>
      <w:r>
        <w:rPr>
          <w:rFonts w:ascii="Times New Roman" w:hAnsi="Times New Roman" w:cs="Times New Roman" w:eastAsia="Times New Roman" w:hint="default"/>
        </w:rPr>
        <w:t>57,653.2117</w:t>
      </w:r>
      <w:r>
        <w:rPr/>
        <w:t>万股减少至 </w:t>
      </w:r>
      <w:r>
        <w:rPr>
          <w:rFonts w:ascii="Times New Roman" w:hAnsi="Times New Roman" w:cs="Times New Roman" w:eastAsia="Times New Roman" w:hint="default"/>
        </w:rPr>
        <w:t>57,638.2117</w:t>
      </w:r>
      <w:r>
        <w:rPr/>
        <w:t>万股，注册资本也相应由</w:t>
      </w:r>
      <w:r>
        <w:rPr>
          <w:rFonts w:ascii="Times New Roman" w:hAnsi="Times New Roman" w:cs="Times New Roman" w:eastAsia="Times New Roman" w:hint="default"/>
        </w:rPr>
        <w:t>57,653.2117</w:t>
      </w:r>
      <w:r>
        <w:rPr/>
        <w:t>万元减少至</w:t>
      </w:r>
      <w:r>
        <w:rPr>
          <w:rFonts w:ascii="Times New Roman" w:hAnsi="Times New Roman" w:cs="Times New Roman" w:eastAsia="Times New Roman" w:hint="default"/>
        </w:rPr>
        <w:t>57,638.2117</w:t>
      </w:r>
      <w:r>
        <w:rPr/>
        <w:t>万元。</w:t>
      </w:r>
    </w:p>
    <w:p>
      <w:pPr>
        <w:pStyle w:val="BodyText"/>
        <w:spacing w:line="240" w:lineRule="auto" w:before="17"/>
        <w:ind w:left="513" w:right="94"/>
        <w:jc w:val="left"/>
      </w:pPr>
      <w:r>
        <w:rPr/>
        <w:t>根据麦达数字公司于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日召开第四届董事会第三十四次会议审议通过了《关于回购注销已离职激励对象的限</w:t>
      </w:r>
    </w:p>
    <w:p>
      <w:pPr>
        <w:spacing w:after="0" w:line="240" w:lineRule="auto"/>
        <w:jc w:val="left"/>
        <w:sectPr>
          <w:footerReference w:type="default" r:id="rId23"/>
          <w:pgSz w:w="11910" w:h="16840"/>
          <w:pgMar w:footer="980" w:header="745" w:top="1060" w:bottom="1160" w:left="980" w:right="940"/>
          <w:pgNumType w:start="106"/>
        </w:sectPr>
      </w:pPr>
    </w:p>
    <w:p>
      <w:pPr>
        <w:spacing w:line="240" w:lineRule="auto" w:before="8"/>
        <w:rPr>
          <w:rFonts w:ascii="宋体" w:hAnsi="宋体" w:cs="宋体" w:eastAsia="宋体" w:hint="default"/>
          <w:sz w:val="22"/>
          <w:szCs w:val="22"/>
        </w:rPr>
      </w:pPr>
    </w:p>
    <w:p>
      <w:pPr>
        <w:pStyle w:val="BodyText"/>
        <w:spacing w:line="343" w:lineRule="auto" w:before="44"/>
        <w:ind w:right="94"/>
        <w:jc w:val="left"/>
      </w:pPr>
      <w:r>
        <w:rPr>
          <w:spacing w:val="-7"/>
        </w:rPr>
        <w:t>制性股票的议案》，鉴于原激励对象赵作荣因离职而不再符合激励条件，根据《公司股票期权与限制性股票激励计划（草案）》</w:t>
      </w:r>
      <w:r>
        <w:rPr>
          <w:spacing w:val="-54"/>
        </w:rPr>
        <w:t> </w:t>
      </w:r>
      <w:r>
        <w:rPr>
          <w:spacing w:val="-54"/>
        </w:rPr>
      </w:r>
      <w:r>
        <w:rPr/>
        <w:t>的相关规定，公司董事会对赵作荣持有的已获授但尚未解锁的限制性股票</w:t>
      </w:r>
      <w:r>
        <w:rPr>
          <w:rFonts w:ascii="Times New Roman" w:hAnsi="Times New Roman" w:cs="Times New Roman" w:eastAsia="Times New Roman" w:hint="default"/>
        </w:rPr>
        <w:t>6</w:t>
      </w:r>
      <w:r>
        <w:rPr/>
        <w:t>万股进行回购注销，回购价格为</w:t>
      </w:r>
      <w:r>
        <w:rPr>
          <w:rFonts w:ascii="Times New Roman" w:hAnsi="Times New Roman" w:cs="Times New Roman" w:eastAsia="Times New Roman" w:hint="default"/>
        </w:rPr>
        <w:t>2</w:t>
      </w:r>
      <w:r>
        <w:rPr/>
        <w:t>元</w:t>
      </w:r>
      <w:r>
        <w:rPr>
          <w:rFonts w:ascii="Times New Roman" w:hAnsi="Times New Roman" w:cs="Times New Roman" w:eastAsia="Times New Roman" w:hint="default"/>
        </w:rPr>
        <w:t>/</w:t>
      </w:r>
      <w:r>
        <w:rPr/>
        <w:t>股，本次回 购注销的限制性股票系作荣剩余尚未解锁的限制性股票数量合计</w:t>
      </w:r>
      <w:r>
        <w:rPr>
          <w:rFonts w:ascii="Times New Roman" w:hAnsi="Times New Roman" w:cs="Times New Roman" w:eastAsia="Times New Roman" w:hint="default"/>
        </w:rPr>
        <w:t>6</w:t>
      </w:r>
      <w:r>
        <w:rPr/>
        <w:t>万股。本次公司决定回购注销的限制性股票数量分别占本 次回购注销前公司股权激励计划之限制性股票总数的</w:t>
      </w:r>
      <w:r>
        <w:rPr>
          <w:rFonts w:ascii="Times New Roman" w:hAnsi="Times New Roman" w:cs="Times New Roman" w:eastAsia="Times New Roman" w:hint="default"/>
        </w:rPr>
        <w:t>10.05%</w:t>
      </w:r>
      <w:r>
        <w:rPr/>
        <w:t>，占公司回购注销前总股本的</w:t>
      </w:r>
      <w:r>
        <w:rPr>
          <w:rFonts w:ascii="Times New Roman" w:hAnsi="Times New Roman" w:cs="Times New Roman" w:eastAsia="Times New Roman" w:hint="default"/>
        </w:rPr>
        <w:t>0.01%</w:t>
      </w:r>
      <w:r>
        <w:rPr/>
        <w:t>，本次回购注销完成后，公 司总股本将由</w:t>
      </w:r>
      <w:r>
        <w:rPr>
          <w:rFonts w:ascii="Times New Roman" w:hAnsi="Times New Roman" w:cs="Times New Roman" w:eastAsia="Times New Roman" w:hint="default"/>
        </w:rPr>
        <w:t>57,638.2117</w:t>
      </w:r>
      <w:r>
        <w:rPr/>
        <w:t>万股减少为</w:t>
      </w:r>
      <w:r>
        <w:rPr>
          <w:rFonts w:ascii="Times New Roman" w:hAnsi="Times New Roman" w:cs="Times New Roman" w:eastAsia="Times New Roman" w:hint="default"/>
        </w:rPr>
        <w:t>57,632.2117</w:t>
      </w:r>
      <w:r>
        <w:rPr/>
        <w:t>万股，注册资本也相应由</w:t>
      </w:r>
      <w:r>
        <w:rPr>
          <w:rFonts w:ascii="Times New Roman" w:hAnsi="Times New Roman" w:cs="Times New Roman" w:eastAsia="Times New Roman" w:hint="default"/>
        </w:rPr>
        <w:t>57,638.2117</w:t>
      </w:r>
      <w:r>
        <w:rPr/>
        <w:t>万元减少为</w:t>
      </w:r>
      <w:r>
        <w:rPr>
          <w:rFonts w:ascii="Times New Roman" w:hAnsi="Times New Roman" w:cs="Times New Roman" w:eastAsia="Times New Roman" w:hint="default"/>
        </w:rPr>
        <w:t>57,632.2117</w:t>
      </w:r>
      <w:r>
        <w:rPr/>
        <w:t>万元。</w:t>
      </w:r>
    </w:p>
    <w:p>
      <w:pPr>
        <w:pStyle w:val="BodyText"/>
        <w:spacing w:line="340" w:lineRule="auto" w:before="13"/>
        <w:ind w:right="94" w:firstLine="360"/>
        <w:jc w:val="left"/>
      </w:pPr>
      <w:r>
        <w:rPr/>
        <w:t>根据麦达数字公司于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日召开第四届董事会第三十五次会议审议通过了《关于注销</w:t>
      </w:r>
      <w:r>
        <w:rPr>
          <w:rFonts w:ascii="Times New Roman" w:hAnsi="Times New Roman" w:cs="Times New Roman" w:eastAsia="Times New Roman" w:hint="default"/>
        </w:rPr>
        <w:t>/</w:t>
      </w:r>
      <w:r>
        <w:rPr/>
        <w:t>回购注销未达行权</w:t>
      </w:r>
      <w:r>
        <w:rPr>
          <w:rFonts w:ascii="Times New Roman" w:hAnsi="Times New Roman" w:cs="Times New Roman" w:eastAsia="Times New Roman" w:hint="default"/>
        </w:rPr>
        <w:t>/</w:t>
      </w:r>
      <w:r>
        <w:rPr/>
        <w:t>解锁 </w:t>
      </w:r>
      <w:r>
        <w:rPr>
          <w:spacing w:val="-2"/>
        </w:rPr>
        <w:t>条件的股票期权和限制性股票的议案》，因公司股权激励计划首次授予部分的第三个解锁期及预留部分第二个解锁期未达到</w:t>
      </w:r>
      <w:r>
        <w:rPr>
          <w:spacing w:val="-64"/>
        </w:rPr>
        <w:t> </w:t>
      </w:r>
      <w:r>
        <w:rPr>
          <w:spacing w:val="-64"/>
        </w:rPr>
      </w:r>
      <w:r>
        <w:rPr>
          <w:spacing w:val="-1"/>
        </w:rPr>
        <w:t>解锁条件，公司决定回购注销激励对象所持有的未达到解锁条件的限制性股票</w:t>
      </w:r>
      <w:r>
        <w:rPr>
          <w:rFonts w:ascii="Times New Roman" w:hAnsi="Times New Roman" w:cs="Times New Roman" w:eastAsia="Times New Roman" w:hint="default"/>
          <w:spacing w:val="-1"/>
        </w:rPr>
        <w:t>53.7</w:t>
      </w:r>
      <w:r>
        <w:rPr>
          <w:spacing w:val="-1"/>
        </w:rPr>
        <w:t>万股，其中回购注销首次授予的限制性股</w:t>
      </w:r>
      <w:r>
        <w:rPr>
          <w:spacing w:val="-72"/>
        </w:rPr>
        <w:t> </w:t>
      </w:r>
      <w:r>
        <w:rPr>
          <w:spacing w:val="-72"/>
        </w:rPr>
      </w:r>
      <w:r>
        <w:rPr>
          <w:spacing w:val="-1"/>
        </w:rPr>
        <w:t>票</w:t>
      </w:r>
      <w:r>
        <w:rPr>
          <w:rFonts w:ascii="Times New Roman" w:hAnsi="Times New Roman" w:cs="Times New Roman" w:eastAsia="Times New Roman" w:hint="default"/>
          <w:spacing w:val="-1"/>
        </w:rPr>
        <w:t>53.2</w:t>
      </w:r>
      <w:r>
        <w:rPr>
          <w:spacing w:val="-1"/>
        </w:rPr>
        <w:t>万股，回购价格为</w:t>
      </w:r>
      <w:r>
        <w:rPr>
          <w:rFonts w:ascii="Times New Roman" w:hAnsi="Times New Roman" w:cs="Times New Roman" w:eastAsia="Times New Roman" w:hint="default"/>
          <w:spacing w:val="-1"/>
        </w:rPr>
        <w:t>2</w:t>
      </w:r>
      <w:r>
        <w:rPr>
          <w:spacing w:val="-1"/>
        </w:rPr>
        <w:t>元</w:t>
      </w:r>
      <w:r>
        <w:rPr>
          <w:rFonts w:ascii="Times New Roman" w:hAnsi="Times New Roman" w:cs="Times New Roman" w:eastAsia="Times New Roman" w:hint="default"/>
          <w:spacing w:val="-1"/>
        </w:rPr>
        <w:t>/</w:t>
      </w:r>
      <w:r>
        <w:rPr>
          <w:spacing w:val="-1"/>
        </w:rPr>
        <w:t>股；回购注销预留的限制性股票</w:t>
      </w:r>
      <w:r>
        <w:rPr>
          <w:rFonts w:ascii="Times New Roman" w:hAnsi="Times New Roman" w:cs="Times New Roman" w:eastAsia="Times New Roman" w:hint="default"/>
          <w:spacing w:val="-1"/>
        </w:rPr>
        <w:t>0.5</w:t>
      </w:r>
      <w:r>
        <w:rPr>
          <w:spacing w:val="-1"/>
        </w:rPr>
        <w:t>万股，回购价格为</w:t>
      </w:r>
      <w:r>
        <w:rPr>
          <w:rFonts w:ascii="Times New Roman" w:hAnsi="Times New Roman" w:cs="Times New Roman" w:eastAsia="Times New Roman" w:hint="default"/>
          <w:spacing w:val="-1"/>
        </w:rPr>
        <w:t>4.14</w:t>
      </w:r>
      <w:r>
        <w:rPr>
          <w:spacing w:val="-1"/>
        </w:rPr>
        <w:t>元</w:t>
      </w:r>
      <w:r>
        <w:rPr>
          <w:rFonts w:ascii="Times New Roman" w:hAnsi="Times New Roman" w:cs="Times New Roman" w:eastAsia="Times New Roman" w:hint="default"/>
          <w:spacing w:val="-1"/>
        </w:rPr>
        <w:t>/</w:t>
      </w:r>
      <w:r>
        <w:rPr>
          <w:spacing w:val="-1"/>
        </w:rPr>
        <w:t>股，根据公司本次股权激励计划的</w:t>
      </w:r>
      <w:r>
        <w:rPr>
          <w:spacing w:val="-82"/>
        </w:rPr>
        <w:t> </w:t>
      </w:r>
      <w:r>
        <w:rPr>
          <w:spacing w:val="-82"/>
        </w:rPr>
      </w:r>
      <w:r>
        <w:rPr/>
        <w:t>相关规定，公司将回购注销所有激励对象获授但尚未解锁的限制性股票共计</w:t>
      </w:r>
      <w:r>
        <w:rPr>
          <w:rFonts w:ascii="Times New Roman" w:hAnsi="Times New Roman" w:cs="Times New Roman" w:eastAsia="Times New Roman" w:hint="default"/>
        </w:rPr>
        <w:t>53.7</w:t>
      </w:r>
      <w:r>
        <w:rPr/>
        <w:t>万股。本次回购完成后公司总股本将由 </w:t>
      </w:r>
      <w:r>
        <w:rPr>
          <w:rFonts w:ascii="Times New Roman" w:hAnsi="Times New Roman" w:cs="Times New Roman" w:eastAsia="Times New Roman" w:hint="default"/>
        </w:rPr>
        <w:t>57,632.2117</w:t>
      </w:r>
      <w:r>
        <w:rPr/>
        <w:t>万股减少至</w:t>
      </w:r>
      <w:r>
        <w:rPr>
          <w:rFonts w:ascii="Times New Roman" w:hAnsi="Times New Roman" w:cs="Times New Roman" w:eastAsia="Times New Roman" w:hint="default"/>
        </w:rPr>
        <w:t>57,578.5117</w:t>
      </w:r>
      <w:r>
        <w:rPr/>
        <w:t>万股，注册资本也相应由</w:t>
      </w:r>
      <w:r>
        <w:rPr>
          <w:rFonts w:ascii="Times New Roman" w:hAnsi="Times New Roman" w:cs="Times New Roman" w:eastAsia="Times New Roman" w:hint="default"/>
        </w:rPr>
        <w:t>57,632.2117</w:t>
      </w:r>
      <w:r>
        <w:rPr/>
        <w:t>万元减少至</w:t>
      </w:r>
      <w:r>
        <w:rPr>
          <w:rFonts w:ascii="Times New Roman" w:hAnsi="Times New Roman" w:cs="Times New Roman" w:eastAsia="Times New Roman" w:hint="default"/>
        </w:rPr>
        <w:t>57,578.5117</w:t>
      </w:r>
      <w:r>
        <w:rPr/>
        <w:t>万元。</w:t>
      </w:r>
    </w:p>
    <w:p>
      <w:pPr>
        <w:pStyle w:val="BodyText"/>
        <w:spacing w:line="338" w:lineRule="auto" w:before="17"/>
        <w:ind w:right="172" w:firstLine="360"/>
        <w:jc w:val="left"/>
      </w:pPr>
      <w:r>
        <w:rPr/>
        <w:t>根据麦达数字公司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日召开的第四届董事会第三十七次会议审议通过的《关于公司</w:t>
      </w:r>
      <w:r>
        <w:rPr>
          <w:rFonts w:ascii="Times New Roman" w:hAnsi="Times New Roman" w:cs="Times New Roman" w:eastAsia="Times New Roman" w:hint="default"/>
        </w:rPr>
        <w:t>&lt;2017</w:t>
      </w:r>
      <w:r>
        <w:rPr/>
        <w:t>年度限制性股票激励 </w:t>
      </w:r>
      <w:r>
        <w:rPr>
          <w:spacing w:val="-1"/>
        </w:rPr>
        <w:t>计划（草案）</w:t>
      </w:r>
      <w:r>
        <w:rPr>
          <w:rFonts w:ascii="Times New Roman" w:hAnsi="Times New Roman" w:cs="Times New Roman" w:eastAsia="Times New Roman" w:hint="default"/>
          <w:spacing w:val="-1"/>
        </w:rPr>
        <w:t>&gt;</w:t>
      </w:r>
      <w:r>
        <w:rPr>
          <w:spacing w:val="-1"/>
        </w:rPr>
        <w:t>及其摘要的议案》、《关于公司</w:t>
      </w:r>
      <w:r>
        <w:rPr>
          <w:rFonts w:ascii="Times New Roman" w:hAnsi="Times New Roman" w:cs="Times New Roman" w:eastAsia="Times New Roman" w:hint="default"/>
          <w:spacing w:val="-1"/>
        </w:rPr>
        <w:t>&lt;2017</w:t>
      </w:r>
      <w:r>
        <w:rPr>
          <w:spacing w:val="-1"/>
        </w:rPr>
        <w:t>年度限制性股票激励计划实施考核管理办法</w:t>
      </w:r>
      <w:r>
        <w:rPr>
          <w:rFonts w:ascii="Times New Roman" w:hAnsi="Times New Roman" w:cs="Times New Roman" w:eastAsia="Times New Roman" w:hint="default"/>
          <w:spacing w:val="-1"/>
        </w:rPr>
        <w:t>&gt;</w:t>
      </w:r>
      <w:r>
        <w:rPr>
          <w:spacing w:val="-1"/>
        </w:rPr>
        <w:t>的议案》、《关于提请股</w:t>
      </w:r>
      <w:r>
        <w:rPr>
          <w:spacing w:val="-63"/>
        </w:rPr>
        <w:t> </w:t>
      </w:r>
      <w:r>
        <w:rPr>
          <w:spacing w:val="-63"/>
        </w:rPr>
      </w:r>
      <w:r>
        <w:rPr>
          <w:spacing w:val="-2"/>
        </w:rPr>
        <w:t>东大会授权董事会办理公司</w:t>
      </w:r>
      <w:r>
        <w:rPr>
          <w:rFonts w:ascii="Times New Roman" w:hAnsi="Times New Roman" w:cs="Times New Roman" w:eastAsia="Times New Roman" w:hint="default"/>
          <w:spacing w:val="-2"/>
        </w:rPr>
        <w:t>2017</w:t>
      </w:r>
      <w:r>
        <w:rPr>
          <w:spacing w:val="-2"/>
        </w:rPr>
        <w:t>年度限制性股票激励计划相关事宜的议案》；</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4</w:t>
      </w:r>
      <w:r>
        <w:rPr>
          <w:spacing w:val="-2"/>
        </w:rPr>
        <w:t>日召开的第四届监事会第三十二次</w:t>
      </w:r>
      <w:r>
        <w:rPr>
          <w:spacing w:val="-55"/>
        </w:rPr>
        <w:t> </w:t>
      </w:r>
      <w:r>
        <w:rPr>
          <w:spacing w:val="-55"/>
        </w:rPr>
      </w:r>
      <w:r>
        <w:rPr>
          <w:spacing w:val="-1"/>
        </w:rPr>
        <w:t>会议审议通过的《关于公司</w:t>
      </w:r>
      <w:r>
        <w:rPr>
          <w:rFonts w:ascii="Times New Roman" w:hAnsi="Times New Roman" w:cs="Times New Roman" w:eastAsia="Times New Roman" w:hint="default"/>
          <w:spacing w:val="-1"/>
        </w:rPr>
        <w:t>&lt;2017</w:t>
      </w:r>
      <w:r>
        <w:rPr>
          <w:spacing w:val="-1"/>
        </w:rPr>
        <w:t>年度限制性股票激励计划（草案）</w:t>
      </w:r>
      <w:r>
        <w:rPr>
          <w:rFonts w:ascii="Times New Roman" w:hAnsi="Times New Roman" w:cs="Times New Roman" w:eastAsia="Times New Roman" w:hint="default"/>
          <w:spacing w:val="-1"/>
        </w:rPr>
        <w:t>&gt;</w:t>
      </w:r>
      <w:r>
        <w:rPr>
          <w:spacing w:val="-1"/>
        </w:rPr>
        <w:t>及其摘要的议案》、《关于公司</w:t>
      </w:r>
      <w:r>
        <w:rPr>
          <w:rFonts w:ascii="Times New Roman" w:hAnsi="Times New Roman" w:cs="Times New Roman" w:eastAsia="Times New Roman" w:hint="default"/>
          <w:spacing w:val="-1"/>
        </w:rPr>
        <w:t>&lt;2017</w:t>
      </w:r>
      <w:r>
        <w:rPr>
          <w:spacing w:val="-1"/>
        </w:rPr>
        <w:t>年度限制性股票</w:t>
      </w:r>
      <w:r>
        <w:rPr>
          <w:spacing w:val="-59"/>
        </w:rPr>
        <w:t> </w:t>
      </w:r>
      <w:r>
        <w:rPr>
          <w:spacing w:val="-4"/>
        </w:rPr>
        <w:t>激励计划实施考核管理办法</w:t>
      </w:r>
      <w:r>
        <w:rPr>
          <w:rFonts w:ascii="Times New Roman" w:hAnsi="Times New Roman" w:cs="Times New Roman" w:eastAsia="Times New Roman" w:hint="default"/>
          <w:spacing w:val="-4"/>
        </w:rPr>
        <w:t>&gt;</w:t>
      </w:r>
      <w:r>
        <w:rPr>
          <w:spacing w:val="-4"/>
        </w:rPr>
        <w:t>的议案》、《关于公司</w:t>
      </w:r>
      <w:r>
        <w:rPr>
          <w:rFonts w:ascii="Times New Roman" w:hAnsi="Times New Roman" w:cs="Times New Roman" w:eastAsia="Times New Roman" w:hint="default"/>
          <w:spacing w:val="-4"/>
        </w:rPr>
        <w:t>&lt;2017</w:t>
      </w:r>
      <w:r>
        <w:rPr>
          <w:spacing w:val="-4"/>
        </w:rPr>
        <w:t>年度限制性股票激励对象名单</w:t>
      </w:r>
      <w:r>
        <w:rPr>
          <w:rFonts w:ascii="Times New Roman" w:hAnsi="Times New Roman" w:cs="Times New Roman" w:eastAsia="Times New Roman" w:hint="default"/>
          <w:spacing w:val="-4"/>
        </w:rPr>
        <w:t>&gt;</w:t>
      </w:r>
      <w:r>
        <w:rPr>
          <w:spacing w:val="-4"/>
        </w:rPr>
        <w:t>的议案》；</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5</w:t>
      </w:r>
      <w:r>
        <w:rPr>
          <w:spacing w:val="-4"/>
        </w:rPr>
        <w:t>日召开的</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spacing w:val="-1"/>
        </w:rPr>
        <w:t>年度股东大会审议通过的《关于公司</w:t>
      </w:r>
      <w:r>
        <w:rPr>
          <w:rFonts w:ascii="Times New Roman" w:hAnsi="Times New Roman" w:cs="Times New Roman" w:eastAsia="Times New Roman" w:hint="default"/>
          <w:spacing w:val="-1"/>
        </w:rPr>
        <w:t>&lt;2017</w:t>
      </w:r>
      <w:r>
        <w:rPr>
          <w:spacing w:val="-1"/>
        </w:rPr>
        <w:t>年度限制性股票激励计划（草案）</w:t>
      </w:r>
      <w:r>
        <w:rPr>
          <w:rFonts w:ascii="Times New Roman" w:hAnsi="Times New Roman" w:cs="Times New Roman" w:eastAsia="Times New Roman" w:hint="default"/>
          <w:spacing w:val="-1"/>
        </w:rPr>
        <w:t>&gt;</w:t>
      </w:r>
      <w:r>
        <w:rPr>
          <w:spacing w:val="-1"/>
        </w:rPr>
        <w:t>及其摘要的议案》、《关于公司</w:t>
      </w:r>
      <w:r>
        <w:rPr>
          <w:rFonts w:ascii="Times New Roman" w:hAnsi="Times New Roman" w:cs="Times New Roman" w:eastAsia="Times New Roman" w:hint="default"/>
          <w:spacing w:val="-1"/>
        </w:rPr>
        <w:t>&lt;2017</w:t>
      </w:r>
      <w:r>
        <w:rPr>
          <w:spacing w:val="-1"/>
        </w:rPr>
        <w:t>年度限</w:t>
      </w:r>
      <w:r>
        <w:rPr>
          <w:spacing w:val="-59"/>
        </w:rPr>
        <w:t> </w:t>
      </w:r>
      <w:r>
        <w:rPr/>
        <w:t>制性股票激励计划实施考核管理办法</w:t>
      </w:r>
      <w:r>
        <w:rPr>
          <w:rFonts w:ascii="Times New Roman" w:hAnsi="Times New Roman" w:cs="Times New Roman" w:eastAsia="Times New Roman" w:hint="default"/>
        </w:rPr>
        <w:t>&gt;</w:t>
      </w:r>
      <w:r>
        <w:rPr/>
        <w:t>的议案》、《关于提请股东大会授权董事会办理公司</w:t>
      </w:r>
      <w:r>
        <w:rPr>
          <w:rFonts w:ascii="Times New Roman" w:hAnsi="Times New Roman" w:cs="Times New Roman" w:eastAsia="Times New Roman" w:hint="default"/>
        </w:rPr>
        <w:t>2017</w:t>
      </w:r>
      <w:r>
        <w:rPr/>
        <w:t>年度限制性股票激励计划相 </w:t>
      </w:r>
      <w:r>
        <w:rPr>
          <w:spacing w:val="-2"/>
        </w:rPr>
        <w:t>关事宜的议案》；以及</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5</w:t>
      </w:r>
      <w:r>
        <w:rPr>
          <w:spacing w:val="-2"/>
        </w:rPr>
        <w:t>日召开的第四届董事会第三十九次会议、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5</w:t>
      </w:r>
      <w:r>
        <w:rPr>
          <w:spacing w:val="-2"/>
        </w:rPr>
        <w:t>日召开的第四届监事会第三十三次会</w:t>
      </w:r>
      <w:r>
        <w:rPr>
          <w:spacing w:val="-56"/>
        </w:rPr>
        <w:t> </w:t>
      </w:r>
      <w:r>
        <w:rPr>
          <w:spacing w:val="-56"/>
        </w:rPr>
      </w:r>
      <w:r>
        <w:rPr/>
        <w:t>议审议通过的《关于向</w:t>
      </w:r>
      <w:r>
        <w:rPr>
          <w:rFonts w:ascii="Times New Roman" w:hAnsi="Times New Roman" w:cs="Times New Roman" w:eastAsia="Times New Roman" w:hint="default"/>
        </w:rPr>
        <w:t>2017</w:t>
      </w:r>
      <w:r>
        <w:rPr/>
        <w:t>年度限制性股票激励计划激励对象授予限制性股票的议案》</w:t>
      </w:r>
      <w:r>
        <w:rPr>
          <w:rFonts w:ascii="Times New Roman" w:hAnsi="Times New Roman" w:cs="Times New Roman" w:eastAsia="Times New Roman" w:hint="default"/>
        </w:rPr>
        <w:t>,</w:t>
      </w:r>
      <w:r>
        <w:rPr/>
        <w:t>本公司向</w:t>
      </w:r>
      <w:r>
        <w:rPr>
          <w:rFonts w:ascii="Times New Roman" w:hAnsi="Times New Roman" w:cs="Times New Roman" w:eastAsia="Times New Roman" w:hint="default"/>
        </w:rPr>
        <w:t>44</w:t>
      </w:r>
      <w:r>
        <w:rPr/>
        <w:t>名激励对象授予限制性 股票共</w:t>
      </w:r>
      <w:r>
        <w:rPr>
          <w:rFonts w:ascii="Times New Roman" w:hAnsi="Times New Roman" w:cs="Times New Roman" w:eastAsia="Times New Roman" w:hint="default"/>
        </w:rPr>
        <w:t>363.1207</w:t>
      </w:r>
      <w:r>
        <w:rPr/>
        <w:t>万股，授予价格为</w:t>
      </w:r>
      <w:r>
        <w:rPr>
          <w:rFonts w:ascii="Times New Roman" w:hAnsi="Times New Roman" w:cs="Times New Roman" w:eastAsia="Times New Roman" w:hint="default"/>
        </w:rPr>
        <w:t>5.45</w:t>
      </w:r>
      <w:r>
        <w:rPr/>
        <w:t>元</w:t>
      </w:r>
      <w:r>
        <w:rPr>
          <w:rFonts w:ascii="Times New Roman" w:hAnsi="Times New Roman" w:cs="Times New Roman" w:eastAsia="Times New Roman" w:hint="default"/>
        </w:rPr>
        <w:t>/</w:t>
      </w:r>
      <w:r>
        <w:rPr/>
        <w:t>股。截至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日止，麦达数字公司已收到股权激励对象共</w:t>
      </w:r>
      <w:r>
        <w:rPr>
          <w:rFonts w:ascii="Times New Roman" w:hAnsi="Times New Roman" w:cs="Times New Roman" w:eastAsia="Times New Roman" w:hint="default"/>
        </w:rPr>
        <w:t>44</w:t>
      </w:r>
      <w:r>
        <w:rPr/>
        <w:t>人缴纳的股权 激励增资款合计人民币</w:t>
      </w:r>
      <w:r>
        <w:rPr>
          <w:rFonts w:ascii="Times New Roman" w:hAnsi="Times New Roman" w:cs="Times New Roman" w:eastAsia="Times New Roman" w:hint="default"/>
        </w:rPr>
        <w:t>19,790,086.55</w:t>
      </w:r>
      <w:r>
        <w:rPr/>
        <w:t>元（大写：人民币壹仟玖佰柒拾玖万零捌拾陆元伍角伍分），各股东以货币出资 </w:t>
      </w:r>
      <w:r>
        <w:rPr>
          <w:rFonts w:ascii="Times New Roman" w:hAnsi="Times New Roman" w:cs="Times New Roman" w:eastAsia="Times New Roman" w:hint="default"/>
        </w:rPr>
        <w:t>19,790,086.55</w:t>
      </w:r>
      <w:r>
        <w:rPr/>
        <w:t>元。麦达数字公司增加股本人民币</w:t>
      </w:r>
      <w:r>
        <w:rPr>
          <w:rFonts w:ascii="Times New Roman" w:hAnsi="Times New Roman" w:cs="Times New Roman" w:eastAsia="Times New Roman" w:hint="default"/>
        </w:rPr>
        <w:t>363.1207</w:t>
      </w:r>
      <w:r>
        <w:rPr/>
        <w:t>万元，变更完成后股本为人民币</w:t>
      </w:r>
      <w:r>
        <w:rPr>
          <w:rFonts w:ascii="Times New Roman" w:hAnsi="Times New Roman" w:cs="Times New Roman" w:eastAsia="Times New Roman" w:hint="default"/>
        </w:rPr>
        <w:t>57,941.6324</w:t>
      </w:r>
      <w:r>
        <w:rPr/>
        <w:t>万元。</w:t>
      </w:r>
    </w:p>
    <w:p>
      <w:pPr>
        <w:pStyle w:val="BodyText"/>
        <w:spacing w:line="336" w:lineRule="auto" w:before="20"/>
        <w:ind w:right="94" w:firstLine="360"/>
        <w:jc w:val="left"/>
      </w:pPr>
      <w:r>
        <w:rPr/>
        <w:t>根据公司《</w:t>
      </w:r>
      <w:r>
        <w:rPr>
          <w:rFonts w:ascii="Times New Roman" w:hAnsi="Times New Roman" w:cs="Times New Roman" w:eastAsia="Times New Roman" w:hint="default"/>
        </w:rPr>
        <w:t>2017</w:t>
      </w:r>
      <w:r>
        <w:rPr/>
        <w:t>年度限制性股票激励计划（草案）》的相关规定，鉴于激励对象吴建栋等</w:t>
      </w:r>
      <w:r>
        <w:rPr>
          <w:rFonts w:ascii="Times New Roman" w:hAnsi="Times New Roman" w:cs="Times New Roman" w:eastAsia="Times New Roman" w:hint="default"/>
        </w:rPr>
        <w:t>3</w:t>
      </w:r>
      <w:r>
        <w:rPr/>
        <w:t>人因离职已不再符合激励条 </w:t>
      </w:r>
      <w:r>
        <w:rPr>
          <w:spacing w:val="-2"/>
        </w:rPr>
        <w:t>件，公司于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w:t>
      </w:r>
      <w:r>
        <w:rPr>
          <w:spacing w:val="-2"/>
        </w:rPr>
        <w:t>日召开第五届董事会第六次会议审议通过了《关于回购注销已离职激励对象的限制性股票的议案》，</w:t>
      </w:r>
      <w:r>
        <w:rPr>
          <w:spacing w:val="-60"/>
        </w:rPr>
        <w:t> </w:t>
      </w:r>
      <w:r>
        <w:rPr>
          <w:spacing w:val="-60"/>
        </w:rPr>
      </w:r>
      <w:r>
        <w:rPr>
          <w:spacing w:val="-3"/>
        </w:rPr>
        <w:t>同意公司回购注销其所持有的已获授但尚未解锁的限制性股票合计</w:t>
      </w:r>
      <w:r>
        <w:rPr>
          <w:rFonts w:ascii="Times New Roman" w:hAnsi="Times New Roman" w:cs="Times New Roman" w:eastAsia="Times New Roman" w:hint="default"/>
          <w:spacing w:val="-3"/>
        </w:rPr>
        <w:t>72,534</w:t>
      </w:r>
      <w:r>
        <w:rPr>
          <w:spacing w:val="-3"/>
        </w:rPr>
        <w:t>股，其授予日为</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5</w:t>
      </w:r>
      <w:r>
        <w:rPr>
          <w:spacing w:val="-3"/>
        </w:rPr>
        <w:t>日，回购注销价格为</w:t>
      </w:r>
      <w:r>
        <w:rPr>
          <w:rFonts w:ascii="Times New Roman" w:hAnsi="Times New Roman" w:cs="Times New Roman" w:eastAsia="Times New Roman" w:hint="default"/>
          <w:spacing w:val="-3"/>
        </w:rPr>
        <w:t>5.45</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spacing w:val="-6"/>
        </w:rPr>
        <w:t>元</w:t>
      </w:r>
      <w:r>
        <w:rPr>
          <w:rFonts w:ascii="Times New Roman" w:hAnsi="Times New Roman" w:cs="Times New Roman" w:eastAsia="Times New Roman" w:hint="default"/>
          <w:spacing w:val="-6"/>
        </w:rPr>
        <w:t>/</w:t>
      </w:r>
      <w:r>
        <w:rPr>
          <w:spacing w:val="-6"/>
        </w:rPr>
        <w:t>股，涉及人数为</w:t>
      </w:r>
      <w:r>
        <w:rPr>
          <w:rFonts w:ascii="Times New Roman" w:hAnsi="Times New Roman" w:cs="Times New Roman" w:eastAsia="Times New Roman" w:hint="default"/>
          <w:spacing w:val="-6"/>
        </w:rPr>
        <w:t>3</w:t>
      </w:r>
      <w:r>
        <w:rPr>
          <w:spacing w:val="-6"/>
        </w:rPr>
        <w:t>人。本次回购注销的限制性股票占本次股权激励计划限制性股票总数、回购注销前总股本的</w:t>
      </w:r>
      <w:r>
        <w:rPr>
          <w:rFonts w:ascii="Times New Roman" w:hAnsi="Times New Roman" w:cs="Times New Roman" w:eastAsia="Times New Roman" w:hint="default"/>
          <w:spacing w:val="-6"/>
        </w:rPr>
        <w:t>1.80%</w:t>
      </w:r>
      <w:r>
        <w:rPr>
          <w:spacing w:val="-6"/>
        </w:rPr>
        <w:t>、</w:t>
      </w:r>
      <w:r>
        <w:rPr>
          <w:rFonts w:ascii="Times New Roman" w:hAnsi="Times New Roman" w:cs="Times New Roman" w:eastAsia="Times New Roman" w:hint="default"/>
          <w:spacing w:val="-6"/>
        </w:rPr>
        <w:t>0.01%</w:t>
      </w:r>
      <w:r>
        <w:rPr>
          <w:spacing w:val="-6"/>
        </w:rPr>
        <w:t>，</w:t>
      </w:r>
      <w:r>
        <w:rPr>
          <w:spacing w:val="-70"/>
        </w:rPr>
        <w:t> </w:t>
      </w:r>
      <w:r>
        <w:rPr/>
        <w:t>本次回购注销完成后公司总股本从</w:t>
      </w:r>
      <w:r>
        <w:rPr>
          <w:rFonts w:ascii="Times New Roman" w:hAnsi="Times New Roman" w:cs="Times New Roman" w:eastAsia="Times New Roman" w:hint="default"/>
        </w:rPr>
        <w:t>57,941.6324</w:t>
      </w:r>
      <w:r>
        <w:rPr/>
        <w:t>万股减至</w:t>
      </w:r>
      <w:r>
        <w:rPr>
          <w:rFonts w:ascii="Times New Roman" w:hAnsi="Times New Roman" w:cs="Times New Roman" w:eastAsia="Times New Roman" w:hint="default"/>
        </w:rPr>
        <w:t>57,934.3790</w:t>
      </w:r>
      <w:r>
        <w:rPr/>
        <w:t>万股</w:t>
      </w:r>
      <w:r>
        <w:rPr>
          <w:rFonts w:ascii="Times New Roman" w:hAnsi="Times New Roman" w:cs="Times New Roman" w:eastAsia="Times New Roman" w:hint="default"/>
        </w:rPr>
        <w:t>,</w:t>
      </w:r>
      <w:r>
        <w:rPr/>
        <w:t>注册资本也相应由</w:t>
      </w:r>
      <w:r>
        <w:rPr>
          <w:rFonts w:ascii="Times New Roman" w:hAnsi="Times New Roman" w:cs="Times New Roman" w:eastAsia="Times New Roman" w:hint="default"/>
        </w:rPr>
        <w:t>57,941.6324</w:t>
      </w:r>
      <w:r>
        <w:rPr/>
        <w:t>万元减少为 </w:t>
      </w:r>
      <w:r>
        <w:rPr>
          <w:rFonts w:ascii="Times New Roman" w:hAnsi="Times New Roman" w:cs="Times New Roman" w:eastAsia="Times New Roman" w:hint="default"/>
        </w:rPr>
        <w:t>57,934.379</w:t>
      </w:r>
      <w:r>
        <w:rPr/>
        <w:t>万元。</w:t>
      </w:r>
    </w:p>
    <w:p>
      <w:pPr>
        <w:pStyle w:val="BodyText"/>
        <w:spacing w:line="338" w:lineRule="auto" w:before="21"/>
        <w:ind w:left="513" w:right="1893"/>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日，公司累计发行股本总数</w:t>
      </w:r>
      <w:r>
        <w:rPr>
          <w:rFonts w:ascii="Times New Roman" w:hAnsi="Times New Roman" w:cs="Times New Roman" w:eastAsia="Times New Roman" w:hint="default"/>
        </w:rPr>
        <w:t>57,934.3790</w:t>
      </w:r>
      <w:r>
        <w:rPr/>
        <w:t>万股，公司注册资本为</w:t>
      </w:r>
      <w:r>
        <w:rPr>
          <w:rFonts w:ascii="Times New Roman" w:hAnsi="Times New Roman" w:cs="Times New Roman" w:eastAsia="Times New Roman" w:hint="default"/>
        </w:rPr>
        <w:t>57,934.3790</w:t>
      </w:r>
      <w:r>
        <w:rPr/>
        <w:t>万元 总部地址：深圳市福田区彩田路新浩</w:t>
      </w:r>
      <w:r>
        <w:rPr>
          <w:rFonts w:ascii="Times New Roman" w:hAnsi="Times New Roman" w:cs="Times New Roman" w:eastAsia="Times New Roman" w:hint="default"/>
        </w:rPr>
        <w:t>e</w:t>
      </w:r>
      <w:r>
        <w:rPr/>
        <w:t>都</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2801</w:t>
      </w:r>
      <w:r>
        <w:rPr/>
        <w:t>，实际控制人为陈亚妹与乔昕。</w:t>
      </w:r>
    </w:p>
    <w:p>
      <w:pPr>
        <w:pStyle w:val="BodyText"/>
        <w:spacing w:line="357" w:lineRule="auto" w:before="19"/>
        <w:ind w:left="513" w:right="2433" w:hanging="181"/>
        <w:jc w:val="left"/>
      </w:pPr>
      <w:r>
        <w:rPr/>
        <w:t>（二）</w:t>
      </w:r>
      <w:r>
        <w:rPr>
          <w:spacing w:val="-18"/>
        </w:rPr>
        <w:t> </w:t>
      </w:r>
      <w:r>
        <w:rPr/>
        <w:t>公司业务性质和主要经营活动</w:t>
      </w:r>
      <w:r>
        <w:rPr/>
        <w:t> 本公司属互联网服务行业为主，兼营智能硬件类制造业。 数字营销行业主要产品或服务为互联网营销、社会化媒体营销、广告制作、创意策略等。</w:t>
      </w:r>
    </w:p>
    <w:p>
      <w:pPr>
        <w:pStyle w:val="BodyText"/>
        <w:spacing w:line="336" w:lineRule="auto" w:before="27"/>
        <w:ind w:right="94" w:firstLine="360"/>
        <w:jc w:val="left"/>
      </w:pPr>
      <w:r>
        <w:rPr>
          <w:spacing w:val="-2"/>
        </w:rPr>
        <w:t>制造行业主要产品或服务为</w:t>
      </w:r>
      <w:r>
        <w:rPr>
          <w:rFonts w:ascii="Times New Roman" w:hAnsi="Times New Roman" w:cs="Times New Roman" w:eastAsia="Times New Roman" w:hint="default"/>
          <w:spacing w:val="-2"/>
        </w:rPr>
        <w:t>LED</w:t>
      </w:r>
      <w:r>
        <w:rPr>
          <w:spacing w:val="-2"/>
        </w:rPr>
        <w:t>照明光源及灯具、照明驱动电源、电子镇流器，以及应用于各种消费类电子产品贴装后</w:t>
      </w:r>
      <w:r>
        <w:rPr/>
        <w:t> 的</w:t>
      </w:r>
      <w:r>
        <w:rPr>
          <w:rFonts w:ascii="Times New Roman" w:hAnsi="Times New Roman" w:cs="Times New Roman" w:eastAsia="Times New Roman" w:hint="default"/>
        </w:rPr>
        <w:t>PCBA</w:t>
      </w:r>
      <w:r>
        <w:rPr/>
        <w:t>控制板，同时兼营少量高端互联网机顶盒等。目前公司在大力拓展智能硬件产品。</w:t>
      </w:r>
    </w:p>
    <w:p>
      <w:pPr>
        <w:pStyle w:val="BodyText"/>
        <w:spacing w:line="357" w:lineRule="auto" w:before="21"/>
        <w:ind w:left="513" w:right="5043" w:hanging="181"/>
        <w:jc w:val="left"/>
      </w:pPr>
      <w:r>
        <w:rPr/>
        <w:t>（三）</w:t>
      </w:r>
      <w:r>
        <w:rPr>
          <w:spacing w:val="-18"/>
        </w:rPr>
        <w:t> </w:t>
      </w:r>
      <w:r>
        <w:rPr/>
        <w:t>财务报表的批准报出</w:t>
      </w:r>
      <w:r>
        <w:rPr/>
        <w:t> 本财务报表业经公司董事会于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日批准报出。</w:t>
      </w:r>
    </w:p>
    <w:p>
      <w:pPr>
        <w:spacing w:after="0" w:line="357"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172" w:right="5474"/>
        <w:jc w:val="left"/>
      </w:pPr>
      <w:r>
        <w:rPr/>
        <w:t>合并财务报表范围 本期纳入合并财务报表范围的主体共</w:t>
      </w:r>
      <w:r>
        <w:rPr>
          <w:rFonts w:ascii="Times New Roman" w:hAnsi="Times New Roman" w:cs="Times New Roman" w:eastAsia="Times New Roman" w:hint="default"/>
        </w:rPr>
        <w:t>19</w:t>
      </w:r>
      <w:r>
        <w:rPr/>
        <w:t>户，具体包括：</w:t>
      </w:r>
    </w:p>
    <w:tbl>
      <w:tblPr>
        <w:tblW w:w="0" w:type="auto"/>
        <w:jc w:val="left"/>
        <w:tblInd w:w="115" w:type="dxa"/>
        <w:tblLayout w:type="fixed"/>
        <w:tblCellMar>
          <w:top w:w="0" w:type="dxa"/>
          <w:left w:w="0" w:type="dxa"/>
          <w:bottom w:w="0" w:type="dxa"/>
          <w:right w:w="0" w:type="dxa"/>
        </w:tblCellMar>
        <w:tblLook w:val="01E0"/>
      </w:tblPr>
      <w:tblGrid>
        <w:gridCol w:w="3267"/>
        <w:gridCol w:w="1462"/>
        <w:gridCol w:w="1131"/>
        <w:gridCol w:w="1855"/>
        <w:gridCol w:w="1997"/>
      </w:tblGrid>
      <w:tr>
        <w:trPr>
          <w:trHeight w:val="360" w:hRule="exact"/>
        </w:trPr>
        <w:tc>
          <w:tcPr>
            <w:tcW w:w="326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1"/>
              <w:ind w:left="16"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46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子公司类型</w:t>
            </w:r>
            <w:r>
              <w:rPr>
                <w:rFonts w:ascii="宋体" w:hAnsi="宋体" w:cs="宋体" w:eastAsia="宋体" w:hint="default"/>
                <w:sz w:val="18"/>
                <w:szCs w:val="18"/>
              </w:rPr>
            </w:r>
          </w:p>
        </w:tc>
        <w:tc>
          <w:tcPr>
            <w:tcW w:w="11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1"/>
              <w:ind w:left="6" w:right="0"/>
              <w:jc w:val="center"/>
              <w:rPr>
                <w:rFonts w:ascii="宋体" w:hAnsi="宋体" w:cs="宋体" w:eastAsia="宋体" w:hint="default"/>
                <w:sz w:val="18"/>
                <w:szCs w:val="18"/>
              </w:rPr>
            </w:pPr>
            <w:r>
              <w:rPr>
                <w:rFonts w:ascii="宋体" w:hAnsi="宋体" w:cs="宋体" w:eastAsia="宋体" w:hint="default"/>
                <w:b/>
                <w:bCs/>
                <w:sz w:val="18"/>
                <w:szCs w:val="18"/>
              </w:rPr>
              <w:t>级次</w:t>
            </w:r>
            <w:r>
              <w:rPr>
                <w:rFonts w:ascii="宋体" w:hAnsi="宋体" w:cs="宋体" w:eastAsia="宋体" w:hint="default"/>
                <w:sz w:val="18"/>
                <w:szCs w:val="18"/>
              </w:rPr>
            </w:r>
          </w:p>
        </w:tc>
        <w:tc>
          <w:tcPr>
            <w:tcW w:w="185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1"/>
              <w:ind w:left="316"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Arial Narrow" w:hAnsi="Arial Narrow" w:cs="Arial Narrow" w:eastAsia="Arial Narrow"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99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1"/>
              <w:ind w:left="295" w:right="0"/>
              <w:jc w:val="left"/>
              <w:rPr>
                <w:rFonts w:ascii="宋体" w:hAnsi="宋体" w:cs="宋体" w:eastAsia="宋体" w:hint="default"/>
                <w:sz w:val="18"/>
                <w:szCs w:val="18"/>
              </w:rPr>
            </w:pPr>
            <w:r>
              <w:rPr>
                <w:rFonts w:ascii="宋体" w:hAnsi="宋体" w:cs="宋体" w:eastAsia="宋体" w:hint="default"/>
                <w:b/>
                <w:bCs/>
                <w:sz w:val="18"/>
                <w:szCs w:val="18"/>
              </w:rPr>
              <w:t>表决权比例（</w:t>
            </w:r>
            <w:r>
              <w:rPr>
                <w:rFonts w:ascii="Arial Narrow" w:hAnsi="Arial Narrow" w:cs="Arial Narrow" w:eastAsia="Arial Narrow"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50" w:hRule="exact"/>
        </w:trPr>
        <w:tc>
          <w:tcPr>
            <w:tcW w:w="32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9" w:right="0"/>
              <w:jc w:val="center"/>
              <w:rPr>
                <w:rFonts w:ascii="宋体" w:hAnsi="宋体" w:cs="宋体" w:eastAsia="宋体" w:hint="default"/>
                <w:sz w:val="18"/>
                <w:szCs w:val="18"/>
              </w:rPr>
            </w:pPr>
            <w:r>
              <w:rPr>
                <w:rFonts w:ascii="宋体" w:hAnsi="宋体" w:cs="宋体" w:eastAsia="宋体" w:hint="default"/>
                <w:sz w:val="18"/>
                <w:szCs w:val="18"/>
              </w:rPr>
              <w:t>深圳前海实益达投资发展有限公司</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1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8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47"/>
              <w:jc w:val="right"/>
              <w:rPr>
                <w:rFonts w:ascii="Arial Narrow" w:hAnsi="Arial Narrow" w:cs="Arial Narrow" w:eastAsia="Arial Narrow" w:hint="default"/>
                <w:sz w:val="18"/>
                <w:szCs w:val="18"/>
              </w:rPr>
            </w:pPr>
            <w:r>
              <w:rPr>
                <w:rFonts w:ascii="Arial Narrow"/>
                <w:spacing w:val="-1"/>
                <w:sz w:val="18"/>
              </w:rPr>
              <w:t>100.00</w:t>
            </w:r>
          </w:p>
        </w:tc>
        <w:tc>
          <w:tcPr>
            <w:tcW w:w="19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57"/>
              <w:jc w:val="right"/>
              <w:rPr>
                <w:rFonts w:ascii="Arial Narrow" w:hAnsi="Arial Narrow" w:cs="Arial Narrow" w:eastAsia="Arial Narrow" w:hint="default"/>
                <w:sz w:val="18"/>
                <w:szCs w:val="18"/>
              </w:rPr>
            </w:pPr>
            <w:r>
              <w:rPr>
                <w:rFonts w:ascii="Arial Narrow"/>
                <w:sz w:val="18"/>
              </w:rPr>
              <w:t>100.00</w:t>
            </w:r>
          </w:p>
        </w:tc>
      </w:tr>
      <w:tr>
        <w:trPr>
          <w:trHeight w:val="350" w:hRule="exact"/>
        </w:trPr>
        <w:tc>
          <w:tcPr>
            <w:tcW w:w="32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9" w:right="0"/>
              <w:jc w:val="center"/>
              <w:rPr>
                <w:rFonts w:ascii="宋体" w:hAnsi="宋体" w:cs="宋体" w:eastAsia="宋体" w:hint="default"/>
                <w:sz w:val="18"/>
                <w:szCs w:val="18"/>
              </w:rPr>
            </w:pPr>
            <w:r>
              <w:rPr>
                <w:rFonts w:ascii="宋体" w:hAnsi="宋体" w:cs="宋体" w:eastAsia="宋体" w:hint="default"/>
                <w:sz w:val="18"/>
                <w:szCs w:val="18"/>
              </w:rPr>
              <w:t>深圳市前海麦达数字有限公司</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1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8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47"/>
              <w:jc w:val="right"/>
              <w:rPr>
                <w:rFonts w:ascii="Arial Narrow" w:hAnsi="Arial Narrow" w:cs="Arial Narrow" w:eastAsia="Arial Narrow" w:hint="default"/>
                <w:sz w:val="18"/>
                <w:szCs w:val="18"/>
              </w:rPr>
            </w:pPr>
            <w:r>
              <w:rPr>
                <w:rFonts w:ascii="Arial Narrow"/>
                <w:spacing w:val="-1"/>
                <w:sz w:val="18"/>
              </w:rPr>
              <w:t>100.00</w:t>
            </w:r>
          </w:p>
        </w:tc>
        <w:tc>
          <w:tcPr>
            <w:tcW w:w="19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57"/>
              <w:jc w:val="right"/>
              <w:rPr>
                <w:rFonts w:ascii="Arial Narrow" w:hAnsi="Arial Narrow" w:cs="Arial Narrow" w:eastAsia="Arial Narrow" w:hint="default"/>
                <w:sz w:val="18"/>
                <w:szCs w:val="18"/>
              </w:rPr>
            </w:pPr>
            <w:r>
              <w:rPr>
                <w:rFonts w:ascii="Arial Narrow"/>
                <w:sz w:val="18"/>
              </w:rPr>
              <w:t>100.00</w:t>
            </w:r>
          </w:p>
        </w:tc>
      </w:tr>
      <w:tr>
        <w:trPr>
          <w:trHeight w:val="350" w:hRule="exact"/>
        </w:trPr>
        <w:tc>
          <w:tcPr>
            <w:tcW w:w="32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6" w:right="0"/>
              <w:jc w:val="center"/>
              <w:rPr>
                <w:rFonts w:ascii="宋体" w:hAnsi="宋体" w:cs="宋体" w:eastAsia="宋体" w:hint="default"/>
                <w:sz w:val="18"/>
                <w:szCs w:val="18"/>
              </w:rPr>
            </w:pPr>
            <w:r>
              <w:rPr>
                <w:rFonts w:ascii="宋体" w:hAnsi="宋体" w:cs="宋体" w:eastAsia="宋体" w:hint="default"/>
                <w:sz w:val="18"/>
                <w:szCs w:val="18"/>
              </w:rPr>
              <w:t>北京麦达数字技术服务有限公司</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1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8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48"/>
              <w:jc w:val="right"/>
              <w:rPr>
                <w:rFonts w:ascii="Arial Narrow" w:hAnsi="Arial Narrow" w:cs="Arial Narrow" w:eastAsia="Arial Narrow" w:hint="default"/>
                <w:sz w:val="18"/>
                <w:szCs w:val="18"/>
              </w:rPr>
            </w:pPr>
            <w:r>
              <w:rPr>
                <w:rFonts w:ascii="Arial Narrow"/>
                <w:sz w:val="18"/>
              </w:rPr>
              <w:t>60.00</w:t>
            </w:r>
          </w:p>
        </w:tc>
        <w:tc>
          <w:tcPr>
            <w:tcW w:w="19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57"/>
              <w:jc w:val="right"/>
              <w:rPr>
                <w:rFonts w:ascii="Arial Narrow" w:hAnsi="Arial Narrow" w:cs="Arial Narrow" w:eastAsia="Arial Narrow" w:hint="default"/>
                <w:sz w:val="18"/>
                <w:szCs w:val="18"/>
              </w:rPr>
            </w:pPr>
            <w:r>
              <w:rPr>
                <w:rFonts w:ascii="Arial Narrow"/>
                <w:spacing w:val="-1"/>
                <w:sz w:val="18"/>
              </w:rPr>
              <w:t>60.00</w:t>
            </w:r>
          </w:p>
        </w:tc>
      </w:tr>
      <w:tr>
        <w:trPr>
          <w:trHeight w:val="348" w:hRule="exact"/>
        </w:trPr>
        <w:tc>
          <w:tcPr>
            <w:tcW w:w="32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6" w:right="0"/>
              <w:jc w:val="center"/>
              <w:rPr>
                <w:rFonts w:ascii="宋体" w:hAnsi="宋体" w:cs="宋体" w:eastAsia="宋体" w:hint="default"/>
                <w:sz w:val="18"/>
                <w:szCs w:val="18"/>
              </w:rPr>
            </w:pPr>
            <w:r>
              <w:rPr>
                <w:rFonts w:ascii="宋体" w:hAnsi="宋体" w:cs="宋体" w:eastAsia="宋体" w:hint="default"/>
                <w:sz w:val="18"/>
                <w:szCs w:val="18"/>
              </w:rPr>
              <w:t>凯扬商贸（香港）有限公司</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1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8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47"/>
              <w:jc w:val="right"/>
              <w:rPr>
                <w:rFonts w:ascii="Arial Narrow" w:hAnsi="Arial Narrow" w:cs="Arial Narrow" w:eastAsia="Arial Narrow" w:hint="default"/>
                <w:sz w:val="18"/>
                <w:szCs w:val="18"/>
              </w:rPr>
            </w:pPr>
            <w:r>
              <w:rPr>
                <w:rFonts w:ascii="Arial Narrow"/>
                <w:spacing w:val="-1"/>
                <w:sz w:val="18"/>
              </w:rPr>
              <w:t>100.00</w:t>
            </w:r>
          </w:p>
        </w:tc>
        <w:tc>
          <w:tcPr>
            <w:tcW w:w="19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57"/>
              <w:jc w:val="right"/>
              <w:rPr>
                <w:rFonts w:ascii="Arial Narrow" w:hAnsi="Arial Narrow" w:cs="Arial Narrow" w:eastAsia="Arial Narrow" w:hint="default"/>
                <w:sz w:val="18"/>
                <w:szCs w:val="18"/>
              </w:rPr>
            </w:pPr>
            <w:r>
              <w:rPr>
                <w:rFonts w:ascii="Arial Narrow"/>
                <w:sz w:val="18"/>
              </w:rPr>
              <w:t>100.00</w:t>
            </w:r>
          </w:p>
        </w:tc>
      </w:tr>
      <w:tr>
        <w:trPr>
          <w:trHeight w:val="350" w:hRule="exact"/>
        </w:trPr>
        <w:tc>
          <w:tcPr>
            <w:tcW w:w="32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1"/>
              <w:ind w:left="16" w:right="0"/>
              <w:jc w:val="center"/>
              <w:rPr>
                <w:rFonts w:ascii="宋体" w:hAnsi="宋体" w:cs="宋体" w:eastAsia="宋体" w:hint="default"/>
                <w:sz w:val="18"/>
                <w:szCs w:val="18"/>
              </w:rPr>
            </w:pPr>
            <w:r>
              <w:rPr>
                <w:rFonts w:ascii="宋体" w:hAnsi="宋体" w:cs="宋体" w:eastAsia="宋体" w:hint="default"/>
                <w:sz w:val="18"/>
                <w:szCs w:val="18"/>
              </w:rPr>
              <w:t>上海顺为广告传播有限公司</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1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8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47"/>
              <w:jc w:val="right"/>
              <w:rPr>
                <w:rFonts w:ascii="Arial Narrow" w:hAnsi="Arial Narrow" w:cs="Arial Narrow" w:eastAsia="Arial Narrow" w:hint="default"/>
                <w:sz w:val="18"/>
                <w:szCs w:val="18"/>
              </w:rPr>
            </w:pPr>
            <w:r>
              <w:rPr>
                <w:rFonts w:ascii="Arial Narrow"/>
                <w:spacing w:val="-1"/>
                <w:sz w:val="18"/>
              </w:rPr>
              <w:t>100.00</w:t>
            </w:r>
          </w:p>
        </w:tc>
        <w:tc>
          <w:tcPr>
            <w:tcW w:w="19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57"/>
              <w:jc w:val="right"/>
              <w:rPr>
                <w:rFonts w:ascii="Arial Narrow" w:hAnsi="Arial Narrow" w:cs="Arial Narrow" w:eastAsia="Arial Narrow" w:hint="default"/>
                <w:sz w:val="18"/>
                <w:szCs w:val="18"/>
              </w:rPr>
            </w:pPr>
            <w:r>
              <w:rPr>
                <w:rFonts w:ascii="Arial Narrow"/>
                <w:sz w:val="18"/>
              </w:rPr>
              <w:t>100.00</w:t>
            </w:r>
          </w:p>
        </w:tc>
      </w:tr>
      <w:tr>
        <w:trPr>
          <w:trHeight w:val="350" w:hRule="exact"/>
        </w:trPr>
        <w:tc>
          <w:tcPr>
            <w:tcW w:w="32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1"/>
              <w:ind w:left="16" w:right="0"/>
              <w:jc w:val="center"/>
              <w:rPr>
                <w:rFonts w:ascii="宋体" w:hAnsi="宋体" w:cs="宋体" w:eastAsia="宋体" w:hint="default"/>
                <w:sz w:val="18"/>
                <w:szCs w:val="18"/>
              </w:rPr>
            </w:pPr>
            <w:r>
              <w:rPr>
                <w:rFonts w:ascii="宋体" w:hAnsi="宋体" w:cs="宋体" w:eastAsia="宋体" w:hint="default"/>
                <w:sz w:val="18"/>
                <w:szCs w:val="18"/>
              </w:rPr>
              <w:t>上海地幔广告传播有限公司</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11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8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47"/>
              <w:jc w:val="right"/>
              <w:rPr>
                <w:rFonts w:ascii="Arial Narrow" w:hAnsi="Arial Narrow" w:cs="Arial Narrow" w:eastAsia="Arial Narrow" w:hint="default"/>
                <w:sz w:val="18"/>
                <w:szCs w:val="18"/>
              </w:rPr>
            </w:pPr>
            <w:r>
              <w:rPr>
                <w:rFonts w:ascii="Arial Narrow"/>
                <w:spacing w:val="-1"/>
                <w:sz w:val="18"/>
              </w:rPr>
              <w:t>100.00</w:t>
            </w:r>
          </w:p>
        </w:tc>
        <w:tc>
          <w:tcPr>
            <w:tcW w:w="19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57"/>
              <w:jc w:val="right"/>
              <w:rPr>
                <w:rFonts w:ascii="Arial Narrow" w:hAnsi="Arial Narrow" w:cs="Arial Narrow" w:eastAsia="Arial Narrow" w:hint="default"/>
                <w:sz w:val="18"/>
                <w:szCs w:val="18"/>
              </w:rPr>
            </w:pPr>
            <w:r>
              <w:rPr>
                <w:rFonts w:ascii="Arial Narrow"/>
                <w:sz w:val="18"/>
              </w:rPr>
              <w:t>100.00</w:t>
            </w:r>
          </w:p>
        </w:tc>
      </w:tr>
      <w:tr>
        <w:trPr>
          <w:trHeight w:val="350" w:hRule="exact"/>
        </w:trPr>
        <w:tc>
          <w:tcPr>
            <w:tcW w:w="32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6" w:right="0"/>
              <w:jc w:val="center"/>
              <w:rPr>
                <w:rFonts w:ascii="宋体" w:hAnsi="宋体" w:cs="宋体" w:eastAsia="宋体" w:hint="default"/>
                <w:sz w:val="18"/>
                <w:szCs w:val="18"/>
              </w:rPr>
            </w:pPr>
            <w:r>
              <w:rPr>
                <w:rFonts w:ascii="宋体" w:hAnsi="宋体" w:cs="宋体" w:eastAsia="宋体" w:hint="default"/>
                <w:sz w:val="18"/>
                <w:szCs w:val="18"/>
              </w:rPr>
              <w:t>上海利宣广告有限公司</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1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8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47"/>
              <w:jc w:val="right"/>
              <w:rPr>
                <w:rFonts w:ascii="Arial Narrow" w:hAnsi="Arial Narrow" w:cs="Arial Narrow" w:eastAsia="Arial Narrow" w:hint="default"/>
                <w:sz w:val="18"/>
                <w:szCs w:val="18"/>
              </w:rPr>
            </w:pPr>
            <w:r>
              <w:rPr>
                <w:rFonts w:ascii="Arial Narrow"/>
                <w:spacing w:val="-1"/>
                <w:sz w:val="18"/>
              </w:rPr>
              <w:t>100.00</w:t>
            </w:r>
          </w:p>
        </w:tc>
        <w:tc>
          <w:tcPr>
            <w:tcW w:w="19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57"/>
              <w:jc w:val="right"/>
              <w:rPr>
                <w:rFonts w:ascii="Arial Narrow" w:hAnsi="Arial Narrow" w:cs="Arial Narrow" w:eastAsia="Arial Narrow" w:hint="default"/>
                <w:sz w:val="18"/>
                <w:szCs w:val="18"/>
              </w:rPr>
            </w:pPr>
            <w:r>
              <w:rPr>
                <w:rFonts w:ascii="Arial Narrow"/>
                <w:sz w:val="18"/>
              </w:rPr>
              <w:t>100.00</w:t>
            </w:r>
          </w:p>
        </w:tc>
      </w:tr>
      <w:tr>
        <w:trPr>
          <w:trHeight w:val="350" w:hRule="exact"/>
        </w:trPr>
        <w:tc>
          <w:tcPr>
            <w:tcW w:w="32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6" w:right="0"/>
              <w:jc w:val="center"/>
              <w:rPr>
                <w:rFonts w:ascii="宋体" w:hAnsi="宋体" w:cs="宋体" w:eastAsia="宋体" w:hint="default"/>
                <w:sz w:val="18"/>
                <w:szCs w:val="18"/>
              </w:rPr>
            </w:pPr>
            <w:r>
              <w:rPr>
                <w:rFonts w:ascii="宋体" w:hAnsi="宋体" w:cs="宋体" w:eastAsia="宋体" w:hint="default"/>
                <w:sz w:val="18"/>
                <w:szCs w:val="18"/>
              </w:rPr>
              <w:t>奇思国际广告（北京）有限公司</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1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8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47"/>
              <w:jc w:val="right"/>
              <w:rPr>
                <w:rFonts w:ascii="Arial Narrow" w:hAnsi="Arial Narrow" w:cs="Arial Narrow" w:eastAsia="Arial Narrow" w:hint="default"/>
                <w:sz w:val="18"/>
                <w:szCs w:val="18"/>
              </w:rPr>
            </w:pPr>
            <w:r>
              <w:rPr>
                <w:rFonts w:ascii="Arial Narrow"/>
                <w:spacing w:val="-1"/>
                <w:sz w:val="18"/>
              </w:rPr>
              <w:t>100.00</w:t>
            </w:r>
          </w:p>
        </w:tc>
        <w:tc>
          <w:tcPr>
            <w:tcW w:w="19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57"/>
              <w:jc w:val="right"/>
              <w:rPr>
                <w:rFonts w:ascii="Arial Narrow" w:hAnsi="Arial Narrow" w:cs="Arial Narrow" w:eastAsia="Arial Narrow" w:hint="default"/>
                <w:sz w:val="18"/>
                <w:szCs w:val="18"/>
              </w:rPr>
            </w:pPr>
            <w:r>
              <w:rPr>
                <w:rFonts w:ascii="Arial Narrow"/>
                <w:sz w:val="18"/>
              </w:rPr>
              <w:t>100.00</w:t>
            </w:r>
          </w:p>
        </w:tc>
      </w:tr>
      <w:tr>
        <w:trPr>
          <w:trHeight w:val="350" w:hRule="exact"/>
        </w:trPr>
        <w:tc>
          <w:tcPr>
            <w:tcW w:w="32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9" w:right="0"/>
              <w:jc w:val="center"/>
              <w:rPr>
                <w:rFonts w:ascii="宋体" w:hAnsi="宋体" w:cs="宋体" w:eastAsia="宋体" w:hint="default"/>
                <w:sz w:val="18"/>
                <w:szCs w:val="18"/>
              </w:rPr>
            </w:pPr>
            <w:r>
              <w:rPr>
                <w:rFonts w:ascii="宋体" w:hAnsi="宋体" w:cs="宋体" w:eastAsia="宋体" w:hint="default"/>
                <w:sz w:val="18"/>
                <w:szCs w:val="18"/>
              </w:rPr>
              <w:t>深圳市汇大光电科技股份有限公司</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参股子公司</w:t>
            </w:r>
          </w:p>
        </w:tc>
        <w:tc>
          <w:tcPr>
            <w:tcW w:w="11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8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48"/>
              <w:jc w:val="right"/>
              <w:rPr>
                <w:rFonts w:ascii="Arial Narrow" w:hAnsi="Arial Narrow" w:cs="Arial Narrow" w:eastAsia="Arial Narrow" w:hint="default"/>
                <w:sz w:val="18"/>
                <w:szCs w:val="18"/>
              </w:rPr>
            </w:pPr>
            <w:r>
              <w:rPr>
                <w:rFonts w:ascii="Arial Narrow"/>
                <w:sz w:val="18"/>
              </w:rPr>
              <w:t>42.40</w:t>
            </w:r>
          </w:p>
        </w:tc>
        <w:tc>
          <w:tcPr>
            <w:tcW w:w="19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57"/>
              <w:jc w:val="right"/>
              <w:rPr>
                <w:rFonts w:ascii="Arial Narrow" w:hAnsi="Arial Narrow" w:cs="Arial Narrow" w:eastAsia="Arial Narrow" w:hint="default"/>
                <w:sz w:val="18"/>
                <w:szCs w:val="18"/>
              </w:rPr>
            </w:pPr>
            <w:r>
              <w:rPr>
                <w:rFonts w:ascii="Arial Narrow"/>
                <w:spacing w:val="-1"/>
                <w:sz w:val="18"/>
              </w:rPr>
              <w:t>42.40</w:t>
            </w:r>
          </w:p>
        </w:tc>
      </w:tr>
      <w:tr>
        <w:trPr>
          <w:trHeight w:val="349" w:hRule="exact"/>
        </w:trPr>
        <w:tc>
          <w:tcPr>
            <w:tcW w:w="32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
              <w:ind w:left="16" w:right="0"/>
              <w:jc w:val="center"/>
              <w:rPr>
                <w:rFonts w:ascii="宋体" w:hAnsi="宋体" w:cs="宋体" w:eastAsia="宋体" w:hint="default"/>
                <w:sz w:val="18"/>
                <w:szCs w:val="18"/>
              </w:rPr>
            </w:pPr>
            <w:r>
              <w:rPr>
                <w:rFonts w:ascii="宋体" w:hAnsi="宋体" w:cs="宋体" w:eastAsia="宋体" w:hint="default"/>
                <w:sz w:val="18"/>
                <w:szCs w:val="18"/>
              </w:rPr>
              <w:t>深圳市实益达工业有限公司</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1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9"/>
              <w:ind w:left="2"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8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1"/>
              <w:ind w:right="47"/>
              <w:jc w:val="right"/>
              <w:rPr>
                <w:rFonts w:ascii="Arial Narrow" w:hAnsi="Arial Narrow" w:cs="Arial Narrow" w:eastAsia="Arial Narrow" w:hint="default"/>
                <w:sz w:val="18"/>
                <w:szCs w:val="18"/>
              </w:rPr>
            </w:pPr>
            <w:r>
              <w:rPr>
                <w:rFonts w:ascii="Arial Narrow"/>
                <w:spacing w:val="-1"/>
                <w:sz w:val="18"/>
              </w:rPr>
              <w:t>100.00</w:t>
            </w:r>
          </w:p>
        </w:tc>
        <w:tc>
          <w:tcPr>
            <w:tcW w:w="19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1"/>
              <w:ind w:right="57"/>
              <w:jc w:val="right"/>
              <w:rPr>
                <w:rFonts w:ascii="Arial Narrow" w:hAnsi="Arial Narrow" w:cs="Arial Narrow" w:eastAsia="Arial Narrow" w:hint="default"/>
                <w:sz w:val="18"/>
                <w:szCs w:val="18"/>
              </w:rPr>
            </w:pPr>
            <w:r>
              <w:rPr>
                <w:rFonts w:ascii="Arial Narrow"/>
                <w:sz w:val="18"/>
              </w:rPr>
              <w:t>100.00</w:t>
            </w:r>
          </w:p>
        </w:tc>
      </w:tr>
      <w:tr>
        <w:trPr>
          <w:trHeight w:val="350" w:hRule="exact"/>
        </w:trPr>
        <w:tc>
          <w:tcPr>
            <w:tcW w:w="32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1"/>
              <w:ind w:left="16" w:right="0"/>
              <w:jc w:val="center"/>
              <w:rPr>
                <w:rFonts w:ascii="宋体" w:hAnsi="宋体" w:cs="宋体" w:eastAsia="宋体" w:hint="default"/>
                <w:sz w:val="18"/>
                <w:szCs w:val="18"/>
              </w:rPr>
            </w:pPr>
            <w:r>
              <w:rPr>
                <w:rFonts w:ascii="宋体" w:hAnsi="宋体" w:cs="宋体" w:eastAsia="宋体" w:hint="default"/>
                <w:sz w:val="18"/>
                <w:szCs w:val="18"/>
              </w:rPr>
              <w:t>深圳市实益达技术股份有限公司</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1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8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48"/>
              <w:jc w:val="right"/>
              <w:rPr>
                <w:rFonts w:ascii="Arial Narrow" w:hAnsi="Arial Narrow" w:cs="Arial Narrow" w:eastAsia="Arial Narrow" w:hint="default"/>
                <w:sz w:val="18"/>
                <w:szCs w:val="18"/>
              </w:rPr>
            </w:pPr>
            <w:r>
              <w:rPr>
                <w:rFonts w:ascii="Arial Narrow"/>
                <w:sz w:val="18"/>
              </w:rPr>
              <w:t>76.54</w:t>
            </w:r>
          </w:p>
        </w:tc>
        <w:tc>
          <w:tcPr>
            <w:tcW w:w="19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57"/>
              <w:jc w:val="right"/>
              <w:rPr>
                <w:rFonts w:ascii="Arial Narrow" w:hAnsi="Arial Narrow" w:cs="Arial Narrow" w:eastAsia="Arial Narrow" w:hint="default"/>
                <w:sz w:val="18"/>
                <w:szCs w:val="18"/>
              </w:rPr>
            </w:pPr>
            <w:r>
              <w:rPr>
                <w:rFonts w:ascii="Arial Narrow"/>
                <w:spacing w:val="-1"/>
                <w:sz w:val="18"/>
              </w:rPr>
              <w:t>76.54</w:t>
            </w:r>
          </w:p>
        </w:tc>
      </w:tr>
      <w:tr>
        <w:trPr>
          <w:trHeight w:val="350" w:hRule="exact"/>
        </w:trPr>
        <w:tc>
          <w:tcPr>
            <w:tcW w:w="32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1"/>
              <w:ind w:left="16" w:right="0"/>
              <w:jc w:val="center"/>
              <w:rPr>
                <w:rFonts w:ascii="宋体" w:hAnsi="宋体" w:cs="宋体" w:eastAsia="宋体" w:hint="default"/>
                <w:sz w:val="18"/>
                <w:szCs w:val="18"/>
              </w:rPr>
            </w:pPr>
            <w:r>
              <w:rPr>
                <w:rFonts w:ascii="宋体" w:hAnsi="宋体" w:cs="宋体" w:eastAsia="宋体" w:hint="default"/>
                <w:sz w:val="18"/>
                <w:szCs w:val="18"/>
              </w:rPr>
              <w:t>深圳市实益达智能技术有限公司</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11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8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48"/>
              <w:jc w:val="right"/>
              <w:rPr>
                <w:rFonts w:ascii="Arial Narrow" w:hAnsi="Arial Narrow" w:cs="Arial Narrow" w:eastAsia="Arial Narrow" w:hint="default"/>
                <w:sz w:val="18"/>
                <w:szCs w:val="18"/>
              </w:rPr>
            </w:pPr>
            <w:r>
              <w:rPr>
                <w:rFonts w:ascii="Arial Narrow"/>
                <w:sz w:val="18"/>
              </w:rPr>
              <w:t>61.23</w:t>
            </w:r>
          </w:p>
        </w:tc>
        <w:tc>
          <w:tcPr>
            <w:tcW w:w="19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57"/>
              <w:jc w:val="right"/>
              <w:rPr>
                <w:rFonts w:ascii="Arial Narrow" w:hAnsi="Arial Narrow" w:cs="Arial Narrow" w:eastAsia="Arial Narrow" w:hint="default"/>
                <w:sz w:val="18"/>
                <w:szCs w:val="18"/>
              </w:rPr>
            </w:pPr>
            <w:r>
              <w:rPr>
                <w:rFonts w:ascii="Arial Narrow"/>
                <w:spacing w:val="-1"/>
                <w:sz w:val="18"/>
              </w:rPr>
              <w:t>61.23</w:t>
            </w:r>
          </w:p>
        </w:tc>
      </w:tr>
      <w:tr>
        <w:trPr>
          <w:trHeight w:val="350" w:hRule="exact"/>
        </w:trPr>
        <w:tc>
          <w:tcPr>
            <w:tcW w:w="32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9" w:right="0"/>
              <w:jc w:val="center"/>
              <w:rPr>
                <w:rFonts w:ascii="宋体" w:hAnsi="宋体" w:cs="宋体" w:eastAsia="宋体" w:hint="default"/>
                <w:sz w:val="18"/>
                <w:szCs w:val="18"/>
              </w:rPr>
            </w:pPr>
            <w:r>
              <w:rPr>
                <w:rFonts w:ascii="宋体" w:hAnsi="宋体" w:cs="宋体" w:eastAsia="宋体" w:hint="default"/>
                <w:sz w:val="18"/>
                <w:szCs w:val="18"/>
              </w:rPr>
              <w:t>无锡市益明光电有限公司</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11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8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48"/>
              <w:jc w:val="right"/>
              <w:rPr>
                <w:rFonts w:ascii="Arial Narrow" w:hAnsi="Arial Narrow" w:cs="Arial Narrow" w:eastAsia="Arial Narrow" w:hint="default"/>
                <w:sz w:val="18"/>
                <w:szCs w:val="18"/>
              </w:rPr>
            </w:pPr>
            <w:r>
              <w:rPr>
                <w:rFonts w:ascii="Arial Narrow"/>
                <w:sz w:val="18"/>
              </w:rPr>
              <w:t>76.54</w:t>
            </w:r>
          </w:p>
        </w:tc>
        <w:tc>
          <w:tcPr>
            <w:tcW w:w="19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57"/>
              <w:jc w:val="right"/>
              <w:rPr>
                <w:rFonts w:ascii="Arial Narrow" w:hAnsi="Arial Narrow" w:cs="Arial Narrow" w:eastAsia="Arial Narrow" w:hint="default"/>
                <w:sz w:val="18"/>
                <w:szCs w:val="18"/>
              </w:rPr>
            </w:pPr>
            <w:r>
              <w:rPr>
                <w:rFonts w:ascii="Arial Narrow"/>
                <w:spacing w:val="-1"/>
                <w:sz w:val="18"/>
              </w:rPr>
              <w:t>76.54</w:t>
            </w:r>
          </w:p>
        </w:tc>
      </w:tr>
      <w:tr>
        <w:trPr>
          <w:trHeight w:val="350" w:hRule="exact"/>
        </w:trPr>
        <w:tc>
          <w:tcPr>
            <w:tcW w:w="32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9" w:right="0"/>
              <w:jc w:val="center"/>
              <w:rPr>
                <w:rFonts w:ascii="宋体" w:hAnsi="宋体" w:cs="宋体" w:eastAsia="宋体" w:hint="default"/>
                <w:sz w:val="18"/>
                <w:szCs w:val="18"/>
              </w:rPr>
            </w:pPr>
            <w:r>
              <w:rPr>
                <w:rFonts w:ascii="宋体" w:hAnsi="宋体" w:cs="宋体" w:eastAsia="宋体" w:hint="default"/>
                <w:sz w:val="18"/>
                <w:szCs w:val="18"/>
              </w:rPr>
              <w:t>实益达技术（香港）有限公司</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11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8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48"/>
              <w:jc w:val="right"/>
              <w:rPr>
                <w:rFonts w:ascii="Arial Narrow" w:hAnsi="Arial Narrow" w:cs="Arial Narrow" w:eastAsia="Arial Narrow" w:hint="default"/>
                <w:sz w:val="18"/>
                <w:szCs w:val="18"/>
              </w:rPr>
            </w:pPr>
            <w:r>
              <w:rPr>
                <w:rFonts w:ascii="Arial Narrow"/>
                <w:sz w:val="18"/>
              </w:rPr>
              <w:t>76.54</w:t>
            </w:r>
          </w:p>
        </w:tc>
        <w:tc>
          <w:tcPr>
            <w:tcW w:w="19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57"/>
              <w:jc w:val="right"/>
              <w:rPr>
                <w:rFonts w:ascii="Arial Narrow" w:hAnsi="Arial Narrow" w:cs="Arial Narrow" w:eastAsia="Arial Narrow" w:hint="default"/>
                <w:sz w:val="18"/>
                <w:szCs w:val="18"/>
              </w:rPr>
            </w:pPr>
            <w:r>
              <w:rPr>
                <w:rFonts w:ascii="Arial Narrow"/>
                <w:spacing w:val="-1"/>
                <w:sz w:val="18"/>
              </w:rPr>
              <w:t>76.54</w:t>
            </w:r>
          </w:p>
        </w:tc>
      </w:tr>
      <w:tr>
        <w:trPr>
          <w:trHeight w:val="350" w:hRule="exact"/>
        </w:trPr>
        <w:tc>
          <w:tcPr>
            <w:tcW w:w="32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9" w:right="0"/>
              <w:jc w:val="center"/>
              <w:rPr>
                <w:rFonts w:ascii="宋体" w:hAnsi="宋体" w:cs="宋体" w:eastAsia="宋体" w:hint="default"/>
                <w:sz w:val="18"/>
                <w:szCs w:val="18"/>
              </w:rPr>
            </w:pPr>
            <w:r>
              <w:rPr>
                <w:rFonts w:ascii="宋体" w:hAnsi="宋体" w:cs="宋体" w:eastAsia="宋体" w:hint="default"/>
                <w:sz w:val="18"/>
                <w:szCs w:val="18"/>
              </w:rPr>
              <w:t>实益达智能（香港）有限公司</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11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8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48"/>
              <w:jc w:val="right"/>
              <w:rPr>
                <w:rFonts w:ascii="Arial Narrow" w:hAnsi="Arial Narrow" w:cs="Arial Narrow" w:eastAsia="Arial Narrow" w:hint="default"/>
                <w:sz w:val="18"/>
                <w:szCs w:val="18"/>
              </w:rPr>
            </w:pPr>
            <w:r>
              <w:rPr>
                <w:rFonts w:ascii="Arial Narrow"/>
                <w:sz w:val="18"/>
              </w:rPr>
              <w:t>61.23</w:t>
            </w:r>
          </w:p>
        </w:tc>
        <w:tc>
          <w:tcPr>
            <w:tcW w:w="19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57"/>
              <w:jc w:val="right"/>
              <w:rPr>
                <w:rFonts w:ascii="Arial Narrow" w:hAnsi="Arial Narrow" w:cs="Arial Narrow" w:eastAsia="Arial Narrow" w:hint="default"/>
                <w:sz w:val="18"/>
                <w:szCs w:val="18"/>
              </w:rPr>
            </w:pPr>
            <w:r>
              <w:rPr>
                <w:rFonts w:ascii="Arial Narrow"/>
                <w:spacing w:val="-1"/>
                <w:sz w:val="18"/>
              </w:rPr>
              <w:t>61.23</w:t>
            </w:r>
          </w:p>
        </w:tc>
      </w:tr>
      <w:tr>
        <w:trPr>
          <w:trHeight w:val="348" w:hRule="exact"/>
        </w:trPr>
        <w:tc>
          <w:tcPr>
            <w:tcW w:w="32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9" w:right="0"/>
              <w:jc w:val="center"/>
              <w:rPr>
                <w:rFonts w:ascii="宋体" w:hAnsi="宋体" w:cs="宋体" w:eastAsia="宋体" w:hint="default"/>
                <w:sz w:val="18"/>
                <w:szCs w:val="18"/>
              </w:rPr>
            </w:pPr>
            <w:r>
              <w:rPr>
                <w:rFonts w:ascii="宋体" w:hAnsi="宋体" w:cs="宋体" w:eastAsia="宋体" w:hint="default"/>
                <w:sz w:val="18"/>
                <w:szCs w:val="18"/>
              </w:rPr>
              <w:t>无锡实益达电子有限公司</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1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8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47"/>
              <w:jc w:val="right"/>
              <w:rPr>
                <w:rFonts w:ascii="Arial Narrow" w:hAnsi="Arial Narrow" w:cs="Arial Narrow" w:eastAsia="Arial Narrow" w:hint="default"/>
                <w:sz w:val="18"/>
                <w:szCs w:val="18"/>
              </w:rPr>
            </w:pPr>
            <w:r>
              <w:rPr>
                <w:rFonts w:ascii="Arial Narrow"/>
                <w:spacing w:val="-1"/>
                <w:sz w:val="18"/>
              </w:rPr>
              <w:t>100.00</w:t>
            </w:r>
          </w:p>
        </w:tc>
        <w:tc>
          <w:tcPr>
            <w:tcW w:w="19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57"/>
              <w:jc w:val="right"/>
              <w:rPr>
                <w:rFonts w:ascii="Arial Narrow" w:hAnsi="Arial Narrow" w:cs="Arial Narrow" w:eastAsia="Arial Narrow" w:hint="default"/>
                <w:sz w:val="18"/>
                <w:szCs w:val="18"/>
              </w:rPr>
            </w:pPr>
            <w:r>
              <w:rPr>
                <w:rFonts w:ascii="Arial Narrow"/>
                <w:sz w:val="18"/>
              </w:rPr>
              <w:t>100.00</w:t>
            </w:r>
          </w:p>
        </w:tc>
      </w:tr>
      <w:tr>
        <w:trPr>
          <w:trHeight w:val="350" w:hRule="exact"/>
        </w:trPr>
        <w:tc>
          <w:tcPr>
            <w:tcW w:w="32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1"/>
              <w:ind w:left="19" w:right="0"/>
              <w:jc w:val="center"/>
              <w:rPr>
                <w:rFonts w:ascii="宋体" w:hAnsi="宋体" w:cs="宋体" w:eastAsia="宋体" w:hint="default"/>
                <w:sz w:val="18"/>
                <w:szCs w:val="18"/>
              </w:rPr>
            </w:pPr>
            <w:r>
              <w:rPr>
                <w:rFonts w:ascii="宋体" w:hAnsi="宋体" w:cs="宋体" w:eastAsia="宋体" w:hint="default"/>
                <w:sz w:val="18"/>
                <w:szCs w:val="18"/>
              </w:rPr>
              <w:t>无锡实益达照明科技有限公司</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1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8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47"/>
              <w:jc w:val="right"/>
              <w:rPr>
                <w:rFonts w:ascii="Arial Narrow" w:hAnsi="Arial Narrow" w:cs="Arial Narrow" w:eastAsia="Arial Narrow" w:hint="default"/>
                <w:sz w:val="18"/>
                <w:szCs w:val="18"/>
              </w:rPr>
            </w:pPr>
            <w:r>
              <w:rPr>
                <w:rFonts w:ascii="Arial Narrow"/>
                <w:spacing w:val="-1"/>
                <w:sz w:val="18"/>
              </w:rPr>
              <w:t>100.00</w:t>
            </w:r>
          </w:p>
        </w:tc>
        <w:tc>
          <w:tcPr>
            <w:tcW w:w="19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57"/>
              <w:jc w:val="right"/>
              <w:rPr>
                <w:rFonts w:ascii="Arial Narrow" w:hAnsi="Arial Narrow" w:cs="Arial Narrow" w:eastAsia="Arial Narrow" w:hint="default"/>
                <w:sz w:val="18"/>
                <w:szCs w:val="18"/>
              </w:rPr>
            </w:pPr>
            <w:r>
              <w:rPr>
                <w:rFonts w:ascii="Arial Narrow"/>
                <w:sz w:val="18"/>
              </w:rPr>
              <w:t>100.00</w:t>
            </w:r>
          </w:p>
        </w:tc>
      </w:tr>
      <w:tr>
        <w:trPr>
          <w:trHeight w:val="350" w:hRule="exact"/>
        </w:trPr>
        <w:tc>
          <w:tcPr>
            <w:tcW w:w="32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1"/>
              <w:ind w:left="16" w:right="0"/>
              <w:jc w:val="center"/>
              <w:rPr>
                <w:rFonts w:ascii="宋体" w:hAnsi="宋体" w:cs="宋体" w:eastAsia="宋体" w:hint="default"/>
                <w:sz w:val="18"/>
                <w:szCs w:val="18"/>
              </w:rPr>
            </w:pPr>
            <w:r>
              <w:rPr>
                <w:rFonts w:ascii="宋体" w:hAnsi="宋体" w:cs="宋体" w:eastAsia="宋体" w:hint="default"/>
                <w:sz w:val="18"/>
                <w:szCs w:val="18"/>
              </w:rPr>
              <w:t>无锡益锡电子有限公司</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1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8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47"/>
              <w:jc w:val="right"/>
              <w:rPr>
                <w:rFonts w:ascii="Arial Narrow" w:hAnsi="Arial Narrow" w:cs="Arial Narrow" w:eastAsia="Arial Narrow" w:hint="default"/>
                <w:sz w:val="18"/>
                <w:szCs w:val="18"/>
              </w:rPr>
            </w:pPr>
            <w:r>
              <w:rPr>
                <w:rFonts w:ascii="Arial Narrow"/>
                <w:spacing w:val="-1"/>
                <w:sz w:val="18"/>
              </w:rPr>
              <w:t>100.00</w:t>
            </w:r>
          </w:p>
        </w:tc>
        <w:tc>
          <w:tcPr>
            <w:tcW w:w="19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57"/>
              <w:jc w:val="right"/>
              <w:rPr>
                <w:rFonts w:ascii="Arial Narrow" w:hAnsi="Arial Narrow" w:cs="Arial Narrow" w:eastAsia="Arial Narrow" w:hint="default"/>
                <w:sz w:val="18"/>
                <w:szCs w:val="18"/>
              </w:rPr>
            </w:pPr>
            <w:r>
              <w:rPr>
                <w:rFonts w:ascii="Arial Narrow"/>
                <w:sz w:val="18"/>
              </w:rPr>
              <w:t>100.00</w:t>
            </w:r>
          </w:p>
        </w:tc>
      </w:tr>
      <w:tr>
        <w:trPr>
          <w:trHeight w:val="360" w:hRule="exact"/>
        </w:trPr>
        <w:tc>
          <w:tcPr>
            <w:tcW w:w="326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0"/>
              <w:ind w:left="14" w:right="0"/>
              <w:jc w:val="center"/>
              <w:rPr>
                <w:rFonts w:ascii="Arial Narrow" w:hAnsi="Arial Narrow" w:cs="Arial Narrow" w:eastAsia="Arial Narrow" w:hint="default"/>
                <w:sz w:val="18"/>
                <w:szCs w:val="18"/>
              </w:rPr>
            </w:pPr>
            <w:r>
              <w:rPr>
                <w:rFonts w:ascii="Arial Narrow"/>
                <w:sz w:val="18"/>
              </w:rPr>
              <w:t>Mindata Holding</w:t>
            </w:r>
            <w:r>
              <w:rPr>
                <w:rFonts w:ascii="Arial Narrow"/>
                <w:spacing w:val="-7"/>
                <w:sz w:val="18"/>
              </w:rPr>
              <w:t> </w:t>
            </w:r>
            <w:r>
              <w:rPr>
                <w:rFonts w:ascii="Arial Narrow"/>
                <w:sz w:val="18"/>
              </w:rPr>
              <w:t>Co.,Ltd</w:t>
            </w:r>
          </w:p>
        </w:tc>
        <w:tc>
          <w:tcPr>
            <w:tcW w:w="14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1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8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47"/>
              <w:jc w:val="right"/>
              <w:rPr>
                <w:rFonts w:ascii="Arial Narrow" w:hAnsi="Arial Narrow" w:cs="Arial Narrow" w:eastAsia="Arial Narrow" w:hint="default"/>
                <w:sz w:val="18"/>
                <w:szCs w:val="18"/>
              </w:rPr>
            </w:pPr>
            <w:r>
              <w:rPr>
                <w:rFonts w:ascii="Arial Narrow"/>
                <w:spacing w:val="-1"/>
                <w:sz w:val="18"/>
              </w:rPr>
              <w:t>100.00</w:t>
            </w:r>
          </w:p>
        </w:tc>
        <w:tc>
          <w:tcPr>
            <w:tcW w:w="199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57"/>
              <w:jc w:val="right"/>
              <w:rPr>
                <w:rFonts w:ascii="Arial Narrow" w:hAnsi="Arial Narrow" w:cs="Arial Narrow" w:eastAsia="Arial Narrow" w:hint="default"/>
                <w:sz w:val="18"/>
                <w:szCs w:val="18"/>
              </w:rPr>
            </w:pPr>
            <w:r>
              <w:rPr>
                <w:rFonts w:ascii="Arial Narrow"/>
                <w:sz w:val="18"/>
              </w:rPr>
              <w:t>100.00</w:t>
            </w:r>
          </w:p>
        </w:tc>
      </w:tr>
    </w:tbl>
    <w:p>
      <w:pPr>
        <w:spacing w:line="240" w:lineRule="auto" w:before="3"/>
        <w:rPr>
          <w:rFonts w:ascii="宋体" w:hAnsi="宋体" w:cs="宋体" w:eastAsia="宋体" w:hint="default"/>
          <w:sz w:val="20"/>
          <w:szCs w:val="20"/>
        </w:rPr>
      </w:pPr>
    </w:p>
    <w:p>
      <w:pPr>
        <w:pStyle w:val="BodyText"/>
        <w:spacing w:line="300" w:lineRule="auto" w:before="44"/>
        <w:ind w:left="172" w:right="190"/>
        <w:jc w:val="left"/>
      </w:pPr>
      <w:r>
        <w:rPr/>
        <w:t>子公司的持股比例不同于表决权比例的原因、以及持有半数或以下表决权但仍控制被投资单位的依据说明详见</w:t>
      </w:r>
      <w:r>
        <w:rPr>
          <w:rFonts w:ascii="Times New Roman" w:hAnsi="Times New Roman" w:cs="Times New Roman" w:eastAsia="Times New Roman" w:hint="default"/>
        </w:rPr>
        <w:t>“</w:t>
      </w:r>
      <w:r>
        <w:rPr/>
        <w:t>附注九、在 其他主体中的权益</w:t>
      </w:r>
      <w:r>
        <w:rPr>
          <w:rFonts w:ascii="宋体" w:hAnsi="宋体" w:cs="宋体" w:eastAsia="宋体" w:hint="default"/>
        </w:rPr>
        <w:t>-</w:t>
      </w:r>
      <w:r>
        <w:rPr/>
        <w:t>注释</w:t>
      </w:r>
      <w:r>
        <w:rPr>
          <w:rFonts w:ascii="宋体" w:hAnsi="宋体" w:cs="宋体" w:eastAsia="宋体" w:hint="default"/>
        </w:rPr>
        <w:t>1</w:t>
      </w:r>
      <w:r>
        <w:rPr/>
        <w:t>在子公司中权益</w:t>
      </w:r>
      <w:r>
        <w:rPr>
          <w:rFonts w:ascii="Times New Roman" w:hAnsi="Times New Roman" w:cs="Times New Roman" w:eastAsia="Times New Roman" w:hint="default"/>
        </w:rPr>
        <w:t>”</w:t>
      </w:r>
      <w:r>
        <w:rPr/>
        <w:t>。</w:t>
      </w:r>
    </w:p>
    <w:p>
      <w:pPr>
        <w:pStyle w:val="BodyText"/>
        <w:spacing w:line="240" w:lineRule="auto" w:before="13"/>
        <w:ind w:left="172" w:right="254"/>
        <w:jc w:val="left"/>
      </w:pPr>
      <w:r>
        <w:rPr/>
        <w:t>本期纳入合并财务报表范围的主体较上期相比，增加</w:t>
      </w:r>
      <w:r>
        <w:rPr>
          <w:rFonts w:ascii="Times New Roman" w:hAnsi="Times New Roman" w:cs="Times New Roman" w:eastAsia="Times New Roman" w:hint="default"/>
        </w:rPr>
        <w:t>6</w:t>
      </w:r>
      <w:r>
        <w:rPr/>
        <w:t>户，减少</w:t>
      </w:r>
      <w:r>
        <w:rPr>
          <w:rFonts w:ascii="Times New Roman" w:hAnsi="Times New Roman" w:cs="Times New Roman" w:eastAsia="Times New Roman" w:hint="default"/>
        </w:rPr>
        <w:t>2</w:t>
      </w:r>
      <w:r>
        <w:rPr/>
        <w:t>户，其中：</w:t>
      </w:r>
    </w:p>
    <w:p>
      <w:pPr>
        <w:pStyle w:val="BodyText"/>
        <w:spacing w:line="240" w:lineRule="auto" w:before="63"/>
        <w:ind w:left="172" w:right="254"/>
        <w:jc w:val="left"/>
        <w:rPr>
          <w:rFonts w:ascii="宋体" w:hAnsi="宋体" w:cs="宋体" w:eastAsia="宋体" w:hint="default"/>
        </w:rPr>
      </w:pPr>
      <w:r>
        <w:rPr>
          <w:rFonts w:ascii="Times New Roman" w:hAnsi="Times New Roman" w:cs="Times New Roman" w:eastAsia="Times New Roman" w:hint="default"/>
        </w:rPr>
        <w:t>1</w:t>
      </w:r>
      <w:r>
        <w:rPr/>
        <w:t>．本期新纳入合并范围的子公司、特殊目的主体、通过受托经营或承租等方式形成控制权的经营实体</w:t>
      </w:r>
      <w:r>
        <w:rPr>
          <w:rFonts w:ascii="宋体" w:hAnsi="宋体" w:cs="宋体" w:eastAsia="宋体" w:hint="default"/>
        </w:rPr>
        <w:t> </w:t>
      </w:r>
    </w:p>
    <w:p>
      <w:pPr>
        <w:spacing w:line="240" w:lineRule="auto" w:before="2"/>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3846"/>
        <w:gridCol w:w="5867"/>
      </w:tblGrid>
      <w:tr>
        <w:trPr>
          <w:trHeight w:val="362" w:hRule="exact"/>
        </w:trPr>
        <w:tc>
          <w:tcPr>
            <w:tcW w:w="384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2"/>
              <w:ind w:left="19"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586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变更原因</w:t>
            </w:r>
            <w:r>
              <w:rPr>
                <w:rFonts w:ascii="宋体" w:hAnsi="宋体" w:cs="宋体" w:eastAsia="宋体" w:hint="default"/>
                <w:sz w:val="18"/>
                <w:szCs w:val="18"/>
              </w:rPr>
            </w:r>
          </w:p>
        </w:tc>
      </w:tr>
      <w:tr>
        <w:trPr>
          <w:trHeight w:val="348" w:hRule="exact"/>
        </w:trPr>
        <w:tc>
          <w:tcPr>
            <w:tcW w:w="38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9"/>
              <w:ind w:left="16" w:right="0"/>
              <w:jc w:val="center"/>
              <w:rPr>
                <w:rFonts w:ascii="宋体" w:hAnsi="宋体" w:cs="宋体" w:eastAsia="宋体" w:hint="default"/>
                <w:sz w:val="18"/>
                <w:szCs w:val="18"/>
              </w:rPr>
            </w:pPr>
            <w:r>
              <w:rPr>
                <w:rFonts w:ascii="宋体" w:hAnsi="宋体" w:cs="宋体" w:eastAsia="宋体" w:hint="default"/>
                <w:sz w:val="18"/>
                <w:szCs w:val="18"/>
              </w:rPr>
              <w:t>深圳市前海麦达数字有限公司</w:t>
            </w:r>
          </w:p>
        </w:tc>
        <w:tc>
          <w:tcPr>
            <w:tcW w:w="58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9"/>
              <w:ind w:right="4"/>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0" w:hRule="exact"/>
        </w:trPr>
        <w:tc>
          <w:tcPr>
            <w:tcW w:w="38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2"/>
              <w:ind w:left="19" w:right="0"/>
              <w:jc w:val="center"/>
              <w:rPr>
                <w:rFonts w:ascii="宋体" w:hAnsi="宋体" w:cs="宋体" w:eastAsia="宋体" w:hint="default"/>
                <w:sz w:val="18"/>
                <w:szCs w:val="18"/>
              </w:rPr>
            </w:pPr>
            <w:r>
              <w:rPr>
                <w:rFonts w:ascii="宋体" w:hAnsi="宋体" w:cs="宋体" w:eastAsia="宋体" w:hint="default"/>
                <w:sz w:val="18"/>
                <w:szCs w:val="18"/>
              </w:rPr>
              <w:t>北京麦达数字技术服务有限公司</w:t>
            </w:r>
          </w:p>
        </w:tc>
        <w:tc>
          <w:tcPr>
            <w:tcW w:w="58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2"/>
              <w:ind w:right="4"/>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0" w:hRule="exact"/>
        </w:trPr>
        <w:tc>
          <w:tcPr>
            <w:tcW w:w="38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2"/>
              <w:ind w:left="16" w:right="0"/>
              <w:jc w:val="center"/>
              <w:rPr>
                <w:rFonts w:ascii="宋体" w:hAnsi="宋体" w:cs="宋体" w:eastAsia="宋体" w:hint="default"/>
                <w:sz w:val="18"/>
                <w:szCs w:val="18"/>
              </w:rPr>
            </w:pPr>
            <w:r>
              <w:rPr>
                <w:rFonts w:ascii="宋体" w:hAnsi="宋体" w:cs="宋体" w:eastAsia="宋体" w:hint="default"/>
                <w:sz w:val="18"/>
                <w:szCs w:val="18"/>
              </w:rPr>
              <w:t>实益达技术（香港）有限公司</w:t>
            </w:r>
          </w:p>
        </w:tc>
        <w:tc>
          <w:tcPr>
            <w:tcW w:w="58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2"/>
              <w:ind w:right="4"/>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0" w:hRule="exact"/>
        </w:trPr>
        <w:tc>
          <w:tcPr>
            <w:tcW w:w="38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9"/>
              <w:ind w:left="16" w:right="0"/>
              <w:jc w:val="center"/>
              <w:rPr>
                <w:rFonts w:ascii="宋体" w:hAnsi="宋体" w:cs="宋体" w:eastAsia="宋体" w:hint="default"/>
                <w:sz w:val="18"/>
                <w:szCs w:val="18"/>
              </w:rPr>
            </w:pPr>
            <w:r>
              <w:rPr>
                <w:rFonts w:ascii="宋体" w:hAnsi="宋体" w:cs="宋体" w:eastAsia="宋体" w:hint="default"/>
                <w:sz w:val="18"/>
                <w:szCs w:val="18"/>
              </w:rPr>
              <w:t>实益达智能（香港）有限公司</w:t>
            </w:r>
          </w:p>
        </w:tc>
        <w:tc>
          <w:tcPr>
            <w:tcW w:w="58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9"/>
              <w:ind w:right="4"/>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0" w:hRule="exact"/>
        </w:trPr>
        <w:tc>
          <w:tcPr>
            <w:tcW w:w="38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9"/>
              <w:ind w:left="19" w:right="0"/>
              <w:jc w:val="center"/>
              <w:rPr>
                <w:rFonts w:ascii="宋体" w:hAnsi="宋体" w:cs="宋体" w:eastAsia="宋体" w:hint="default"/>
                <w:sz w:val="18"/>
                <w:szCs w:val="18"/>
              </w:rPr>
            </w:pPr>
            <w:r>
              <w:rPr>
                <w:rFonts w:ascii="宋体" w:hAnsi="宋体" w:cs="宋体" w:eastAsia="宋体" w:hint="default"/>
                <w:sz w:val="18"/>
                <w:szCs w:val="18"/>
              </w:rPr>
              <w:t>无锡益锡电子有限公司</w:t>
            </w:r>
          </w:p>
        </w:tc>
        <w:tc>
          <w:tcPr>
            <w:tcW w:w="58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9"/>
              <w:ind w:right="4"/>
              <w:jc w:val="center"/>
              <w:rPr>
                <w:rFonts w:ascii="宋体" w:hAnsi="宋体" w:cs="宋体" w:eastAsia="宋体" w:hint="default"/>
                <w:sz w:val="18"/>
                <w:szCs w:val="18"/>
              </w:rPr>
            </w:pPr>
            <w:r>
              <w:rPr>
                <w:rFonts w:ascii="宋体" w:hAnsi="宋体" w:cs="宋体" w:eastAsia="宋体" w:hint="default"/>
                <w:sz w:val="18"/>
                <w:szCs w:val="18"/>
              </w:rPr>
              <w:t>分立</w:t>
            </w:r>
          </w:p>
        </w:tc>
      </w:tr>
      <w:tr>
        <w:trPr>
          <w:trHeight w:val="360" w:hRule="exact"/>
        </w:trPr>
        <w:tc>
          <w:tcPr>
            <w:tcW w:w="384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1"/>
              <w:ind w:left="16" w:right="0"/>
              <w:jc w:val="center"/>
              <w:rPr>
                <w:rFonts w:ascii="Arial Narrow" w:hAnsi="Arial Narrow" w:cs="Arial Narrow" w:eastAsia="Arial Narrow" w:hint="default"/>
                <w:sz w:val="18"/>
                <w:szCs w:val="18"/>
              </w:rPr>
            </w:pPr>
            <w:r>
              <w:rPr>
                <w:rFonts w:ascii="Arial Narrow"/>
                <w:sz w:val="18"/>
              </w:rPr>
              <w:t>Mindata Holding</w:t>
            </w:r>
            <w:r>
              <w:rPr>
                <w:rFonts w:ascii="Arial Narrow"/>
                <w:spacing w:val="-7"/>
                <w:sz w:val="18"/>
              </w:rPr>
              <w:t> </w:t>
            </w:r>
            <w:r>
              <w:rPr>
                <w:rFonts w:ascii="Arial Narrow"/>
                <w:sz w:val="18"/>
              </w:rPr>
              <w:t>Co.,Ltd</w:t>
            </w:r>
          </w:p>
        </w:tc>
        <w:tc>
          <w:tcPr>
            <w:tcW w:w="586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9"/>
              <w:ind w:right="4"/>
              <w:jc w:val="center"/>
              <w:rPr>
                <w:rFonts w:ascii="宋体" w:hAnsi="宋体" w:cs="宋体" w:eastAsia="宋体" w:hint="default"/>
                <w:sz w:val="18"/>
                <w:szCs w:val="18"/>
              </w:rPr>
            </w:pPr>
            <w:r>
              <w:rPr>
                <w:rFonts w:ascii="宋体" w:hAnsi="宋体" w:cs="宋体" w:eastAsia="宋体" w:hint="default"/>
                <w:sz w:val="18"/>
                <w:szCs w:val="18"/>
              </w:rPr>
              <w:t>投资新设</w:t>
            </w:r>
          </w:p>
        </w:tc>
      </w:tr>
    </w:tbl>
    <w:p>
      <w:pPr>
        <w:spacing w:line="240" w:lineRule="auto" w:before="2"/>
        <w:rPr>
          <w:rFonts w:ascii="宋体" w:hAnsi="宋体" w:cs="宋体" w:eastAsia="宋体" w:hint="default"/>
          <w:sz w:val="21"/>
          <w:szCs w:val="21"/>
        </w:rPr>
      </w:pPr>
    </w:p>
    <w:p>
      <w:pPr>
        <w:pStyle w:val="BodyText"/>
        <w:spacing w:line="240" w:lineRule="auto" w:before="44"/>
        <w:ind w:left="172" w:right="254"/>
        <w:jc w:val="left"/>
      </w:pPr>
      <w:r>
        <w:rPr>
          <w:rFonts w:ascii="Times New Roman" w:hAnsi="Times New Roman" w:cs="Times New Roman" w:eastAsia="Times New Roman" w:hint="default"/>
        </w:rPr>
        <w:t>2</w:t>
      </w:r>
      <w:r>
        <w:rPr/>
        <w:t>．本期不再纳入合并范围的子公司、特殊目的主体、通过委托经营或出租等方式丧失控制权的经营实体</w:t>
      </w:r>
    </w:p>
    <w:p>
      <w:pPr>
        <w:spacing w:line="240" w:lineRule="auto" w:before="2"/>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3846"/>
        <w:gridCol w:w="5867"/>
      </w:tblGrid>
      <w:tr>
        <w:trPr>
          <w:trHeight w:val="360" w:hRule="exact"/>
        </w:trPr>
        <w:tc>
          <w:tcPr>
            <w:tcW w:w="384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2"/>
              <w:ind w:left="19"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586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变更原因</w:t>
            </w:r>
            <w:r>
              <w:rPr>
                <w:rFonts w:ascii="宋体" w:hAnsi="宋体" w:cs="宋体" w:eastAsia="宋体" w:hint="default"/>
                <w:sz w:val="18"/>
                <w:szCs w:val="18"/>
              </w:rPr>
            </w:r>
          </w:p>
        </w:tc>
      </w:tr>
      <w:tr>
        <w:trPr>
          <w:trHeight w:val="350" w:hRule="exact"/>
        </w:trPr>
        <w:tc>
          <w:tcPr>
            <w:tcW w:w="38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2"/>
              <w:ind w:left="16" w:right="0"/>
              <w:jc w:val="center"/>
              <w:rPr>
                <w:rFonts w:ascii="宋体" w:hAnsi="宋体" w:cs="宋体" w:eastAsia="宋体" w:hint="default"/>
                <w:sz w:val="18"/>
                <w:szCs w:val="18"/>
              </w:rPr>
            </w:pPr>
            <w:r>
              <w:rPr>
                <w:rFonts w:ascii="宋体" w:hAnsi="宋体" w:cs="宋体" w:eastAsia="宋体" w:hint="default"/>
                <w:sz w:val="18"/>
                <w:szCs w:val="18"/>
              </w:rPr>
              <w:t>深圳市昇泰物业有限公司</w:t>
            </w:r>
          </w:p>
        </w:tc>
        <w:tc>
          <w:tcPr>
            <w:tcW w:w="58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2"/>
              <w:ind w:right="4"/>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60" w:hRule="exact"/>
        </w:trPr>
        <w:tc>
          <w:tcPr>
            <w:tcW w:w="384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9"/>
              <w:ind w:left="16" w:right="0"/>
              <w:jc w:val="center"/>
              <w:rPr>
                <w:rFonts w:ascii="宋体" w:hAnsi="宋体" w:cs="宋体" w:eastAsia="宋体" w:hint="default"/>
                <w:sz w:val="18"/>
                <w:szCs w:val="18"/>
              </w:rPr>
            </w:pPr>
            <w:r>
              <w:rPr>
                <w:rFonts w:ascii="宋体" w:hAnsi="宋体" w:cs="宋体" w:eastAsia="宋体" w:hint="default"/>
                <w:sz w:val="18"/>
                <w:szCs w:val="18"/>
              </w:rPr>
              <w:t>深圳市哇塞宝贝网络科技有限公司</w:t>
            </w:r>
          </w:p>
        </w:tc>
        <w:tc>
          <w:tcPr>
            <w:tcW w:w="586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9"/>
              <w:ind w:right="4"/>
              <w:jc w:val="center"/>
              <w:rPr>
                <w:rFonts w:ascii="宋体" w:hAnsi="宋体" w:cs="宋体" w:eastAsia="宋体" w:hint="default"/>
                <w:sz w:val="18"/>
                <w:szCs w:val="18"/>
              </w:rPr>
            </w:pPr>
            <w:r>
              <w:rPr>
                <w:rFonts w:ascii="宋体" w:hAnsi="宋体" w:cs="宋体" w:eastAsia="宋体" w:hint="default"/>
                <w:sz w:val="18"/>
                <w:szCs w:val="18"/>
              </w:rPr>
              <w:t>注销</w:t>
            </w:r>
          </w:p>
        </w:tc>
      </w:tr>
    </w:tbl>
    <w:p>
      <w:pPr>
        <w:spacing w:after="0" w:line="240" w:lineRule="auto"/>
        <w:jc w:val="center"/>
        <w:rPr>
          <w:rFonts w:ascii="宋体" w:hAnsi="宋体" w:cs="宋体" w:eastAsia="宋体" w:hint="default"/>
          <w:sz w:val="18"/>
          <w:szCs w:val="18"/>
        </w:rPr>
        <w:sectPr>
          <w:pgSz w:w="11910" w:h="16840"/>
          <w:pgMar w:header="745" w:footer="980" w:top="1060" w:bottom="1160" w:left="960" w:right="960"/>
        </w:sectPr>
      </w:pPr>
    </w:p>
    <w:p>
      <w:pPr>
        <w:spacing w:line="240" w:lineRule="auto" w:before="9"/>
        <w:rPr>
          <w:rFonts w:ascii="宋体" w:hAnsi="宋体" w:cs="宋体" w:eastAsia="宋体" w:hint="default"/>
          <w:sz w:val="25"/>
          <w:szCs w:val="25"/>
        </w:rPr>
      </w:pPr>
    </w:p>
    <w:p>
      <w:pPr>
        <w:pStyle w:val="BodyText"/>
        <w:spacing w:line="240" w:lineRule="auto" w:before="44"/>
        <w:ind w:right="153"/>
        <w:jc w:val="left"/>
      </w:pPr>
      <w:r>
        <w:rPr/>
        <w:t>合并范围变更主体的具体信息详见</w:t>
      </w:r>
      <w:r>
        <w:rPr>
          <w:rFonts w:ascii="Times New Roman" w:hAnsi="Times New Roman" w:cs="Times New Roman" w:eastAsia="Times New Roman" w:hint="default"/>
        </w:rPr>
        <w:t>“</w:t>
      </w:r>
      <w:r>
        <w:rPr/>
        <w:t>附注八、合并范围的变更</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49" w:firstLine="360"/>
        <w:jc w:val="both"/>
      </w:pPr>
      <w:r>
        <w:rPr>
          <w:spacing w:val="-2"/>
        </w:rPr>
        <w:t>本公司根据实际发生的交易和事项，按照财政部颁布的《企业会计准则</w:t>
      </w:r>
      <w:r>
        <w:rPr>
          <w:rFonts w:ascii="Times New Roman" w:hAnsi="Times New Roman" w:cs="Times New Roman" w:eastAsia="Times New Roman" w:hint="default"/>
          <w:spacing w:val="-2"/>
        </w:rPr>
        <w:t>——</w:t>
      </w:r>
      <w:r>
        <w:rPr>
          <w:spacing w:val="-2"/>
        </w:rPr>
        <w:t>基本准则》和具体企业会计准则、企业会计</w:t>
      </w:r>
      <w:r>
        <w:rPr/>
        <w:t> </w:t>
      </w:r>
      <w:r>
        <w:rPr>
          <w:spacing w:val="-2"/>
        </w:rPr>
        <w:t>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）进行确认和计量，在此基础上，结合中国证</w:t>
      </w:r>
      <w:r>
        <w:rPr>
          <w:spacing w:val="-44"/>
        </w:rPr>
        <w:t> </w:t>
      </w:r>
      <w:r>
        <w:rPr>
          <w:spacing w:val="-44"/>
        </w:rPr>
      </w:r>
      <w:r>
        <w:rPr>
          <w:spacing w:val="-2"/>
        </w:rPr>
        <w:t>券监督管理委员会《公开发行证券的公司信息披露编报规则第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年修订）的规定，编制</w:t>
      </w:r>
      <w:r>
        <w:rPr>
          <w:spacing w:val="-61"/>
        </w:rPr>
        <w:t> </w:t>
      </w:r>
      <w:r>
        <w:rPr>
          <w:spacing w:val="-61"/>
        </w:rPr>
      </w:r>
      <w:r>
        <w:rPr/>
        <w:t>财务报表。</w:t>
      </w:r>
    </w:p>
    <w:p>
      <w:pPr>
        <w:spacing w:line="240" w:lineRule="auto" w:before="10"/>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49" w:firstLine="360"/>
        <w:jc w:val="both"/>
      </w:pPr>
      <w:r>
        <w:rPr>
          <w:spacing w:val="-2"/>
        </w:rPr>
        <w:t>本公司对报告期末起</w:t>
      </w:r>
      <w:r>
        <w:rPr>
          <w:rFonts w:ascii="Times New Roman" w:hAnsi="Times New Roman" w:cs="Times New Roman" w:eastAsia="Times New Roman" w:hint="default"/>
          <w:spacing w:val="-2"/>
        </w:rPr>
        <w:t>12</w:t>
      </w:r>
      <w:r>
        <w:rPr>
          <w:spacing w:val="-2"/>
        </w:rPr>
        <w:t>个月的持续经营能力进行了评价，未发现对持续经营能力产生重大怀疑的事项或情况。因此，本</w:t>
      </w:r>
      <w:r>
        <w:rPr/>
        <w:t> 财务报表系在持续经营假设的基础上编制。</w:t>
      </w:r>
    </w:p>
    <w:p>
      <w:pPr>
        <w:spacing w:line="240" w:lineRule="auto" w:before="11"/>
        <w:rPr>
          <w:rFonts w:ascii="宋体" w:hAnsi="宋体" w:cs="宋体" w:eastAsia="宋体" w:hint="default"/>
          <w:sz w:val="21"/>
          <w:szCs w:val="21"/>
        </w:rPr>
      </w:pPr>
    </w:p>
    <w:p>
      <w:pPr>
        <w:pStyle w:val="Heading2"/>
        <w:spacing w:line="240" w:lineRule="auto"/>
        <w:ind w:right="153"/>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14"/>
        <w:jc w:val="left"/>
      </w:pPr>
      <w:r>
        <w:rPr/>
        <w:t>公司是否需要遵守特殊行业的披露要求 否</w:t>
      </w:r>
    </w:p>
    <w:p>
      <w:pPr>
        <w:pStyle w:val="BodyText"/>
        <w:spacing w:line="360" w:lineRule="auto" w:before="25"/>
        <w:ind w:right="2856"/>
        <w:jc w:val="left"/>
      </w:pPr>
      <w:r>
        <w:rPr/>
        <w:t>具体会计政策和会计估计提示： 公司根据自身生产经营特点，确认了收入确认政策，具体会计政策参见附注五</w:t>
      </w:r>
      <w:r>
        <w:rPr>
          <w:rFonts w:ascii="宋体" w:hAnsi="宋体" w:cs="宋体" w:eastAsia="宋体" w:hint="default"/>
        </w:rPr>
        <w:t>-</w:t>
      </w:r>
      <w:r>
        <w:rPr/>
        <w:t>注释</w:t>
      </w:r>
      <w:r>
        <w:rPr>
          <w:rFonts w:ascii="宋体" w:hAnsi="宋体" w:cs="宋体" w:eastAsia="宋体" w:hint="default"/>
        </w:rPr>
        <w:t>26</w:t>
      </w:r>
      <w:r>
        <w:rPr/>
        <w:t>。</w:t>
      </w:r>
    </w:p>
    <w:p>
      <w:pPr>
        <w:spacing w:line="240" w:lineRule="auto" w:before="4"/>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55" w:firstLine="360"/>
        <w:jc w:val="both"/>
      </w:pPr>
      <w:r>
        <w:rPr>
          <w:spacing w:val="-2"/>
        </w:rPr>
        <w:t>本公司所编制的财务报表符合企业会计准则的要求，真实、完整地反映了报告期公司的财务状况、经营成果、现金流量</w:t>
      </w:r>
      <w:r>
        <w:rPr/>
        <w:t> 等有关信息。</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53"/>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53"/>
        <w:jc w:val="left"/>
      </w:pPr>
      <w:r>
        <w:rPr/>
        <w:t>营业周期为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个月，并且作为资产和负债的流动性划分标准。</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73" w:right="1613"/>
        <w:jc w:val="left"/>
      </w:pPr>
      <w:r>
        <w:rPr/>
        <w:t>采用人民币为记账本位币。 境外子公司以其经营所处的主要经济环境中的货币为记账本位币，编制财务报表时折算为人民币。</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2"/>
        <w:rPr>
          <w:rFonts w:ascii="宋体" w:hAnsi="宋体" w:cs="宋体" w:eastAsia="宋体" w:hint="default"/>
          <w:b/>
          <w:bCs/>
          <w:sz w:val="23"/>
          <w:szCs w:val="23"/>
        </w:rPr>
      </w:pPr>
    </w:p>
    <w:p>
      <w:pPr>
        <w:pStyle w:val="BodyText"/>
        <w:spacing w:line="338" w:lineRule="auto"/>
        <w:ind w:right="224" w:firstLine="36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分步实现企业合并过程中的各项交易的条款、条件以及经济影响符合以下一种或多种情况，将多次交易事项作为一 揽子交易进行会计处理</w:t>
      </w:r>
    </w:p>
    <w:p>
      <w:pPr>
        <w:spacing w:after="0" w:line="338" w:lineRule="auto"/>
        <w:jc w:val="both"/>
        <w:sectPr>
          <w:pgSz w:w="11910" w:h="16840"/>
          <w:pgMar w:header="745" w:footer="980" w:top="1060" w:bottom="1160" w:left="980" w:right="980"/>
        </w:sectPr>
      </w:pPr>
    </w:p>
    <w:p>
      <w:pPr>
        <w:spacing w:line="240" w:lineRule="auto" w:before="8"/>
        <w:rPr>
          <w:rFonts w:ascii="宋体" w:hAnsi="宋体" w:cs="宋体" w:eastAsia="宋体" w:hint="default"/>
          <w:sz w:val="22"/>
          <w:szCs w:val="22"/>
        </w:rPr>
      </w:pPr>
    </w:p>
    <w:p>
      <w:pPr>
        <w:pStyle w:val="BodyText"/>
        <w:spacing w:line="240" w:lineRule="auto" w:before="44"/>
        <w:ind w:left="332" w:right="254"/>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01"/>
        <w:ind w:left="332" w:right="254"/>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101"/>
        <w:ind w:left="332" w:right="254"/>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101"/>
        <w:ind w:left="332" w:right="254"/>
        <w:jc w:val="left"/>
      </w:pPr>
      <w:r>
        <w:rPr/>
        <w:t>（</w:t>
      </w:r>
      <w:r>
        <w:rPr>
          <w:rFonts w:ascii="Times New Roman" w:hAnsi="Times New Roman" w:cs="Times New Roman" w:eastAsia="Times New Roman" w:hint="default"/>
        </w:rPr>
        <w:t>4</w:t>
      </w:r>
      <w:r>
        <w:rPr/>
        <w:t>）一项交易单独看是不经济的，但是和其他交易一并考虑时是经济的。</w:t>
      </w:r>
    </w:p>
    <w:p>
      <w:pPr>
        <w:pStyle w:val="BodyText"/>
        <w:spacing w:line="336" w:lineRule="auto" w:before="101"/>
        <w:ind w:left="513" w:right="9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同一控制下的企业合并 </w:t>
      </w:r>
      <w:r>
        <w:rPr>
          <w:spacing w:val="-2"/>
        </w:rPr>
        <w:t>本公司在企业合并中取得的资产和负债，按照合并日在被合并方资产、负债（包括最终控制方收购被合并方而形成的商</w:t>
      </w:r>
    </w:p>
    <w:p>
      <w:pPr>
        <w:pStyle w:val="BodyText"/>
        <w:spacing w:line="357" w:lineRule="auto" w:before="43"/>
        <w:ind w:right="94"/>
        <w:jc w:val="left"/>
      </w:pPr>
      <w:r>
        <w:rPr>
          <w:spacing w:val="-2"/>
        </w:rPr>
        <w:t>誉）在最终控制方合并财务报表中的账面价值计量。在合并中取得的净资产账面价值与支付的合并对价账面价值（或发行股</w:t>
      </w:r>
      <w:r>
        <w:rPr>
          <w:spacing w:val="-63"/>
        </w:rPr>
        <w:t> </w:t>
      </w:r>
      <w:r>
        <w:rPr>
          <w:spacing w:val="-63"/>
        </w:rPr>
      </w:r>
      <w:r>
        <w:rPr/>
        <w:t>份面值总额）的差额，调整资本公积中的股本溢价，资本公积中的股本溢价不足冲减的，调整留存收益。 </w:t>
      </w:r>
      <w:r>
        <w:rPr>
          <w:spacing w:val="-2"/>
        </w:rPr>
        <w:t>如果存在或有对价并需要确认预计负债或资产，该预计负债或资产金额与后续或有对价结算金额的差额，调整资本公积（资</w:t>
      </w:r>
      <w:r>
        <w:rPr>
          <w:spacing w:val="-63"/>
        </w:rPr>
        <w:t> </w:t>
      </w:r>
      <w:r>
        <w:rPr>
          <w:spacing w:val="-63"/>
        </w:rPr>
      </w:r>
      <w:r>
        <w:rPr/>
        <w:t>本溢价或股本溢价），资本公积不足的，调整留存收益。</w:t>
      </w:r>
    </w:p>
    <w:p>
      <w:pPr>
        <w:pStyle w:val="BodyText"/>
        <w:spacing w:line="357" w:lineRule="auto" w:before="26"/>
        <w:ind w:right="104" w:firstLine="360"/>
        <w:jc w:val="both"/>
      </w:pPr>
      <w:r>
        <w:rPr>
          <w:spacing w:val="-2"/>
        </w:rPr>
        <w:t>对于通过多次交易最终实现企业合并的，属于一揽子交易的，将各项交易作为一项取得控制权的交易进行会计处理；不</w:t>
      </w:r>
      <w:r>
        <w:rPr/>
        <w:t> </w:t>
      </w:r>
      <w:r>
        <w:rPr>
          <w:spacing w:val="-2"/>
        </w:rPr>
        <w:t>属于一揽子交易的，在取得控制权日，长期股权投资初始投资成本，与达到合并前的长期股权投资账面价值加上合并日进一</w:t>
      </w:r>
      <w:r>
        <w:rPr>
          <w:spacing w:val="-63"/>
        </w:rPr>
        <w:t> </w:t>
      </w:r>
      <w:r>
        <w:rPr>
          <w:spacing w:val="-63"/>
        </w:rPr>
      </w:r>
      <w:r>
        <w:rPr>
          <w:spacing w:val="-2"/>
        </w:rPr>
        <w:t>步取得股份新支付对价的账面价值之和的差额，调整资本公积；资本公积不足冲减的，调整留存收益。对于合并日之前持有</w:t>
      </w:r>
      <w:r>
        <w:rPr>
          <w:spacing w:val="-64"/>
        </w:rPr>
        <w:t> </w:t>
      </w:r>
      <w:r>
        <w:rPr>
          <w:spacing w:val="-64"/>
        </w:rPr>
      </w:r>
      <w:r>
        <w:rPr>
          <w:spacing w:val="-2"/>
        </w:rPr>
        <w:t>的股权投资，因采用权益法核算或金融工具确认和计量准则核算而确认的其他综合收益，暂不进行会计处理，直至处置该项</w:t>
      </w:r>
      <w:r>
        <w:rPr>
          <w:spacing w:val="-63"/>
        </w:rPr>
        <w:t> </w:t>
      </w:r>
      <w:r>
        <w:rPr>
          <w:spacing w:val="-63"/>
        </w:rPr>
      </w:r>
      <w:r>
        <w:rPr>
          <w:spacing w:val="-2"/>
        </w:rPr>
        <w:t>投资时采用与被投资单位直接处置相关资产或负债相同的基础进行会计处理；因采用权益法核算而确认的被投资单位净资产</w:t>
      </w:r>
      <w:r>
        <w:rPr>
          <w:spacing w:val="-63"/>
        </w:rPr>
        <w:t> </w:t>
      </w:r>
      <w:r>
        <w:rPr>
          <w:spacing w:val="-63"/>
        </w:rPr>
      </w:r>
      <w:r>
        <w:rPr>
          <w:spacing w:val="-4"/>
        </w:rPr>
        <w:t>中除净损益、其他综合收益和利润分配以外的所有者权益其他变动，暂不进行会计处理，直至处置该项投资时转入当期损益。</w:t>
      </w:r>
    </w:p>
    <w:p>
      <w:pPr>
        <w:pStyle w:val="BodyText"/>
        <w:spacing w:line="338" w:lineRule="auto" w:before="26"/>
        <w:ind w:left="513" w:right="9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非同一控制下的企业合并 </w:t>
      </w:r>
      <w:r>
        <w:rPr>
          <w:spacing w:val="-2"/>
        </w:rPr>
        <w:t>购买日是指本公司实际取得对被购买方控制权的日期，即被购买方的净资产或生产经营决策的控制权转移给本公司的日</w:t>
      </w:r>
    </w:p>
    <w:p>
      <w:pPr>
        <w:pStyle w:val="BodyText"/>
        <w:spacing w:line="240" w:lineRule="auto" w:before="41"/>
        <w:ind w:right="254"/>
        <w:jc w:val="left"/>
      </w:pPr>
      <w:r>
        <w:rPr/>
        <w:t>期。同时满足下列条件时，本公司一般认为实现了控制权的转移：</w:t>
      </w:r>
    </w:p>
    <w:p>
      <w:pPr>
        <w:pStyle w:val="BodyText"/>
        <w:spacing w:line="240" w:lineRule="auto" w:before="115"/>
        <w:ind w:left="436" w:right="254"/>
        <w:jc w:val="left"/>
      </w:pPr>
      <w:r>
        <w:rPr/>
        <w:t>①企业合并合同或协议已获本公司内部权力机构通过。</w:t>
      </w:r>
    </w:p>
    <w:p>
      <w:pPr>
        <w:pStyle w:val="BodyText"/>
        <w:spacing w:line="240" w:lineRule="auto" w:before="115"/>
        <w:ind w:left="436" w:right="254"/>
        <w:jc w:val="left"/>
      </w:pPr>
      <w:r>
        <w:rPr/>
        <w:t>②企业合并事项需要经过国家有关主管部门审批的，已获得批准。</w:t>
      </w:r>
    </w:p>
    <w:p>
      <w:pPr>
        <w:pStyle w:val="BodyText"/>
        <w:spacing w:line="240" w:lineRule="auto" w:before="115"/>
        <w:ind w:left="436" w:right="254"/>
        <w:jc w:val="left"/>
      </w:pPr>
      <w:r>
        <w:rPr/>
        <w:t>③已办理了必要的财产权转移手续。</w:t>
      </w:r>
    </w:p>
    <w:p>
      <w:pPr>
        <w:pStyle w:val="BodyText"/>
        <w:spacing w:line="240" w:lineRule="auto" w:before="115"/>
        <w:ind w:left="436" w:right="254"/>
        <w:jc w:val="left"/>
      </w:pPr>
      <w:r>
        <w:rPr/>
        <w:t>④本公司已支付了合并价款的大部分，并且有能力、有计划支付剩余款项。</w:t>
      </w:r>
    </w:p>
    <w:p>
      <w:pPr>
        <w:pStyle w:val="BodyText"/>
        <w:spacing w:line="357" w:lineRule="auto" w:before="115"/>
        <w:ind w:left="513" w:right="94" w:hanging="77"/>
        <w:jc w:val="left"/>
      </w:pPr>
      <w:r>
        <w:rPr/>
        <w:t>⑤本公司实际上已经控制了被购买方的财务和经营政策，并享有相应的利益、承担相应的风险。 </w:t>
      </w:r>
      <w:r>
        <w:rPr>
          <w:spacing w:val="-4"/>
        </w:rPr>
        <w:t>本公司在购买日对作为企业合并对价付出的资产、发生或承担的负债按照公允价值计量，公允价值与其账面价值的差额，</w:t>
      </w:r>
    </w:p>
    <w:p>
      <w:pPr>
        <w:pStyle w:val="BodyText"/>
        <w:spacing w:line="357" w:lineRule="auto" w:before="24"/>
        <w:ind w:left="513" w:right="94" w:hanging="361"/>
        <w:jc w:val="left"/>
      </w:pPr>
      <w:r>
        <w:rPr/>
        <w:t>计入当期损益。 </w:t>
      </w:r>
      <w:r>
        <w:rPr>
          <w:spacing w:val="-2"/>
        </w:rPr>
        <w:t>本公司对合并成本大于合并中取得的被购买方可辨认净资产公允价值份额的差额，确认为商誉；合并成本小于合并中取</w:t>
      </w:r>
    </w:p>
    <w:p>
      <w:pPr>
        <w:pStyle w:val="BodyText"/>
        <w:spacing w:line="357" w:lineRule="auto" w:before="26"/>
        <w:ind w:left="513" w:right="94" w:hanging="361"/>
        <w:jc w:val="left"/>
      </w:pPr>
      <w:r>
        <w:rPr/>
        <w:t>得的被购买方可辨认净资产公允价值份额的差额，经复核后，计入当期损益。 </w:t>
      </w:r>
      <w:r>
        <w:rPr>
          <w:spacing w:val="-2"/>
        </w:rPr>
        <w:t>通过多次交换交易分步实现的非同一控制下企业合并，属于一揽子交易的，将各项交易作为一项取得控制权的交易进行</w:t>
      </w:r>
    </w:p>
    <w:p>
      <w:pPr>
        <w:pStyle w:val="BodyText"/>
        <w:spacing w:line="357" w:lineRule="auto" w:before="26"/>
        <w:ind w:right="190"/>
        <w:jc w:val="both"/>
      </w:pPr>
      <w:r>
        <w:rPr>
          <w:spacing w:val="-2"/>
        </w:rPr>
        <w:t>会计处理；不属于一揽子交易的，合并日之前持有的股权投资采用权益法核算的，以购买日之前所持被购买方的股权投资的</w:t>
      </w:r>
      <w:r>
        <w:rPr>
          <w:spacing w:val="-63"/>
        </w:rPr>
        <w:t> </w:t>
      </w:r>
      <w:r>
        <w:rPr>
          <w:spacing w:val="-63"/>
        </w:rPr>
      </w:r>
      <w:r>
        <w:rPr>
          <w:spacing w:val="-2"/>
        </w:rPr>
        <w:t>账面价值与购买日新增投资成本之和，作为该项投资的初始投资成本；购买日之前持有的股权投资因采用权益法核算而确认</w:t>
      </w:r>
      <w:r>
        <w:rPr>
          <w:spacing w:val="-64"/>
        </w:rPr>
        <w:t> </w:t>
      </w:r>
      <w:r>
        <w:rPr>
          <w:spacing w:val="-64"/>
        </w:rPr>
      </w:r>
      <w:r>
        <w:rPr>
          <w:spacing w:val="-2"/>
        </w:rPr>
        <w:t>的其他综合收益，在处置该项投资时采用与被投资单位直接处置相关资产或负债相同的基础进行会计处理。合并日之前持有</w:t>
      </w:r>
      <w:r>
        <w:rPr>
          <w:spacing w:val="-64"/>
        </w:rPr>
        <w:t> </w:t>
      </w:r>
      <w:r>
        <w:rPr>
          <w:spacing w:val="-64"/>
        </w:rPr>
      </w:r>
      <w:r>
        <w:rPr>
          <w:spacing w:val="-2"/>
        </w:rPr>
        <w:t>的股权投资采用金融工具确认和计量准则核算的，以该股权投资在合并日的公允价值加上新增投资成本之和，作为合并日的</w:t>
      </w:r>
      <w:r>
        <w:rPr>
          <w:spacing w:val="-64"/>
        </w:rPr>
        <w:t> </w:t>
      </w:r>
      <w:r>
        <w:rPr>
          <w:spacing w:val="-64"/>
        </w:rPr>
      </w:r>
      <w:r>
        <w:rPr>
          <w:spacing w:val="-2"/>
        </w:rPr>
        <w:t>初始投资成本。原持有股权的公允价值与账面价值之间的差额以及原计入其他综合收益的累计公允价值变动应全部转入合并</w:t>
      </w:r>
      <w:r>
        <w:rPr>
          <w:spacing w:val="-64"/>
        </w:rPr>
        <w:t> </w:t>
      </w:r>
      <w:r>
        <w:rPr>
          <w:spacing w:val="-64"/>
        </w:rPr>
      </w:r>
      <w:r>
        <w:rPr/>
        <w:t>日当期的投资收益。</w:t>
      </w:r>
    </w:p>
    <w:p>
      <w:pPr>
        <w:pStyle w:val="BodyText"/>
        <w:spacing w:line="338" w:lineRule="auto" w:before="24"/>
        <w:ind w:left="513" w:right="94"/>
        <w:jc w:val="left"/>
      </w:pPr>
      <w:r>
        <w:rPr>
          <w:rFonts w:ascii="Times New Roman" w:hAnsi="Times New Roman" w:cs="Times New Roman" w:eastAsia="Times New Roman" w:hint="default"/>
        </w:rPr>
        <w:t>4.</w:t>
      </w:r>
      <w:r>
        <w:rPr/>
        <w:t>为合并发生的相关费用 </w:t>
      </w:r>
      <w:r>
        <w:rPr>
          <w:spacing w:val="-2"/>
        </w:rPr>
        <w:t>为企业合并发生的审计、法律服务、评估咨询等中介费用以及其他直接相关费用，于发生时计入当期损益；为企业合并</w:t>
      </w:r>
    </w:p>
    <w:p>
      <w:pPr>
        <w:pStyle w:val="BodyText"/>
        <w:spacing w:line="240" w:lineRule="auto" w:before="41"/>
        <w:ind w:right="254"/>
        <w:jc w:val="left"/>
      </w:pPr>
      <w:r>
        <w:rPr/>
        <w:t>而发行权益性证券的交易费用，可直接归属于权益性交易的从权益中扣减。</w:t>
      </w:r>
    </w:p>
    <w:p>
      <w:pPr>
        <w:spacing w:after="0" w:line="240" w:lineRule="auto"/>
        <w:jc w:val="left"/>
        <w:sectPr>
          <w:footerReference w:type="default" r:id="rId24"/>
          <w:pgSz w:w="11910" w:h="16840"/>
          <w:pgMar w:footer="980" w:header="745" w:top="1060" w:bottom="1160" w:left="980" w:right="940"/>
          <w:pgNumType w:start="110"/>
        </w:sectPr>
      </w:pPr>
    </w:p>
    <w:p>
      <w:pPr>
        <w:spacing w:line="240" w:lineRule="auto" w:before="10"/>
        <w:rPr>
          <w:rFonts w:ascii="宋体" w:hAnsi="宋体" w:cs="宋体" w:eastAsia="宋体" w:hint="default"/>
          <w:sz w:val="24"/>
          <w:szCs w:val="24"/>
        </w:rPr>
      </w:pPr>
    </w:p>
    <w:p>
      <w:pPr>
        <w:pStyle w:val="Heading3"/>
        <w:spacing w:line="240" w:lineRule="auto" w:before="36"/>
        <w:ind w:right="254"/>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3"/>
        <w:rPr>
          <w:rFonts w:ascii="宋体" w:hAnsi="宋体" w:cs="宋体" w:eastAsia="宋体" w:hint="default"/>
          <w:b/>
          <w:bCs/>
          <w:sz w:val="23"/>
          <w:szCs w:val="23"/>
        </w:rPr>
      </w:pPr>
    </w:p>
    <w:p>
      <w:pPr>
        <w:pStyle w:val="BodyText"/>
        <w:spacing w:line="343" w:lineRule="auto"/>
        <w:ind w:left="441" w:right="94"/>
        <w:jc w:val="left"/>
      </w:pPr>
      <w:r>
        <w:rPr>
          <w:rFonts w:ascii="Times New Roman" w:hAnsi="Times New Roman" w:cs="Times New Roman" w:eastAsia="Times New Roman" w:hint="default"/>
        </w:rPr>
        <w:t>1.</w:t>
      </w:r>
      <w:r>
        <w:rPr/>
        <w:t>合并范围 </w:t>
      </w:r>
      <w:r>
        <w:rPr>
          <w:spacing w:val="-4"/>
        </w:rPr>
        <w:t>本公司合并财务报表的合并范围以控制为基础确定，所有子公司（包括本公司所控制的单独主体）均纳入合并财务报表。</w:t>
      </w:r>
      <w:r>
        <w:rPr>
          <w:spacing w:val="-52"/>
        </w:rPr>
        <w:t> </w:t>
      </w:r>
      <w:r>
        <w:rPr>
          <w:spacing w:val="-52"/>
        </w:rPr>
      </w:r>
      <w:r>
        <w:rPr>
          <w:rFonts w:ascii="Times New Roman" w:hAnsi="Times New Roman" w:cs="Times New Roman" w:eastAsia="Times New Roman" w:hint="default"/>
        </w:rPr>
        <w:t>2.</w:t>
      </w:r>
      <w:r>
        <w:rPr/>
        <w:t>合并程序 本公司以自身和各子公司的财务报表为基础，根据其他有关资料，编制合并财务报表。本公司编制合并财务报表，将整</w:t>
      </w:r>
    </w:p>
    <w:p>
      <w:pPr>
        <w:pStyle w:val="BodyText"/>
        <w:spacing w:line="357" w:lineRule="auto" w:before="37"/>
        <w:ind w:right="94"/>
        <w:jc w:val="left"/>
      </w:pPr>
      <w:r>
        <w:rPr>
          <w:spacing w:val="-2"/>
        </w:rPr>
        <w:t>个企业集团视为一个会计主体，依据相关企业会计准则的确认、计量和列报要求，按照统一的会计政策，反映本企业集团整</w:t>
      </w:r>
      <w:r>
        <w:rPr>
          <w:spacing w:val="-64"/>
        </w:rPr>
        <w:t> </w:t>
      </w:r>
      <w:r>
        <w:rPr>
          <w:spacing w:val="-64"/>
        </w:rPr>
      </w:r>
      <w:r>
        <w:rPr/>
        <w:t>体财务状况、经营成果和现金流量。</w:t>
      </w:r>
    </w:p>
    <w:p>
      <w:pPr>
        <w:pStyle w:val="BodyText"/>
        <w:spacing w:line="357" w:lineRule="auto" w:before="26"/>
        <w:ind w:right="94" w:firstLine="360"/>
        <w:jc w:val="left"/>
      </w:pPr>
      <w:r>
        <w:rPr>
          <w:spacing w:val="-2"/>
        </w:rPr>
        <w:t>所有纳入合并财务报表合并范围的子公司所采用的会计政策、会计期间与本公司一致，如子公司采用的会计政策、会计</w:t>
      </w:r>
      <w:r>
        <w:rPr/>
        <w:t> 期间与本公司不一致的，在编制合并财务报表时，按本公司的会计政策、会计期间进行必要的调整。 </w:t>
      </w:r>
      <w:r>
        <w:rPr>
          <w:spacing w:val="-2"/>
        </w:rPr>
        <w:t>合并财务报表时抵销本公司与各子公司、各子公司相互之间发生的内部交易对合并资产负债表、合并利润表、合并现金流量</w:t>
      </w:r>
      <w:r>
        <w:rPr>
          <w:spacing w:val="-66"/>
        </w:rPr>
        <w:t> </w:t>
      </w:r>
      <w:r>
        <w:rPr>
          <w:spacing w:val="-66"/>
        </w:rPr>
      </w:r>
      <w:r>
        <w:rPr>
          <w:spacing w:val="-2"/>
        </w:rPr>
        <w:t>表、合并股东权益变动表的影响。如果站在企业集团合并财务报表角度与以本公司或子公司为会计主体对同一交易的认定不</w:t>
      </w:r>
      <w:r>
        <w:rPr>
          <w:spacing w:val="-64"/>
        </w:rPr>
        <w:t> </w:t>
      </w:r>
      <w:r>
        <w:rPr>
          <w:spacing w:val="-64"/>
        </w:rPr>
      </w:r>
      <w:r>
        <w:rPr/>
        <w:t>同时，从企业集团的角度对该交易予以调整。</w:t>
      </w:r>
    </w:p>
    <w:p>
      <w:pPr>
        <w:pStyle w:val="BodyText"/>
        <w:spacing w:line="357" w:lineRule="auto" w:before="24"/>
        <w:ind w:right="192"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57" w:lineRule="auto" w:before="26"/>
        <w:ind w:right="94" w:firstLine="360"/>
        <w:jc w:val="left"/>
      </w:pPr>
      <w:r>
        <w:rPr>
          <w:spacing w:val="-2"/>
        </w:rPr>
        <w:t>对于同一控制下企业合并取得的子公司，以其资产、负债（包括最终控制方收购该子公司而形成的商誉）在最终控制方</w:t>
      </w:r>
      <w:r>
        <w:rPr/>
        <w:t> 财务报表中的账面价值为基础对其财务报表进行调整。</w:t>
      </w:r>
    </w:p>
    <w:p>
      <w:pPr>
        <w:pStyle w:val="BodyText"/>
        <w:spacing w:line="240" w:lineRule="auto" w:before="26"/>
        <w:ind w:left="513" w:right="254"/>
        <w:jc w:val="left"/>
      </w:pPr>
      <w:r>
        <w:rPr/>
        <w:t>对于非同一控制下企业合并取得的子公司，以购买日可辨认净资产公允价值为基础对其财务报表进行调整。</w:t>
      </w:r>
    </w:p>
    <w:p>
      <w:pPr>
        <w:pStyle w:val="BodyText"/>
        <w:spacing w:line="338" w:lineRule="auto" w:before="115"/>
        <w:ind w:left="513" w:right="94" w:hanging="181"/>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357" w:lineRule="auto" w:before="41"/>
        <w:ind w:right="94"/>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 </w:t>
      </w:r>
      <w:r>
        <w:rPr>
          <w:spacing w:val="-2"/>
        </w:rPr>
        <w:t>因追加投资等原因能够对同一控制下的被投资方实施控制的，视同参与合并的各方在最终控制方开始控制时即以目前的状态</w:t>
      </w:r>
      <w:r>
        <w:rPr>
          <w:spacing w:val="-64"/>
        </w:rPr>
        <w:t> </w:t>
      </w:r>
      <w:r>
        <w:rPr>
          <w:spacing w:val="-64"/>
        </w:rPr>
      </w:r>
      <w:r>
        <w:rPr>
          <w:spacing w:val="-2"/>
        </w:rPr>
        <w:t>存在进行调整。在取得被合并方控制权之前持有的股权投资，在取得原股权之日与合并方和被合并方同处于同一控制之日孰</w:t>
      </w:r>
      <w:r>
        <w:rPr>
          <w:spacing w:val="-64"/>
        </w:rPr>
        <w:t> </w:t>
      </w:r>
      <w:r>
        <w:rPr>
          <w:spacing w:val="-64"/>
        </w:rPr>
      </w:r>
      <w:r>
        <w:rPr>
          <w:spacing w:val="-2"/>
        </w:rPr>
        <w:t>晚日起至合并日之间已确认有关损益、其他综合收益以及其他净资产变动，分别冲减比较报表期间的期初留存收益或当期损</w:t>
      </w:r>
      <w:r>
        <w:rPr>
          <w:spacing w:val="-64"/>
        </w:rPr>
        <w:t> </w:t>
      </w:r>
      <w:r>
        <w:rPr>
          <w:spacing w:val="-64"/>
        </w:rPr>
      </w:r>
      <w:r>
        <w:rPr/>
        <w:t>益。</w:t>
      </w:r>
    </w:p>
    <w:p>
      <w:pPr>
        <w:pStyle w:val="BodyText"/>
        <w:spacing w:line="357" w:lineRule="auto" w:before="26"/>
        <w:ind w:right="190"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4"/>
        </w:rPr>
        <w:t> </w:t>
      </w:r>
      <w:r>
        <w:rPr>
          <w:spacing w:val="-64"/>
        </w:rPr>
      </w:r>
      <w:r>
        <w:rPr/>
        <w:t>表。</w:t>
      </w:r>
    </w:p>
    <w:p>
      <w:pPr>
        <w:pStyle w:val="BodyText"/>
        <w:spacing w:line="357" w:lineRule="auto" w:before="26"/>
        <w:ind w:right="192"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26"/>
        <w:ind w:left="315" w:right="254"/>
        <w:jc w:val="left"/>
      </w:pPr>
      <w:r>
        <w:rPr/>
        <w:t>（</w:t>
      </w:r>
      <w:r>
        <w:rPr>
          <w:rFonts w:ascii="Times New Roman" w:hAnsi="Times New Roman" w:cs="Times New Roman" w:eastAsia="Times New Roman" w:hint="default"/>
        </w:rPr>
        <w:t>2</w:t>
      </w:r>
      <w:r>
        <w:rPr/>
        <w:t>）处置子公司或业务</w:t>
      </w:r>
    </w:p>
    <w:p>
      <w:pPr>
        <w:pStyle w:val="BodyText"/>
        <w:spacing w:line="338" w:lineRule="auto" w:before="101"/>
        <w:ind w:left="513" w:right="94"/>
        <w:jc w:val="left"/>
      </w:pPr>
      <w:r>
        <w:rPr>
          <w:rFonts w:ascii="Times New Roman" w:hAnsi="Times New Roman" w:cs="Times New Roman" w:eastAsia="Times New Roman" w:hint="default"/>
        </w:rPr>
        <w:t>1</w:t>
      </w:r>
      <w:r>
        <w:rPr/>
        <w:t>）一般处理方法 </w:t>
      </w:r>
      <w:r>
        <w:rPr>
          <w:spacing w:val="-2"/>
        </w:rPr>
        <w:t>在报告期内，本公司处置子公司或业务，则该子公司或业务期初至处置日的收入、费用、利润纳入合并利润表；该子公</w:t>
      </w:r>
    </w:p>
    <w:p>
      <w:pPr>
        <w:pStyle w:val="BodyText"/>
        <w:spacing w:line="357" w:lineRule="auto" w:before="41"/>
        <w:ind w:left="513" w:right="94" w:hanging="361"/>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spacing w:after="0" w:line="357" w:lineRule="auto"/>
        <w:jc w:val="left"/>
        <w:sectPr>
          <w:pgSz w:w="11910" w:h="16840"/>
          <w:pgMar w:header="745" w:footer="980" w:top="1060" w:bottom="1160" w:left="980" w:right="940"/>
        </w:sectPr>
      </w:pPr>
    </w:p>
    <w:p>
      <w:pPr>
        <w:spacing w:line="240" w:lineRule="auto" w:before="8"/>
        <w:rPr>
          <w:rFonts w:ascii="宋体" w:hAnsi="宋体" w:cs="宋体" w:eastAsia="宋体" w:hint="default"/>
          <w:sz w:val="22"/>
          <w:szCs w:val="22"/>
        </w:rPr>
      </w:pPr>
    </w:p>
    <w:p>
      <w:pPr>
        <w:pStyle w:val="BodyText"/>
        <w:spacing w:line="357" w:lineRule="auto" w:before="44"/>
        <w:ind w:right="94"/>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336" w:lineRule="auto" w:before="26"/>
        <w:ind w:left="513" w:right="94"/>
        <w:jc w:val="left"/>
      </w:pPr>
      <w:r>
        <w:rPr>
          <w:rFonts w:ascii="Times New Roman" w:hAnsi="Times New Roman" w:cs="Times New Roman" w:eastAsia="Times New Roman" w:hint="default"/>
        </w:rPr>
        <w:t>2</w:t>
      </w:r>
      <w:r>
        <w:rPr/>
        <w:t>）分步处置子公司 </w:t>
      </w:r>
      <w:r>
        <w:rPr>
          <w:spacing w:val="-2"/>
        </w:rPr>
        <w:t>通过多次交易分步处置对子公司股权投资直至丧失控制权的，处置对子公司股权投资的各项交易的条款、条件以及经济</w:t>
      </w:r>
    </w:p>
    <w:p>
      <w:pPr>
        <w:pStyle w:val="BodyText"/>
        <w:spacing w:line="343" w:lineRule="auto" w:before="43"/>
        <w:ind w:left="513" w:right="2614" w:hanging="361"/>
        <w:jc w:val="left"/>
      </w:pPr>
      <w:r>
        <w:rPr/>
        <w:t>影响符合以下一种或多种情况，通常表明应将多次交易事项作为一揽子交易进行会计处理： </w:t>
      </w: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 </w:t>
      </w: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pStyle w:val="BodyText"/>
        <w:spacing w:line="357" w:lineRule="auto" w:before="15"/>
        <w:ind w:right="190"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3"/>
        </w:rPr>
        <w:t> </w:t>
      </w:r>
      <w:r>
        <w:rPr>
          <w:spacing w:val="-63"/>
        </w:rPr>
      </w:r>
      <w:r>
        <w:rPr/>
        <w:t>合并财务报表中确认为其他综合收益，在丧失控制权时一并转入丧失控制权当期的损益。</w:t>
      </w:r>
    </w:p>
    <w:p>
      <w:pPr>
        <w:pStyle w:val="BodyText"/>
        <w:spacing w:line="355" w:lineRule="auto" w:before="26"/>
        <w:ind w:right="192"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38" w:lineRule="auto" w:before="28"/>
        <w:ind w:left="513" w:right="94" w:hanging="198"/>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57" w:lineRule="auto" w:before="41"/>
        <w:ind w:right="94"/>
        <w:jc w:val="left"/>
      </w:pPr>
      <w:r>
        <w:rPr>
          <w:spacing w:val="-2"/>
        </w:rPr>
        <w:t>算的净资产份额之间的差额，调整合并资产负债表中的资本公积中的股本溢价，资本公积中的股本溢价不足冲减的，调整留</w:t>
      </w:r>
      <w:r>
        <w:rPr>
          <w:spacing w:val="-63"/>
        </w:rPr>
        <w:t> </w:t>
      </w:r>
      <w:r>
        <w:rPr>
          <w:spacing w:val="-63"/>
        </w:rPr>
      </w:r>
      <w:r>
        <w:rPr/>
        <w:t>存收益。</w:t>
      </w:r>
    </w:p>
    <w:p>
      <w:pPr>
        <w:pStyle w:val="BodyText"/>
        <w:spacing w:line="338" w:lineRule="auto" w:before="26"/>
        <w:ind w:left="513" w:right="273" w:hanging="72"/>
        <w:jc w:val="left"/>
      </w:pPr>
      <w:r>
        <w:rPr>
          <w:rFonts w:ascii="Times New Roman" w:hAnsi="Times New Roman" w:cs="Times New Roman" w:eastAsia="Times New Roman" w:hint="default"/>
        </w:rPr>
        <w:t>(4)</w:t>
      </w:r>
      <w:r>
        <w:rPr/>
        <w:t>不丧失控制权的情况下部分处置对子公司的股权投资</w:t>
      </w:r>
      <w:r>
        <w:rPr>
          <w:w w:val="99"/>
        </w:rPr>
        <w:t> </w:t>
      </w:r>
      <w:r>
        <w:rPr/>
        <w:t>在不丧失控制权的情况下因部分处置对子公司的长期股权投资而取得的处置价款与处置长期股权投资相对应享有子公</w:t>
      </w:r>
    </w:p>
    <w:p>
      <w:pPr>
        <w:pStyle w:val="BodyText"/>
        <w:spacing w:line="357" w:lineRule="auto" w:before="41"/>
        <w:ind w:right="94"/>
        <w:jc w:val="left"/>
      </w:pPr>
      <w:r>
        <w:rPr>
          <w:spacing w:val="-2"/>
        </w:rPr>
        <w:t>司自购买日或合并日开始持续计算的净资产份额之间的差额，调整合并资产负债表中的资本公积中的股本溢价，资本公积中</w:t>
      </w:r>
      <w:r>
        <w:rPr>
          <w:spacing w:val="-63"/>
        </w:rPr>
        <w:t> </w:t>
      </w:r>
      <w:r>
        <w:rPr>
          <w:spacing w:val="-63"/>
        </w:rPr>
      </w:r>
      <w:r>
        <w:rPr/>
        <w:t>的股本溢价不足冲减的，调整留存收益。</w:t>
      </w:r>
    </w:p>
    <w:p>
      <w:pPr>
        <w:spacing w:line="240" w:lineRule="auto" w:before="7"/>
        <w:rPr>
          <w:rFonts w:ascii="宋体" w:hAnsi="宋体" w:cs="宋体" w:eastAsia="宋体" w:hint="default"/>
          <w:sz w:val="26"/>
          <w:szCs w:val="26"/>
        </w:rPr>
      </w:pPr>
    </w:p>
    <w:p>
      <w:pPr>
        <w:pStyle w:val="Heading3"/>
        <w:spacing w:line="240" w:lineRule="auto"/>
        <w:ind w:right="254"/>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0"/>
        <w:rPr>
          <w:rFonts w:ascii="宋体" w:hAnsi="宋体" w:cs="宋体" w:eastAsia="宋体" w:hint="default"/>
          <w:b/>
          <w:bCs/>
          <w:sz w:val="23"/>
          <w:szCs w:val="23"/>
        </w:rPr>
      </w:pPr>
    </w:p>
    <w:p>
      <w:pPr>
        <w:pStyle w:val="BodyText"/>
        <w:spacing w:line="338" w:lineRule="auto"/>
        <w:ind w:left="513" w:right="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合营安排的分类 </w:t>
      </w:r>
      <w:r>
        <w:rPr>
          <w:spacing w:val="-2"/>
        </w:rPr>
        <w:t>本公司根据合营安排的结构、法律形式以及合营安排中约定的条款、其他相关事实和情况等因素，将合营安排分为共同</w:t>
      </w:r>
    </w:p>
    <w:p>
      <w:pPr>
        <w:pStyle w:val="BodyText"/>
        <w:spacing w:line="357" w:lineRule="auto" w:before="41"/>
        <w:ind w:left="513" w:right="94" w:hanging="361"/>
        <w:jc w:val="left"/>
      </w:pPr>
      <w:r>
        <w:rPr/>
        <w:t>经营和合营企业。 </w:t>
      </w:r>
      <w:r>
        <w:rPr>
          <w:spacing w:val="-2"/>
        </w:rPr>
        <w:t>未通过单独主体达成的合营安排，划分为共同经营；通过单独主体达成的合营安排，通常划分为合营企业；但有确凿证</w:t>
      </w:r>
    </w:p>
    <w:p>
      <w:pPr>
        <w:pStyle w:val="BodyText"/>
        <w:spacing w:line="343" w:lineRule="auto" w:before="26"/>
        <w:ind w:left="460" w:right="94" w:hanging="308"/>
        <w:jc w:val="left"/>
      </w:pPr>
      <w:r>
        <w:rPr/>
        <w:t>据表明满足下列任一条件并且符合相关法律法规规定的合营安排划分为共同经营： </w:t>
      </w:r>
      <w:r>
        <w:rPr>
          <w:rFonts w:ascii="Times New Roman" w:hAnsi="Times New Roman" w:cs="Times New Roman" w:eastAsia="Times New Roman" w:hint="default"/>
        </w:rPr>
        <w:t>(1)</w:t>
      </w:r>
      <w:r>
        <w:rPr/>
        <w:t>合营安排的法律形式表明，合营方对该安排中的相关资产和负债分别享有权利和承担义务。 </w:t>
      </w:r>
      <w:r>
        <w:rPr>
          <w:rFonts w:ascii="Times New Roman" w:hAnsi="Times New Roman" w:cs="Times New Roman" w:eastAsia="Times New Roman" w:hint="default"/>
        </w:rPr>
        <w:t>(2)</w:t>
      </w:r>
      <w:r>
        <w:rPr/>
        <w:t>合营安排的合同条款约定，合营方对该安排中的相关资产和负债分别享有权利和承担义务。 </w:t>
      </w:r>
      <w:r>
        <w:rPr>
          <w:rFonts w:ascii="Times New Roman" w:hAnsi="Times New Roman" w:cs="Times New Roman" w:eastAsia="Times New Roman" w:hint="default"/>
          <w:spacing w:val="-2"/>
        </w:rPr>
        <w:t>(3)</w:t>
      </w:r>
      <w:r>
        <w:rPr>
          <w:spacing w:val="-2"/>
        </w:rPr>
        <w:t>其他相关事实和情况表明，合营方对该安排中的相关资产和负债分别享有权利和承担义务，如合营方享有与合营安排</w:t>
      </w:r>
    </w:p>
    <w:p>
      <w:pPr>
        <w:pStyle w:val="BodyText"/>
        <w:spacing w:line="240" w:lineRule="auto" w:before="15"/>
        <w:ind w:right="254"/>
        <w:jc w:val="left"/>
      </w:pPr>
      <w:r>
        <w:rPr/>
        <w:t>相关的几乎所有产出，并且该安排中负债的清偿持续依赖于合营方的支持。</w:t>
      </w:r>
    </w:p>
    <w:p>
      <w:pPr>
        <w:pStyle w:val="BodyText"/>
        <w:spacing w:line="338" w:lineRule="auto" w:before="115"/>
        <w:ind w:left="513" w:right="81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共同经营会计处理方法 本公司确认共同经营中利益份额中与本公司相关的下列项目，并按照相关企业会计准则的规定进行会计处理：</w:t>
      </w:r>
    </w:p>
    <w:p>
      <w:pPr>
        <w:pStyle w:val="BodyText"/>
        <w:spacing w:line="240" w:lineRule="auto" w:before="41"/>
        <w:ind w:left="388" w:right="254"/>
        <w:jc w:val="left"/>
      </w:pPr>
      <w:r>
        <w:rPr/>
        <w:t>（</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101"/>
        <w:ind w:left="388" w:right="254"/>
        <w:jc w:val="left"/>
      </w:pPr>
      <w:r>
        <w:rPr/>
        <w:t>（</w:t>
      </w:r>
      <w:r>
        <w:rPr>
          <w:rFonts w:ascii="Times New Roman" w:hAnsi="Times New Roman" w:cs="Times New Roman" w:eastAsia="Times New Roman" w:hint="default"/>
        </w:rPr>
        <w:t>2</w:t>
      </w:r>
      <w:r>
        <w:rPr/>
        <w:t>）确认单独所承担的负债，以及按其份额确认共同承担的负债；</w:t>
      </w:r>
    </w:p>
    <w:p>
      <w:pPr>
        <w:spacing w:after="0" w:line="240" w:lineRule="auto"/>
        <w:jc w:val="left"/>
        <w:sectPr>
          <w:pgSz w:w="11910" w:h="16840"/>
          <w:pgMar w:header="745" w:footer="980" w:top="1060" w:bottom="1160" w:left="980" w:right="940"/>
        </w:sectPr>
      </w:pPr>
    </w:p>
    <w:p>
      <w:pPr>
        <w:spacing w:line="240" w:lineRule="auto" w:before="8"/>
        <w:rPr>
          <w:rFonts w:ascii="宋体" w:hAnsi="宋体" w:cs="宋体" w:eastAsia="宋体" w:hint="default"/>
          <w:sz w:val="22"/>
          <w:szCs w:val="22"/>
        </w:rPr>
      </w:pPr>
    </w:p>
    <w:p>
      <w:pPr>
        <w:pStyle w:val="BodyText"/>
        <w:spacing w:line="240" w:lineRule="auto" w:before="44"/>
        <w:ind w:left="388" w:right="153"/>
        <w:jc w:val="left"/>
      </w:pPr>
      <w:r>
        <w:rPr/>
        <w:t>（</w:t>
      </w: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101"/>
        <w:ind w:left="388" w:right="153"/>
        <w:jc w:val="left"/>
      </w:pPr>
      <w:r>
        <w:rPr/>
        <w:t>（</w:t>
      </w:r>
      <w:r>
        <w:rPr>
          <w:rFonts w:ascii="Times New Roman" w:hAnsi="Times New Roman" w:cs="Times New Roman" w:eastAsia="Times New Roman" w:hint="default"/>
        </w:rPr>
        <w:t>4</w:t>
      </w:r>
      <w:r>
        <w:rPr/>
        <w:t>）按其份额确认共同经营因出售产出所产生的收入；</w:t>
      </w:r>
    </w:p>
    <w:p>
      <w:pPr>
        <w:pStyle w:val="BodyText"/>
        <w:spacing w:line="338" w:lineRule="auto" w:before="101"/>
        <w:ind w:left="513" w:right="0" w:hanging="125"/>
        <w:jc w:val="left"/>
      </w:pPr>
      <w:r>
        <w:rPr/>
        <w:t>（</w:t>
      </w:r>
      <w:r>
        <w:rPr>
          <w:rFonts w:ascii="Times New Roman" w:hAnsi="Times New Roman" w:cs="Times New Roman" w:eastAsia="Times New Roman" w:hint="default"/>
        </w:rPr>
        <w:t>5</w:t>
      </w:r>
      <w:r>
        <w:rPr/>
        <w:t>）确认单独所发生的费用，以及按其份额确认共同经营发生的费用。 </w:t>
      </w:r>
      <w:r>
        <w:rPr>
          <w:spacing w:val="-2"/>
        </w:rPr>
        <w:t>本公司向共同经营投出或出售资产等（该资产构成业务的除外），在该资产等由共同经营出售给第三方之前，仅确认因</w:t>
      </w:r>
    </w:p>
    <w:p>
      <w:pPr>
        <w:pStyle w:val="BodyText"/>
        <w:spacing w:line="336" w:lineRule="auto" w:before="41"/>
        <w:ind w:right="144"/>
        <w:jc w:val="left"/>
      </w:pPr>
      <w:r>
        <w:rPr/>
        <w:t>该交易产生的损益中归属于共同经营其他参与方的部分。投出或出售的资产发生符合《企业会计准则第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 等规定的资产减值损失的，本公司全额确认该损失。</w:t>
      </w:r>
    </w:p>
    <w:p>
      <w:pPr>
        <w:pStyle w:val="BodyText"/>
        <w:spacing w:line="348" w:lineRule="auto" w:before="43"/>
        <w:ind w:right="155" w:firstLine="360"/>
        <w:jc w:val="both"/>
      </w:pPr>
      <w:r>
        <w:rPr>
          <w:spacing w:val="-2"/>
        </w:rPr>
        <w:t>本公司自共同经营购买资产等（该资产构成业务的除外），在将该资产等出售给第三方之前，仅确认因该交易产生的损</w:t>
      </w:r>
      <w:r>
        <w:rPr/>
        <w:t> 益中归属于共同经营其他参与方的部分。购入的资产发生符合《企业会计准则第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 的，本公司按承担的份额确认该部分损失。</w:t>
      </w:r>
    </w:p>
    <w:p>
      <w:pPr>
        <w:pStyle w:val="BodyText"/>
        <w:spacing w:line="357" w:lineRule="auto" w:before="34"/>
        <w:ind w:right="152" w:firstLine="360"/>
        <w:jc w:val="both"/>
      </w:pPr>
      <w:r>
        <w:rPr>
          <w:spacing w:val="-2"/>
        </w:rPr>
        <w:t>本公司对共同经营不享有共同控制，如果本公司享有该共同经营相关资产且承担该共同经营相关负债的，仍按上述原则</w:t>
      </w:r>
      <w:r>
        <w:rPr/>
        <w:t> 进行会计处理，否则，应当按照相关企业会计准则的规定进行会计处理。</w:t>
      </w:r>
    </w:p>
    <w:p>
      <w:pPr>
        <w:spacing w:line="240" w:lineRule="auto" w:before="7"/>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49" w:firstLine="360"/>
        <w:jc w:val="both"/>
      </w:pPr>
      <w:r>
        <w:rPr>
          <w:spacing w:val="-2"/>
        </w:rPr>
        <w:t>在编制现金流量表时，将本公司库存现金以及可以随时用于支付的存款确认为现金。将同时具备期限短（一般从购买日</w:t>
      </w:r>
      <w:r>
        <w:rPr/>
        <w:t> 起三个月内到期）、流动性强、易于转换为已知金额的现金、价值变动风险很小四个条件的投资，确定为现金等价物。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3"/>
        <w:rPr>
          <w:rFonts w:ascii="宋体" w:hAnsi="宋体" w:cs="宋体" w:eastAsia="宋体" w:hint="default"/>
          <w:b/>
          <w:bCs/>
          <w:sz w:val="23"/>
          <w:szCs w:val="23"/>
        </w:rPr>
      </w:pPr>
    </w:p>
    <w:p>
      <w:pPr>
        <w:pStyle w:val="BodyText"/>
        <w:spacing w:line="338" w:lineRule="auto"/>
        <w:ind w:left="513" w:right="2213" w:hanging="72"/>
        <w:jc w:val="left"/>
      </w:pPr>
      <w:r>
        <w:rPr>
          <w:rFonts w:ascii="Times New Roman" w:hAnsi="Times New Roman" w:cs="Times New Roman" w:eastAsia="Times New Roman" w:hint="default"/>
        </w:rPr>
        <w:t>1.</w:t>
      </w:r>
      <w:r>
        <w:rPr/>
        <w:t>外币业务 外币业务交易在初始确认时，采用交易发生日的即期汇率作为折算汇率折合成人民币记账。</w:t>
      </w:r>
    </w:p>
    <w:p>
      <w:pPr>
        <w:pStyle w:val="BodyText"/>
        <w:spacing w:line="357" w:lineRule="auto" w:before="41"/>
        <w:ind w:right="151"/>
        <w:jc w:val="both"/>
      </w:pPr>
      <w:r>
        <w:rPr>
          <w:spacing w:val="-2"/>
        </w:rPr>
        <w:t>资产负债表日，外币货币性项目按资产负债表日即期汇率折算，由此产生的汇兑差额，除属于与购建符合资本化条件的资产</w:t>
      </w:r>
      <w:r>
        <w:rPr>
          <w:spacing w:val="-66"/>
        </w:rPr>
        <w:t> </w:t>
      </w:r>
      <w:r>
        <w:rPr>
          <w:spacing w:val="-66"/>
        </w:rPr>
      </w:r>
      <w:r>
        <w:rPr>
          <w:spacing w:val="-2"/>
        </w:rPr>
        <w:t>相关的外币专门借款产生的汇兑差额按照借款费用资本化的原则处理外，均计入当期损益。以历史成本计量的外币非货币性</w:t>
      </w:r>
      <w:r>
        <w:rPr>
          <w:spacing w:val="-62"/>
        </w:rPr>
        <w:t> </w:t>
      </w:r>
      <w:r>
        <w:rPr>
          <w:spacing w:val="-62"/>
        </w:rPr>
      </w:r>
      <w:r>
        <w:rPr/>
        <w:t>项目，仍采用交易发生日的即期汇率折算，不改变其记账本位币金额。</w:t>
      </w:r>
    </w:p>
    <w:p>
      <w:pPr>
        <w:pStyle w:val="BodyText"/>
        <w:spacing w:line="357" w:lineRule="auto" w:before="24"/>
        <w:ind w:right="152" w:firstLine="360"/>
        <w:jc w:val="both"/>
      </w:pPr>
      <w:r>
        <w:rPr>
          <w:spacing w:val="-2"/>
        </w:rPr>
        <w:t>以公允价值计量的外币非货币性项目，采用公允价值确定日的即期汇率折算，由此产生的汇兑差额作为公允价值变动损</w:t>
      </w:r>
      <w:r>
        <w:rPr/>
        <w:t> 益计入当期损益。如属于可供出售外币非货币性项目的，形成的汇兑差额计入其他综合收益。</w:t>
      </w:r>
    </w:p>
    <w:p>
      <w:pPr>
        <w:pStyle w:val="BodyText"/>
        <w:spacing w:line="338" w:lineRule="auto" w:before="26"/>
        <w:ind w:left="513" w:right="153" w:hanging="72"/>
        <w:jc w:val="left"/>
      </w:pPr>
      <w:r>
        <w:rPr>
          <w:rFonts w:ascii="Times New Roman" w:hAnsi="Times New Roman" w:cs="Times New Roman" w:eastAsia="Times New Roman" w:hint="default"/>
        </w:rPr>
        <w:t>2.</w:t>
      </w:r>
      <w:r>
        <w:rPr/>
        <w:t>外币财务报表的折算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357" w:lineRule="auto" w:before="19"/>
        <w:ind w:right="0"/>
        <w:jc w:val="left"/>
      </w:pPr>
      <w:r>
        <w:rPr>
          <w:spacing w:val="-2"/>
        </w:rPr>
        <w:t>目采用发生时的即期汇率折算。利润表中的收入和费用项目，采用交易发生日的即期汇率折算。按照上述折算产生的外币财</w:t>
      </w:r>
      <w:r>
        <w:rPr>
          <w:spacing w:val="-63"/>
        </w:rPr>
        <w:t> </w:t>
      </w:r>
      <w:r>
        <w:rPr>
          <w:spacing w:val="-63"/>
        </w:rPr>
      </w:r>
      <w:r>
        <w:rPr/>
        <w:t>务报表折算差额计入其他综合收益。</w:t>
      </w:r>
    </w:p>
    <w:p>
      <w:pPr>
        <w:pStyle w:val="BodyText"/>
        <w:spacing w:line="357" w:lineRule="auto" w:before="26"/>
        <w:ind w:right="150" w:firstLine="360"/>
        <w:jc w:val="both"/>
      </w:pPr>
      <w:r>
        <w:rPr>
          <w:spacing w:val="-2"/>
        </w:rPr>
        <w:t>处置境外经营时，将资产负债表中其他综合收益项目中列示的、与该境外经营相关的外币财务报表折算差额，自其他综</w:t>
      </w:r>
      <w:r>
        <w:rPr/>
        <w:t> </w:t>
      </w:r>
      <w:r>
        <w:rPr>
          <w:spacing w:val="-2"/>
        </w:rPr>
        <w:t>合收益项目转入处置当期损益；在处置部分股权投资或其他原因导致持有境外经营权益比例降低但不丧失对境外经营控制权</w:t>
      </w:r>
      <w:r>
        <w:rPr>
          <w:spacing w:val="-64"/>
        </w:rPr>
        <w:t> </w:t>
      </w:r>
      <w:r>
        <w:rPr>
          <w:spacing w:val="-64"/>
        </w:rPr>
      </w:r>
      <w:r>
        <w:rPr>
          <w:spacing w:val="-2"/>
        </w:rPr>
        <w:t>时，与该境外经营处置部分相关的外币报表折算差额将归属于少数股东权益，不转入当期损益。在处置境外经营为联营企业</w:t>
      </w:r>
      <w:r>
        <w:rPr>
          <w:spacing w:val="-63"/>
        </w:rPr>
        <w:t> </w:t>
      </w:r>
      <w:r>
        <w:rPr>
          <w:spacing w:val="-63"/>
        </w:rPr>
      </w:r>
      <w:r>
        <w:rPr/>
        <w:t>或合营企业的部分股权时，与该境外经营相关的外币报表折算差额，按处置该境外经营的比例转入处置当期损益。</w:t>
      </w:r>
    </w:p>
    <w:p>
      <w:pPr>
        <w:spacing w:line="240" w:lineRule="auto" w:before="5"/>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both"/>
      </w:pPr>
      <w:r>
        <w:rPr/>
        <w:t>金融工具包括金融资产、金融负债和权益工具。</w:t>
      </w:r>
    </w:p>
    <w:p>
      <w:pPr>
        <w:pStyle w:val="BodyText"/>
        <w:spacing w:line="338" w:lineRule="auto" w:before="115"/>
        <w:ind w:left="460" w:right="0" w:firstLine="5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金融工具的分类 </w:t>
      </w:r>
      <w:r>
        <w:rPr>
          <w:spacing w:val="-1"/>
        </w:rPr>
        <w:t>本公司根据所发行金融工具的合同条款及其所反映的经济实质而非仅以法律形式，结合取得持有金融资产和承担金融负</w:t>
      </w:r>
    </w:p>
    <w:p>
      <w:pPr>
        <w:spacing w:after="0" w:line="338" w:lineRule="auto"/>
        <w:jc w:val="left"/>
        <w:sectPr>
          <w:pgSz w:w="11910" w:h="16840"/>
          <w:pgMar w:header="745" w:footer="980" w:top="1060" w:bottom="1160" w:left="980" w:right="980"/>
        </w:sectPr>
      </w:pPr>
    </w:p>
    <w:p>
      <w:pPr>
        <w:spacing w:line="240" w:lineRule="auto" w:before="8"/>
        <w:rPr>
          <w:rFonts w:ascii="宋体" w:hAnsi="宋体" w:cs="宋体" w:eastAsia="宋体" w:hint="default"/>
          <w:sz w:val="22"/>
          <w:szCs w:val="22"/>
        </w:rPr>
      </w:pPr>
    </w:p>
    <w:p>
      <w:pPr>
        <w:pStyle w:val="BodyText"/>
        <w:spacing w:line="357" w:lineRule="auto" w:before="44"/>
        <w:ind w:right="94"/>
        <w:jc w:val="left"/>
      </w:pPr>
      <w:r>
        <w:rPr>
          <w:spacing w:val="-2"/>
        </w:rPr>
        <w:t>债的目的，在初始确认时将金融资产和金融负债分为不同类别：以公允价值计量且其变动计入当期损益的金融资产（或金融</w:t>
      </w:r>
      <w:r>
        <w:rPr>
          <w:spacing w:val="-63"/>
        </w:rPr>
        <w:t> </w:t>
      </w:r>
      <w:r>
        <w:rPr>
          <w:spacing w:val="-63"/>
        </w:rPr>
      </w:r>
      <w:r>
        <w:rPr/>
        <w:t>负债）；持有至到期投资；应收款项；可供出售金融资产；其他金融负债等。</w:t>
      </w:r>
    </w:p>
    <w:p>
      <w:pPr>
        <w:pStyle w:val="BodyText"/>
        <w:spacing w:line="240" w:lineRule="auto" w:before="26"/>
        <w:ind w:left="513" w:right="25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金融工具的确认依据和计量方法</w:t>
      </w:r>
    </w:p>
    <w:p>
      <w:pPr>
        <w:pStyle w:val="BodyText"/>
        <w:spacing w:line="338" w:lineRule="auto" w:before="101"/>
        <w:ind w:left="513" w:right="94" w:hanging="198"/>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以公允价值计量且其变动计入当期损益的金融资产或金融负债，包括交易性金融资产或金融负债和直接指定为以公允价</w:t>
      </w:r>
    </w:p>
    <w:p>
      <w:pPr>
        <w:pStyle w:val="BodyText"/>
        <w:spacing w:line="357" w:lineRule="auto" w:before="38"/>
        <w:ind w:left="513" w:right="3513" w:hanging="361"/>
        <w:jc w:val="left"/>
      </w:pPr>
      <w:r>
        <w:rPr/>
        <w:t>值计量且其变动计入当期损益的金融资产或金融负债。 交易性金融资产或金融负债是指满足下列条件之一的金融资产或金融负债： </w:t>
      </w:r>
      <w:r>
        <w:rPr>
          <w:rFonts w:ascii="Times New Roman" w:hAnsi="Times New Roman" w:cs="Times New Roman" w:eastAsia="Times New Roman" w:hint="default"/>
        </w:rPr>
        <w:t>1</w:t>
      </w:r>
      <w:r>
        <w:rPr/>
        <w:t>）取得该金融资产或金融负债的目的是为了在短期内出售、回购或赎回；</w:t>
      </w:r>
    </w:p>
    <w:p>
      <w:pPr>
        <w:pStyle w:val="BodyText"/>
        <w:spacing w:line="338" w:lineRule="auto" w:before="3"/>
        <w:ind w:right="184" w:firstLine="360"/>
        <w:jc w:val="left"/>
      </w:pPr>
      <w:r>
        <w:rPr>
          <w:rFonts w:ascii="Times New Roman" w:hAnsi="Times New Roman" w:cs="Times New Roman" w:eastAsia="Times New Roman" w:hint="default"/>
        </w:rPr>
        <w:t>2</w:t>
      </w:r>
      <w:r>
        <w:rPr/>
        <w:t>）属于进行集中管理的可辨认金融工具组合的一部分，且有客观证据表明本公司近期采用短期获利方式对该组合进行 管理；</w:t>
      </w:r>
    </w:p>
    <w:p>
      <w:pPr>
        <w:pStyle w:val="BodyText"/>
        <w:spacing w:line="338" w:lineRule="auto" w:before="41"/>
        <w:ind w:right="184" w:firstLine="360"/>
        <w:jc w:val="left"/>
      </w:pPr>
      <w:r>
        <w:rPr>
          <w:rFonts w:ascii="Times New Roman" w:hAnsi="Times New Roman" w:cs="Times New Roman" w:eastAsia="Times New Roman" w:hint="default"/>
        </w:rPr>
        <w:t>3</w:t>
      </w:r>
      <w:r>
        <w:rPr/>
        <w:t>）属于衍生金融工具，但是被指定为有效套期工具的衍生工具、属于财务担保合同的衍生工具、与在活跃市场中没有 报价且其公允价值不能可靠计量的权益工具投资挂钩并须通过交付该权益工具结算的衍生工具除外。</w:t>
      </w:r>
    </w:p>
    <w:p>
      <w:pPr>
        <w:pStyle w:val="BodyText"/>
        <w:spacing w:line="357" w:lineRule="auto" w:before="41"/>
        <w:ind w:right="94" w:firstLine="360"/>
        <w:jc w:val="left"/>
      </w:pPr>
      <w:r>
        <w:rPr>
          <w:spacing w:val="-2"/>
        </w:rPr>
        <w:t>只有符合以下条件之一，金融资产或金融负债才可在初始计量时指定为以公允价值计量且其变动计入损益的金融资产或</w:t>
      </w:r>
      <w:r>
        <w:rPr/>
        <w:t> 金融负债：</w:t>
      </w:r>
    </w:p>
    <w:p>
      <w:pPr>
        <w:pStyle w:val="BodyText"/>
        <w:spacing w:line="336" w:lineRule="auto" w:before="26"/>
        <w:ind w:right="184" w:firstLine="360"/>
        <w:jc w:val="left"/>
      </w:pPr>
      <w:r>
        <w:rPr>
          <w:rFonts w:ascii="Times New Roman" w:hAnsi="Times New Roman" w:cs="Times New Roman" w:eastAsia="Times New Roman" w:hint="default"/>
        </w:rPr>
        <w:t>1</w:t>
      </w:r>
      <w:r>
        <w:rPr/>
        <w:t>）该项指定可以消除或明显减少由于金融资产或金融负债的计量基础不同所导致的相关利得或损失在确认或计量方面 不一致的情况；</w:t>
      </w:r>
    </w:p>
    <w:p>
      <w:pPr>
        <w:pStyle w:val="BodyText"/>
        <w:spacing w:line="338" w:lineRule="auto" w:before="43"/>
        <w:ind w:right="184" w:firstLine="360"/>
        <w:jc w:val="left"/>
      </w:pPr>
      <w:r>
        <w:rPr>
          <w:rFonts w:ascii="Times New Roman" w:hAnsi="Times New Roman" w:cs="Times New Roman" w:eastAsia="Times New Roman" w:hint="default"/>
        </w:rPr>
        <w:t>2</w:t>
      </w:r>
      <w:r>
        <w:rPr/>
        <w:t>）风险管理或投资策略的正式书面文件已载明，该金融资产组合、该金融负债组合、或该金融资产和金融负债组合， 以公允价值为基础进行管理、评价并向关键管理人员报告；</w:t>
      </w:r>
    </w:p>
    <w:p>
      <w:pPr>
        <w:pStyle w:val="BodyText"/>
        <w:spacing w:line="338" w:lineRule="auto" w:before="41"/>
        <w:ind w:right="184" w:firstLine="360"/>
        <w:jc w:val="left"/>
      </w:pPr>
      <w:r>
        <w:rPr>
          <w:rFonts w:ascii="Times New Roman" w:hAnsi="Times New Roman" w:cs="Times New Roman" w:eastAsia="Times New Roman" w:hint="default"/>
        </w:rPr>
        <w:t>3</w:t>
      </w:r>
      <w:r>
        <w:rPr/>
        <w:t>）包含一项或多项嵌入衍生工具的混合工具，除非嵌入衍生工具对混合工具的现金流量没有重大改变，或所嵌入的衍 生工具明显不应当从相关混合工具中分拆；</w:t>
      </w:r>
    </w:p>
    <w:p>
      <w:pPr>
        <w:pStyle w:val="BodyText"/>
        <w:spacing w:line="352" w:lineRule="auto" w:before="41"/>
        <w:ind w:right="94" w:firstLine="360"/>
        <w:jc w:val="left"/>
      </w:pPr>
      <w:r>
        <w:rPr>
          <w:rFonts w:ascii="Times New Roman" w:hAnsi="Times New Roman" w:cs="Times New Roman" w:eastAsia="Times New Roman" w:hint="default"/>
        </w:rPr>
        <w:t>4</w:t>
      </w:r>
      <w:r>
        <w:rPr/>
        <w:t>）包含需要分拆但无法在取得时或后续的资产负债表日对其进行单独计量的嵌入衍生工具的混合工具。 </w:t>
      </w:r>
      <w:r>
        <w:rPr>
          <w:spacing w:val="-2"/>
        </w:rPr>
        <w:t>本公司对以公允价值计量且其变动计入当期损益的金融资产或金融负债，在取得时以公允价值（扣除已宣告但尚未发放的现</w:t>
      </w:r>
      <w:r>
        <w:rPr>
          <w:spacing w:val="-64"/>
        </w:rPr>
        <w:t> </w:t>
      </w:r>
      <w:r>
        <w:rPr>
          <w:spacing w:val="-64"/>
        </w:rPr>
      </w:r>
      <w:r>
        <w:rPr>
          <w:spacing w:val="-2"/>
        </w:rPr>
        <w:t>金股利或已到付息期但尚未领取的债券利息）作为初始确认金额，相关的交易费用计入当期损益。持有期间将取得的利息或</w:t>
      </w:r>
      <w:r>
        <w:rPr>
          <w:spacing w:val="-63"/>
        </w:rPr>
        <w:t> </w:t>
      </w:r>
      <w:r>
        <w:rPr>
          <w:spacing w:val="-63"/>
        </w:rPr>
      </w:r>
      <w:r>
        <w:rPr>
          <w:spacing w:val="-2"/>
        </w:rPr>
        <w:t>现金股利确认为投资收益，期末将公允价值变动计入当期损益。处置时，其公允价值与初始入账金额之间的差额确认为投资</w:t>
      </w:r>
      <w:r>
        <w:rPr>
          <w:spacing w:val="-66"/>
        </w:rPr>
        <w:t> </w:t>
      </w:r>
      <w:r>
        <w:rPr>
          <w:spacing w:val="-66"/>
        </w:rPr>
      </w:r>
      <w:r>
        <w:rPr/>
        <w:t>收益，同时调整公允价值变动损益。</w:t>
      </w:r>
    </w:p>
    <w:p>
      <w:pPr>
        <w:pStyle w:val="BodyText"/>
        <w:spacing w:line="338" w:lineRule="auto" w:before="28"/>
        <w:ind w:left="513" w:right="2973" w:hanging="144"/>
        <w:jc w:val="left"/>
      </w:pPr>
      <w:r>
        <w:rPr/>
        <w:t>（</w:t>
      </w:r>
      <w:r>
        <w:rPr>
          <w:rFonts w:ascii="Times New Roman" w:hAnsi="Times New Roman" w:cs="Times New Roman" w:eastAsia="Times New Roman" w:hint="default"/>
        </w:rPr>
        <w:t>2</w:t>
      </w:r>
      <w:r>
        <w:rPr/>
        <w:t>）应收款项 应收款项是指在活跃市场中没有报价、回收金额固定或可确定的非衍生金融资产。</w:t>
      </w:r>
    </w:p>
    <w:p>
      <w:pPr>
        <w:pStyle w:val="BodyText"/>
        <w:spacing w:line="357" w:lineRule="auto" w:before="41"/>
        <w:ind w:right="94"/>
        <w:jc w:val="left"/>
      </w:pPr>
      <w:r>
        <w:rPr/>
        <w:t>本公司对外销售商品或提供劳务形成的应收债权，以及公司持有的其他企业的债权（不包括在活跃市场上有报价的债务工 </w:t>
      </w:r>
      <w:r>
        <w:rPr>
          <w:spacing w:val="-2"/>
        </w:rPr>
        <w:t>具），包括应收账款、其他应收款、应收票据、长期应收款等，以向购货方应收的合同或协议价款作为初始确认金额；具有</w:t>
      </w:r>
      <w:r>
        <w:rPr>
          <w:spacing w:val="-73"/>
        </w:rPr>
        <w:t> </w:t>
      </w:r>
      <w:r>
        <w:rPr>
          <w:spacing w:val="-73"/>
        </w:rPr>
      </w:r>
      <w:r>
        <w:rPr/>
        <w:t>融资性质的，按其现值进行初始确认。</w:t>
      </w:r>
    </w:p>
    <w:p>
      <w:pPr>
        <w:pStyle w:val="BodyText"/>
        <w:spacing w:line="240" w:lineRule="auto" w:before="26"/>
        <w:ind w:left="513" w:right="254"/>
        <w:jc w:val="left"/>
      </w:pPr>
      <w:r>
        <w:rPr/>
        <w:t>收回或处置时，将取得的价款与该应收款项账面价值之间的差额计入当期损益。</w:t>
      </w:r>
    </w:p>
    <w:p>
      <w:pPr>
        <w:pStyle w:val="BodyText"/>
        <w:spacing w:line="338" w:lineRule="auto" w:before="115"/>
        <w:ind w:left="513" w:right="94" w:hanging="144"/>
        <w:jc w:val="left"/>
      </w:pPr>
      <w:r>
        <w:rPr/>
        <w:t>（</w:t>
      </w:r>
      <w:r>
        <w:rPr>
          <w:rFonts w:ascii="Times New Roman" w:hAnsi="Times New Roman" w:cs="Times New Roman" w:eastAsia="Times New Roman" w:hint="default"/>
        </w:rPr>
        <w:t>3</w:t>
      </w:r>
      <w:r>
        <w:rPr/>
        <w:t>）持有至到期投资 </w:t>
      </w:r>
      <w:r>
        <w:rPr>
          <w:spacing w:val="-4"/>
        </w:rPr>
        <w:t>持有至到期投资是指到期日固定、回收金额固定或可确定，且本公司有明确意图和能力持有至到期的非衍生性金融资产。</w:t>
      </w:r>
    </w:p>
    <w:p>
      <w:pPr>
        <w:pStyle w:val="BodyText"/>
        <w:spacing w:line="355" w:lineRule="auto" w:before="41"/>
        <w:ind w:right="190"/>
        <w:jc w:val="both"/>
      </w:pPr>
      <w:r>
        <w:rPr>
          <w:spacing w:val="-2"/>
        </w:rPr>
        <w:t>本公司对持有至到期投资，在取得时按公允价值（扣除已到付息期但尚未领取的债券利息）和相关交易费用之和作为初始确</w:t>
      </w:r>
      <w:r>
        <w:rPr>
          <w:spacing w:val="-63"/>
        </w:rPr>
        <w:t> </w:t>
      </w:r>
      <w:r>
        <w:rPr>
          <w:spacing w:val="-63"/>
        </w:rPr>
      </w:r>
      <w:r>
        <w:rPr>
          <w:spacing w:val="-2"/>
        </w:rPr>
        <w:t>认金额。持有期间按照摊余成本和实际利率计算确认利息收入，计入投资收益。实际利率在取得时确定，在该预期存续期间</w:t>
      </w:r>
      <w:r>
        <w:rPr>
          <w:spacing w:val="-64"/>
        </w:rPr>
        <w:t> </w:t>
      </w:r>
      <w:r>
        <w:rPr>
          <w:spacing w:val="-64"/>
        </w:rPr>
      </w:r>
      <w:r>
        <w:rPr/>
        <w:t>或适用的更短期间内保持不变。处置时，将所取得价款与该投资账面价值之间的差额计入投资收益。</w:t>
      </w:r>
    </w:p>
    <w:p>
      <w:pPr>
        <w:pStyle w:val="BodyText"/>
        <w:spacing w:line="357" w:lineRule="auto" w:before="28"/>
        <w:ind w:right="192" w:firstLine="360"/>
        <w:jc w:val="both"/>
      </w:pPr>
      <w:r>
        <w:rPr>
          <w:spacing w:val="-2"/>
        </w:rPr>
        <w:t>如果持有至到期投资处置或重分类为其他类金融资产的金额，相对于本公司全部持有至到期投资在出售或重分类前的总</w:t>
      </w:r>
      <w:r>
        <w:rPr/>
        <w:t> </w:t>
      </w:r>
      <w:r>
        <w:rPr>
          <w:spacing w:val="-2"/>
        </w:rPr>
        <w:t>额较大，在处置或重分类后应立即将其剩余的持有至到期投资重分类为可供出售金融资产；重分类日，该投资的账面价值与</w:t>
      </w:r>
      <w:r>
        <w:rPr>
          <w:spacing w:val="-65"/>
        </w:rPr>
        <w:t> </w:t>
      </w:r>
      <w:r>
        <w:rPr>
          <w:spacing w:val="-65"/>
        </w:rPr>
      </w:r>
      <w:r>
        <w:rPr>
          <w:spacing w:val="-2"/>
        </w:rPr>
        <w:t>其公允价值之间的差额计入其他综合收益，在该可供出售金融资产发生减值或终止确认时转出，计入当期损益。但是，遇到</w:t>
      </w:r>
      <w:r>
        <w:rPr>
          <w:spacing w:val="-66"/>
        </w:rPr>
        <w:t> </w:t>
      </w:r>
      <w:r>
        <w:rPr>
          <w:spacing w:val="-66"/>
        </w:rPr>
      </w:r>
      <w:r>
        <w:rPr/>
        <w:t>下列情况可以除外：</w:t>
      </w:r>
    </w:p>
    <w:p>
      <w:pPr>
        <w:spacing w:after="0" w:line="357" w:lineRule="auto"/>
        <w:jc w:val="both"/>
        <w:sectPr>
          <w:pgSz w:w="11910" w:h="16840"/>
          <w:pgMar w:header="745" w:footer="980" w:top="1060" w:bottom="1160" w:left="980" w:right="940"/>
        </w:sectPr>
      </w:pPr>
    </w:p>
    <w:p>
      <w:pPr>
        <w:spacing w:line="240" w:lineRule="auto" w:before="8"/>
        <w:rPr>
          <w:rFonts w:ascii="宋体" w:hAnsi="宋体" w:cs="宋体" w:eastAsia="宋体" w:hint="default"/>
          <w:sz w:val="22"/>
          <w:szCs w:val="22"/>
        </w:rPr>
      </w:pPr>
    </w:p>
    <w:p>
      <w:pPr>
        <w:pStyle w:val="BodyText"/>
        <w:spacing w:line="338" w:lineRule="auto" w:before="44"/>
        <w:ind w:right="244" w:firstLine="360"/>
        <w:jc w:val="left"/>
      </w:pPr>
      <w:r>
        <w:rPr>
          <w:rFonts w:ascii="Times New Roman" w:hAnsi="Times New Roman" w:cs="Times New Roman" w:eastAsia="Times New Roman" w:hint="default"/>
        </w:rPr>
        <w:t>1</w:t>
      </w:r>
      <w:r>
        <w:rPr/>
        <w:t>）出售日或重分类日距离该项投资到期日或赎回日较近</w:t>
      </w:r>
      <w:r>
        <w:rPr>
          <w:rFonts w:ascii="Times New Roman" w:hAnsi="Times New Roman" w:cs="Times New Roman" w:eastAsia="Times New Roman" w:hint="default"/>
        </w:rPr>
        <w:t>(</w:t>
      </w:r>
      <w:r>
        <w:rPr/>
        <w:t>如到期前三个月内</w:t>
      </w:r>
      <w:r>
        <w:rPr>
          <w:rFonts w:ascii="Times New Roman" w:hAnsi="Times New Roman" w:cs="Times New Roman" w:eastAsia="Times New Roman" w:hint="default"/>
        </w:rPr>
        <w:t>)</w:t>
      </w:r>
      <w:r>
        <w:rPr/>
        <w:t>，且市场利率变化对该项投资的公允价值 没有显著影响。</w:t>
      </w:r>
    </w:p>
    <w:p>
      <w:pPr>
        <w:pStyle w:val="BodyText"/>
        <w:spacing w:line="240" w:lineRule="auto" w:before="41"/>
        <w:ind w:left="513" w:right="254"/>
        <w:jc w:val="left"/>
      </w:pPr>
      <w:r>
        <w:rPr>
          <w:rFonts w:ascii="Times New Roman" w:hAnsi="Times New Roman" w:cs="Times New Roman" w:eastAsia="Times New Roman" w:hint="default"/>
        </w:rPr>
        <w:t>2</w:t>
      </w:r>
      <w:r>
        <w:rPr/>
        <w:t>）根据合同约定的偿付方式，企业已收回几乎所有初始本金。</w:t>
      </w:r>
    </w:p>
    <w:p>
      <w:pPr>
        <w:pStyle w:val="BodyText"/>
        <w:spacing w:line="240" w:lineRule="auto" w:before="101"/>
        <w:ind w:left="513" w:right="254"/>
        <w:jc w:val="left"/>
      </w:pPr>
      <w:r>
        <w:rPr>
          <w:rFonts w:ascii="Times New Roman" w:hAnsi="Times New Roman" w:cs="Times New Roman" w:eastAsia="Times New Roman" w:hint="default"/>
        </w:rPr>
        <w:t>3</w:t>
      </w:r>
      <w:r>
        <w:rPr/>
        <w:t>）出售或重分类是由于企业无法控制、预期不会重复发生且难以合理预计的独立事件所引起。</w:t>
      </w:r>
    </w:p>
    <w:p>
      <w:pPr>
        <w:pStyle w:val="BodyText"/>
        <w:spacing w:line="336" w:lineRule="auto" w:before="101"/>
        <w:ind w:left="513" w:right="93" w:hanging="144"/>
        <w:jc w:val="left"/>
      </w:pPr>
      <w:r>
        <w:rPr/>
        <w:t>（</w:t>
      </w:r>
      <w:r>
        <w:rPr>
          <w:rFonts w:ascii="Times New Roman" w:hAnsi="Times New Roman" w:cs="Times New Roman" w:eastAsia="Times New Roman" w:hint="default"/>
        </w:rPr>
        <w:t>4</w:t>
      </w:r>
      <w:r>
        <w:rPr/>
        <w:t>）可供出售金融资产 可供出售金融资产，是指初始确认时即指定为可供出售的非衍生金融资产，以及除其他金融资产类别以外的金融资产。</w:t>
      </w:r>
    </w:p>
    <w:p>
      <w:pPr>
        <w:pStyle w:val="BodyText"/>
        <w:spacing w:line="357" w:lineRule="auto" w:before="43"/>
        <w:ind w:right="94"/>
        <w:jc w:val="left"/>
      </w:pPr>
      <w:r>
        <w:rPr>
          <w:spacing w:val="-4"/>
        </w:rPr>
        <w:t>本公司对可供出售金融资产，在取得时按公允价值（扣除已宣告但尚未发放的现金股利或已到付息期但尚未领取的债券利息）</w:t>
      </w:r>
      <w:r>
        <w:rPr>
          <w:spacing w:val="-44"/>
        </w:rPr>
        <w:t> </w:t>
      </w:r>
      <w:r>
        <w:rPr>
          <w:spacing w:val="-44"/>
        </w:rPr>
      </w:r>
      <w:r>
        <w:rPr>
          <w:spacing w:val="-2"/>
        </w:rPr>
        <w:t>和相关交易费用之和作为初始确认金额。持有期间将取得的利息或现金股利确认为投资收益。可供出售金融资产的公允价值</w:t>
      </w:r>
      <w:r>
        <w:rPr>
          <w:spacing w:val="-64"/>
        </w:rPr>
        <w:t> </w:t>
      </w:r>
      <w:r>
        <w:rPr>
          <w:spacing w:val="-64"/>
        </w:rPr>
      </w:r>
      <w:r>
        <w:rPr>
          <w:spacing w:val="-2"/>
        </w:rPr>
        <w:t>变动形成的利得或损失，除减值损失和外币货币性金融资产形成的汇兑差额外，直接计入其他综合收益。处置可供出售金融</w:t>
      </w:r>
      <w:r>
        <w:rPr>
          <w:spacing w:val="-63"/>
        </w:rPr>
        <w:t> </w:t>
      </w:r>
      <w:r>
        <w:rPr>
          <w:spacing w:val="-63"/>
        </w:rPr>
      </w:r>
      <w:r>
        <w:rPr>
          <w:spacing w:val="-2"/>
        </w:rPr>
        <w:t>资产时，将取得的价款与该金融资产账面价值之间的差额，计入投资损益；同时，将原直接计入其他综合收益的公允价值变</w:t>
      </w:r>
      <w:r>
        <w:rPr>
          <w:spacing w:val="-64"/>
        </w:rPr>
        <w:t> </w:t>
      </w:r>
      <w:r>
        <w:rPr>
          <w:spacing w:val="-64"/>
        </w:rPr>
      </w:r>
      <w:r>
        <w:rPr/>
        <w:t>动累计额对应处置部分的金额转出，计入投资损益。</w:t>
      </w:r>
    </w:p>
    <w:p>
      <w:pPr>
        <w:pStyle w:val="BodyText"/>
        <w:spacing w:line="357" w:lineRule="auto" w:before="26"/>
        <w:ind w:right="94" w:firstLine="360"/>
        <w:jc w:val="left"/>
      </w:pPr>
      <w:r>
        <w:rPr>
          <w:spacing w:val="-2"/>
        </w:rPr>
        <w:t>本公司对在活跃市场中没有报价且其公允价值不能可靠计量的权益工具投资，以及与该权益工具挂钩并须通过交付该权</w:t>
      </w:r>
      <w:r>
        <w:rPr/>
        <w:t> 益工具结算的衍生金融资产，按照成本计量。</w:t>
      </w:r>
    </w:p>
    <w:p>
      <w:pPr>
        <w:pStyle w:val="BodyText"/>
        <w:spacing w:line="345" w:lineRule="auto" w:before="26"/>
        <w:ind w:left="513" w:right="2793" w:hanging="144"/>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rPr>
        <w:t>3.</w:t>
      </w:r>
      <w:r>
        <w:rPr/>
        <w:t>金融资产转移的确认依据和计量方法</w:t>
      </w:r>
    </w:p>
    <w:p>
      <w:pPr>
        <w:pStyle w:val="BodyText"/>
        <w:spacing w:line="357" w:lineRule="auto" w:before="13"/>
        <w:ind w:right="94" w:firstLine="360"/>
        <w:jc w:val="left"/>
      </w:pPr>
      <w:r>
        <w:rPr>
          <w:spacing w:val="-2"/>
        </w:rPr>
        <w:t>公司发生金融资产转移时，如已将金融资产所有权上几乎所有的风险和报酬转移给转入方，则终止确认该金融资产；如</w:t>
      </w:r>
      <w:r>
        <w:rPr/>
        <w:t> 保留了金融资产所有权上几乎所有的风险和报酬的，则不终止确认该金融资产。</w:t>
      </w:r>
    </w:p>
    <w:p>
      <w:pPr>
        <w:pStyle w:val="BodyText"/>
        <w:spacing w:line="357" w:lineRule="auto" w:before="26"/>
        <w:ind w:right="94" w:firstLine="360"/>
        <w:jc w:val="left"/>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240" w:lineRule="auto" w:before="26"/>
        <w:ind w:left="332" w:right="254"/>
        <w:jc w:val="left"/>
      </w:pPr>
      <w:r>
        <w:rPr/>
        <w:t>（</w:t>
      </w:r>
      <w:r>
        <w:rPr>
          <w:rFonts w:ascii="Times New Roman" w:hAnsi="Times New Roman" w:cs="Times New Roman" w:eastAsia="Times New Roman" w:hint="default"/>
        </w:rPr>
        <w:t>1</w:t>
      </w:r>
      <w:r>
        <w:rPr/>
        <w:t>）所转移金融资产的账面价值；</w:t>
      </w:r>
    </w:p>
    <w:p>
      <w:pPr>
        <w:pStyle w:val="BodyText"/>
        <w:spacing w:line="338" w:lineRule="auto" w:before="101"/>
        <w:ind w:right="184" w:firstLine="18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）因转移而收到的对价，与原直接计入所有者权益的公允价值变动累计额（涉及转移的金融资产为可供出售金融资产 的情形）之和。</w:t>
      </w:r>
    </w:p>
    <w:p>
      <w:pPr>
        <w:pStyle w:val="BodyText"/>
        <w:spacing w:line="357" w:lineRule="auto" w:before="41"/>
        <w:ind w:right="94"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24"/>
        <w:ind w:left="332" w:right="254"/>
        <w:jc w:val="left"/>
      </w:pPr>
      <w:r>
        <w:rPr/>
        <w:t>（</w:t>
      </w:r>
      <w:r>
        <w:rPr>
          <w:rFonts w:ascii="Times New Roman" w:hAnsi="Times New Roman" w:cs="Times New Roman" w:eastAsia="Times New Roman" w:hint="default"/>
        </w:rPr>
        <w:t>1</w:t>
      </w:r>
      <w:r>
        <w:rPr/>
        <w:t>）终止确认部分的账面价值；</w:t>
      </w:r>
    </w:p>
    <w:p>
      <w:pPr>
        <w:pStyle w:val="BodyText"/>
        <w:spacing w:line="348" w:lineRule="auto" w:before="101"/>
        <w:ind w:right="184" w:firstLine="18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）终止确认部分的对价，与原直接计入所有者权益的公允价值变动累计额中对应终止确认部分的金额（涉及转移的金 融资产为可供出售金融资产的情形）之和。 金融资产转移不满足终止确认条件的，继续确认该金融资产，所收到的对价确认为一项金融负债。</w:t>
      </w:r>
    </w:p>
    <w:p>
      <w:pPr>
        <w:pStyle w:val="BodyText"/>
        <w:spacing w:line="338" w:lineRule="auto" w:before="34"/>
        <w:ind w:left="513" w:right="94" w:hanging="72"/>
        <w:jc w:val="left"/>
      </w:pPr>
      <w:r>
        <w:rPr>
          <w:rFonts w:ascii="Times New Roman" w:hAnsi="Times New Roman" w:cs="Times New Roman" w:eastAsia="Times New Roman" w:hint="default"/>
        </w:rPr>
        <w:t>4.</w:t>
      </w:r>
      <w:r>
        <w:rPr/>
        <w:t>金融负债终止确认条件 </w:t>
      </w:r>
      <w:r>
        <w:rPr>
          <w:spacing w:val="-2"/>
        </w:rPr>
        <w:t>金融负债的现时义务全部或部分已经解除的，则终止确认该金融负债或其一部分；本公司若与债权人签定协议，以承担</w:t>
      </w:r>
    </w:p>
    <w:p>
      <w:pPr>
        <w:pStyle w:val="BodyText"/>
        <w:spacing w:line="357" w:lineRule="auto" w:before="41"/>
        <w:ind w:right="94"/>
        <w:jc w:val="left"/>
      </w:pPr>
      <w:r>
        <w:rPr>
          <w:spacing w:val="-2"/>
        </w:rPr>
        <w:t>新金融负债方式替换现存金融负债，且新金融负债与现存金融负债的合同条款实质上不同的，则终止确认现存金融负债，并</w:t>
      </w:r>
      <w:r>
        <w:rPr>
          <w:spacing w:val="-62"/>
        </w:rPr>
        <w:t> </w:t>
      </w:r>
      <w:r>
        <w:rPr>
          <w:spacing w:val="-62"/>
        </w:rPr>
      </w:r>
      <w:r>
        <w:rPr/>
        <w:t>同时确认新金融负债。</w:t>
      </w:r>
    </w:p>
    <w:p>
      <w:pPr>
        <w:pStyle w:val="BodyText"/>
        <w:spacing w:line="357" w:lineRule="auto" w:before="26"/>
        <w:ind w:right="94"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57" w:lineRule="auto" w:before="24"/>
        <w:ind w:right="94"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57" w:lineRule="auto" w:before="26"/>
        <w:ind w:right="94"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spacing w:after="0" w:line="357" w:lineRule="auto"/>
        <w:jc w:val="left"/>
        <w:sectPr>
          <w:footerReference w:type="default" r:id="rId25"/>
          <w:pgSz w:w="11910" w:h="16840"/>
          <w:pgMar w:footer="980" w:header="745" w:top="1060" w:bottom="1160" w:left="980" w:right="940"/>
          <w:pgNumType w:start="115"/>
        </w:sectPr>
      </w:pPr>
    </w:p>
    <w:p>
      <w:pPr>
        <w:spacing w:line="240" w:lineRule="auto" w:before="8"/>
        <w:rPr>
          <w:rFonts w:ascii="宋体" w:hAnsi="宋体" w:cs="宋体" w:eastAsia="宋体" w:hint="default"/>
          <w:sz w:val="22"/>
          <w:szCs w:val="22"/>
        </w:rPr>
      </w:pPr>
    </w:p>
    <w:p>
      <w:pPr>
        <w:pStyle w:val="BodyText"/>
        <w:spacing w:line="338" w:lineRule="auto" w:before="44"/>
        <w:ind w:left="513" w:right="94" w:hanging="72"/>
        <w:jc w:val="left"/>
      </w:pPr>
      <w:r>
        <w:rPr>
          <w:rFonts w:ascii="Times New Roman" w:hAnsi="Times New Roman" w:cs="Times New Roman" w:eastAsia="Times New Roman" w:hint="default"/>
        </w:rPr>
        <w:t>5.</w:t>
      </w:r>
      <w:r>
        <w:rPr/>
        <w:t>金融资产和金融负债公允价值的确定方法 </w:t>
      </w:r>
      <w:r>
        <w:rPr>
          <w:spacing w:val="-4"/>
        </w:rPr>
        <w:t>存在活跃市场的金融资产或金融负债，以活跃市场的报价确定其公允价值；活跃市场的报价包括易于且可定期从交易所、</w:t>
      </w:r>
    </w:p>
    <w:p>
      <w:pPr>
        <w:pStyle w:val="BodyText"/>
        <w:spacing w:line="357" w:lineRule="auto" w:before="41"/>
        <w:ind w:right="193"/>
        <w:jc w:val="both"/>
      </w:pPr>
      <w:r>
        <w:rPr>
          <w:spacing w:val="-2"/>
        </w:rPr>
        <w:t>交易商、经纪人、行业集团、定价机构或监管机构等获得相关资产或负债的报价，且能代表在公平交易基础上实际并经常发</w:t>
      </w:r>
      <w:r>
        <w:rPr>
          <w:spacing w:val="-66"/>
        </w:rPr>
        <w:t> </w:t>
      </w:r>
      <w:r>
        <w:rPr>
          <w:spacing w:val="-66"/>
        </w:rPr>
      </w:r>
      <w:r>
        <w:rPr/>
        <w:t>生的市场交易。</w:t>
      </w:r>
    </w:p>
    <w:p>
      <w:pPr>
        <w:pStyle w:val="BodyText"/>
        <w:spacing w:line="355" w:lineRule="auto" w:before="26"/>
        <w:ind w:left="513" w:right="94"/>
        <w:jc w:val="left"/>
      </w:pPr>
      <w:r>
        <w:rPr/>
        <w:t>初始取得或衍生的金融资产或承担的金融负债，以市场交易价格作为确定其公允价值的基础。 </w:t>
      </w:r>
      <w:r>
        <w:rPr>
          <w:spacing w:val="-2"/>
        </w:rPr>
        <w:t>不存在活跃市场的金融资产或金融负债，采用估值技术确定其公允价值。在估值时，本公司采用在当前情况下适用并且</w:t>
      </w:r>
    </w:p>
    <w:p>
      <w:pPr>
        <w:pStyle w:val="BodyText"/>
        <w:spacing w:line="357" w:lineRule="auto" w:before="28"/>
        <w:ind w:right="190"/>
        <w:jc w:val="both"/>
      </w:pPr>
      <w:r>
        <w:rPr>
          <w:spacing w:val="-2"/>
        </w:rPr>
        <w:t>有足够可利用数据和其他信息支持的估值技术，选择与市场参与者在相关资产或负债的交易中所考虑的资产或负债特征相一</w:t>
      </w:r>
      <w:r>
        <w:rPr>
          <w:spacing w:val="-64"/>
        </w:rPr>
        <w:t> </w:t>
      </w:r>
      <w:r>
        <w:rPr>
          <w:spacing w:val="-64"/>
        </w:rPr>
      </w:r>
      <w:r>
        <w:rPr>
          <w:spacing w:val="-2"/>
        </w:rPr>
        <w:t>致的输入值，并尽可能优先使用相关可观察输入值。在相关可观察输入值无法取得或取得不切实可行的情况下，使用不可观</w:t>
      </w:r>
      <w:r>
        <w:rPr>
          <w:spacing w:val="-63"/>
        </w:rPr>
        <w:t> </w:t>
      </w:r>
      <w:r>
        <w:rPr>
          <w:spacing w:val="-63"/>
        </w:rPr>
      </w:r>
      <w:r>
        <w:rPr/>
        <w:t>察输入值。</w:t>
      </w:r>
    </w:p>
    <w:p>
      <w:pPr>
        <w:pStyle w:val="BodyText"/>
        <w:spacing w:line="338" w:lineRule="auto" w:before="26"/>
        <w:ind w:left="513" w:right="94" w:hanging="72"/>
        <w:jc w:val="left"/>
      </w:pPr>
      <w:r>
        <w:rPr>
          <w:rFonts w:ascii="Times New Roman" w:hAnsi="Times New Roman" w:cs="Times New Roman" w:eastAsia="Times New Roman" w:hint="default"/>
        </w:rPr>
        <w:t>6.</w:t>
      </w:r>
      <w:r>
        <w:rPr/>
        <w:t>金融资产（不含应收款项）减值准备计提 </w:t>
      </w:r>
      <w:r>
        <w:rPr>
          <w:spacing w:val="-2"/>
        </w:rPr>
        <w:t>资产负债表日对以公允价值计量且其变动计入当期损益的金融资产以外的金融资产的账面价值进行检查，如有客观证据</w:t>
      </w:r>
    </w:p>
    <w:p>
      <w:pPr>
        <w:pStyle w:val="BodyText"/>
        <w:spacing w:line="357" w:lineRule="auto" w:before="41"/>
        <w:ind w:right="6034"/>
        <w:jc w:val="left"/>
      </w:pPr>
      <w:r>
        <w:rPr/>
        <w:t>表明该金融资产发生减值的，计提减值准备。 金融资产发生减值的客观证据，包括但不限于：</w:t>
      </w:r>
    </w:p>
    <w:p>
      <w:pPr>
        <w:pStyle w:val="BodyText"/>
        <w:spacing w:line="336" w:lineRule="auto" w:before="26"/>
        <w:ind w:left="369" w:right="3087"/>
        <w:jc w:val="left"/>
      </w:pPr>
      <w:r>
        <w:rPr>
          <w:rFonts w:ascii="Times New Roman" w:hAnsi="Times New Roman" w:cs="Times New Roman" w:eastAsia="Times New Roman" w:hint="default"/>
        </w:rPr>
        <w:t>(1)</w:t>
      </w:r>
      <w:r>
        <w:rPr/>
        <w:t>发行方或债务人发生严重财务困难；</w:t>
      </w:r>
      <w:r>
        <w:rPr>
          <w:w w:val="99"/>
        </w:rPr>
        <w:t> </w:t>
      </w:r>
      <w:r>
        <w:rPr>
          <w:rFonts w:ascii="Times New Roman" w:hAnsi="Times New Roman" w:cs="Times New Roman" w:eastAsia="Times New Roman" w:hint="default"/>
        </w:rPr>
        <w:t>(2)</w:t>
      </w:r>
      <w:r>
        <w:rPr/>
        <w:t>债务人违反了合同条款，如偿付利息或本金发生违约或逾期等；</w:t>
      </w:r>
      <w:r>
        <w:rPr>
          <w:w w:val="99"/>
        </w:rPr>
        <w:t> </w:t>
      </w:r>
      <w:r>
        <w:rPr>
          <w:rFonts w:ascii="Times New Roman" w:hAnsi="Times New Roman" w:cs="Times New Roman" w:eastAsia="Times New Roman" w:hint="default"/>
        </w:rPr>
        <w:t>(3)</w:t>
      </w:r>
      <w:r>
        <w:rPr/>
        <w:t>债权人出于经济或法律等方面因素的考虑，对发生财务困难的债务人作出让步；</w:t>
      </w:r>
      <w:r>
        <w:rPr>
          <w:w w:val="99"/>
        </w:rPr>
        <w:t> </w:t>
      </w:r>
      <w:r>
        <w:rPr>
          <w:rFonts w:ascii="Times New Roman" w:hAnsi="Times New Roman" w:cs="Times New Roman" w:eastAsia="Times New Roman" w:hint="default"/>
        </w:rPr>
        <w:t>(4)</w:t>
      </w:r>
      <w:r>
        <w:rPr/>
        <w:t>债务人很可能倒闭或进行其他财务重组；</w:t>
      </w:r>
      <w:r>
        <w:rPr>
          <w:w w:val="99"/>
        </w:rPr>
        <w:t> </w:t>
      </w:r>
      <w:r>
        <w:rPr>
          <w:rFonts w:ascii="Times New Roman" w:hAnsi="Times New Roman" w:cs="Times New Roman" w:eastAsia="Times New Roman" w:hint="default"/>
        </w:rPr>
        <w:t>(5)</w:t>
      </w:r>
      <w:r>
        <w:rPr/>
        <w:t>因发行方发生重大财务困难，该金融资产无法在活跃市场继续交易；</w:t>
      </w:r>
    </w:p>
    <w:p>
      <w:pPr>
        <w:pStyle w:val="BodyText"/>
        <w:spacing w:line="348" w:lineRule="auto" w:before="21"/>
        <w:ind w:right="193" w:firstLine="216"/>
        <w:jc w:val="both"/>
      </w:pPr>
      <w:r>
        <w:rPr>
          <w:rFonts w:ascii="Times New Roman" w:hAnsi="Times New Roman" w:cs="Times New Roman" w:eastAsia="Times New Roman" w:hint="default"/>
        </w:rPr>
        <w:t>(6)</w:t>
      </w:r>
      <w:r>
        <w:rPr/>
        <w:t>无法辨认一组金融资产中的某项资产的现金流量是否已经减少，但根据公开的数据对其进行总体评价后发现，该组金</w:t>
      </w:r>
      <w:r>
        <w:rPr>
          <w:w w:val="99"/>
        </w:rPr>
        <w:t> </w:t>
      </w:r>
      <w:r>
        <w:rPr>
          <w:spacing w:val="-2"/>
        </w:rPr>
        <w:t>融资产自初始确认以来的预计未来现金流量确已减少且可计量，如该组金融资产的债务人支付能力逐步恶化，或债务人所在</w:t>
      </w:r>
      <w:r>
        <w:rPr>
          <w:spacing w:val="-65"/>
        </w:rPr>
        <w:t> </w:t>
      </w:r>
      <w:r>
        <w:rPr>
          <w:spacing w:val="-65"/>
        </w:rPr>
      </w:r>
      <w:r>
        <w:rPr/>
        <w:t>国家或地区失业率提高、担保物在其所在地区的价格明显下降、所处行业不景气等；</w:t>
      </w:r>
    </w:p>
    <w:p>
      <w:pPr>
        <w:pStyle w:val="BodyText"/>
        <w:spacing w:line="338" w:lineRule="auto" w:before="34"/>
        <w:ind w:right="223" w:firstLine="216"/>
        <w:jc w:val="both"/>
      </w:pPr>
      <w:r>
        <w:rPr>
          <w:rFonts w:ascii="Times New Roman" w:hAnsi="Times New Roman" w:cs="Times New Roman" w:eastAsia="Times New Roman" w:hint="default"/>
        </w:rPr>
        <w:t>(7)</w:t>
      </w:r>
      <w:r>
        <w:rPr/>
        <w:t>权益工具发行方经营所处的技术、市场、经济或法律环境等发生重大不利变化，使权益工具投资人可能无法收回投资</w:t>
      </w:r>
      <w:r>
        <w:rPr>
          <w:w w:val="99"/>
        </w:rPr>
        <w:t> </w:t>
      </w:r>
      <w:r>
        <w:rPr/>
        <w:t>成本；</w:t>
      </w:r>
    </w:p>
    <w:p>
      <w:pPr>
        <w:pStyle w:val="BodyText"/>
        <w:spacing w:line="338" w:lineRule="auto" w:before="41"/>
        <w:ind w:left="513" w:right="5247" w:hanging="144"/>
        <w:jc w:val="left"/>
      </w:pPr>
      <w:r>
        <w:rPr>
          <w:rFonts w:ascii="Times New Roman" w:hAnsi="Times New Roman" w:cs="Times New Roman" w:eastAsia="Times New Roman" w:hint="default"/>
        </w:rPr>
        <w:t>(8)</w:t>
      </w:r>
      <w:r>
        <w:rPr/>
        <w:t>权益工具投资的公允价值发生严重或非暂时性下跌；</w:t>
      </w:r>
      <w:r>
        <w:rPr>
          <w:w w:val="99"/>
        </w:rPr>
        <w:t> </w:t>
      </w:r>
      <w:r>
        <w:rPr/>
        <w:t>金融资产的具体减值方法如下：</w:t>
      </w:r>
    </w:p>
    <w:p>
      <w:pPr>
        <w:pStyle w:val="BodyText"/>
        <w:spacing w:line="338" w:lineRule="auto" w:before="38"/>
        <w:ind w:left="513" w:right="94" w:hanging="181"/>
        <w:jc w:val="left"/>
      </w:pPr>
      <w:r>
        <w:rPr/>
        <w:t>（</w:t>
      </w:r>
      <w:r>
        <w:rPr>
          <w:rFonts w:ascii="Times New Roman" w:hAnsi="Times New Roman" w:cs="Times New Roman" w:eastAsia="Times New Roman" w:hint="default"/>
        </w:rPr>
        <w:t>1</w:t>
      </w:r>
      <w:r>
        <w:rPr/>
        <w:t>）可供出售金融资产减值准备 </w:t>
      </w:r>
      <w:r>
        <w:rPr>
          <w:spacing w:val="-2"/>
        </w:rPr>
        <w:t>本公司于资产负债表日对各项可供出售权益工具投资单独进行检查，若该权益工具投资于资产负债表日的公允价值低于</w:t>
      </w:r>
    </w:p>
    <w:p>
      <w:pPr>
        <w:pStyle w:val="BodyText"/>
        <w:spacing w:line="338" w:lineRule="auto" w:before="41"/>
        <w:ind w:right="189"/>
        <w:jc w:val="both"/>
      </w:pPr>
      <w:r>
        <w:rPr>
          <w:spacing w:val="-1"/>
        </w:rPr>
        <w:t>其成本超过</w:t>
      </w:r>
      <w:r>
        <w:rPr>
          <w:rFonts w:ascii="Times New Roman" w:hAnsi="Times New Roman" w:cs="Times New Roman" w:eastAsia="Times New Roman" w:hint="default"/>
          <w:spacing w:val="-1"/>
        </w:rPr>
        <w:t>50%</w:t>
      </w:r>
      <w:r>
        <w:rPr>
          <w:spacing w:val="-1"/>
        </w:rPr>
        <w:t>（含</w:t>
      </w:r>
      <w:r>
        <w:rPr>
          <w:rFonts w:ascii="Times New Roman" w:hAnsi="Times New Roman" w:cs="Times New Roman" w:eastAsia="Times New Roman" w:hint="default"/>
          <w:spacing w:val="-1"/>
        </w:rPr>
        <w:t>50%</w:t>
      </w:r>
      <w:r>
        <w:rPr>
          <w:spacing w:val="-1"/>
        </w:rPr>
        <w:t>）或低于其成本持续时间超过一年（含一年）的，则表明其发生减值；若该权益工具投资于资产负</w:t>
      </w:r>
      <w:r>
        <w:rPr>
          <w:spacing w:val="-56"/>
        </w:rPr>
        <w:t> </w:t>
      </w:r>
      <w:r>
        <w:rPr>
          <w:spacing w:val="-56"/>
        </w:rPr>
      </w:r>
      <w:r>
        <w:rPr/>
        <w:t>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r>
        <w:rPr>
          <w:rFonts w:ascii="Times New Roman" w:hAnsi="Times New Roman" w:cs="Times New Roman" w:eastAsia="Times New Roman" w:hint="default"/>
        </w:rPr>
        <w:t>50%</w:t>
      </w:r>
      <w:r>
        <w:rPr/>
        <w:t>的，本公司会综合考虑其他相关因素诸如价格波动率等， 判断该权益工具投资是否发生减值。</w:t>
      </w:r>
    </w:p>
    <w:p>
      <w:pPr>
        <w:pStyle w:val="BodyText"/>
        <w:spacing w:line="357" w:lineRule="auto" w:before="41"/>
        <w:ind w:right="94" w:firstLine="360"/>
        <w:jc w:val="left"/>
      </w:pPr>
      <w:r>
        <w:rPr/>
        <w:t>上段所述成本按照可供出售权益工具投资的初始取得成本扣除已收回本金和已摊销金额、原已计入损益的减值损失确 </w:t>
      </w:r>
      <w:r>
        <w:rPr>
          <w:spacing w:val="-2"/>
        </w:rPr>
        <w:t>定；不存在活跃市场的可供出售权益工具投资的公允价值，按照类似金融资产当时市场收益率对未来现金流量折现确定的现</w:t>
      </w:r>
      <w:r>
        <w:rPr>
          <w:spacing w:val="-64"/>
        </w:rPr>
        <w:t> </w:t>
      </w:r>
      <w:r>
        <w:rPr>
          <w:spacing w:val="-64"/>
        </w:rPr>
      </w:r>
      <w:r>
        <w:rPr>
          <w:spacing w:val="-2"/>
        </w:rPr>
        <w:t>值确定；在活跃市场有报价的可供出售权益工具投资的公允价值根据证券交易所期末收盘价确定，除非该项可供出售权益工</w:t>
      </w:r>
      <w:r>
        <w:rPr>
          <w:spacing w:val="-64"/>
        </w:rPr>
        <w:t> </w:t>
      </w:r>
      <w:r>
        <w:rPr>
          <w:spacing w:val="-64"/>
        </w:rPr>
      </w:r>
      <w:r>
        <w:rPr>
          <w:spacing w:val="-2"/>
        </w:rPr>
        <w:t>具投资存在限售期。对于存在限售期的可供出售权益工具投资，按照证券交易所期末收盘价扣除市场参与者因承担指定期间</w:t>
      </w:r>
      <w:r>
        <w:rPr>
          <w:spacing w:val="-63"/>
        </w:rPr>
        <w:t> </w:t>
      </w:r>
      <w:r>
        <w:rPr>
          <w:spacing w:val="-63"/>
        </w:rPr>
      </w:r>
      <w:r>
        <w:rPr/>
        <w:t>内无法在公开市场上出售该权益工具的风险而要求获得的补偿金额后确定。</w:t>
      </w:r>
    </w:p>
    <w:p>
      <w:pPr>
        <w:pStyle w:val="BodyText"/>
        <w:spacing w:line="357" w:lineRule="auto" w:before="24"/>
        <w:ind w:right="192" w:firstLine="360"/>
        <w:jc w:val="both"/>
      </w:pPr>
      <w:r>
        <w:rPr>
          <w:spacing w:val="-2"/>
        </w:rPr>
        <w:t>可供出售金融资产发生减值时，即使该金融资产没有终止确认，本公司将原直接计入其他综合收益的因公允价值下降形</w:t>
      </w:r>
      <w:r>
        <w:rPr/>
        <w:t> </w:t>
      </w:r>
      <w:r>
        <w:rPr>
          <w:spacing w:val="-2"/>
        </w:rPr>
        <w:t>成的累计损失从其他综合收益转出，计入当期损益。该转出的累计损失，等于可供出售金融资产的初始取得成本扣除已收回</w:t>
      </w:r>
      <w:r>
        <w:rPr>
          <w:spacing w:val="-66"/>
        </w:rPr>
        <w:t> </w:t>
      </w:r>
      <w:r>
        <w:rPr>
          <w:spacing w:val="-66"/>
        </w:rPr>
      </w:r>
      <w:r>
        <w:rPr/>
        <w:t>本金和已摊余金额、当前公允价值和原已计入损益的减值损失后的余额。</w:t>
      </w:r>
    </w:p>
    <w:p>
      <w:pPr>
        <w:pStyle w:val="BodyText"/>
        <w:spacing w:line="357" w:lineRule="auto" w:before="26"/>
        <w:ind w:right="94" w:firstLine="360"/>
        <w:jc w:val="left"/>
      </w:pPr>
      <w:r>
        <w:rPr>
          <w:spacing w:val="-2"/>
        </w:rPr>
        <w:t>对于已确认减值损失的可供出售债务工具，在随后的会计期间公允价值已上升且客观上与确认原减值损失后发生的事项</w:t>
      </w:r>
      <w:r>
        <w:rPr/>
        <w:t> </w:t>
      </w:r>
      <w:r>
        <w:rPr>
          <w:spacing w:val="-2"/>
        </w:rPr>
        <w:t>有关的，原确认的减值损失予以转回计入当期损益；对于可供出售权益工具投资发生的减值损失，在该权益工具价值回升时</w:t>
      </w:r>
    </w:p>
    <w:p>
      <w:pPr>
        <w:spacing w:after="0" w:line="357" w:lineRule="auto"/>
        <w:jc w:val="left"/>
        <w:sectPr>
          <w:footerReference w:type="default" r:id="rId26"/>
          <w:pgSz w:w="11910" w:h="16840"/>
          <w:pgMar w:footer="980" w:header="745" w:top="1060" w:bottom="1160" w:left="980" w:right="940"/>
          <w:pgNumType w:start="116"/>
        </w:sectPr>
      </w:pPr>
    </w:p>
    <w:p>
      <w:pPr>
        <w:spacing w:line="240" w:lineRule="auto" w:before="8"/>
        <w:rPr>
          <w:rFonts w:ascii="宋体" w:hAnsi="宋体" w:cs="宋体" w:eastAsia="宋体" w:hint="default"/>
          <w:sz w:val="22"/>
          <w:szCs w:val="22"/>
        </w:rPr>
      </w:pPr>
    </w:p>
    <w:p>
      <w:pPr>
        <w:pStyle w:val="BodyText"/>
        <w:spacing w:line="357" w:lineRule="auto" w:before="44"/>
        <w:ind w:right="0"/>
        <w:jc w:val="left"/>
      </w:pPr>
      <w:r>
        <w:rPr>
          <w:spacing w:val="-2"/>
        </w:rPr>
        <w:t>通过权益转回；但在活跃市场中没有报价且其公允价值不能可靠计量的权益工具投资，或与该权益工具挂钩并须通过交付该</w:t>
      </w:r>
      <w:r>
        <w:rPr>
          <w:spacing w:val="-64"/>
        </w:rPr>
        <w:t> </w:t>
      </w:r>
      <w:r>
        <w:rPr>
          <w:spacing w:val="-64"/>
        </w:rPr>
      </w:r>
      <w:r>
        <w:rPr/>
        <w:t>权益工具结算的衍生金融资产发生的减值损失，不得转回。</w:t>
      </w:r>
    </w:p>
    <w:p>
      <w:pPr>
        <w:pStyle w:val="BodyText"/>
        <w:spacing w:line="338" w:lineRule="auto" w:before="26"/>
        <w:ind w:left="513" w:right="0" w:hanging="181"/>
        <w:jc w:val="left"/>
      </w:pPr>
      <w:r>
        <w:rPr/>
        <w:t>（</w:t>
      </w:r>
      <w:r>
        <w:rPr>
          <w:rFonts w:ascii="Times New Roman" w:hAnsi="Times New Roman" w:cs="Times New Roman" w:eastAsia="Times New Roman" w:hint="default"/>
        </w:rPr>
        <w:t>2</w:t>
      </w:r>
      <w:r>
        <w:rPr/>
        <w:t>）持有至到期投资减值准备 </w:t>
      </w:r>
      <w:r>
        <w:rPr>
          <w:spacing w:val="-2"/>
        </w:rPr>
        <w:t>对于持有至到期投资，有客观证据表明其发生了减值的，根据其账面价值与预计未来现金流量现值之间差额计算确认减</w:t>
      </w:r>
    </w:p>
    <w:p>
      <w:pPr>
        <w:pStyle w:val="BodyText"/>
        <w:spacing w:line="355" w:lineRule="auto" w:before="41"/>
        <w:ind w:right="0"/>
        <w:jc w:val="left"/>
      </w:pPr>
      <w:r>
        <w:rPr>
          <w:spacing w:val="-2"/>
        </w:rPr>
        <w:t>值损失；计提后如有证据表明其价值已恢复，原确认的减值损失可予以转回，记入当期损益，但该转回的账面价值不超过假</w:t>
      </w:r>
      <w:r>
        <w:rPr>
          <w:spacing w:val="-63"/>
        </w:rPr>
        <w:t> </w:t>
      </w:r>
      <w:r>
        <w:rPr>
          <w:spacing w:val="-63"/>
        </w:rPr>
      </w:r>
      <w:r>
        <w:rPr/>
        <w:t>定不计提减值准备情况下该金融资产在转回日的摊余成本。</w:t>
      </w:r>
    </w:p>
    <w:p>
      <w:pPr>
        <w:pStyle w:val="BodyText"/>
        <w:spacing w:line="338" w:lineRule="auto" w:before="28"/>
        <w:ind w:left="513" w:right="0" w:hanging="72"/>
        <w:jc w:val="left"/>
      </w:pPr>
      <w:r>
        <w:rPr>
          <w:rFonts w:ascii="Times New Roman" w:hAnsi="Times New Roman" w:cs="Times New Roman" w:eastAsia="Times New Roman" w:hint="default"/>
        </w:rPr>
        <w:t>7.</w:t>
      </w:r>
      <w:r>
        <w:rPr/>
        <w:t>金融资产及金融负债的抵销 </w:t>
      </w:r>
      <w:r>
        <w:rPr>
          <w:spacing w:val="-2"/>
        </w:rPr>
        <w:t>金融资产和金融负债在资产负债表内分别列示，没有相互抵销。但是，同时满足下列条件的，以相互抵销后的净额在资</w:t>
      </w:r>
    </w:p>
    <w:p>
      <w:pPr>
        <w:pStyle w:val="BodyText"/>
        <w:spacing w:line="240" w:lineRule="auto" w:before="41"/>
        <w:ind w:right="153"/>
        <w:jc w:val="left"/>
      </w:pPr>
      <w:r>
        <w:rPr/>
        <w:t>产负债表内列示：</w:t>
      </w:r>
    </w:p>
    <w:p>
      <w:pPr>
        <w:pStyle w:val="BodyText"/>
        <w:spacing w:line="240" w:lineRule="auto" w:before="115"/>
        <w:ind w:left="332" w:right="153"/>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101"/>
        <w:ind w:left="332" w:right="153"/>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Heading3"/>
        <w:spacing w:line="240" w:lineRule="auto"/>
        <w:ind w:right="153"/>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金额在</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万元以上</w:t>
            </w:r>
            <w:r>
              <w:rPr>
                <w:rFonts w:ascii="宋体" w:hAnsi="宋体" w:cs="宋体" w:eastAsia="宋体" w:hint="default"/>
                <w:spacing w:val="-3"/>
                <w:sz w:val="18"/>
                <w:szCs w:val="18"/>
              </w:rPr>
              <w:t>（</w:t>
            </w: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102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2"/>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账龄分析法组合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特殊风险组合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153"/>
        <w:jc w:val="left"/>
      </w:pPr>
      <w:r>
        <w:rPr/>
        <w:t>组合中，采用账龄分析法计提坏账准备的：</w:t>
      </w:r>
    </w:p>
    <w:p>
      <w:pPr>
        <w:pStyle w:val="BodyText"/>
        <w:spacing w:line="240" w:lineRule="auto" w:before="117"/>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50" w:right="58" w:hanging="1080"/>
              <w:jc w:val="left"/>
              <w:rPr>
                <w:rFonts w:ascii="宋体" w:hAnsi="宋体" w:cs="宋体" w:eastAsia="宋体" w:hint="default"/>
                <w:sz w:val="18"/>
                <w:szCs w:val="18"/>
              </w:rPr>
            </w:pPr>
            <w:r>
              <w:rPr>
                <w:rFonts w:ascii="宋体" w:hAnsi="宋体" w:cs="宋体" w:eastAsia="宋体" w:hint="default"/>
                <w:sz w:val="18"/>
                <w:szCs w:val="18"/>
              </w:rPr>
              <w:t>本公司及下属制造业板块子公司应收账 款计提比例</w:t>
            </w:r>
          </w:p>
        </w:tc>
        <w:tc>
          <w:tcPr>
            <w:tcW w:w="31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59" w:right="58" w:hanging="900"/>
              <w:jc w:val="left"/>
              <w:rPr>
                <w:rFonts w:ascii="宋体" w:hAnsi="宋体" w:cs="宋体" w:eastAsia="宋体" w:hint="default"/>
                <w:sz w:val="18"/>
                <w:szCs w:val="18"/>
              </w:rPr>
            </w:pPr>
            <w:r>
              <w:rPr>
                <w:rFonts w:ascii="宋体" w:hAnsi="宋体" w:cs="宋体" w:eastAsia="宋体" w:hint="default"/>
                <w:sz w:val="18"/>
                <w:szCs w:val="18"/>
              </w:rPr>
              <w:t>本公司下属互联网及广告板块子公司应 收账款计提比例</w:t>
            </w:r>
          </w:p>
        </w:tc>
      </w:tr>
      <w:tr>
        <w:trPr>
          <w:trHeight w:val="394"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vMerge/>
            <w:tcBorders>
              <w:left w:val="single" w:sz="4" w:space="0" w:color="000000"/>
              <w:right w:val="single" w:sz="4" w:space="0" w:color="000000"/>
            </w:tcBorders>
            <w:shd w:val="clear" w:color="auto" w:fill="D2D2D2"/>
          </w:tcPr>
          <w:p>
            <w:pPr/>
          </w:p>
        </w:tc>
        <w:tc>
          <w:tcPr>
            <w:tcW w:w="3190" w:type="dxa"/>
            <w:vMerge/>
            <w:tcBorders>
              <w:left w:val="single" w:sz="4" w:space="0" w:color="000000"/>
              <w:right w:val="single" w:sz="4" w:space="0" w:color="000000"/>
            </w:tcBorders>
            <w:shd w:val="clear" w:color="auto" w:fill="D2D2D2"/>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sz w:val="27"/>
          <w:szCs w:val="27"/>
        </w:rPr>
      </w:pPr>
    </w:p>
    <w:p>
      <w:pPr>
        <w:pStyle w:val="BodyText"/>
        <w:spacing w:line="240" w:lineRule="auto" w:before="44"/>
        <w:ind w:right="153"/>
        <w:jc w:val="left"/>
      </w:pPr>
      <w:r>
        <w:rPr/>
        <w:t>其他应收款计提比例</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91"/>
        <w:gridCol w:w="3179"/>
        <w:gridCol w:w="3178"/>
      </w:tblGrid>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7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39" w:right="59" w:hanging="992"/>
              <w:jc w:val="left"/>
              <w:rPr>
                <w:rFonts w:ascii="宋体" w:hAnsi="宋体" w:cs="宋体" w:eastAsia="宋体" w:hint="default"/>
                <w:sz w:val="18"/>
                <w:szCs w:val="18"/>
              </w:rPr>
            </w:pPr>
            <w:r>
              <w:rPr>
                <w:rFonts w:ascii="宋体" w:hAnsi="宋体" w:cs="宋体" w:eastAsia="宋体" w:hint="default"/>
                <w:sz w:val="18"/>
                <w:szCs w:val="18"/>
              </w:rPr>
              <w:t>本公司及下属制造业板块子公司其他应 收款计提比例</w:t>
            </w:r>
          </w:p>
        </w:tc>
        <w:tc>
          <w:tcPr>
            <w:tcW w:w="31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58" w:right="47" w:hanging="900"/>
              <w:jc w:val="left"/>
              <w:rPr>
                <w:rFonts w:ascii="宋体" w:hAnsi="宋体" w:cs="宋体" w:eastAsia="宋体" w:hint="default"/>
                <w:sz w:val="18"/>
                <w:szCs w:val="18"/>
              </w:rPr>
            </w:pPr>
            <w:r>
              <w:rPr>
                <w:rFonts w:ascii="宋体" w:hAnsi="宋体" w:cs="宋体" w:eastAsia="宋体" w:hint="default"/>
                <w:sz w:val="18"/>
                <w:szCs w:val="18"/>
              </w:rPr>
              <w:t>本公司下属互联网及广告板块子公司应 收账款计提比例</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24"/>
              <w:jc w:val="center"/>
              <w:rPr>
                <w:rFonts w:ascii="宋体" w:hAnsi="宋体" w:cs="宋体" w:eastAsia="宋体" w:hint="default"/>
                <w:sz w:val="18"/>
                <w:szCs w:val="18"/>
              </w:rPr>
            </w:pPr>
            <w:r>
              <w:rPr>
                <w:rFonts w:ascii="宋体" w:hAnsi="宋体" w:cs="宋体" w:eastAsia="宋体" w:hint="default"/>
                <w:sz w:val="18"/>
                <w:szCs w:val="18"/>
              </w:rPr>
              <w:t>账龄</w:t>
            </w:r>
          </w:p>
        </w:tc>
        <w:tc>
          <w:tcPr>
            <w:tcW w:w="3179" w:type="dxa"/>
            <w:vMerge/>
            <w:tcBorders>
              <w:left w:val="single" w:sz="4" w:space="0" w:color="000000"/>
              <w:right w:val="single" w:sz="4" w:space="0" w:color="000000"/>
            </w:tcBorders>
            <w:shd w:val="clear" w:color="auto" w:fill="D2D2D2"/>
          </w:tcPr>
          <w:p>
            <w:pPr/>
          </w:p>
        </w:tc>
        <w:tc>
          <w:tcPr>
            <w:tcW w:w="3178" w:type="dxa"/>
            <w:vMerge/>
            <w:tcBorders>
              <w:left w:val="single" w:sz="4" w:space="0" w:color="000000"/>
              <w:right w:val="single" w:sz="4" w:space="0" w:color="000000"/>
            </w:tcBorders>
            <w:shd w:val="clear" w:color="auto" w:fill="D2D2D2"/>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79" w:type="dxa"/>
            <w:vMerge/>
            <w:tcBorders>
              <w:left w:val="single" w:sz="4" w:space="0" w:color="000000"/>
              <w:bottom w:val="single" w:sz="4" w:space="0" w:color="000000"/>
              <w:right w:val="single" w:sz="4" w:space="0" w:color="000000"/>
            </w:tcBorders>
            <w:shd w:val="clear" w:color="auto" w:fill="D2D2D2"/>
          </w:tcPr>
          <w:p>
            <w:pPr/>
          </w:p>
        </w:tc>
        <w:tc>
          <w:tcPr>
            <w:tcW w:w="317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0.50%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2"/>
        <w:rPr>
          <w:rFonts w:ascii="宋体" w:hAnsi="宋体" w:cs="宋体" w:eastAsia="宋体" w:hint="default"/>
          <w:sz w:val="27"/>
          <w:szCs w:val="27"/>
        </w:rPr>
      </w:pPr>
    </w:p>
    <w:p>
      <w:pPr>
        <w:pStyle w:val="BodyText"/>
        <w:spacing w:line="240" w:lineRule="auto" w:before="44"/>
        <w:ind w:right="254"/>
        <w:jc w:val="left"/>
      </w:pPr>
      <w:r>
        <w:rPr/>
        <w:t>组合中，采用余额百分比法计提坏账准备的：</w:t>
      </w:r>
    </w:p>
    <w:p>
      <w:pPr>
        <w:pStyle w:val="BodyText"/>
        <w:spacing w:line="338" w:lineRule="auto" w:before="117"/>
        <w:ind w:right="65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3"/>
        <w:ind w:right="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特殊风险组合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254"/>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3"/>
        <w:rPr>
          <w:rFonts w:ascii="宋体" w:hAnsi="宋体" w:cs="宋体" w:eastAsia="宋体" w:hint="default"/>
          <w:b/>
          <w:bCs/>
          <w:sz w:val="19"/>
          <w:szCs w:val="19"/>
        </w:rPr>
      </w:pPr>
    </w:p>
    <w:p>
      <w:pPr>
        <w:pStyle w:val="Heading3"/>
        <w:spacing w:line="240" w:lineRule="auto" w:before="36"/>
        <w:ind w:right="254"/>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233" w:lineRule="exact"/>
        <w:ind w:left="441" w:right="254"/>
        <w:jc w:val="left"/>
      </w:pPr>
      <w:r>
        <w:rPr>
          <w:rFonts w:ascii="Times New Roman" w:hAnsi="Times New Roman" w:cs="Times New Roman" w:eastAsia="Times New Roman" w:hint="default"/>
        </w:rPr>
        <w:t>1.</w:t>
      </w:r>
      <w:r>
        <w:rPr/>
        <w:t>存货的分类</w:t>
      </w:r>
    </w:p>
    <w:p>
      <w:pPr>
        <w:pStyle w:val="BodyText"/>
        <w:spacing w:line="357" w:lineRule="auto" w:before="101"/>
        <w:ind w:right="94" w:firstLine="360"/>
        <w:jc w:val="left"/>
      </w:pPr>
      <w:r>
        <w:rPr>
          <w:spacing w:val="-2"/>
        </w:rPr>
        <w:t>存货是指本公司在日常活动中持有以备出售的产成品或商品、处在生产过程中的在产品、在生产过程或提供劳务过程中</w:t>
      </w:r>
      <w:r>
        <w:rPr/>
        <w:t> </w:t>
      </w:r>
      <w:r>
        <w:rPr>
          <w:spacing w:val="-4"/>
        </w:rPr>
        <w:t>耗用的材料和物料等。主要包括原材料、周转材料、委托加工材料、在产品、自制半成品、产成品（库存商品）、发出商品、</w:t>
      </w:r>
      <w:r>
        <w:rPr>
          <w:spacing w:val="-50"/>
        </w:rPr>
        <w:t> </w:t>
      </w:r>
      <w:r>
        <w:rPr>
          <w:spacing w:val="-50"/>
        </w:rPr>
      </w:r>
      <w:r>
        <w:rPr/>
        <w:t>劳务成本等。</w:t>
      </w:r>
    </w:p>
    <w:p>
      <w:pPr>
        <w:pStyle w:val="BodyText"/>
        <w:spacing w:line="343" w:lineRule="auto" w:before="26"/>
        <w:ind w:left="441" w:right="94"/>
        <w:jc w:val="left"/>
      </w:pPr>
      <w:r>
        <w:rPr>
          <w:rFonts w:ascii="Times New Roman" w:hAnsi="Times New Roman" w:cs="Times New Roman" w:eastAsia="Times New Roman" w:hint="default"/>
        </w:rPr>
        <w:t>2.</w:t>
      </w:r>
      <w:r>
        <w:rPr/>
        <w:t>存货的计价方法 存货在取得时，按成本进行初始计量，包括采购成本、加工成本和其他成本。存货发出时按移动加权平均法计价。 </w:t>
      </w:r>
      <w:r>
        <w:rPr>
          <w:rFonts w:ascii="Times New Roman" w:hAnsi="Times New Roman" w:cs="Times New Roman" w:eastAsia="Times New Roman" w:hint="default"/>
        </w:rPr>
        <w:t>3.</w:t>
      </w:r>
      <w:r>
        <w:rPr/>
        <w:t>存货可变现净值的确定依据及存货跌价准备的计提方法 </w:t>
      </w:r>
      <w:r>
        <w:rPr>
          <w:spacing w:val="-2"/>
        </w:rPr>
        <w:t>期末对存货进行全面清查后，按存货的成本与可变现净值孰低提取或调整存货跌价准备。产成品、库存商品和用于出售</w:t>
      </w:r>
    </w:p>
    <w:p>
      <w:pPr>
        <w:pStyle w:val="BodyText"/>
        <w:spacing w:line="357" w:lineRule="auto" w:before="37"/>
        <w:ind w:right="94"/>
        <w:jc w:val="left"/>
      </w:pPr>
      <w:r>
        <w:rPr>
          <w:spacing w:val="-4"/>
        </w:rPr>
        <w:t>的材料等直接用于出售的商品存货，在正常生产经营过程中，以该存货的估计售价减去估计的销售费用和相关税费后的金额，</w:t>
      </w:r>
      <w:r>
        <w:rPr>
          <w:spacing w:val="-43"/>
        </w:rPr>
        <w:t> </w:t>
      </w:r>
      <w:r>
        <w:rPr>
          <w:spacing w:val="-43"/>
        </w:rPr>
      </w:r>
      <w:r>
        <w:rPr>
          <w:spacing w:val="-2"/>
        </w:rPr>
        <w:t>确定其可变现净值；需要经过加工的材料存货，在正常生产经营过程中，以所生产的产成品的估计售价减去至完工时估计将</w:t>
      </w:r>
      <w:r>
        <w:rPr>
          <w:spacing w:val="-63"/>
        </w:rPr>
        <w:t> </w:t>
      </w:r>
      <w:r>
        <w:rPr>
          <w:spacing w:val="-63"/>
        </w:rPr>
      </w:r>
      <w:r>
        <w:rPr>
          <w:spacing w:val="-2"/>
        </w:rPr>
        <w:t>要发生的成本、估计的销售费用和相关税费后的金额，确定其可变现净值；为执行销售合同或者劳务合同而持有的存货，其</w:t>
      </w:r>
      <w:r>
        <w:rPr>
          <w:spacing w:val="-64"/>
        </w:rPr>
        <w:t> </w:t>
      </w:r>
      <w:r>
        <w:rPr>
          <w:spacing w:val="-64"/>
        </w:rPr>
      </w:r>
      <w:r>
        <w:rPr>
          <w:spacing w:val="-2"/>
        </w:rPr>
        <w:t>可变现净值以合同价格为基础计算，若持有存货的数量多于销售合同订购数量的，超出部分的存货的可变现净值以一般销售</w:t>
      </w:r>
      <w:r>
        <w:rPr>
          <w:spacing w:val="-64"/>
        </w:rPr>
        <w:t> </w:t>
      </w:r>
      <w:r>
        <w:rPr>
          <w:spacing w:val="-64"/>
        </w:rPr>
      </w:r>
      <w:r>
        <w:rPr/>
        <w:t>价格为基础计算。</w:t>
      </w:r>
    </w:p>
    <w:p>
      <w:pPr>
        <w:pStyle w:val="BodyText"/>
        <w:spacing w:line="357" w:lineRule="auto" w:before="26"/>
        <w:ind w:right="190"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240" w:lineRule="auto" w:before="26"/>
        <w:ind w:left="513" w:right="0"/>
        <w:jc w:val="left"/>
      </w:pPr>
      <w:r>
        <w:rPr/>
        <w:t>以前减记存货价值的影响因素已经消失的，减记的金额予以恢复，并在原已计提的存货跌价准备金额内转回，转回的金</w:t>
      </w:r>
    </w:p>
    <w:p>
      <w:pPr>
        <w:spacing w:after="0" w:line="240" w:lineRule="auto"/>
        <w:jc w:val="left"/>
        <w:sectPr>
          <w:pgSz w:w="11910" w:h="16840"/>
          <w:pgMar w:header="745" w:footer="980" w:top="1060" w:bottom="1160" w:left="980" w:right="940"/>
        </w:sectPr>
      </w:pPr>
    </w:p>
    <w:p>
      <w:pPr>
        <w:spacing w:line="240" w:lineRule="auto" w:before="8"/>
        <w:rPr>
          <w:rFonts w:ascii="宋体" w:hAnsi="宋体" w:cs="宋体" w:eastAsia="宋体" w:hint="default"/>
          <w:sz w:val="22"/>
          <w:szCs w:val="22"/>
        </w:rPr>
      </w:pPr>
    </w:p>
    <w:p>
      <w:pPr>
        <w:pStyle w:val="BodyText"/>
        <w:spacing w:line="348" w:lineRule="auto" w:before="44"/>
        <w:ind w:left="460" w:right="7434" w:hanging="308"/>
        <w:jc w:val="left"/>
      </w:pPr>
      <w:r>
        <w:rPr/>
        <w:t>额计入当期损益。 </w:t>
      </w:r>
      <w:r>
        <w:rPr>
          <w:rFonts w:ascii="Times New Roman" w:hAnsi="Times New Roman" w:cs="Times New Roman" w:eastAsia="Times New Roman" w:hint="default"/>
        </w:rPr>
        <w:t>4.</w:t>
      </w:r>
      <w:r>
        <w:rPr/>
        <w:t>存货的盘存制度 采用永续盘存制。</w:t>
      </w:r>
    </w:p>
    <w:p>
      <w:pPr>
        <w:pStyle w:val="BodyText"/>
        <w:spacing w:line="240" w:lineRule="auto" w:before="34"/>
        <w:ind w:left="460" w:right="153"/>
        <w:jc w:val="left"/>
      </w:pPr>
      <w:r>
        <w:rPr>
          <w:rFonts w:ascii="Times New Roman" w:hAnsi="Times New Roman" w:cs="Times New Roman" w:eastAsia="Times New Roman" w:hint="default"/>
        </w:rPr>
        <w:t>5.</w:t>
      </w:r>
      <w:r>
        <w:rPr/>
        <w:t>低值易耗品和包装物的摊销方法</w:t>
      </w:r>
    </w:p>
    <w:p>
      <w:pPr>
        <w:pStyle w:val="BodyText"/>
        <w:spacing w:line="240" w:lineRule="auto" w:before="101"/>
        <w:ind w:left="369" w:right="153"/>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99"/>
        <w:ind w:left="369" w:right="153"/>
        <w:jc w:val="left"/>
      </w:pPr>
      <w:r>
        <w:rPr/>
        <w:t>（</w:t>
      </w:r>
      <w:r>
        <w:rPr>
          <w:rFonts w:ascii="Times New Roman" w:hAnsi="Times New Roman" w:cs="Times New Roman" w:eastAsia="Times New Roman" w:hint="default"/>
        </w:rPr>
        <w:t>2</w:t>
      </w:r>
      <w:r>
        <w:rPr/>
        <w:t>）包装物采用一次转销法。</w:t>
      </w:r>
    </w:p>
    <w:p>
      <w:pPr>
        <w:pStyle w:val="BodyText"/>
        <w:spacing w:line="240" w:lineRule="auto" w:before="101"/>
        <w:ind w:left="369" w:right="153"/>
        <w:jc w:val="left"/>
      </w:pPr>
      <w:r>
        <w:rPr/>
        <w:t>（</w:t>
      </w:r>
      <w:r>
        <w:rPr>
          <w:rFonts w:ascii="Times New Roman" w:hAnsi="Times New Roman" w:cs="Times New Roman" w:eastAsia="Times New Roman" w:hint="default"/>
        </w:rPr>
        <w:t>3</w:t>
      </w:r>
      <w:r>
        <w:rPr/>
        <w:t>）其他周转材料采用一次转销法摊销。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3"/>
        <w:rPr>
          <w:rFonts w:ascii="宋体" w:hAnsi="宋体" w:cs="宋体" w:eastAsia="宋体" w:hint="default"/>
          <w:b/>
          <w:bCs/>
          <w:sz w:val="23"/>
          <w:szCs w:val="23"/>
        </w:rPr>
      </w:pPr>
    </w:p>
    <w:p>
      <w:pPr>
        <w:pStyle w:val="BodyText"/>
        <w:spacing w:line="338" w:lineRule="auto"/>
        <w:ind w:left="513" w:right="3293"/>
        <w:jc w:val="left"/>
      </w:pPr>
      <w:r>
        <w:rPr>
          <w:rFonts w:ascii="Times New Roman" w:hAnsi="Times New Roman" w:cs="Times New Roman" w:eastAsia="Times New Roman" w:hint="default"/>
        </w:rPr>
        <w:t>1</w:t>
      </w:r>
      <w:r>
        <w:rPr/>
        <w:t>．划分为持有待售确认标准 本公司将同时满足下列条件的非流动资产或处置组确认为持有待售组成部分：</w:t>
      </w:r>
    </w:p>
    <w:p>
      <w:pPr>
        <w:pStyle w:val="BodyText"/>
        <w:spacing w:line="240" w:lineRule="auto" w:before="41"/>
        <w:ind w:left="332" w:right="153"/>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45" w:lineRule="auto" w:before="101"/>
        <w:ind w:right="0" w:firstLine="180"/>
        <w:jc w:val="left"/>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）出售极可能发生，即本公司已经就一项出售计划作出决议，且获得确定的购买承诺，预计出售将在一年内完成。 </w:t>
      </w:r>
      <w:r>
        <w:rPr>
          <w:spacing w:val="-2"/>
        </w:rPr>
        <w:t>确定的购买承诺，是指本公司与其他方签订的具有法律约束力的购买协议，该协议包含交易价格、时间和足够严厉的违约惩</w:t>
      </w:r>
      <w:r>
        <w:rPr>
          <w:spacing w:val="-63"/>
        </w:rPr>
        <w:t> </w:t>
      </w:r>
      <w:r>
        <w:rPr>
          <w:spacing w:val="-63"/>
        </w:rPr>
      </w:r>
      <w:r>
        <w:rPr/>
        <w:t>罚等重要条款，使协议出现重大调整或者撤销的可能性极小。</w:t>
      </w:r>
    </w:p>
    <w:p>
      <w:pPr>
        <w:pStyle w:val="BodyText"/>
        <w:spacing w:line="338" w:lineRule="auto" w:before="35"/>
        <w:ind w:left="513" w:right="0"/>
        <w:jc w:val="left"/>
      </w:pPr>
      <w:r>
        <w:rPr>
          <w:rFonts w:ascii="Times New Roman" w:hAnsi="Times New Roman" w:cs="Times New Roman" w:eastAsia="Times New Roman" w:hint="default"/>
        </w:rPr>
        <w:t>2</w:t>
      </w:r>
      <w:r>
        <w:rPr/>
        <w:t>．持有待售核算方法 </w:t>
      </w:r>
      <w:r>
        <w:rPr>
          <w:spacing w:val="-2"/>
        </w:rPr>
        <w:t>本公司对于持有待售的非流动资产或处置组不计提折旧或摊销，其账面价值高于公允价值减去出售费用后的净额的，应</w:t>
      </w:r>
    </w:p>
    <w:p>
      <w:pPr>
        <w:pStyle w:val="BodyText"/>
        <w:spacing w:line="357" w:lineRule="auto" w:before="41"/>
        <w:ind w:right="0"/>
        <w:jc w:val="left"/>
      </w:pPr>
      <w:r>
        <w:rPr>
          <w:spacing w:val="-2"/>
        </w:rPr>
        <w:t>当将账面价值减记至公允价值减去出售费用后的净额，减记的金额确认为资产减值损失，计入当期损益，同时计提持有待售</w:t>
      </w:r>
      <w:r>
        <w:rPr>
          <w:spacing w:val="-63"/>
        </w:rPr>
        <w:t> </w:t>
      </w:r>
      <w:r>
        <w:rPr>
          <w:spacing w:val="-63"/>
        </w:rPr>
      </w:r>
      <w:r>
        <w:rPr/>
        <w:t>资产减值准备。</w:t>
      </w:r>
    </w:p>
    <w:p>
      <w:pPr>
        <w:pStyle w:val="BodyText"/>
        <w:spacing w:line="357" w:lineRule="auto" w:before="26"/>
        <w:ind w:right="152" w:firstLine="360"/>
        <w:jc w:val="both"/>
      </w:pPr>
      <w:r>
        <w:rPr>
          <w:spacing w:val="-2"/>
        </w:rPr>
        <w:t>对于取得日划分为持有待售类别的非流动资产或处置组，在初始计量时比较假定其不划分为持有待售类别情况下的初始</w:t>
      </w:r>
      <w:r>
        <w:rPr/>
        <w:t> 计量金额和公允价值减去出售费用后的净额，以两者孰低计量。</w:t>
      </w:r>
    </w:p>
    <w:p>
      <w:pPr>
        <w:pStyle w:val="BodyText"/>
        <w:spacing w:line="355" w:lineRule="auto" w:before="27"/>
        <w:ind w:right="151" w:firstLine="360"/>
        <w:jc w:val="both"/>
      </w:pPr>
      <w:r>
        <w:rPr>
          <w:spacing w:val="-2"/>
        </w:rPr>
        <w:t>上述原则适用于所有非流动资产，但不包括采用公允价值模式进行后续计量的投资性房地产、采用公允价值减去出售费</w:t>
      </w:r>
      <w:r>
        <w:rPr/>
        <w:t> </w:t>
      </w:r>
      <w:r>
        <w:rPr>
          <w:spacing w:val="-2"/>
        </w:rPr>
        <w:t>用后的净额计量的生物资产、职工薪酬形成的资产、递延所得税资产、由金融工具相关会计准则规范的金融资产、由保险合</w:t>
      </w:r>
      <w:r>
        <w:rPr>
          <w:spacing w:val="-65"/>
        </w:rPr>
        <w:t> </w:t>
      </w:r>
      <w:r>
        <w:rPr>
          <w:spacing w:val="-65"/>
        </w:rPr>
      </w:r>
      <w:r>
        <w:rPr/>
        <w:t>同相关会计准则规范的保险合同所产生的权利。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Heading3"/>
        <w:spacing w:line="240" w:lineRule="auto"/>
        <w:ind w:right="153"/>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513" w:right="153"/>
        <w:jc w:val="left"/>
      </w:pPr>
      <w:r>
        <w:rPr>
          <w:rFonts w:ascii="Times New Roman" w:hAnsi="Times New Roman" w:cs="Times New Roman" w:eastAsia="Times New Roman" w:hint="default"/>
        </w:rPr>
        <w:t>1.</w:t>
      </w:r>
      <w:r>
        <w:rPr/>
        <w:t>初始投资成本的确定</w:t>
      </w:r>
    </w:p>
    <w:p>
      <w:pPr>
        <w:pStyle w:val="BodyText"/>
        <w:spacing w:line="338" w:lineRule="auto" w:before="101"/>
        <w:ind w:right="144" w:firstLine="180"/>
        <w:jc w:val="left"/>
      </w:pPr>
      <w:r>
        <w:rPr/>
        <w:t>（</w:t>
      </w:r>
      <w:r>
        <w:rPr>
          <w:rFonts w:ascii="Times New Roman" w:hAnsi="Times New Roman" w:cs="Times New Roman" w:eastAsia="Times New Roman" w:hint="default"/>
        </w:rPr>
        <w:t>1</w:t>
      </w:r>
      <w:r>
        <w:rPr/>
        <w:t>）企业合并形成的长期股权投资，具体会计政策详见本附注五</w:t>
      </w:r>
      <w:r>
        <w:rPr>
          <w:rFonts w:ascii="宋体" w:hAnsi="宋体" w:cs="宋体" w:eastAsia="宋体" w:hint="default"/>
        </w:rPr>
        <w:t>-</w:t>
      </w:r>
      <w:r>
        <w:rPr/>
        <w:t>注释</w:t>
      </w:r>
      <w:r>
        <w:rPr>
          <w:rFonts w:ascii="宋体" w:hAnsi="宋体" w:cs="宋体" w:eastAsia="宋体" w:hint="default"/>
        </w:rPr>
        <w:t>5</w:t>
      </w:r>
      <w:r>
        <w:rPr/>
        <w:t>同一控制下和非同一控制下企业合并的会计处理 方法</w:t>
      </w:r>
    </w:p>
    <w:p>
      <w:pPr>
        <w:pStyle w:val="BodyText"/>
        <w:spacing w:line="336" w:lineRule="auto" w:before="41"/>
        <w:ind w:left="513" w:right="0" w:hanging="181"/>
        <w:jc w:val="left"/>
      </w:pPr>
      <w:r>
        <w:rPr/>
        <w:t>（</w:t>
      </w:r>
      <w:r>
        <w:rPr>
          <w:rFonts w:ascii="Times New Roman" w:hAnsi="Times New Roman" w:cs="Times New Roman" w:eastAsia="Times New Roman" w:hint="default"/>
        </w:rPr>
        <w:t>2</w:t>
      </w:r>
      <w:r>
        <w:rPr/>
        <w:t>）其他方式取得的长期股权投资 </w:t>
      </w:r>
      <w:r>
        <w:rPr>
          <w:spacing w:val="-2"/>
        </w:rPr>
        <w:t>以支付现金方式取得的长期股权投资，按照实际支付的购买价款作为初始投资成本。初始投资成本包括与取得长期股权</w:t>
      </w:r>
    </w:p>
    <w:p>
      <w:pPr>
        <w:pStyle w:val="BodyText"/>
        <w:spacing w:line="357" w:lineRule="auto" w:before="43"/>
        <w:ind w:left="513" w:right="0" w:hanging="361"/>
        <w:jc w:val="left"/>
      </w:pPr>
      <w:r>
        <w:rPr/>
        <w:t>投资直接相关的费用、税金及其他必要支出。 </w:t>
      </w:r>
      <w:r>
        <w:rPr>
          <w:spacing w:val="-2"/>
        </w:rPr>
        <w:t>以发行权益性证券取得的长期股权投资，按照发行权益性证券的公允价值作为初始投资成本；发行或取得自身权益工具</w:t>
      </w:r>
    </w:p>
    <w:p>
      <w:pPr>
        <w:pStyle w:val="BodyText"/>
        <w:spacing w:line="357" w:lineRule="auto" w:before="26"/>
        <w:ind w:left="513" w:right="0" w:hanging="361"/>
        <w:jc w:val="left"/>
      </w:pPr>
      <w:r>
        <w:rPr/>
        <w:t>时发生的交易费用，可直接归属于权益性交易的从权益中扣减。 </w:t>
      </w:r>
      <w:r>
        <w:rPr>
          <w:spacing w:val="-2"/>
        </w:rPr>
        <w:t>在非货币性资产交换具备商业实质和换入资产或换出资产的公允价值能够可靠计量的前提下，非货币性资产交换换入的</w:t>
      </w:r>
    </w:p>
    <w:p>
      <w:pPr>
        <w:pStyle w:val="BodyText"/>
        <w:spacing w:line="357" w:lineRule="auto" w:before="26"/>
        <w:ind w:right="0"/>
        <w:jc w:val="left"/>
      </w:pPr>
      <w:r>
        <w:rPr>
          <w:spacing w:val="-2"/>
        </w:rPr>
        <w:t>长期股权投资以换出资产的公允价值为基础确定其初始投资成本，除非有确凿证据表明换入资产的公允价值更加可靠；不满</w:t>
      </w:r>
      <w:r>
        <w:rPr>
          <w:spacing w:val="-64"/>
        </w:rPr>
        <w:t> </w:t>
      </w:r>
      <w:r>
        <w:rPr>
          <w:spacing w:val="-64"/>
        </w:rPr>
      </w:r>
      <w:r>
        <w:rPr/>
        <w:t>足上述前提的非货币性资产交换，以换出资产的账面价值和应支付的相关税费作为换入长期股权投资的初始投资成本。</w:t>
      </w:r>
    </w:p>
    <w:p>
      <w:pPr>
        <w:spacing w:after="0" w:line="357" w:lineRule="auto"/>
        <w:jc w:val="left"/>
        <w:sectPr>
          <w:pgSz w:w="11910" w:h="16840"/>
          <w:pgMar w:header="745" w:footer="980" w:top="1060" w:bottom="1160" w:left="980" w:right="980"/>
        </w:sectPr>
      </w:pPr>
    </w:p>
    <w:p>
      <w:pPr>
        <w:spacing w:line="240" w:lineRule="auto" w:before="8"/>
        <w:rPr>
          <w:rFonts w:ascii="宋体" w:hAnsi="宋体" w:cs="宋体" w:eastAsia="宋体" w:hint="default"/>
          <w:sz w:val="22"/>
          <w:szCs w:val="22"/>
        </w:rPr>
      </w:pPr>
    </w:p>
    <w:p>
      <w:pPr>
        <w:pStyle w:val="BodyText"/>
        <w:spacing w:line="240" w:lineRule="auto" w:before="44"/>
        <w:ind w:right="254"/>
        <w:jc w:val="left"/>
      </w:pPr>
      <w:r>
        <w:rPr/>
        <w:t>通过债务重组取得的长期股权投资，其初始投资成本按照公允价值为基础确定。</w:t>
      </w:r>
    </w:p>
    <w:p>
      <w:pPr>
        <w:pStyle w:val="BodyText"/>
        <w:spacing w:line="240" w:lineRule="auto" w:before="115"/>
        <w:ind w:left="551" w:right="254"/>
        <w:jc w:val="left"/>
      </w:pPr>
      <w:r>
        <w:rPr>
          <w:rFonts w:ascii="Times New Roman" w:hAnsi="Times New Roman" w:cs="Times New Roman" w:eastAsia="Times New Roman" w:hint="default"/>
        </w:rPr>
        <w:t>2.</w:t>
      </w:r>
      <w:r>
        <w:rPr/>
        <w:t>后续计量及损益确认</w:t>
      </w:r>
    </w:p>
    <w:p>
      <w:pPr>
        <w:pStyle w:val="BodyText"/>
        <w:spacing w:line="338" w:lineRule="auto" w:before="101"/>
        <w:ind w:left="513" w:right="94" w:hanging="181"/>
        <w:jc w:val="left"/>
      </w:pPr>
      <w:r>
        <w:rPr/>
        <w:t>（</w:t>
      </w:r>
      <w:r>
        <w:rPr>
          <w:rFonts w:ascii="Times New Roman" w:hAnsi="Times New Roman" w:cs="Times New Roman" w:eastAsia="Times New Roman" w:hint="default"/>
        </w:rPr>
        <w:t>1</w:t>
      </w:r>
      <w:r>
        <w:rPr/>
        <w:t>）成本法 </w:t>
      </w:r>
      <w:r>
        <w:rPr>
          <w:spacing w:val="-2"/>
        </w:rPr>
        <w:t>本公司能够对被投资单位实施控制的长期股权投资采用成本法核算，并按照初始投资成本计价，追加或收回投资调整长</w:t>
      </w:r>
    </w:p>
    <w:p>
      <w:pPr>
        <w:pStyle w:val="BodyText"/>
        <w:spacing w:line="355" w:lineRule="auto" w:before="41"/>
        <w:ind w:left="513" w:right="94" w:hanging="361"/>
        <w:jc w:val="left"/>
      </w:pPr>
      <w:r>
        <w:rPr/>
        <w:t>期股权投资的成本。 </w:t>
      </w:r>
      <w:r>
        <w:rPr>
          <w:spacing w:val="-2"/>
        </w:rPr>
        <w:t>除取得投资时实际支付的价款或对价中包含的已宣告但尚未发放的现金股利或利润外，本公司按照享有被投资单位宣告</w:t>
      </w:r>
    </w:p>
    <w:p>
      <w:pPr>
        <w:pStyle w:val="BodyText"/>
        <w:spacing w:line="240" w:lineRule="auto" w:before="28"/>
        <w:ind w:right="254"/>
        <w:jc w:val="left"/>
      </w:pPr>
      <w:r>
        <w:rPr/>
        <w:t>分派的现金股利或利润确认为当期投资收益。</w:t>
      </w:r>
    </w:p>
    <w:p>
      <w:pPr>
        <w:pStyle w:val="BodyText"/>
        <w:spacing w:line="338" w:lineRule="auto" w:before="115"/>
        <w:ind w:left="513" w:right="94" w:hanging="181"/>
        <w:jc w:val="left"/>
      </w:pPr>
      <w:r>
        <w:rPr/>
        <w:t>（</w:t>
      </w:r>
      <w:r>
        <w:rPr>
          <w:rFonts w:ascii="Times New Roman" w:hAnsi="Times New Roman" w:cs="Times New Roman" w:eastAsia="Times New Roman" w:hint="default"/>
        </w:rPr>
        <w:t>2</w:t>
      </w:r>
      <w:r>
        <w:rPr/>
        <w:t>）权益法 </w:t>
      </w:r>
      <w:r>
        <w:rPr>
          <w:spacing w:val="-2"/>
        </w:rPr>
        <w:t>本公司对联营企业和合营企业的长期股权投资采用权益法核算；对于其中一部分通过风险投资机构、共同基金、信托公</w:t>
      </w:r>
    </w:p>
    <w:p>
      <w:pPr>
        <w:pStyle w:val="BodyText"/>
        <w:spacing w:line="357" w:lineRule="auto" w:before="41"/>
        <w:ind w:left="513" w:right="94" w:hanging="361"/>
        <w:jc w:val="left"/>
      </w:pPr>
      <w:r>
        <w:rPr/>
        <w:t>司或包括投连险基金在内的类似主体间接持有的联营企业的权益性投资，采用公允价值计量且其变动计入损益。 </w:t>
      </w:r>
      <w:r>
        <w:rPr>
          <w:spacing w:val="-2"/>
        </w:rPr>
        <w:t>长期股权投资的初始投资成本大于投资时应享有被投资单位可辨认净资产公允价值份额的差额，不调整长期股权投资的</w:t>
      </w:r>
    </w:p>
    <w:p>
      <w:pPr>
        <w:pStyle w:val="BodyText"/>
        <w:spacing w:line="357" w:lineRule="auto" w:before="26"/>
        <w:ind w:left="513" w:right="94" w:hanging="361"/>
        <w:jc w:val="left"/>
      </w:pPr>
      <w:r>
        <w:rPr/>
        <w:t>初始投资成本；初始投资成本小于投资时应享有被投资单位可辨认净资产公允价值份额的差额，计入当期损益。 </w:t>
      </w:r>
      <w:r>
        <w:rPr>
          <w:spacing w:val="-2"/>
        </w:rPr>
        <w:t>本公司取得长期股权投资后，按照应享有或应分担的被投资单位实现的净损益和其他综合收益的份额，分别确认投资收</w:t>
      </w:r>
    </w:p>
    <w:p>
      <w:pPr>
        <w:pStyle w:val="BodyText"/>
        <w:spacing w:line="355" w:lineRule="auto" w:before="26"/>
        <w:ind w:right="94"/>
        <w:jc w:val="left"/>
      </w:pPr>
      <w:r>
        <w:rPr/>
        <w:t>益和其他综合收益，同时调整长期股权投资的账面价值；并按照被投资单位宣告分派的利润或现金股利计算应享有的部分， </w:t>
      </w:r>
      <w:r>
        <w:rPr>
          <w:spacing w:val="-2"/>
        </w:rPr>
        <w:t>相应减少长期股权投资的账面价值；对于被投资单位除净损益、其他综合收益和利润分配以外所有者权益的其他变动，调整</w:t>
      </w:r>
      <w:r>
        <w:rPr>
          <w:spacing w:val="-63"/>
        </w:rPr>
        <w:t> </w:t>
      </w:r>
      <w:r>
        <w:rPr>
          <w:spacing w:val="-63"/>
        </w:rPr>
      </w:r>
      <w:r>
        <w:rPr/>
        <w:t>长期股权投资的账面价值并计入所有者权益。</w:t>
      </w:r>
    </w:p>
    <w:p>
      <w:pPr>
        <w:pStyle w:val="BodyText"/>
        <w:spacing w:line="357" w:lineRule="auto" w:before="28"/>
        <w:ind w:right="192" w:firstLine="360"/>
        <w:jc w:val="both"/>
      </w:pPr>
      <w:r>
        <w:rPr>
          <w:spacing w:val="-2"/>
        </w:rPr>
        <w:t>本公司在确认应享有被投资单位净损益的份额时，以取得投资时被投资单位各项可辨认资产等的公允价值为基础，对被</w:t>
      </w:r>
      <w:r>
        <w:rPr/>
        <w:t> </w:t>
      </w:r>
      <w:r>
        <w:rPr>
          <w:spacing w:val="-2"/>
        </w:rPr>
        <w:t>投资单位的净利润进行调整后确认。本公司与联营企业、合营企业之间发生的未实现内部交易损益按照应享有的比例计算归</w:t>
      </w:r>
      <w:r>
        <w:rPr>
          <w:spacing w:val="-64"/>
        </w:rPr>
        <w:t> </w:t>
      </w:r>
      <w:r>
        <w:rPr>
          <w:spacing w:val="-64"/>
        </w:rPr>
      </w:r>
      <w:r>
        <w:rPr/>
        <w:t>属于本公司的部分予以抵销，在此基础上确认投资损益。</w:t>
      </w:r>
    </w:p>
    <w:p>
      <w:pPr>
        <w:pStyle w:val="BodyText"/>
        <w:spacing w:line="357" w:lineRule="auto" w:before="26"/>
        <w:ind w:right="94" w:firstLine="360"/>
        <w:jc w:val="left"/>
      </w:pPr>
      <w:r>
        <w:rPr>
          <w:spacing w:val="-2"/>
        </w:rPr>
        <w:t>本公司确认应分担被投资单位发生的亏损时，按照以下顺序进行处理：首先，冲减长期股权投资的账面价值。其次，长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5"/>
        </w:rPr>
        <w:t> </w:t>
      </w:r>
      <w:r>
        <w:rPr>
          <w:spacing w:val="-65"/>
        </w:rPr>
      </w:r>
      <w:r>
        <w:rPr/>
        <w:t>务确认预计负债，计入当期投资损失。 </w:t>
      </w:r>
      <w:r>
        <w:rPr>
          <w:spacing w:val="-2"/>
        </w:rPr>
        <w:t>被投资单位以后期间实现盈利的，公司在扣除未确认的亏损分担额后，按与上述相反的顺序处理，减记已确认预计负债的账</w:t>
      </w:r>
      <w:r>
        <w:rPr>
          <w:spacing w:val="-63"/>
        </w:rPr>
        <w:t> </w:t>
      </w:r>
      <w:r>
        <w:rPr>
          <w:spacing w:val="-63"/>
        </w:rPr>
      </w:r>
      <w:r>
        <w:rPr/>
        <w:t>面余额、恢复其他实质上构成对被投资单位净投资的长期权益及长期股权投资的账面价值后，恢复确认投资收益。</w:t>
      </w:r>
    </w:p>
    <w:p>
      <w:pPr>
        <w:pStyle w:val="BodyText"/>
        <w:spacing w:line="338" w:lineRule="auto" w:before="24"/>
        <w:ind w:left="441" w:right="7031" w:firstLine="19"/>
        <w:jc w:val="left"/>
      </w:pPr>
      <w:r>
        <w:rPr>
          <w:rFonts w:ascii="Times New Roman" w:hAnsi="Times New Roman" w:cs="Times New Roman" w:eastAsia="Times New Roman" w:hint="default"/>
        </w:rPr>
        <w:t>3.</w:t>
      </w:r>
      <w:r>
        <w:rPr/>
        <w:t>长期股权投资核算方法的转换 </w:t>
      </w:r>
      <w:r>
        <w:rPr>
          <w:rFonts w:ascii="Times New Roman" w:hAnsi="Times New Roman" w:cs="Times New Roman" w:eastAsia="Times New Roman" w:hint="default"/>
        </w:rPr>
        <w:t>(1)</w:t>
      </w:r>
      <w:r>
        <w:rPr/>
        <w:t>公允价值计量转权益法核算</w:t>
      </w:r>
    </w:p>
    <w:p>
      <w:pPr>
        <w:pStyle w:val="BodyText"/>
        <w:spacing w:line="352" w:lineRule="auto" w:before="19"/>
        <w:ind w:right="94" w:firstLine="360"/>
        <w:jc w:val="left"/>
      </w:pPr>
      <w:r>
        <w:rPr>
          <w:spacing w:val="-2"/>
        </w:rPr>
        <w:t>本公司原持有的对被投资单位不具有控制、共同控制或重大影响的按金融工具确认和计量准则进行会计处理的权益性投</w:t>
      </w:r>
      <w:r>
        <w:rPr/>
        <w:t> </w:t>
      </w:r>
      <w:r>
        <w:rPr>
          <w:spacing w:val="-2"/>
        </w:rPr>
        <w:t>资，因追加投资等原因能够对被投资单位施加重大影响或实施共同控制但不构成控制的，按照《企业会计准则第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w:t>
      </w:r>
      <w:r>
        <w:rPr>
          <w:spacing w:val="-61"/>
        </w:rPr>
        <w:t> </w:t>
      </w:r>
      <w:r>
        <w:rPr/>
        <w:t>融工具确认和计量》确定的原持有的股权投资的公允价值加上新增投资成本之和，作为改按权益法核算的初始投资成本。 </w:t>
      </w:r>
      <w:r>
        <w:rPr>
          <w:spacing w:val="-2"/>
        </w:rPr>
        <w:t>原持有的股权投资分类为可供出售金融资产的，其公允价值与账面价值之间的差额，以及原计入其他综合收益的累计公允价</w:t>
      </w:r>
      <w:r>
        <w:rPr>
          <w:spacing w:val="-64"/>
        </w:rPr>
        <w:t> </w:t>
      </w:r>
      <w:r>
        <w:rPr>
          <w:spacing w:val="-64"/>
        </w:rPr>
      </w:r>
      <w:r>
        <w:rPr/>
        <w:t>值变动转入改按权益法核算的当期损益。</w:t>
      </w:r>
    </w:p>
    <w:p>
      <w:pPr>
        <w:pStyle w:val="BodyText"/>
        <w:spacing w:line="357" w:lineRule="auto" w:before="30"/>
        <w:ind w:right="274" w:firstLine="360"/>
        <w:jc w:val="left"/>
      </w:pPr>
      <w:r>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BodyText"/>
        <w:spacing w:line="336" w:lineRule="auto" w:before="27"/>
        <w:ind w:left="513" w:right="94" w:firstLine="19"/>
        <w:jc w:val="left"/>
      </w:pPr>
      <w:r>
        <w:rPr>
          <w:rFonts w:ascii="Times New Roman" w:hAnsi="Times New Roman" w:cs="Times New Roman" w:eastAsia="Times New Roman" w:hint="default"/>
        </w:rPr>
        <w:t>(2)</w:t>
      </w:r>
      <w:r>
        <w:rPr/>
        <w:t>公允价值计量或权益法核算转成本法核算</w:t>
      </w:r>
      <w:r>
        <w:rPr>
          <w:w w:val="99"/>
        </w:rPr>
        <w:t> </w:t>
      </w:r>
      <w:r>
        <w:rPr>
          <w:spacing w:val="-2"/>
          <w:w w:val="99"/>
        </w:rPr>
        <w:t>本公司原持有的对被投资单位不具有控制、共同控制或重大影响的按金融工具确认和计量准则进行会计处理的权益性投</w:t>
      </w:r>
      <w:r>
        <w:rPr>
          <w:spacing w:val="-2"/>
        </w:rPr>
      </w:r>
    </w:p>
    <w:p>
      <w:pPr>
        <w:pStyle w:val="BodyText"/>
        <w:spacing w:line="357" w:lineRule="auto" w:before="43"/>
        <w:ind w:right="94"/>
        <w:jc w:val="left"/>
      </w:pPr>
      <w:r>
        <w:rPr>
          <w:spacing w:val="-2"/>
        </w:rPr>
        <w:t>资，或原持有对联营企业、合营企业的长期股权投资，因追加投资等原因能够对非同一控制下的被投资单位实施控制的，在</w:t>
      </w:r>
      <w:r>
        <w:rPr>
          <w:spacing w:val="-66"/>
        </w:rPr>
        <w:t> </w:t>
      </w:r>
      <w:r>
        <w:rPr>
          <w:spacing w:val="-66"/>
        </w:rPr>
      </w:r>
      <w:r>
        <w:rPr/>
        <w:t>编制个别财务报表时，按照原持有的股权投资账面价值加上新增投资成本之和，作为改按成本法核算的初始投资成本。 </w:t>
      </w:r>
      <w:r>
        <w:rPr>
          <w:spacing w:val="-2"/>
        </w:rPr>
        <w:t>购买日之前持有的股权投资因采用权益法核算而确认的其他综合收益，在处置该项投资时采用与被投资单位直接处置相关资</w:t>
      </w:r>
      <w:r>
        <w:rPr>
          <w:spacing w:val="-64"/>
        </w:rPr>
        <w:t> </w:t>
      </w:r>
      <w:r>
        <w:rPr>
          <w:spacing w:val="-64"/>
        </w:rPr>
      </w:r>
      <w:r>
        <w:rPr/>
        <w:t>产或负债相同的基础进行会计处理。</w:t>
      </w:r>
    </w:p>
    <w:p>
      <w:pPr>
        <w:spacing w:after="0" w:line="357" w:lineRule="auto"/>
        <w:jc w:val="left"/>
        <w:sectPr>
          <w:footerReference w:type="default" r:id="rId27"/>
          <w:pgSz w:w="11910" w:h="16840"/>
          <w:pgMar w:footer="980" w:header="745" w:top="1060" w:bottom="1160" w:left="980" w:right="940"/>
          <w:pgNumType w:start="120"/>
        </w:sectPr>
      </w:pPr>
    </w:p>
    <w:p>
      <w:pPr>
        <w:spacing w:line="240" w:lineRule="auto" w:before="8"/>
        <w:rPr>
          <w:rFonts w:ascii="宋体" w:hAnsi="宋体" w:cs="宋体" w:eastAsia="宋体" w:hint="default"/>
          <w:sz w:val="22"/>
          <w:szCs w:val="22"/>
        </w:rPr>
      </w:pPr>
    </w:p>
    <w:p>
      <w:pPr>
        <w:pStyle w:val="BodyText"/>
        <w:spacing w:line="338" w:lineRule="auto" w:before="44"/>
        <w:ind w:right="94" w:firstLine="360"/>
        <w:jc w:val="left"/>
      </w:pPr>
      <w:r>
        <w:rPr>
          <w:spacing w:val="-2"/>
        </w:rPr>
        <w:t>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金融工具确认和计量》的有关规定进行会计处理的，原计入</w:t>
      </w:r>
      <w:r>
        <w:rPr/>
        <w:t> 其他综合收益的累计公允价值变动在改按成本法核算时转入当期损益。</w:t>
      </w:r>
    </w:p>
    <w:p>
      <w:pPr>
        <w:pStyle w:val="BodyText"/>
        <w:spacing w:line="338" w:lineRule="auto" w:before="41"/>
        <w:ind w:left="513" w:right="94" w:firstLine="19"/>
        <w:jc w:val="left"/>
      </w:pPr>
      <w:r>
        <w:rPr>
          <w:rFonts w:ascii="Times New Roman" w:hAnsi="Times New Roman" w:cs="Times New Roman" w:eastAsia="Times New Roman" w:hint="default"/>
        </w:rPr>
        <w:t>(3)</w:t>
      </w:r>
      <w:r>
        <w:rPr/>
        <w:t>权益法核算转公允价值计量</w:t>
      </w:r>
      <w:r>
        <w:rPr>
          <w:w w:val="99"/>
        </w:rPr>
        <w:t> </w:t>
      </w:r>
      <w:r>
        <w:rPr>
          <w:spacing w:val="-2"/>
        </w:rPr>
        <w:t>本公司因处置部分股权投资等原因丧失了对被投资单位的共同控制或重大影响的，处置后的剩余股权改按《企业会计准</w:t>
      </w:r>
    </w:p>
    <w:p>
      <w:pPr>
        <w:pStyle w:val="BodyText"/>
        <w:spacing w:line="336" w:lineRule="auto" w:before="41"/>
        <w:ind w:right="94"/>
        <w:jc w:val="left"/>
      </w:pPr>
      <w:r>
        <w:rPr>
          <w:spacing w:val="-2"/>
        </w:rPr>
        <w:t>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金融工具确认和计量》核算，其在丧失共同控制或重大影响之日的公允价值与账面价值之间的差额计入当期损</w:t>
      </w:r>
      <w:r>
        <w:rPr>
          <w:spacing w:val="-64"/>
        </w:rPr>
        <w:t> </w:t>
      </w:r>
      <w:r>
        <w:rPr>
          <w:spacing w:val="-64"/>
        </w:rPr>
      </w:r>
      <w:r>
        <w:rPr/>
        <w:t>益。</w:t>
      </w:r>
    </w:p>
    <w:p>
      <w:pPr>
        <w:pStyle w:val="BodyText"/>
        <w:spacing w:line="357" w:lineRule="auto" w:before="43"/>
        <w:ind w:right="94" w:firstLine="360"/>
        <w:jc w:val="left"/>
      </w:pPr>
      <w:r>
        <w:rPr>
          <w:spacing w:val="-2"/>
        </w:rPr>
        <w:t>原股权投资因采用权益法核算而确认的其他综合收益，在终止采用权益法核算时采用与被投资单位直接处置相关资产或</w:t>
      </w:r>
      <w:r>
        <w:rPr/>
        <w:t> 负债相同的基础进行会计处理。</w:t>
      </w:r>
    </w:p>
    <w:p>
      <w:pPr>
        <w:pStyle w:val="BodyText"/>
        <w:spacing w:line="338" w:lineRule="auto" w:before="26"/>
        <w:ind w:left="513" w:right="94" w:hanging="72"/>
        <w:jc w:val="left"/>
      </w:pPr>
      <w:r>
        <w:rPr>
          <w:rFonts w:ascii="Times New Roman" w:hAnsi="Times New Roman" w:cs="Times New Roman" w:eastAsia="Times New Roman" w:hint="default"/>
        </w:rPr>
        <w:t>(4)</w:t>
      </w:r>
      <w:r>
        <w:rPr/>
        <w:t>成本法转权益法</w:t>
      </w:r>
      <w:r>
        <w:rPr>
          <w:w w:val="99"/>
        </w:rPr>
        <w:t> </w:t>
      </w:r>
      <w:r>
        <w:rPr>
          <w:spacing w:val="-2"/>
        </w:rPr>
        <w:t>本公司因处置部分权益性投资等原因丧失了对被投资单位的控制的，在编制个别财务报表时，处置后的剩余股权能够对</w:t>
      </w:r>
    </w:p>
    <w:p>
      <w:pPr>
        <w:pStyle w:val="BodyText"/>
        <w:spacing w:line="348" w:lineRule="auto" w:before="41"/>
        <w:ind w:left="441" w:right="94" w:hanging="289"/>
        <w:jc w:val="left"/>
      </w:pPr>
      <w:r>
        <w:rPr/>
        <w:t>被投资单位实施共同控制或施加重大影响的，改按权益法核算，并对该剩余股权视同自取得时即采用权益法核算进行调整。 </w:t>
      </w:r>
      <w:r>
        <w:rPr>
          <w:rFonts w:ascii="Times New Roman" w:hAnsi="Times New Roman" w:cs="Times New Roman" w:eastAsia="Times New Roman" w:hint="default"/>
        </w:rPr>
        <w:t>(5)</w:t>
      </w:r>
      <w:r>
        <w:rPr/>
        <w:t>成本法转公允价值计量 本公司因处置部分权益性投资等原因丧失了对被投资单位的控制的，在编制个别财务报表时，处置后的剩余股权不能对</w:t>
      </w:r>
    </w:p>
    <w:p>
      <w:pPr>
        <w:pStyle w:val="BodyText"/>
        <w:spacing w:line="338" w:lineRule="auto" w:before="34"/>
        <w:ind w:right="94"/>
        <w:jc w:val="left"/>
      </w:pPr>
      <w:r>
        <w:rPr>
          <w:spacing w:val="-2"/>
        </w:rPr>
        <w:t>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w:t>
      </w:r>
      <w:r>
        <w:rPr>
          <w:spacing w:val="-64"/>
        </w:rPr>
        <w:t> </w:t>
      </w:r>
      <w:r>
        <w:rPr>
          <w:spacing w:val="-64"/>
        </w:rPr>
      </w:r>
      <w:r>
        <w:rPr/>
        <w:t>理，其在丧失控制之日的公允价值与账面价值间的差额计入当期损益。</w:t>
      </w:r>
    </w:p>
    <w:p>
      <w:pPr>
        <w:pStyle w:val="BodyText"/>
        <w:spacing w:line="338" w:lineRule="auto" w:before="38"/>
        <w:ind w:left="513" w:right="94" w:firstLine="19"/>
        <w:jc w:val="left"/>
      </w:pPr>
      <w:r>
        <w:rPr>
          <w:rFonts w:ascii="Times New Roman" w:hAnsi="Times New Roman" w:cs="Times New Roman" w:eastAsia="Times New Roman" w:hint="default"/>
        </w:rPr>
        <w:t>4.</w:t>
      </w:r>
      <w:r>
        <w:rPr/>
        <w:t>长期股权投资的处置 </w:t>
      </w:r>
      <w:r>
        <w:rPr>
          <w:spacing w:val="-2"/>
        </w:rPr>
        <w:t>处置长期股权投资，其账面价值与实际取得价款之间的差额，应当计入当期损益。采用权益法核算的长期股权投资，在</w:t>
      </w:r>
    </w:p>
    <w:p>
      <w:pPr>
        <w:pStyle w:val="BodyText"/>
        <w:spacing w:line="357" w:lineRule="auto" w:before="41"/>
        <w:ind w:right="94"/>
        <w:jc w:val="left"/>
      </w:pPr>
      <w:r>
        <w:rPr>
          <w:spacing w:val="-2"/>
        </w:rPr>
        <w:t>处置该项投资时，采用与被投资单位直接处置相关资产或负债相同的基础，按相应比例对原计入其他综合收益的部分进行会</w:t>
      </w:r>
      <w:r>
        <w:rPr>
          <w:spacing w:val="-64"/>
        </w:rPr>
        <w:t> </w:t>
      </w:r>
      <w:r>
        <w:rPr>
          <w:spacing w:val="-64"/>
        </w:rPr>
      </w:r>
      <w:r>
        <w:rPr/>
        <w:t>计处理。</w:t>
      </w:r>
    </w:p>
    <w:p>
      <w:pPr>
        <w:pStyle w:val="BodyText"/>
        <w:spacing w:line="357" w:lineRule="auto" w:before="26"/>
        <w:ind w:right="94" w:firstLine="360"/>
        <w:jc w:val="left"/>
      </w:pPr>
      <w:r>
        <w:rPr>
          <w:spacing w:val="-2"/>
        </w:rPr>
        <w:t>处置对子公司股权投资的各项交易的条款、条件以及经济影响符合以下一种或多种情况，将多次交易事项作为一揽子交</w:t>
      </w:r>
      <w:r>
        <w:rPr/>
        <w:t> 易进行会计处理：</w:t>
      </w:r>
    </w:p>
    <w:p>
      <w:pPr>
        <w:pStyle w:val="BodyText"/>
        <w:spacing w:line="240" w:lineRule="auto" w:before="26"/>
        <w:ind w:left="436" w:right="254"/>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01"/>
        <w:ind w:left="441" w:right="254"/>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101"/>
        <w:ind w:left="441" w:right="254"/>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336" w:lineRule="auto" w:before="101"/>
        <w:ind w:left="513" w:right="94" w:hanging="72"/>
        <w:jc w:val="left"/>
      </w:pPr>
      <w:r>
        <w:rPr/>
        <w:t>（</w:t>
      </w:r>
      <w:r>
        <w:rPr>
          <w:rFonts w:ascii="Times New Roman" w:hAnsi="Times New Roman" w:cs="Times New Roman" w:eastAsia="Times New Roman" w:hint="default"/>
        </w:rPr>
        <w:t>4</w:t>
      </w:r>
      <w:r>
        <w:rPr/>
        <w:t>）一项交易单独看是不经济的，但是和其他交易一并考虑时是经济的。 </w:t>
      </w:r>
      <w:r>
        <w:rPr>
          <w:spacing w:val="-2"/>
        </w:rPr>
        <w:t>因处置部分股权投资或其他原因丧失了对原有子公司控制权的，不属于一揽子交易的，区分个别财务报表和合并财务报</w:t>
      </w:r>
    </w:p>
    <w:p>
      <w:pPr>
        <w:pStyle w:val="BodyText"/>
        <w:spacing w:line="240" w:lineRule="auto" w:before="43"/>
        <w:ind w:right="254"/>
        <w:jc w:val="left"/>
      </w:pPr>
      <w:r>
        <w:rPr/>
        <w:t>表进行相关会计处理：</w:t>
      </w:r>
    </w:p>
    <w:p>
      <w:pPr>
        <w:pStyle w:val="BodyText"/>
        <w:spacing w:line="343" w:lineRule="auto" w:before="115"/>
        <w:ind w:right="94" w:firstLine="283"/>
        <w:jc w:val="left"/>
      </w:pPr>
      <w:r>
        <w:rPr/>
        <w:t>（</w:t>
      </w:r>
      <w:r>
        <w:rPr>
          <w:rFonts w:ascii="Times New Roman" w:hAnsi="Times New Roman" w:cs="Times New Roman" w:eastAsia="Times New Roman" w:hint="default"/>
        </w:rPr>
        <w:t>1</w:t>
      </w:r>
      <w:r>
        <w:rPr/>
        <w:t>）在个别财务报表中，对于处置的股权，其账面价值与实际取得价款之间的差额计入当期损益。处置后的剩余股权 </w:t>
      </w:r>
      <w:r>
        <w:rPr>
          <w:spacing w:val="-2"/>
        </w:rPr>
        <w:t>能够对被投资单位实施共同控制或施加重大影响的，改按权益法核算，并对该剩余股权视同自取得时即采用权益法核算进行</w:t>
      </w:r>
      <w:r>
        <w:rPr>
          <w:spacing w:val="-63"/>
        </w:rPr>
        <w:t> </w:t>
      </w:r>
      <w:r>
        <w:rPr>
          <w:spacing w:val="-63"/>
        </w:rPr>
      </w:r>
      <w:r>
        <w:rPr>
          <w:spacing w:val="-2"/>
        </w:rPr>
        <w:t>调整；处置后的剩余股权不能对被投资单位实施共同控制或施加重大影响的，改按《企业会计准则第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w:t>
      </w:r>
      <w:r>
        <w:rPr>
          <w:spacing w:val="-64"/>
        </w:rPr>
        <w:t> </w:t>
      </w:r>
      <w:r>
        <w:rPr>
          <w:spacing w:val="-64"/>
        </w:rPr>
      </w:r>
      <w:r>
        <w:rPr/>
        <w:t>和计量》的有关规定进行会计处理，其在丧失控制之日的公允价值与账面价值间的差额计入当期损益。</w:t>
      </w:r>
    </w:p>
    <w:p>
      <w:pPr>
        <w:pStyle w:val="BodyText"/>
        <w:spacing w:line="352" w:lineRule="auto" w:before="37"/>
        <w:ind w:right="94" w:firstLine="283"/>
        <w:jc w:val="left"/>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）在合并财务报表中，对于在丧失对子公司控制权以前的各项交易，处置价款与处置长期股权投资相应对享有子公 </w:t>
      </w:r>
      <w:r>
        <w:rPr>
          <w:spacing w:val="-2"/>
        </w:rPr>
        <w:t>司自购买日或合并日开始持续计算的净资产份额之间的差额，调整资本公积（股本溢价），资本公积不足冲减的，调整留存</w:t>
      </w:r>
      <w:r>
        <w:rPr>
          <w:spacing w:val="-65"/>
        </w:rPr>
        <w:t> </w:t>
      </w:r>
      <w:r>
        <w:rPr>
          <w:spacing w:val="-65"/>
        </w:rPr>
      </w:r>
      <w:r>
        <w:rPr>
          <w:spacing w:val="-2"/>
        </w:rPr>
        <w:t>收益；在丧失对子公司控制权时，对于剩余股权，按照其在丧失控制权日的公允价值进行重新计量。处置股权取得的对价与</w:t>
      </w:r>
      <w:r>
        <w:rPr>
          <w:spacing w:val="-63"/>
        </w:rPr>
        <w:t> </w:t>
      </w:r>
      <w:r>
        <w:rPr>
          <w:spacing w:val="-63"/>
        </w:rPr>
      </w:r>
      <w:r>
        <w:rPr>
          <w:spacing w:val="-2"/>
        </w:rPr>
        <w:t>剩余股权公允价值之和，减去按原持股比例计算应享有原有子公司自购买日开始持续计算的净资产的份额之间的差额，计入</w:t>
      </w:r>
      <w:r>
        <w:rPr>
          <w:spacing w:val="-64"/>
        </w:rPr>
        <w:t> </w:t>
      </w:r>
      <w:r>
        <w:rPr>
          <w:spacing w:val="-64"/>
        </w:rPr>
      </w:r>
      <w:r>
        <w:rPr>
          <w:spacing w:val="-2"/>
        </w:rPr>
        <w:t>丧失控制权当期的投资收益，同时冲减商誉。与原有子公司股权投资相关的其他综合收益等，在丧失控制权时转为当期投资</w:t>
      </w:r>
      <w:r>
        <w:rPr>
          <w:spacing w:val="-63"/>
        </w:rPr>
        <w:t> </w:t>
      </w:r>
      <w:r>
        <w:rPr>
          <w:spacing w:val="-63"/>
        </w:rPr>
      </w:r>
      <w:r>
        <w:rPr/>
        <w:t>收益。</w:t>
      </w:r>
    </w:p>
    <w:p>
      <w:pPr>
        <w:pStyle w:val="BodyText"/>
        <w:spacing w:line="357" w:lineRule="auto" w:before="30"/>
        <w:ind w:right="94" w:firstLine="360"/>
        <w:jc w:val="left"/>
      </w:pPr>
      <w:r>
        <w:rPr>
          <w:spacing w:val="-2"/>
        </w:rPr>
        <w:t>处置对子公司股权投资直至丧失控制权的各项交易属于一揽子交易的，将各项交易作为一项处置子公司股权投资并丧失</w:t>
      </w:r>
      <w:r>
        <w:rPr/>
        <w:t> 控制权的交易进行会计处理，区分个别财务报表和合并财务报表进行相关会计处理：</w:t>
      </w:r>
    </w:p>
    <w:p>
      <w:pPr>
        <w:pStyle w:val="BodyText"/>
        <w:spacing w:line="240" w:lineRule="auto" w:before="26"/>
        <w:ind w:left="332" w:right="94"/>
        <w:jc w:val="left"/>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）在个别财务报表中，在丧失控制权之前每一次处置价款与处置的股权对应的长期股权投资账面价值之间的差额，确</w:t>
      </w:r>
    </w:p>
    <w:p>
      <w:pPr>
        <w:spacing w:after="0" w:line="240" w:lineRule="auto"/>
        <w:jc w:val="left"/>
        <w:sectPr>
          <w:pgSz w:w="11910" w:h="16840"/>
          <w:pgMar w:header="745" w:footer="980" w:top="1060" w:bottom="1160" w:left="980" w:right="940"/>
        </w:sectPr>
      </w:pPr>
    </w:p>
    <w:p>
      <w:pPr>
        <w:spacing w:line="240" w:lineRule="auto" w:before="8"/>
        <w:rPr>
          <w:rFonts w:ascii="宋体" w:hAnsi="宋体" w:cs="宋体" w:eastAsia="宋体" w:hint="default"/>
          <w:sz w:val="22"/>
          <w:szCs w:val="22"/>
        </w:rPr>
      </w:pPr>
    </w:p>
    <w:p>
      <w:pPr>
        <w:pStyle w:val="BodyText"/>
        <w:spacing w:line="240" w:lineRule="auto" w:before="44"/>
        <w:ind w:right="254"/>
        <w:jc w:val="left"/>
      </w:pPr>
      <w:r>
        <w:rPr/>
        <w:t>认为其他综合收益，在丧失控制权时一并转入丧失控制权当期的损益。</w:t>
      </w:r>
    </w:p>
    <w:p>
      <w:pPr>
        <w:pStyle w:val="BodyText"/>
        <w:spacing w:line="338" w:lineRule="auto" w:before="115"/>
        <w:ind w:right="184" w:firstLine="180"/>
        <w:jc w:val="left"/>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）在合并财务报表中，在丧失控制权之前每一次处置价款与处置投资对应的享有该子公司净资产份额的差额，确认为 其他综合收益，在丧失控制权时一并转入丧失控制权当期的损益。</w:t>
      </w:r>
    </w:p>
    <w:p>
      <w:pPr>
        <w:pStyle w:val="BodyText"/>
        <w:spacing w:line="338" w:lineRule="auto" w:before="41"/>
        <w:ind w:left="513" w:right="94" w:firstLine="19"/>
        <w:jc w:val="left"/>
      </w:pPr>
      <w:r>
        <w:rPr>
          <w:rFonts w:ascii="Times New Roman" w:hAnsi="Times New Roman" w:cs="Times New Roman" w:eastAsia="Times New Roman" w:hint="default"/>
        </w:rPr>
        <w:t>5.</w:t>
      </w:r>
      <w:r>
        <w:rPr/>
        <w:t>共同控制、重大影响的判断标准 </w:t>
      </w:r>
      <w:r>
        <w:rPr>
          <w:spacing w:val="-2"/>
        </w:rPr>
        <w:t>如果本公司按照相关约定与其他参与方集体控制某项安排，并且对该安排回报具有重大影响的活动决策，需要经过分享</w:t>
      </w:r>
    </w:p>
    <w:p>
      <w:pPr>
        <w:pStyle w:val="BodyText"/>
        <w:spacing w:line="357" w:lineRule="auto" w:before="38"/>
        <w:ind w:right="94"/>
        <w:jc w:val="left"/>
      </w:pPr>
      <w:r>
        <w:rPr/>
        <w:t>控制权的参与方一致同意时才存在，则视为本公司与其他参与方共同控制某项安排，该安排即属于合营安排。 合营安排通过单独主体达成的，根据相关约定判断本公司对该单独主体的净资产享有权利时，将该单独主体作为合营企业， </w:t>
      </w:r>
      <w:r>
        <w:rPr>
          <w:spacing w:val="-2"/>
        </w:rPr>
        <w:t>采用权益法核算。若根据相关约定判断本公司并非对该单独主体的净资产享有权利时，该单独主体作为共同经营，本公司确</w:t>
      </w:r>
      <w:r>
        <w:rPr>
          <w:spacing w:val="-63"/>
        </w:rPr>
        <w:t> </w:t>
      </w:r>
      <w:r>
        <w:rPr>
          <w:spacing w:val="-63"/>
        </w:rPr>
      </w:r>
      <w:r>
        <w:rPr/>
        <w:t>认与共同经营利益份额相关的项目，并按照相关企业会计准则的规定进行会计处理。</w:t>
      </w:r>
    </w:p>
    <w:p>
      <w:pPr>
        <w:pStyle w:val="BodyText"/>
        <w:spacing w:line="343" w:lineRule="auto" w:before="26"/>
        <w:ind w:right="94" w:firstLine="360"/>
        <w:jc w:val="left"/>
      </w:pPr>
      <w:r>
        <w:rPr>
          <w:spacing w:val="-2"/>
        </w:rPr>
        <w:t>重大影响，是指投资方对被投资单位的财务和经营政策有参与决策的权力，但并不能够控制或者与其他方一起共同控制</w:t>
      </w:r>
      <w:r>
        <w:rPr/>
        <w:t> </w:t>
      </w:r>
      <w:r>
        <w:rPr>
          <w:spacing w:val="-2"/>
        </w:rPr>
        <w:t>这些政策的制定。本公司通过以下一种或多种情形，并综合考虑所有事实和情况后，判断对被投资单位具有重大影响。（</w:t>
      </w:r>
      <w:r>
        <w:rPr>
          <w:rFonts w:ascii="Times New Roman" w:hAnsi="Times New Roman" w:cs="Times New Roman" w:eastAsia="Times New Roman" w:hint="default"/>
          <w:spacing w:val="-2"/>
        </w:rPr>
        <w:t>1</w:t>
      </w:r>
      <w:r>
        <w:rPr>
          <w:spacing w:val="-2"/>
        </w:rPr>
        <w:t>）</w:t>
      </w:r>
      <w:r>
        <w:rPr>
          <w:spacing w:val="-63"/>
        </w:rPr>
        <w:t> </w:t>
      </w:r>
      <w:r>
        <w:rPr>
          <w:spacing w:val="-2"/>
        </w:rPr>
        <w:t>在被投资单位的董事会或类似权力机构中派有代表；（</w:t>
      </w:r>
      <w:r>
        <w:rPr>
          <w:rFonts w:ascii="Times New Roman" w:hAnsi="Times New Roman" w:cs="Times New Roman" w:eastAsia="Times New Roman" w:hint="default"/>
          <w:spacing w:val="-2"/>
        </w:rPr>
        <w:t>2</w:t>
      </w:r>
      <w:r>
        <w:rPr>
          <w:spacing w:val="-2"/>
        </w:rPr>
        <w:t>）参与被投资单位财务和经营政策制定过程；（</w:t>
      </w:r>
      <w:r>
        <w:rPr>
          <w:rFonts w:ascii="Times New Roman" w:hAnsi="Times New Roman" w:cs="Times New Roman" w:eastAsia="Times New Roman" w:hint="default"/>
          <w:spacing w:val="-2"/>
        </w:rPr>
        <w:t>3</w:t>
      </w:r>
      <w:r>
        <w:rPr>
          <w:spacing w:val="-2"/>
        </w:rPr>
        <w:t>）与被投资单位之</w:t>
      </w:r>
      <w:r>
        <w:rPr>
          <w:spacing w:val="-65"/>
        </w:rPr>
        <w:t> </w:t>
      </w:r>
      <w:r>
        <w:rPr>
          <w:spacing w:val="-65"/>
        </w:rPr>
      </w:r>
      <w:r>
        <w:rPr/>
        <w:t>间发生重要交易；（</w:t>
      </w:r>
      <w:r>
        <w:rPr>
          <w:rFonts w:ascii="Times New Roman" w:hAnsi="Times New Roman" w:cs="Times New Roman" w:eastAsia="Times New Roman" w:hint="default"/>
        </w:rPr>
        <w:t>4</w:t>
      </w:r>
      <w:r>
        <w:rPr/>
        <w:t>）向被投资单位派出管理人员；（</w:t>
      </w:r>
      <w:r>
        <w:rPr>
          <w:rFonts w:ascii="Times New Roman" w:hAnsi="Times New Roman" w:cs="Times New Roman" w:eastAsia="Times New Roman" w:hint="default"/>
        </w:rPr>
        <w:t>5</w:t>
      </w:r>
      <w:r>
        <w:rPr/>
        <w:t>）向被投资单位提供关键技术资料。</w:t>
      </w:r>
    </w:p>
    <w:p>
      <w:pPr>
        <w:spacing w:line="240" w:lineRule="auto" w:before="9"/>
        <w:rPr>
          <w:rFonts w:ascii="宋体" w:hAnsi="宋体" w:cs="宋体" w:eastAsia="宋体" w:hint="default"/>
          <w:sz w:val="25"/>
          <w:szCs w:val="25"/>
        </w:rPr>
      </w:pPr>
    </w:p>
    <w:p>
      <w:pPr>
        <w:pStyle w:val="Heading3"/>
        <w:spacing w:line="240" w:lineRule="auto"/>
        <w:ind w:right="254"/>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0"/>
        <w:rPr>
          <w:rFonts w:ascii="宋体" w:hAnsi="宋体" w:cs="宋体" w:eastAsia="宋体" w:hint="default"/>
          <w:b/>
          <w:bCs/>
          <w:sz w:val="23"/>
          <w:szCs w:val="23"/>
        </w:rPr>
      </w:pPr>
    </w:p>
    <w:p>
      <w:pPr>
        <w:pStyle w:val="BodyText"/>
        <w:spacing w:line="398" w:lineRule="auto"/>
        <w:ind w:right="8014"/>
        <w:jc w:val="left"/>
      </w:pPr>
      <w:r>
        <w:rPr/>
        <w:t>投资性房地产计量模式 成本法计量 折旧或摊销方法</w:t>
      </w:r>
    </w:p>
    <w:p>
      <w:pPr>
        <w:pStyle w:val="BodyText"/>
        <w:spacing w:line="357" w:lineRule="auto" w:before="37"/>
        <w:ind w:right="190"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转让的土地使用权、已出租的建筑物。此外，对于本公司持有以备经营出租的空置建筑物，若董事会作出书面决议，明确表</w:t>
      </w:r>
      <w:r>
        <w:rPr>
          <w:spacing w:val="-67"/>
        </w:rPr>
        <w:t> </w:t>
      </w:r>
      <w:r>
        <w:rPr>
          <w:spacing w:val="-67"/>
        </w:rPr>
      </w:r>
      <w:r>
        <w:rPr/>
        <w:t>示将其用于经营出租且持有意图短期内不再发生变化的，也作为投资性房地产列报。</w:t>
      </w:r>
    </w:p>
    <w:p>
      <w:pPr>
        <w:pStyle w:val="BodyText"/>
        <w:spacing w:line="357" w:lineRule="auto" w:before="26"/>
        <w:ind w:right="94" w:firstLine="360"/>
        <w:jc w:val="left"/>
      </w:pPr>
      <w:r>
        <w:rPr>
          <w:spacing w:val="-2"/>
        </w:rPr>
        <w:t>本公司的投资性房地产按其成本作为入账价值，外购投资性房地产的成本包括购买价款、相关税费和可直接归属于该资</w:t>
      </w:r>
      <w:r>
        <w:rPr/>
        <w:t> 产的其他支出；自行建造投资性房地产的成本，由建造该项资产达到预定可使用状态前所发生的必要支出构成。</w:t>
      </w:r>
    </w:p>
    <w:p>
      <w:pPr>
        <w:pStyle w:val="BodyText"/>
        <w:spacing w:line="357" w:lineRule="auto" w:before="24"/>
        <w:ind w:right="94" w:firstLine="360"/>
        <w:jc w:val="left"/>
      </w:pPr>
      <w:r>
        <w:rPr>
          <w:spacing w:val="-2"/>
        </w:rPr>
        <w:t>本公司对投资性房地产采用成本模式进行后续计量，按其预计使用寿命及净残值率对建筑物和土地使用权计提折旧或摊</w:t>
      </w:r>
      <w:r>
        <w:rPr/>
        <w:t> 销。投资性房地产的预计使用寿命、净残值率及年折旧（摊销）率列示如下：</w:t>
      </w:r>
    </w:p>
    <w:p>
      <w:pPr>
        <w:spacing w:line="240" w:lineRule="auto" w:before="7"/>
        <w:rPr>
          <w:rFonts w:ascii="宋体" w:hAnsi="宋体" w:cs="宋体" w:eastAsia="宋体" w:hint="default"/>
          <w:sz w:val="4"/>
          <w:szCs w:val="4"/>
        </w:rPr>
      </w:pPr>
    </w:p>
    <w:tbl>
      <w:tblPr>
        <w:tblW w:w="0" w:type="auto"/>
        <w:jc w:val="left"/>
        <w:tblInd w:w="575" w:type="dxa"/>
        <w:tblLayout w:type="fixed"/>
        <w:tblCellMar>
          <w:top w:w="0" w:type="dxa"/>
          <w:left w:w="0" w:type="dxa"/>
          <w:bottom w:w="0" w:type="dxa"/>
          <w:right w:w="0" w:type="dxa"/>
        </w:tblCellMar>
        <w:tblLook w:val="01E0"/>
      </w:tblPr>
      <w:tblGrid>
        <w:gridCol w:w="2451"/>
        <w:gridCol w:w="2031"/>
        <w:gridCol w:w="2216"/>
        <w:gridCol w:w="1832"/>
      </w:tblGrid>
      <w:tr>
        <w:trPr>
          <w:trHeight w:val="3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预计净残值率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年折旧（摊销）率</w:t>
            </w:r>
          </w:p>
        </w:tc>
      </w:tr>
      <w:tr>
        <w:trPr>
          <w:trHeight w:val="341"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10.00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4.50</w:t>
            </w:r>
          </w:p>
        </w:tc>
      </w:tr>
    </w:tbl>
    <w:p>
      <w:pPr>
        <w:pStyle w:val="BodyText"/>
        <w:spacing w:line="203" w:lineRule="exact"/>
        <w:ind w:right="0" w:firstLine="360"/>
        <w:jc w:val="both"/>
      </w:pPr>
      <w:r>
        <w:rPr/>
        <w:t>投资性房地产的用途改变为自用时，自改变之日起，本公司将该投资性房地产转换为固定资产或无形资产。自用房地产</w:t>
      </w:r>
    </w:p>
    <w:p>
      <w:pPr>
        <w:pStyle w:val="BodyText"/>
        <w:spacing w:line="357" w:lineRule="auto" w:before="115"/>
        <w:ind w:right="94"/>
        <w:jc w:val="left"/>
      </w:pPr>
      <w:r>
        <w:rPr>
          <w:spacing w:val="-2"/>
        </w:rPr>
        <w:t>的用途改变为赚取租金或资本增值时，自改变之日起，本公司将固定资产或无形资产转换为投资性房地产。发生转换时，以</w:t>
      </w:r>
      <w:r>
        <w:rPr>
          <w:spacing w:val="-66"/>
        </w:rPr>
        <w:t> </w:t>
      </w:r>
      <w:r>
        <w:rPr>
          <w:spacing w:val="-66"/>
        </w:rPr>
      </w:r>
      <w:r>
        <w:rPr/>
        <w:t>转换前的账面价值作为转换后的入账价值。</w:t>
      </w:r>
    </w:p>
    <w:p>
      <w:pPr>
        <w:pStyle w:val="BodyText"/>
        <w:spacing w:line="357" w:lineRule="auto" w:before="26"/>
        <w:ind w:right="190" w:firstLine="360"/>
        <w:jc w:val="both"/>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性房地产出售、转让、报废或毁损的处置收入扣除其账面价值和相关税费后的金额计入当期损益。</w:t>
      </w:r>
    </w:p>
    <w:p>
      <w:pPr>
        <w:pStyle w:val="BodyText"/>
        <w:spacing w:line="357" w:lineRule="auto" w:before="26"/>
        <w:ind w:right="189"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转让的土地使用权、已出租的建筑物等。此外，对于本公司持有以备经营出租的空置建筑物，若董事会作出书面决议，明确</w:t>
      </w:r>
      <w:r>
        <w:rPr>
          <w:spacing w:val="-67"/>
        </w:rPr>
        <w:t> </w:t>
      </w:r>
      <w:r>
        <w:rPr>
          <w:spacing w:val="-67"/>
        </w:rPr>
      </w:r>
      <w:r>
        <w:rPr/>
        <w:t>表示将其用于经营出租且持有意图短期内不再发生变化的，也作为投资性房地产列报。</w:t>
      </w:r>
    </w:p>
    <w:p>
      <w:pPr>
        <w:pStyle w:val="BodyText"/>
        <w:spacing w:line="355" w:lineRule="auto" w:before="26"/>
        <w:ind w:right="192" w:firstLine="360"/>
        <w:jc w:val="both"/>
      </w:pPr>
      <w:r>
        <w:rPr>
          <w:spacing w:val="-2"/>
        </w:rPr>
        <w:t>本公司的投资性房地产按其成本作为入账价值，外购投资性房地产的成本包括购买价款、相关税费和可直接归属于该资</w:t>
      </w:r>
      <w:r>
        <w:rPr/>
        <w:t> 产的其他支出；自行建造投资性房地产的成本，由建造该项资产达到预定可使用状态前所发生的必要支出构成。</w:t>
      </w:r>
    </w:p>
    <w:p>
      <w:pPr>
        <w:pStyle w:val="BodyText"/>
        <w:spacing w:line="357" w:lineRule="auto" w:before="28"/>
        <w:ind w:right="198" w:firstLine="418"/>
        <w:jc w:val="both"/>
      </w:pPr>
      <w:r>
        <w:rPr/>
        <w:t>当投资性房地产被处置，或者永久退出使用且预计不能从其处置中取得经济利益时，终止确认该项投资性房地产。投 资性房地产出售、转让、报废或毁损的处置收入扣除其账面价值和相关税费后的金额计入当期损益。</w:t>
      </w:r>
    </w:p>
    <w:p>
      <w:pPr>
        <w:spacing w:after="0" w:line="357" w:lineRule="auto"/>
        <w:jc w:val="both"/>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254"/>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54"/>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pPr>
      <w:r>
        <w:rPr>
          <w:spacing w:val="-2"/>
        </w:rPr>
        <w:t>固定资产指为生产商品、提供劳务、出租或经营管理而持有，并且使用寿命超过一个会计年度的有形资产。固定资产在</w:t>
      </w:r>
      <w:r>
        <w:rPr/>
        <w:t> </w:t>
      </w:r>
      <w:r>
        <w:rPr>
          <w:spacing w:val="-7"/>
        </w:rPr>
        <w:t>同时满足下列条件时予以确认：（</w:t>
      </w:r>
      <w:r>
        <w:rPr>
          <w:rFonts w:ascii="Times New Roman" w:hAnsi="Times New Roman" w:cs="Times New Roman" w:eastAsia="Times New Roman" w:hint="default"/>
          <w:spacing w:val="-7"/>
        </w:rPr>
        <w:t>1</w:t>
      </w:r>
      <w:r>
        <w:rPr>
          <w:spacing w:val="-7"/>
        </w:rPr>
        <w:t>）与该固定资产有关的经济利益很可能流入企业；（</w:t>
      </w:r>
      <w:r>
        <w:rPr>
          <w:rFonts w:ascii="Times New Roman" w:hAnsi="Times New Roman" w:cs="Times New Roman" w:eastAsia="Times New Roman" w:hint="default"/>
          <w:spacing w:val="-7"/>
        </w:rPr>
        <w:t>2</w:t>
      </w:r>
      <w:r>
        <w:rPr>
          <w:spacing w:val="-7"/>
        </w:rPr>
        <w:t>）该固定资产的成本能够可靠地计量。</w:t>
      </w:r>
    </w:p>
    <w:p>
      <w:pPr>
        <w:spacing w:line="240" w:lineRule="auto" w:before="4"/>
        <w:rPr>
          <w:rFonts w:ascii="宋体" w:hAnsi="宋体" w:cs="宋体" w:eastAsia="宋体" w:hint="default"/>
          <w:sz w:val="21"/>
          <w:szCs w:val="21"/>
        </w:rPr>
      </w:pPr>
    </w:p>
    <w:p>
      <w:pPr>
        <w:pStyle w:val="Heading3"/>
        <w:spacing w:line="240" w:lineRule="auto"/>
        <w:ind w:right="254"/>
        <w:jc w:val="left"/>
        <w:rPr>
          <w:b w:val="0"/>
          <w:bCs w:val="0"/>
        </w:rPr>
      </w:pPr>
      <w:r>
        <w:rPr/>
        <w:t>（</w:t>
      </w:r>
      <w:r>
        <w:rPr>
          <w:rFonts w:ascii="Times New Roman" w:hAnsi="Times New Roman" w:cs="Times New Roman" w:eastAsia="Times New Roman" w:hint="default"/>
        </w:rPr>
        <w:t>2</w:t>
      </w:r>
      <w:r>
        <w:rPr/>
        <w:t>）</w:t>
      </w:r>
      <w:r>
        <w:rPr>
          <w:spacing w:val="88"/>
        </w:rPr>
        <w:t> </w:t>
      </w:r>
      <w:r>
        <w:rPr>
          <w:rFonts w:ascii="宋体" w:hAnsi="宋体" w:cs="宋体" w:eastAsia="宋体" w:hint="default"/>
          <w:spacing w:val="88"/>
        </w:rPr>
      </w:r>
      <w:r>
        <w:rPr/>
        <w:t>固定资产初始计量</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513" w:right="254"/>
        <w:jc w:val="left"/>
        <w:rPr>
          <w:rFonts w:ascii="宋体" w:hAnsi="宋体" w:cs="宋体" w:eastAsia="宋体" w:hint="default"/>
        </w:rPr>
      </w:pPr>
      <w:r>
        <w:rPr/>
        <w:t>本公司固定资产按成本进行初始计量。</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97" w:lineRule="auto"/>
        <w:ind w:right="184" w:firstLine="360"/>
        <w:jc w:val="left"/>
      </w:pPr>
      <w:r>
        <w:rPr>
          <w:rFonts w:ascii="Times New Roman" w:hAnsi="Times New Roman" w:cs="Times New Roman" w:eastAsia="Times New Roman" w:hint="default"/>
        </w:rPr>
        <w:t>1</w:t>
      </w:r>
      <w:r>
        <w:rPr/>
        <w:t>）外购的固定资产的成本包括买价、进口关税等相关税费，以及为使固定资产达到预定可使用状态前所发生的可直接 归属于该资产的其他支出。</w:t>
      </w:r>
    </w:p>
    <w:p>
      <w:pPr>
        <w:pStyle w:val="BodyText"/>
        <w:spacing w:line="240" w:lineRule="auto" w:before="74"/>
        <w:ind w:left="513" w:right="254"/>
        <w:jc w:val="left"/>
      </w:pPr>
      <w:r>
        <w:rPr>
          <w:rFonts w:ascii="Times New Roman" w:hAnsi="Times New Roman" w:cs="Times New Roman" w:eastAsia="Times New Roman" w:hint="default"/>
        </w:rPr>
        <w:t>2</w:t>
      </w:r>
      <w:r>
        <w:rPr/>
        <w:t>）自行建造固定资产的成本，由建造该项资产达到预定可使用状态前所发生的必要支出构成。</w:t>
      </w:r>
    </w:p>
    <w:p>
      <w:pPr>
        <w:pStyle w:val="BodyText"/>
        <w:spacing w:line="300" w:lineRule="auto" w:before="104"/>
        <w:ind w:right="184" w:firstLine="360"/>
        <w:jc w:val="left"/>
      </w:pPr>
      <w:r>
        <w:rPr>
          <w:rFonts w:ascii="Times New Roman" w:hAnsi="Times New Roman" w:cs="Times New Roman" w:eastAsia="Times New Roman" w:hint="default"/>
        </w:rPr>
        <w:t>3</w:t>
      </w:r>
      <w:r>
        <w:rPr/>
        <w:t>）投资者投入的固定资产，按投资合同或协议约定的价值作为入账价值，但合同或协议约定价值不公允的按公允价值 入账。</w:t>
      </w:r>
    </w:p>
    <w:p>
      <w:pPr>
        <w:pStyle w:val="BodyText"/>
        <w:spacing w:line="300" w:lineRule="auto" w:before="70"/>
        <w:ind w:right="184" w:firstLine="360"/>
        <w:jc w:val="left"/>
      </w:pPr>
      <w:r>
        <w:rPr>
          <w:rFonts w:ascii="Times New Roman" w:hAnsi="Times New Roman" w:cs="Times New Roman" w:eastAsia="Times New Roman" w:hint="default"/>
        </w:rPr>
        <w:t>4</w:t>
      </w:r>
      <w:r>
        <w:rPr/>
        <w:t>）购买固定资产的价款超过正常信用条件延期支付，实质上具有融资性质的，固定资产的成本以购买价款的现值为基 础确定。实际支付的价款与购买价款的现值之间的差额，除应予资本化的以外，在信用期间内计入当期损益。</w:t>
      </w:r>
    </w:p>
    <w:p>
      <w:pPr>
        <w:spacing w:line="240" w:lineRule="auto" w:before="10"/>
        <w:rPr>
          <w:rFonts w:ascii="宋体" w:hAnsi="宋体" w:cs="宋体" w:eastAsia="宋体" w:hint="default"/>
          <w:sz w:val="23"/>
          <w:szCs w:val="23"/>
        </w:rPr>
      </w:pPr>
    </w:p>
    <w:p>
      <w:pPr>
        <w:pStyle w:val="Heading3"/>
        <w:spacing w:line="240" w:lineRule="auto"/>
        <w:ind w:right="254"/>
        <w:jc w:val="left"/>
        <w:rPr>
          <w:b w:val="0"/>
          <w:bCs w:val="0"/>
        </w:rPr>
      </w:pPr>
      <w:r>
        <w:rPr/>
        <w:t>（</w:t>
      </w:r>
      <w:r>
        <w:rPr>
          <w:rFonts w:ascii="Times New Roman" w:hAnsi="Times New Roman" w:cs="Times New Roman" w:eastAsia="Times New Roman" w:hint="default"/>
        </w:rPr>
        <w:t>3</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4.50</w:t>
            </w:r>
            <w:r>
              <w:rPr>
                <w:rFonts w:ascii="宋体" w:hAnsi="宋体" w:cs="宋体" w:eastAsia="宋体" w:hint="default"/>
                <w:sz w:val="18"/>
                <w:szCs w:val="18"/>
              </w:rPr>
              <w:t>～</w:t>
            </w:r>
            <w:r>
              <w:rPr>
                <w:rFonts w:ascii="Times New Roman" w:hAnsi="Times New Roman" w:cs="Times New Roman" w:eastAsia="Times New Roman" w:hint="default"/>
                <w:sz w:val="18"/>
                <w:szCs w:val="18"/>
              </w:rPr>
              <w:t>1.80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18.00</w:t>
            </w:r>
            <w:r>
              <w:rPr>
                <w:rFonts w:ascii="宋体" w:hAnsi="宋体" w:cs="宋体" w:eastAsia="宋体" w:hint="default"/>
                <w:sz w:val="18"/>
                <w:szCs w:val="18"/>
              </w:rPr>
              <w:t>～</w:t>
            </w:r>
            <w:r>
              <w:rPr>
                <w:rFonts w:ascii="Times New Roman" w:hAnsi="Times New Roman" w:cs="Times New Roman" w:eastAsia="Times New Roman" w:hint="default"/>
                <w:sz w:val="18"/>
                <w:szCs w:val="18"/>
              </w:rPr>
              <w:t>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3.00</w:t>
            </w:r>
            <w:r>
              <w:rPr>
                <w:rFonts w:ascii="宋体" w:hAnsi="宋体" w:cs="宋体" w:eastAsia="宋体" w:hint="default"/>
                <w:sz w:val="18"/>
                <w:szCs w:val="18"/>
              </w:rPr>
              <w:t>～</w:t>
            </w:r>
            <w:r>
              <w:rPr>
                <w:rFonts w:ascii="Times New Roman" w:hAnsi="Times New Roman" w:cs="Times New Roman" w:eastAsia="Times New Roman" w:hint="default"/>
                <w:sz w:val="18"/>
                <w:szCs w:val="18"/>
              </w:rPr>
              <w:t>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9.70</w:t>
            </w:r>
            <w:r>
              <w:rPr>
                <w:rFonts w:ascii="宋体" w:hAnsi="宋体" w:cs="宋体" w:eastAsia="宋体" w:hint="default"/>
                <w:sz w:val="18"/>
                <w:szCs w:val="18"/>
              </w:rPr>
              <w:t>～</w:t>
            </w:r>
            <w:r>
              <w:rPr>
                <w:rFonts w:ascii="Times New Roman" w:hAnsi="Times New Roman" w:cs="Times New Roman" w:eastAsia="Times New Roman" w:hint="default"/>
                <w:sz w:val="18"/>
                <w:szCs w:val="18"/>
              </w:rPr>
              <w:t>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5.00</w:t>
            </w:r>
            <w:r>
              <w:rPr>
                <w:rFonts w:ascii="宋体" w:hAnsi="宋体" w:cs="宋体" w:eastAsia="宋体" w:hint="default"/>
                <w:sz w:val="18"/>
                <w:szCs w:val="18"/>
              </w:rPr>
              <w:t>～</w:t>
            </w:r>
            <w:r>
              <w:rPr>
                <w:rFonts w:ascii="Times New Roman" w:hAnsi="Times New Roman" w:cs="Times New Roman" w:eastAsia="Times New Roman" w:hint="default"/>
                <w:sz w:val="18"/>
                <w:szCs w:val="18"/>
              </w:rPr>
              <w:t>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31.67</w:t>
            </w:r>
            <w:r>
              <w:rPr>
                <w:rFonts w:ascii="宋体" w:hAnsi="宋体" w:cs="宋体" w:eastAsia="宋体" w:hint="default"/>
                <w:sz w:val="18"/>
                <w:szCs w:val="18"/>
              </w:rPr>
              <w:t>～</w:t>
            </w:r>
            <w:r>
              <w:rPr>
                <w:rFonts w:ascii="Times New Roman" w:hAnsi="Times New Roman" w:cs="Times New Roman" w:eastAsia="Times New Roman" w:hint="default"/>
                <w:sz w:val="18"/>
                <w:szCs w:val="18"/>
              </w:rPr>
              <w:t>18.00</w:t>
            </w:r>
          </w:p>
        </w:tc>
      </w:tr>
    </w:tbl>
    <w:p>
      <w:pPr>
        <w:pStyle w:val="BodyText"/>
        <w:spacing w:line="316" w:lineRule="auto" w:before="49"/>
        <w:ind w:right="94" w:firstLine="360"/>
        <w:jc w:val="left"/>
      </w:pPr>
      <w:r>
        <w:rPr>
          <w:spacing w:val="-2"/>
        </w:rPr>
        <w:t>固定资产折旧按其入账价值减去预计净残值后在预计使用寿命内计提。对计提了减值准备的固定资产，则在未来期间按</w:t>
      </w:r>
      <w:r>
        <w:rPr/>
        <w:t> 扣除减值准备后的账面价值及依据尚可使用年限确定折旧额；已提足折旧仍继续使用的固定资产不计提折旧。</w:t>
      </w:r>
    </w:p>
    <w:p>
      <w:pPr>
        <w:pStyle w:val="BodyText"/>
        <w:spacing w:line="316" w:lineRule="auto" w:before="59"/>
        <w:ind w:right="94" w:firstLine="360"/>
        <w:jc w:val="left"/>
      </w:pPr>
      <w:r>
        <w:rPr>
          <w:spacing w:val="-2"/>
        </w:rPr>
        <w:t>利用专项储备支出形成的固定资产，按照形成固定资产的成本冲减专项储备，并确认相同金额的累计折旧，该固定资产</w:t>
      </w:r>
      <w:r>
        <w:rPr/>
        <w:t> 在以后期间不再计提折旧。</w:t>
      </w:r>
    </w:p>
    <w:p>
      <w:pPr>
        <w:pStyle w:val="BodyText"/>
        <w:spacing w:line="316" w:lineRule="auto" w:before="57"/>
        <w:ind w:right="94" w:firstLine="360"/>
        <w:jc w:val="left"/>
      </w:pPr>
      <w:r>
        <w:rPr>
          <w:spacing w:val="-2"/>
        </w:rPr>
        <w:t>本公司根据固定资产的性质和使用情况，确定固定资产的使用寿命和预计净残值。并在年度终了，对固定资产的使用寿</w:t>
      </w:r>
      <w:r>
        <w:rPr/>
        <w:t> 命、预计净残值和折旧方法进行复核，如与原先估计数存在差异的，进行相应的调整。</w:t>
      </w:r>
    </w:p>
    <w:p>
      <w:pPr>
        <w:spacing w:line="240" w:lineRule="auto" w:before="10"/>
        <w:rPr>
          <w:rFonts w:ascii="宋体" w:hAnsi="宋体" w:cs="宋体" w:eastAsia="宋体" w:hint="default"/>
          <w:sz w:val="22"/>
          <w:szCs w:val="22"/>
        </w:rPr>
      </w:pPr>
    </w:p>
    <w:p>
      <w:pPr>
        <w:pStyle w:val="Heading3"/>
        <w:spacing w:line="240" w:lineRule="auto"/>
        <w:ind w:right="254"/>
        <w:jc w:val="left"/>
        <w:rPr>
          <w:b w:val="0"/>
          <w:bCs w:val="0"/>
        </w:rPr>
      </w:pPr>
      <w:r>
        <w:rPr/>
        <w:t>（</w:t>
      </w:r>
      <w:r>
        <w:rPr>
          <w:rFonts w:ascii="Times New Roman" w:hAnsi="Times New Roman" w:cs="Times New Roman" w:eastAsia="Times New Roman" w:hint="default"/>
        </w:rPr>
        <w:t>4</w:t>
      </w:r>
      <w:r>
        <w:rPr/>
        <w:t>）固定资产的后续支出及处置</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94"/>
        <w:jc w:val="left"/>
      </w:pPr>
      <w:r>
        <w:rPr>
          <w:rFonts w:ascii="Times New Roman" w:hAnsi="Times New Roman" w:cs="Times New Roman" w:eastAsia="Times New Roman" w:hint="default"/>
        </w:rPr>
        <w:t>1</w:t>
      </w:r>
      <w:r>
        <w:rPr/>
        <w:t>）固定资产的后续支出 </w:t>
      </w:r>
      <w:r>
        <w:rPr>
          <w:spacing w:val="-2"/>
        </w:rPr>
        <w:t>与固定资产有关的后续支出，符合固定资产确认条件的，计入固定资产成本；不符合固定资产确认条件的，在发生时计</w:t>
      </w:r>
    </w:p>
    <w:p>
      <w:pPr>
        <w:pStyle w:val="BodyText"/>
        <w:spacing w:line="240" w:lineRule="auto" w:before="1"/>
        <w:ind w:right="254"/>
        <w:jc w:val="left"/>
      </w:pPr>
      <w:r>
        <w:rPr/>
        <w:t>入当期损益。</w:t>
      </w:r>
    </w:p>
    <w:p>
      <w:pPr>
        <w:pStyle w:val="BodyText"/>
        <w:spacing w:line="340" w:lineRule="auto" w:before="115"/>
        <w:ind w:left="513" w:right="94"/>
        <w:jc w:val="left"/>
      </w:pPr>
      <w:r>
        <w:rPr>
          <w:rFonts w:ascii="Times New Roman" w:hAnsi="Times New Roman" w:cs="Times New Roman" w:eastAsia="Times New Roman" w:hint="default"/>
        </w:rPr>
        <w:t>2</w:t>
      </w:r>
      <w:r>
        <w:rPr/>
        <w:t>）固定资产处置 </w:t>
      </w:r>
      <w:r>
        <w:rPr>
          <w:spacing w:val="-2"/>
        </w:rPr>
        <w:t>当固定资产被处置、或者预期通过使用或处置不能产生经济利益时，终止确认该固定资产。固定资产出售、转让、报废</w:t>
      </w:r>
    </w:p>
    <w:p>
      <w:pPr>
        <w:pStyle w:val="BodyText"/>
        <w:spacing w:line="240" w:lineRule="auto" w:before="1"/>
        <w:ind w:right="254"/>
        <w:jc w:val="left"/>
      </w:pPr>
      <w:r>
        <w:rPr/>
        <w:t>或毁损的处置收入扣除其账面价值和相关税费后的金额计入当期损益。</w:t>
      </w:r>
    </w:p>
    <w:p>
      <w:pPr>
        <w:spacing w:after="0" w:line="24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254"/>
        <w:jc w:val="left"/>
        <w:rPr>
          <w:b w:val="0"/>
          <w:bCs w:val="0"/>
        </w:rPr>
      </w:pPr>
      <w:r>
        <w:rPr/>
        <w:t>（</w:t>
      </w:r>
      <w:r>
        <w:rPr>
          <w:rFonts w:ascii="Times New Roman" w:hAnsi="Times New Roman" w:cs="Times New Roman" w:eastAsia="Times New Roman" w:hint="default"/>
        </w:rPr>
        <w:t>5</w:t>
      </w:r>
      <w:r>
        <w:rPr/>
        <w:t>）融资租入固定资产的认定依据、计价和折旧方法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513" w:right="254"/>
        <w:jc w:val="left"/>
      </w:pPr>
      <w:r>
        <w:rPr/>
        <w:t>当本公司租入的固定资产符合下列一项或数项标准时，确认为融资租入固定资产：</w:t>
      </w:r>
    </w:p>
    <w:p>
      <w:pPr>
        <w:pStyle w:val="BodyText"/>
        <w:spacing w:line="240" w:lineRule="auto" w:before="112"/>
        <w:ind w:left="332" w:right="254"/>
        <w:jc w:val="left"/>
      </w:pPr>
      <w:r>
        <w:rPr/>
        <w:t>（</w:t>
      </w:r>
      <w:r>
        <w:rPr>
          <w:rFonts w:ascii="Times New Roman" w:hAnsi="Times New Roman" w:cs="Times New Roman" w:eastAsia="Times New Roman" w:hint="default"/>
        </w:rPr>
        <w:t>1</w:t>
      </w:r>
      <w:r>
        <w:rPr/>
        <w:t>）在租赁期届满时，租赁资产的所有权转移给本公司。</w:t>
      </w:r>
    </w:p>
    <w:p>
      <w:pPr>
        <w:pStyle w:val="BodyText"/>
        <w:spacing w:line="338" w:lineRule="auto" w:before="101"/>
        <w:ind w:right="198" w:firstLine="180"/>
        <w:jc w:val="both"/>
      </w:pPr>
      <w:r>
        <w:rPr/>
        <w:t>（</w:t>
      </w:r>
      <w:r>
        <w:rPr>
          <w:rFonts w:ascii="Times New Roman" w:hAnsi="Times New Roman" w:cs="Times New Roman" w:eastAsia="Times New Roman" w:hint="default"/>
        </w:rPr>
        <w:t>2</w:t>
      </w:r>
      <w:r>
        <w:rPr/>
        <w:t>）本公司有购买租赁资产的选择权，所订立的购买价款预计将远低于行使选择权时租赁资产的公允价值，因而在租赁 开始日就可以合理确定本公司将会行使这种选择权。</w:t>
      </w:r>
    </w:p>
    <w:p>
      <w:pPr>
        <w:pStyle w:val="BodyText"/>
        <w:spacing w:line="240" w:lineRule="auto" w:before="41"/>
        <w:ind w:left="332" w:right="254"/>
        <w:jc w:val="left"/>
      </w:pPr>
      <w:r>
        <w:rPr/>
        <w:t>（</w:t>
      </w:r>
      <w:r>
        <w:rPr>
          <w:rFonts w:ascii="Times New Roman" w:hAnsi="Times New Roman" w:cs="Times New Roman" w:eastAsia="Times New Roman" w:hint="default"/>
        </w:rPr>
        <w:t>3</w:t>
      </w:r>
      <w:r>
        <w:rPr/>
        <w:t>）即使资产的所有权不转移，但租赁期占租赁资产使用寿命的大部分。</w:t>
      </w:r>
    </w:p>
    <w:p>
      <w:pPr>
        <w:pStyle w:val="BodyText"/>
        <w:spacing w:line="240" w:lineRule="auto" w:before="101"/>
        <w:ind w:left="332" w:right="254"/>
        <w:jc w:val="left"/>
      </w:pPr>
      <w:r>
        <w:rPr/>
        <w:t>（</w:t>
      </w:r>
      <w:r>
        <w:rPr>
          <w:rFonts w:ascii="Times New Roman" w:hAnsi="Times New Roman" w:cs="Times New Roman" w:eastAsia="Times New Roman" w:hint="default"/>
        </w:rPr>
        <w:t>4</w:t>
      </w:r>
      <w:r>
        <w:rPr/>
        <w:t>）本公司在租赁开始日的最低租赁付款额现值，几乎相当于租赁开始日租赁资产公允价值。</w:t>
      </w:r>
    </w:p>
    <w:p>
      <w:pPr>
        <w:pStyle w:val="BodyText"/>
        <w:spacing w:line="352" w:lineRule="auto" w:before="101"/>
        <w:ind w:right="190" w:firstLine="180"/>
        <w:jc w:val="both"/>
      </w:pPr>
      <w:r>
        <w:rPr/>
        <w:t>（</w:t>
      </w:r>
      <w:r>
        <w:rPr>
          <w:rFonts w:ascii="Times New Roman" w:hAnsi="Times New Roman" w:cs="Times New Roman" w:eastAsia="Times New Roman" w:hint="default"/>
        </w:rPr>
        <w:t>5</w:t>
      </w:r>
      <w:r>
        <w:rPr/>
        <w:t>）租赁资产性质特殊，如果不作较大改造，只有本公司才能使用。融资租赁租入的固定资产，按租赁开始日租赁资产 </w:t>
      </w:r>
      <w:r>
        <w:rPr>
          <w:spacing w:val="-2"/>
        </w:rPr>
        <w:t>公允价值与最低租赁付款额的现值两者中较低者，作为入账价值。最低租赁付款额作为长期应付款的入账价值，其差额作为</w:t>
      </w:r>
      <w:r>
        <w:rPr>
          <w:spacing w:val="-63"/>
        </w:rPr>
        <w:t> </w:t>
      </w:r>
      <w:r>
        <w:rPr>
          <w:spacing w:val="-63"/>
        </w:rPr>
      </w:r>
      <w:r>
        <w:rPr>
          <w:spacing w:val="-2"/>
        </w:rPr>
        <w:t>未确认融资费用。在租赁谈判和签订租赁合同过程中发生的，可归属于租赁项目的手续费、律师费、差旅费、印花税等初始</w:t>
      </w:r>
      <w:r>
        <w:rPr>
          <w:spacing w:val="-64"/>
        </w:rPr>
        <w:t> </w:t>
      </w:r>
      <w:r>
        <w:rPr>
          <w:spacing w:val="-64"/>
        </w:rPr>
      </w:r>
      <w:r>
        <w:rPr>
          <w:spacing w:val="-2"/>
        </w:rPr>
        <w:t>直接费用，计入租入资产价值。未确认融资费用在租赁期内各个期间采用实际利率法进行分摊。本公司采用与自有固定资产</w:t>
      </w:r>
      <w:r>
        <w:rPr>
          <w:spacing w:val="-63"/>
        </w:rPr>
        <w:t> </w:t>
      </w:r>
      <w:r>
        <w:rPr>
          <w:spacing w:val="-63"/>
        </w:rPr>
      </w:r>
      <w:r>
        <w:rPr>
          <w:spacing w:val="-2"/>
        </w:rPr>
        <w:t>相一致的折旧政策计提融资租入固定资产折旧。能够合理确定租赁期届满时取得租赁资产所有权的，在租赁资产使用寿命内</w:t>
      </w:r>
      <w:r>
        <w:rPr>
          <w:spacing w:val="-64"/>
        </w:rPr>
        <w:t> </w:t>
      </w:r>
      <w:r>
        <w:rPr>
          <w:spacing w:val="-64"/>
        </w:rPr>
      </w:r>
      <w:r>
        <w:rPr>
          <w:spacing w:val="-2"/>
        </w:rPr>
        <w:t>计提折旧。无法合理确定租赁期届满时能够取得租赁资产所有权的，在租赁期与租赁资产使用寿命两者中较短的期间内计提</w:t>
      </w:r>
      <w:r>
        <w:rPr>
          <w:spacing w:val="-64"/>
        </w:rPr>
        <w:t> </w:t>
      </w:r>
      <w:r>
        <w:rPr>
          <w:spacing w:val="-64"/>
        </w:rPr>
      </w:r>
      <w:r>
        <w:rPr/>
        <w:t>折旧。</w:t>
      </w:r>
    </w:p>
    <w:p>
      <w:pPr>
        <w:spacing w:line="240" w:lineRule="auto" w:before="10"/>
        <w:rPr>
          <w:rFonts w:ascii="宋体" w:hAnsi="宋体" w:cs="宋体" w:eastAsia="宋体" w:hint="default"/>
          <w:sz w:val="26"/>
          <w:szCs w:val="26"/>
        </w:rPr>
      </w:pPr>
    </w:p>
    <w:p>
      <w:pPr>
        <w:pStyle w:val="Heading3"/>
        <w:spacing w:line="240" w:lineRule="auto"/>
        <w:ind w:right="254"/>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754"/>
        <w:jc w:val="left"/>
      </w:pPr>
      <w:r>
        <w:rPr/>
        <w:t>公司是否需要遵守特殊行业的披露要求 否</w:t>
      </w:r>
    </w:p>
    <w:p>
      <w:pPr>
        <w:pStyle w:val="BodyText"/>
        <w:spacing w:line="237" w:lineRule="exact"/>
        <w:ind w:left="513" w:right="254"/>
        <w:jc w:val="left"/>
      </w:pPr>
      <w:r>
        <w:rPr>
          <w:rFonts w:ascii="Times New Roman" w:hAnsi="Times New Roman" w:cs="Times New Roman" w:eastAsia="Times New Roman" w:hint="default"/>
        </w:rPr>
        <w:t>1</w:t>
      </w:r>
      <w:r>
        <w:rPr/>
        <w:t>．在建工程初始计量</w:t>
      </w:r>
    </w:p>
    <w:p>
      <w:pPr>
        <w:pStyle w:val="BodyText"/>
        <w:spacing w:line="357" w:lineRule="auto" w:before="101"/>
        <w:ind w:right="94" w:firstLine="360"/>
        <w:jc w:val="left"/>
      </w:pPr>
      <w:r>
        <w:rPr/>
        <w:t>本公司自行建造的在建工程按实际成本计价，实际成本由建造该项资产达到预定可使用状态前所发生的必要支出构成， 包括工程用物资成本、人工成本、交纳的相关税费、应予资本化的借款费用以及应分摊的间接费用等。</w:t>
      </w:r>
    </w:p>
    <w:p>
      <w:pPr>
        <w:pStyle w:val="BodyText"/>
        <w:spacing w:line="338" w:lineRule="auto" w:before="27"/>
        <w:ind w:left="513" w:right="94"/>
        <w:jc w:val="left"/>
      </w:pPr>
      <w:r>
        <w:rPr>
          <w:rFonts w:ascii="Times New Roman" w:hAnsi="Times New Roman" w:cs="Times New Roman" w:eastAsia="Times New Roman" w:hint="default"/>
        </w:rPr>
        <w:t>2</w:t>
      </w:r>
      <w:r>
        <w:rPr/>
        <w:t>．在建工程结转为固定资产的标准和时点 </w:t>
      </w:r>
      <w:r>
        <w:rPr>
          <w:spacing w:val="-2"/>
        </w:rPr>
        <w:t>在建工程项目按建造该项资产达到预定可使用状态前所发生的全部支出，作为固定资产的入账价值。所建造的在建工程</w:t>
      </w:r>
    </w:p>
    <w:p>
      <w:pPr>
        <w:pStyle w:val="BodyText"/>
        <w:spacing w:line="355" w:lineRule="auto" w:before="41"/>
        <w:ind w:right="94"/>
        <w:jc w:val="left"/>
      </w:pPr>
      <w:r>
        <w:rPr>
          <w:spacing w:val="-4"/>
        </w:rPr>
        <w:t>已达到预定可使用状态，但尚未办理竣工决算的，自达到预定可使用状态之日起，根据工程预算、造价或者工程实际成本等，</w:t>
      </w:r>
      <w:r>
        <w:rPr>
          <w:spacing w:val="-46"/>
        </w:rPr>
        <w:t> </w:t>
      </w:r>
      <w:r>
        <w:rPr>
          <w:spacing w:val="-46"/>
        </w:rPr>
      </w:r>
      <w:r>
        <w:rPr>
          <w:spacing w:val="-2"/>
        </w:rPr>
        <w:t>按估计的价值转入固定资产，并按本公司固定资产折旧政策计提固定资产的折旧，待办理竣工决算后，再按实际成本调整原</w:t>
      </w:r>
      <w:r>
        <w:rPr>
          <w:spacing w:val="-63"/>
        </w:rPr>
        <w:t> </w:t>
      </w:r>
      <w:r>
        <w:rPr>
          <w:spacing w:val="-63"/>
        </w:rPr>
      </w:r>
      <w:r>
        <w:rPr/>
        <w:t>来的暂估价值，但不调整原已计提的折旧额。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Heading3"/>
        <w:spacing w:line="240" w:lineRule="auto"/>
        <w:ind w:right="254"/>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3"/>
        <w:rPr>
          <w:rFonts w:ascii="宋体" w:hAnsi="宋体" w:cs="宋体" w:eastAsia="宋体" w:hint="default"/>
          <w:b/>
          <w:bCs/>
          <w:sz w:val="23"/>
          <w:szCs w:val="23"/>
        </w:rPr>
      </w:pPr>
    </w:p>
    <w:p>
      <w:pPr>
        <w:pStyle w:val="BodyText"/>
        <w:spacing w:line="338" w:lineRule="auto"/>
        <w:ind w:left="513" w:right="94"/>
        <w:jc w:val="left"/>
      </w:pPr>
      <w:r>
        <w:rPr>
          <w:rFonts w:ascii="Times New Roman" w:hAnsi="Times New Roman" w:cs="Times New Roman" w:eastAsia="Times New Roman" w:hint="default"/>
        </w:rPr>
        <w:t>1</w:t>
      </w:r>
      <w:r>
        <w:rPr/>
        <w:t>．借款费用资本化的确认原则 </w:t>
      </w:r>
      <w:r>
        <w:rPr>
          <w:spacing w:val="-2"/>
        </w:rPr>
        <w:t>本公司发生的借款费用，可直接归属于符合资本化条件的资产的购建或者生产的，予以资本化，计入相关资产成本；其</w:t>
      </w:r>
    </w:p>
    <w:p>
      <w:pPr>
        <w:pStyle w:val="BodyText"/>
        <w:spacing w:line="357" w:lineRule="auto" w:before="41"/>
        <w:ind w:left="513" w:right="273" w:hanging="361"/>
        <w:jc w:val="left"/>
      </w:pPr>
      <w:r>
        <w:rPr/>
        <w:t>他借款费用，在发生时根据其发生额确认为费用，计入当期损益。 符合资本化条件的资产，是指需要经过相当长时间的购建或者生产活动才能达到预定可使用或者可销售状态的固定资</w:t>
      </w:r>
    </w:p>
    <w:p>
      <w:pPr>
        <w:pStyle w:val="BodyText"/>
        <w:spacing w:line="357" w:lineRule="auto" w:before="24"/>
        <w:ind w:left="513" w:right="6033" w:hanging="361"/>
        <w:jc w:val="left"/>
      </w:pPr>
      <w:r>
        <w:rPr/>
        <w:t>产、投资性房地产和存货等资产。 借款费用同时满足下列条件时开始资本化：</w:t>
      </w:r>
    </w:p>
    <w:p>
      <w:pPr>
        <w:pStyle w:val="BodyText"/>
        <w:spacing w:line="338" w:lineRule="auto" w:before="26"/>
        <w:ind w:right="184" w:firstLine="18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）资产支出已经发生，资产支出包括为购建或者生产符合资本化条件的资产而以支付现金、转移非现金资产或者承担 带息债务形式发生的支出；</w:t>
      </w:r>
    </w:p>
    <w:p>
      <w:pPr>
        <w:pStyle w:val="BodyText"/>
        <w:spacing w:line="240" w:lineRule="auto" w:before="41"/>
        <w:ind w:left="332" w:right="254"/>
        <w:jc w:val="left"/>
      </w:pPr>
      <w:r>
        <w:rPr/>
        <w:t>（</w:t>
      </w:r>
      <w:r>
        <w:rPr>
          <w:rFonts w:ascii="Times New Roman" w:hAnsi="Times New Roman" w:cs="Times New Roman" w:eastAsia="Times New Roman" w:hint="default"/>
        </w:rPr>
        <w:t>2</w:t>
      </w:r>
      <w:r>
        <w:rPr/>
        <w:t>）借款费用已经发生；</w:t>
      </w:r>
    </w:p>
    <w:p>
      <w:pPr>
        <w:spacing w:after="0" w:line="240" w:lineRule="auto"/>
        <w:jc w:val="left"/>
        <w:sectPr>
          <w:pgSz w:w="11910" w:h="16840"/>
          <w:pgMar w:header="745" w:footer="980" w:top="1060" w:bottom="1160" w:left="980" w:right="940"/>
        </w:sectPr>
      </w:pPr>
    </w:p>
    <w:p>
      <w:pPr>
        <w:spacing w:line="240" w:lineRule="auto" w:before="8"/>
        <w:rPr>
          <w:rFonts w:ascii="宋体" w:hAnsi="宋体" w:cs="宋体" w:eastAsia="宋体" w:hint="default"/>
          <w:sz w:val="22"/>
          <w:szCs w:val="22"/>
        </w:rPr>
      </w:pPr>
    </w:p>
    <w:p>
      <w:pPr>
        <w:pStyle w:val="BodyText"/>
        <w:spacing w:line="240" w:lineRule="auto" w:before="44"/>
        <w:ind w:left="332" w:right="254"/>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50" w:lineRule="auto" w:before="101"/>
        <w:ind w:left="513" w:right="94"/>
        <w:jc w:val="left"/>
      </w:pPr>
      <w:r>
        <w:rPr>
          <w:rFonts w:ascii="Times New Roman" w:hAnsi="Times New Roman" w:cs="Times New Roman" w:eastAsia="Times New Roman" w:hint="default"/>
        </w:rPr>
        <w:t>2</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32"/>
        <w:ind w:right="254"/>
        <w:jc w:val="left"/>
      </w:pPr>
      <w:r>
        <w:rPr/>
        <w:t>款费用资本化。</w:t>
      </w:r>
    </w:p>
    <w:p>
      <w:pPr>
        <w:pStyle w:val="BodyText"/>
        <w:spacing w:line="338" w:lineRule="auto" w:before="115"/>
        <w:ind w:left="513" w:right="94"/>
        <w:jc w:val="left"/>
      </w:pPr>
      <w:r>
        <w:rPr>
          <w:rFonts w:ascii="Times New Roman" w:hAnsi="Times New Roman" w:cs="Times New Roman" w:eastAsia="Times New Roman" w:hint="default"/>
        </w:rPr>
        <w:t>3</w:t>
      </w:r>
      <w:r>
        <w:rPr/>
        <w:t>．暂停资本化期间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357" w:lineRule="auto" w:before="19"/>
        <w:ind w:right="94"/>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pStyle w:val="BodyText"/>
        <w:spacing w:line="338" w:lineRule="auto" w:before="26"/>
        <w:ind w:left="513" w:right="94"/>
        <w:jc w:val="left"/>
      </w:pPr>
      <w:r>
        <w:rPr>
          <w:rFonts w:ascii="Times New Roman" w:hAnsi="Times New Roman" w:cs="Times New Roman" w:eastAsia="Times New Roman" w:hint="default"/>
        </w:rPr>
        <w:t>4</w:t>
      </w:r>
      <w:r>
        <w:rPr/>
        <w:t>．借款费用资本化金额的计算方法 </w:t>
      </w:r>
      <w:r>
        <w:rPr>
          <w:spacing w:val="-2"/>
        </w:rPr>
        <w:t>专门借款的利息费用（扣除尚未动用的借款资金存入银行取得的利息收入或者进行暂时性投资取得的投资收益）及其辅</w:t>
      </w:r>
    </w:p>
    <w:p>
      <w:pPr>
        <w:pStyle w:val="BodyText"/>
        <w:spacing w:line="357" w:lineRule="auto" w:before="41"/>
        <w:ind w:left="513" w:right="94" w:hanging="361"/>
        <w:jc w:val="left"/>
      </w:pPr>
      <w:r>
        <w:rPr/>
        <w:t>助费用在所购建或者生产的符合资本化条件的资产达到预定可使用或者可销售状态前，予以资本化。 </w:t>
      </w:r>
      <w:r>
        <w:rPr>
          <w:spacing w:val="-2"/>
        </w:rPr>
        <w:t>根据累计资产支出超过专门借款部分的资产支出加权平均数乘以所占用一般借款的资本化率，计算确定一般借款应予资</w:t>
      </w:r>
    </w:p>
    <w:p>
      <w:pPr>
        <w:pStyle w:val="BodyText"/>
        <w:spacing w:line="357" w:lineRule="auto" w:before="24"/>
        <w:ind w:left="513" w:right="633" w:hanging="361"/>
        <w:jc w:val="left"/>
      </w:pPr>
      <w:r>
        <w:rPr/>
        <w:t>本化的利息金额。资本化率根据一般借款加权平均利率计算确定。 借款存在折价或者溢价的，按照实际利率法确定每一会计期间应摊销的折价或者溢价金额，调整每期利息金额。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Heading3"/>
        <w:spacing w:line="240" w:lineRule="auto"/>
        <w:ind w:right="254"/>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513" w:right="254"/>
        <w:jc w:val="left"/>
        <w:rPr>
          <w:rFonts w:ascii="宋体" w:hAnsi="宋体" w:cs="宋体" w:eastAsia="宋体" w:hint="default"/>
        </w:rPr>
      </w:pPr>
      <w:r>
        <w:rPr/>
        <w:t>无形资产是指本公司拥有或者控制的没有实物形态的可辨认非货币性资产，包括土地使用权和软件等。</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pStyle w:val="Heading3"/>
        <w:spacing w:line="240" w:lineRule="auto"/>
        <w:ind w:right="254"/>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0"/>
        <w:rPr>
          <w:rFonts w:ascii="宋体" w:hAnsi="宋体" w:cs="宋体" w:eastAsia="宋体" w:hint="default"/>
          <w:b/>
          <w:bCs/>
          <w:sz w:val="23"/>
          <w:szCs w:val="23"/>
        </w:rPr>
      </w:pPr>
    </w:p>
    <w:p>
      <w:pPr>
        <w:pStyle w:val="BodyText"/>
        <w:spacing w:line="357" w:lineRule="auto"/>
        <w:ind w:left="513" w:right="94"/>
        <w:jc w:val="left"/>
      </w:pPr>
      <w:r>
        <w:rPr/>
        <w:t>无形资产的初始计量 </w:t>
      </w:r>
      <w:r>
        <w:rPr>
          <w:spacing w:val="-2"/>
        </w:rPr>
        <w:t>外购无形资产的成本，包括购买价款、相关税费以及直接归属于使该项资产达到预定用途所发生的其他支出。购买无形</w:t>
      </w:r>
    </w:p>
    <w:p>
      <w:pPr>
        <w:pStyle w:val="BodyText"/>
        <w:spacing w:line="357" w:lineRule="auto" w:before="26"/>
        <w:ind w:left="513" w:right="94" w:hanging="361"/>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57" w:lineRule="auto" w:before="26"/>
        <w:ind w:left="513" w:right="94" w:hanging="361"/>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57" w:lineRule="auto" w:before="26"/>
        <w:ind w:right="94"/>
        <w:jc w:val="left"/>
      </w:pPr>
      <w:r>
        <w:rPr>
          <w:spacing w:val="-2"/>
        </w:rPr>
        <w:t>无形资产以换出资产的公允价值为基础确定其入账价值，除非有确凿证据表明换入资产的公允价值更加可靠；不满足上述前</w:t>
      </w:r>
      <w:r>
        <w:rPr>
          <w:spacing w:val="-63"/>
        </w:rPr>
        <w:t> </w:t>
      </w:r>
      <w:r>
        <w:rPr>
          <w:spacing w:val="-63"/>
        </w:rPr>
      </w:r>
      <w:r>
        <w:rPr/>
        <w:t>提的非货币性资产交换，以换出资产的账面价值和应支付的相关税费作为换入无形资产的成本，不确认损益。</w:t>
      </w:r>
    </w:p>
    <w:p>
      <w:pPr>
        <w:pStyle w:val="BodyText"/>
        <w:spacing w:line="357" w:lineRule="auto" w:before="24"/>
        <w:ind w:right="94" w:firstLine="360"/>
        <w:jc w:val="left"/>
      </w:pPr>
      <w:r>
        <w:rPr>
          <w:spacing w:val="-2"/>
        </w:rPr>
        <w:t>以同一控制下的企业吸收合并方式取得的无形资产按被合并方的账面价值确定其入账价值；以非同一控制下的企业吸收</w:t>
      </w:r>
      <w:r>
        <w:rPr/>
        <w:t> 合并方式取得的无形资产按公允价值确定其入账价值。</w:t>
      </w:r>
    </w:p>
    <w:p>
      <w:pPr>
        <w:pStyle w:val="BodyText"/>
        <w:spacing w:line="357" w:lineRule="auto" w:before="26"/>
        <w:ind w:right="94" w:firstLine="360"/>
        <w:jc w:val="left"/>
      </w:pPr>
      <w:r>
        <w:rPr>
          <w:spacing w:val="-2"/>
        </w:rPr>
        <w:t>内部自行开发的无形资产，其成本包括：开发该无形资产时耗用的材料、劳务成本、注册费、在开发过程中使用的其他</w:t>
      </w:r>
      <w:r>
        <w:rPr/>
        <w:t> 专利权和特许权的摊销以及满足资本化条件的利息费用，以及为使该无形资产达到预定用途前所发生的其他直接费用。</w:t>
      </w:r>
    </w:p>
    <w:p>
      <w:pPr>
        <w:pStyle w:val="BodyText"/>
        <w:spacing w:line="350" w:lineRule="auto" w:before="26"/>
        <w:ind w:left="513" w:right="94"/>
        <w:jc w:val="left"/>
      </w:pPr>
      <w:r>
        <w:rPr/>
        <w:t>无形资产的后续计量 本公司在取得无形资产时分析判断其使用寿命，划分为使用寿命有限和使用寿命不确定的无形资产。 </w:t>
      </w:r>
      <w:r>
        <w:rPr>
          <w:rFonts w:ascii="Times New Roman" w:hAnsi="Times New Roman" w:cs="Times New Roman" w:eastAsia="Times New Roman" w:hint="default"/>
        </w:rPr>
        <w:t>1</w:t>
      </w:r>
      <w:r>
        <w:rPr/>
        <w:t>）使用寿命有限的无形资产 </w:t>
      </w:r>
      <w:r>
        <w:rPr>
          <w:spacing w:val="-2"/>
        </w:rPr>
        <w:t>对于使用寿命有限的无形资产，在为企业带来经济利益的期限内按直线法摊销。使用寿命有限的无形资产预计寿命及依</w:t>
      </w:r>
    </w:p>
    <w:p>
      <w:pPr>
        <w:spacing w:after="0" w:line="350" w:lineRule="auto"/>
        <w:jc w:val="left"/>
        <w:sectPr>
          <w:pgSz w:w="11910" w:h="16840"/>
          <w:pgMar w:header="745" w:footer="980" w:top="1060" w:bottom="1160" w:left="980" w:right="940"/>
        </w:sectPr>
      </w:pPr>
    </w:p>
    <w:p>
      <w:pPr>
        <w:spacing w:line="240" w:lineRule="auto" w:before="8"/>
        <w:rPr>
          <w:rFonts w:ascii="宋体" w:hAnsi="宋体" w:cs="宋体" w:eastAsia="宋体" w:hint="default"/>
          <w:sz w:val="22"/>
          <w:szCs w:val="22"/>
        </w:rPr>
      </w:pPr>
    </w:p>
    <w:p>
      <w:pPr>
        <w:pStyle w:val="BodyText"/>
        <w:spacing w:line="240" w:lineRule="auto" w:before="44"/>
        <w:ind w:left="172" w:right="0"/>
        <w:jc w:val="left"/>
      </w:pPr>
      <w:r>
        <w:rPr/>
        <w:t>据如下：</w:t>
      </w:r>
    </w:p>
    <w:p>
      <w:pPr>
        <w:spacing w:line="240" w:lineRule="auto" w:before="4"/>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3246"/>
        <w:gridCol w:w="2158"/>
        <w:gridCol w:w="4309"/>
      </w:tblGrid>
      <w:tr>
        <w:trPr>
          <w:trHeight w:val="360" w:hRule="exact"/>
        </w:trPr>
        <w:tc>
          <w:tcPr>
            <w:tcW w:w="324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430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0" w:hRule="exact"/>
        </w:trPr>
        <w:tc>
          <w:tcPr>
            <w:tcW w:w="32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2"/>
              <w:ind w:left="21"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21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Arial Narrow" w:hAnsi="Arial Narrow" w:cs="Arial Narrow" w:eastAsia="Arial Narrow" w:hint="default"/>
                <w:sz w:val="18"/>
                <w:szCs w:val="18"/>
              </w:rPr>
              <w:t>50</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tc>
        <w:tc>
          <w:tcPr>
            <w:tcW w:w="4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受益期限</w:t>
            </w:r>
          </w:p>
        </w:tc>
      </w:tr>
      <w:tr>
        <w:trPr>
          <w:trHeight w:val="360" w:hRule="exact"/>
        </w:trPr>
        <w:tc>
          <w:tcPr>
            <w:tcW w:w="324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2"/>
              <w:ind w:left="19"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21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Arial Narrow" w:hAnsi="Arial Narrow" w:cs="Arial Narrow" w:eastAsia="Arial Narrow" w:hint="default"/>
                <w:sz w:val="18"/>
                <w:szCs w:val="18"/>
              </w:rPr>
              <w:t>5-10 </w:t>
            </w:r>
            <w:r>
              <w:rPr>
                <w:rFonts w:ascii="宋体" w:hAnsi="宋体" w:cs="宋体" w:eastAsia="宋体" w:hint="default"/>
                <w:sz w:val="18"/>
                <w:szCs w:val="18"/>
              </w:rPr>
              <w:t>年</w:t>
            </w:r>
          </w:p>
        </w:tc>
        <w:tc>
          <w:tcPr>
            <w:tcW w:w="430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受益期限</w:t>
            </w:r>
          </w:p>
        </w:tc>
      </w:tr>
    </w:tbl>
    <w:p>
      <w:pPr>
        <w:spacing w:line="240" w:lineRule="auto" w:before="1"/>
        <w:rPr>
          <w:rFonts w:ascii="宋体" w:hAnsi="宋体" w:cs="宋体" w:eastAsia="宋体" w:hint="default"/>
          <w:sz w:val="21"/>
          <w:szCs w:val="21"/>
        </w:rPr>
      </w:pPr>
    </w:p>
    <w:p>
      <w:pPr>
        <w:pStyle w:val="BodyText"/>
        <w:spacing w:line="316" w:lineRule="auto" w:before="44"/>
        <w:ind w:left="172" w:right="94" w:firstLine="360"/>
        <w:jc w:val="left"/>
      </w:pPr>
      <w:r>
        <w:rPr/>
        <w:t>每期末，对使用寿命有限的无形资产的使用寿命及摊销方法进行复核，如与原先估计数存在差异的，进行相应的调整。 经复核，本期期末无形资产的使用寿命及摊销方法与以前估计未有不同。</w:t>
      </w:r>
    </w:p>
    <w:p>
      <w:pPr>
        <w:pStyle w:val="BodyText"/>
        <w:spacing w:line="300" w:lineRule="auto" w:before="19"/>
        <w:ind w:left="533" w:right="0"/>
        <w:jc w:val="left"/>
      </w:pPr>
      <w:r>
        <w:rPr>
          <w:rFonts w:ascii="Times New Roman" w:hAnsi="Times New Roman" w:cs="Times New Roman" w:eastAsia="Times New Roman" w:hint="default"/>
        </w:rPr>
        <w:t>2</w:t>
      </w:r>
      <w:r>
        <w:rPr/>
        <w:t>）使用寿命不确定的无形资产 </w:t>
      </w:r>
      <w:r>
        <w:rPr>
          <w:spacing w:val="-2"/>
        </w:rPr>
        <w:t>无法预见无形资产为企业带来经济利益期限的，视为使用寿命不确定的无形资产。对于使用寿命不确定的无形资产，在</w:t>
      </w:r>
    </w:p>
    <w:p>
      <w:pPr>
        <w:pStyle w:val="BodyText"/>
        <w:spacing w:line="316" w:lineRule="auto" w:before="31"/>
        <w:ind w:left="172" w:right="0"/>
        <w:jc w:val="left"/>
      </w:pPr>
      <w:r>
        <w:rPr>
          <w:spacing w:val="-2"/>
        </w:rPr>
        <w:t>持有期间内不摊销，每期末对无形资产的寿命进行复核。如果期末重新复核后仍为不确定的，在每个会计期间继续进行减值</w:t>
      </w:r>
      <w:r>
        <w:rPr>
          <w:spacing w:val="-63"/>
        </w:rPr>
        <w:t> </w:t>
      </w:r>
      <w:r>
        <w:rPr>
          <w:spacing w:val="-63"/>
        </w:rPr>
      </w:r>
      <w:r>
        <w:rPr/>
        <w:t>测试。</w:t>
      </w:r>
    </w:p>
    <w:p>
      <w:pPr>
        <w:pStyle w:val="BodyText"/>
        <w:spacing w:line="240" w:lineRule="auto" w:before="19"/>
        <w:ind w:left="533" w:right="0"/>
        <w:jc w:val="left"/>
      </w:pPr>
      <w:r>
        <w:rPr/>
        <w:t>经复核，本期期末无形资产的使用寿命及摊销方法与以前估计未有不同。</w:t>
      </w:r>
    </w:p>
    <w:p>
      <w:pPr>
        <w:spacing w:line="240" w:lineRule="auto" w:before="0"/>
        <w:rPr>
          <w:rFonts w:ascii="宋体" w:hAnsi="宋体" w:cs="宋体" w:eastAsia="宋体" w:hint="default"/>
          <w:sz w:val="18"/>
          <w:szCs w:val="18"/>
        </w:rPr>
      </w:pPr>
    </w:p>
    <w:p>
      <w:pPr>
        <w:pStyle w:val="Heading3"/>
        <w:spacing w:line="240" w:lineRule="auto" w:before="121"/>
        <w:ind w:left="172"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3"/>
        <w:rPr>
          <w:rFonts w:ascii="宋体" w:hAnsi="宋体" w:cs="宋体" w:eastAsia="宋体" w:hint="default"/>
          <w:b/>
          <w:bCs/>
          <w:sz w:val="23"/>
          <w:szCs w:val="23"/>
        </w:rPr>
      </w:pPr>
    </w:p>
    <w:p>
      <w:pPr>
        <w:pStyle w:val="BodyText"/>
        <w:spacing w:line="357" w:lineRule="auto"/>
        <w:ind w:left="533" w:right="0"/>
        <w:jc w:val="left"/>
      </w:pPr>
      <w:r>
        <w:rPr/>
        <w:t>划分公司内部研究开发项目的研究阶段和开发阶段具体标准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357" w:lineRule="auto" w:before="24"/>
        <w:ind w:left="533" w:right="3513" w:hanging="361"/>
        <w:jc w:val="left"/>
      </w:pPr>
      <w:r>
        <w:rPr/>
        <w:t>进的材料、装置、产品等活动的阶段。 内部研究开发项目研究阶段的支出，在发生时计入当期损益。 开发阶段支出符合资本化的具体标准 内部研究开发项目开发阶段的支出，同时满足下列条件时确认为无形资产： </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3"/>
        <w:ind w:left="533" w:right="0"/>
        <w:jc w:val="left"/>
      </w:pPr>
      <w:r>
        <w:rPr>
          <w:rFonts w:ascii="Times New Roman" w:hAnsi="Times New Roman" w:cs="Times New Roman" w:eastAsia="Times New Roman" w:hint="default"/>
        </w:rPr>
        <w:t>2</w:t>
      </w:r>
      <w:r>
        <w:rPr/>
        <w:t>）具有完成该无形资产并使用或出售的意图；</w:t>
      </w:r>
    </w:p>
    <w:p>
      <w:pPr>
        <w:pStyle w:val="BodyText"/>
        <w:spacing w:line="338" w:lineRule="auto" w:before="101"/>
        <w:ind w:left="172" w:right="184" w:firstLine="360"/>
        <w:jc w:val="left"/>
      </w:pP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）无形资产产生经济利益的方式，包括能够证明运用该无形资产生产的产品存在市场或无形资产自身存在市场，无形 资产将在内部使用的，能够证明其有用性；</w:t>
      </w:r>
    </w:p>
    <w:p>
      <w:pPr>
        <w:pStyle w:val="BodyText"/>
        <w:spacing w:line="240" w:lineRule="auto" w:before="41"/>
        <w:ind w:left="533" w:right="0"/>
        <w:jc w:val="left"/>
      </w:pP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36" w:lineRule="auto" w:before="101"/>
        <w:ind w:left="533" w:right="0"/>
        <w:jc w:val="left"/>
      </w:pPr>
      <w:r>
        <w:rPr>
          <w:rFonts w:ascii="Times New Roman" w:hAnsi="Times New Roman" w:cs="Times New Roman" w:eastAsia="Times New Roman" w:hint="default"/>
        </w:rPr>
        <w:t>5</w:t>
      </w:r>
      <w:r>
        <w:rPr/>
        <w:t>）归属于该无形资产开发阶段的支出能够可靠地计量。 </w:t>
      </w:r>
      <w:r>
        <w:rPr>
          <w:spacing w:val="-2"/>
        </w:rPr>
        <w:t>不满足上述条件的开发阶段的支出，于发生时计入当期损益。以前期间已计入损益的开发支出不在以后期间重新确认为</w:t>
      </w:r>
    </w:p>
    <w:p>
      <w:pPr>
        <w:pStyle w:val="BodyText"/>
        <w:spacing w:line="240" w:lineRule="auto" w:before="43"/>
        <w:ind w:left="172" w:right="0"/>
        <w:jc w:val="left"/>
      </w:pPr>
      <w:r>
        <w:rPr/>
        <w:t>资产。已资本化的开发阶段的支出在资产负债表上列示为开发支出，自该项目达到预定用途之日起转为无形资产。</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Heading3"/>
        <w:spacing w:line="240" w:lineRule="auto"/>
        <w:ind w:left="172" w:right="0"/>
        <w:jc w:val="left"/>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3"/>
        <w:rPr>
          <w:rFonts w:ascii="宋体" w:hAnsi="宋体" w:cs="宋体" w:eastAsia="宋体" w:hint="default"/>
          <w:b/>
          <w:bCs/>
          <w:sz w:val="23"/>
          <w:szCs w:val="23"/>
        </w:rPr>
      </w:pPr>
    </w:p>
    <w:p>
      <w:pPr>
        <w:pStyle w:val="BodyText"/>
        <w:spacing w:line="357" w:lineRule="auto"/>
        <w:ind w:left="172" w:right="0" w:firstLine="360"/>
        <w:jc w:val="left"/>
      </w:pPr>
      <w:r>
        <w:rPr>
          <w:spacing w:val="-2"/>
        </w:rPr>
        <w:t>本公司在资产负债表日判断长期资产是否存在可能发生减值的迹象。如果长期资产存在减值迹象的，以单项资产为基础</w:t>
      </w:r>
      <w:r>
        <w:rPr/>
        <w:t> 估计其可收回金额；难以对单项资产的可收回金额进行估计的，以该资产所属的资产组为基础确定资产组的可收回金额。 资产可收回金额的估计，根据其公允价值减去处置费用后的净额与资产预计未来现金流量的现值两者之间较高者确定。</w:t>
      </w:r>
    </w:p>
    <w:p>
      <w:pPr>
        <w:pStyle w:val="BodyText"/>
        <w:spacing w:line="357" w:lineRule="auto" w:before="24"/>
        <w:ind w:left="172" w:right="0" w:firstLine="360"/>
        <w:jc w:val="left"/>
      </w:pPr>
      <w:r>
        <w:rPr>
          <w:spacing w:val="-2"/>
        </w:rPr>
        <w:t>可收回金额的计量结果表明，长期资产的可收回金额低于其账面价值的，将长期资产的账面价值减记至可收回金额，减</w:t>
      </w:r>
      <w:r>
        <w:rPr/>
        <w:t> </w:t>
      </w:r>
      <w:r>
        <w:rPr>
          <w:spacing w:val="-2"/>
        </w:rPr>
        <w:t>记的金额确认为资产减值损失，计入当期损益，同时计提相应的资产减值准备。资产减值损失一经确认，在以后会计期间不</w:t>
      </w:r>
      <w:r>
        <w:rPr>
          <w:spacing w:val="-64"/>
        </w:rPr>
        <w:t> </w:t>
      </w:r>
      <w:r>
        <w:rPr>
          <w:spacing w:val="-64"/>
        </w:rPr>
      </w:r>
      <w:r>
        <w:rPr/>
        <w:t>得转回。 </w:t>
      </w:r>
      <w:r>
        <w:rPr>
          <w:spacing w:val="-2"/>
        </w:rPr>
        <w:t>资产减值损失确认后，减值资产的折旧或者摊销费用在未来期间作相应调整，以使该资产在剩余使用寿命内，系统地分摊调</w:t>
      </w:r>
      <w:r>
        <w:rPr>
          <w:spacing w:val="-61"/>
        </w:rPr>
        <w:t> </w:t>
      </w:r>
      <w:r>
        <w:rPr>
          <w:spacing w:val="-61"/>
        </w:rPr>
      </w:r>
      <w:r>
        <w:rPr/>
        <w:t>整后的资产账面价值（扣除预计净残值）。</w:t>
      </w:r>
    </w:p>
    <w:p>
      <w:pPr>
        <w:spacing w:after="0" w:line="357" w:lineRule="auto"/>
        <w:jc w:val="left"/>
        <w:sectPr>
          <w:pgSz w:w="11910" w:h="16840"/>
          <w:pgMar w:header="745" w:footer="980" w:top="1060" w:bottom="1160" w:left="960" w:right="940"/>
        </w:sectPr>
      </w:pPr>
    </w:p>
    <w:p>
      <w:pPr>
        <w:spacing w:line="240" w:lineRule="auto" w:before="8"/>
        <w:rPr>
          <w:rFonts w:ascii="宋体" w:hAnsi="宋体" w:cs="宋体" w:eastAsia="宋体" w:hint="default"/>
          <w:sz w:val="22"/>
          <w:szCs w:val="22"/>
        </w:rPr>
      </w:pPr>
    </w:p>
    <w:p>
      <w:pPr>
        <w:pStyle w:val="BodyText"/>
        <w:spacing w:line="357" w:lineRule="auto" w:before="44"/>
        <w:ind w:left="513" w:right="94"/>
        <w:jc w:val="left"/>
      </w:pPr>
      <w:r>
        <w:rPr/>
        <w:t>因企业合并所形成的商誉和使用寿命不确定的无形资产，无论是否存在减值迹象，每年都进行减值测试。 </w:t>
      </w:r>
      <w:r>
        <w:rPr>
          <w:spacing w:val="-2"/>
        </w:rPr>
        <w:t>在对商誉进行减值测试时，将商誉的账面价值分摊至预期从企业合并的协同效应中受益的资产组或资产组组合。在对包</w:t>
      </w:r>
    </w:p>
    <w:p>
      <w:pPr>
        <w:pStyle w:val="BodyText"/>
        <w:spacing w:line="355" w:lineRule="auto" w:before="26"/>
        <w:ind w:right="191"/>
        <w:jc w:val="both"/>
      </w:pPr>
      <w:r>
        <w:rPr>
          <w:spacing w:val="-2"/>
        </w:rPr>
        <w:t>含商誉的相关资产组或者资产组组合进行减值测试时，如与商誉相关的资产组或者资产组组合存在减值迹象的，先对不包含</w:t>
      </w:r>
      <w:r>
        <w:rPr>
          <w:spacing w:val="-64"/>
        </w:rPr>
        <w:t> </w:t>
      </w:r>
      <w:r>
        <w:rPr>
          <w:spacing w:val="-64"/>
        </w:rPr>
      </w:r>
      <w:r>
        <w:rPr>
          <w:spacing w:val="-2"/>
        </w:rPr>
        <w:t>商誉的资产组或者资产组组合进行减值测试，计算可收回金额，并与相关账面价值相比较，确认相应的减值损失。再对包含</w:t>
      </w:r>
      <w:r>
        <w:rPr>
          <w:spacing w:val="-64"/>
        </w:rPr>
        <w:t> </w:t>
      </w:r>
      <w:r>
        <w:rPr>
          <w:spacing w:val="-64"/>
        </w:rPr>
      </w:r>
      <w:r>
        <w:rPr>
          <w:spacing w:val="-2"/>
        </w:rPr>
        <w:t>商誉的资产组或者资产组组合进行减值测试，比较这些相关资产组或者资产组组合的账面价值（包括所分摊的商誉的账面价</w:t>
      </w:r>
      <w:r>
        <w:rPr>
          <w:spacing w:val="-64"/>
        </w:rPr>
        <w:t> </w:t>
      </w:r>
      <w:r>
        <w:rPr>
          <w:spacing w:val="-64"/>
        </w:rPr>
      </w:r>
      <w:r>
        <w:rPr/>
        <w:t>值部分）与其可收回金额，如相关资产组或者资产组组合的可收回金额低于其账面价值的，确认商誉的减值损失。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Heading3"/>
        <w:spacing w:line="240" w:lineRule="auto"/>
        <w:ind w:right="0"/>
        <w:jc w:val="both"/>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338" w:lineRule="auto"/>
        <w:ind w:left="513" w:right="183"/>
        <w:jc w:val="left"/>
      </w:pPr>
      <w:r>
        <w:rPr>
          <w:rFonts w:ascii="Times New Roman" w:hAnsi="Times New Roman" w:cs="Times New Roman" w:eastAsia="Times New Roman" w:hint="default"/>
        </w:rPr>
        <w:t>1</w:t>
      </w:r>
      <w:r>
        <w:rPr/>
        <w:t>．摊销方法 长期待摊费用，是指本公司已经发生但应由本期和以后各期负担的分摊期限在</w:t>
      </w:r>
      <w:r>
        <w:rPr>
          <w:rFonts w:ascii="Times New Roman" w:hAnsi="Times New Roman" w:cs="Times New Roman" w:eastAsia="Times New Roman" w:hint="default"/>
        </w:rPr>
        <w:t>1</w:t>
      </w:r>
      <w:r>
        <w:rPr/>
        <w:t>年以上的各项费用。长期待摊费用在受</w:t>
      </w:r>
    </w:p>
    <w:p>
      <w:pPr>
        <w:pStyle w:val="BodyText"/>
        <w:spacing w:line="240" w:lineRule="auto" w:before="19"/>
        <w:ind w:right="0"/>
        <w:jc w:val="both"/>
      </w:pPr>
      <w:r>
        <w:rPr/>
        <w:t>益期内按直线法分期摊销。</w:t>
      </w:r>
    </w:p>
    <w:p>
      <w:pPr>
        <w:pStyle w:val="BodyText"/>
        <w:spacing w:line="240" w:lineRule="auto" w:before="115"/>
        <w:ind w:left="513" w:right="254"/>
        <w:jc w:val="left"/>
        <w:rPr>
          <w:rFonts w:ascii="宋体" w:hAnsi="宋体" w:cs="宋体" w:eastAsia="宋体" w:hint="default"/>
        </w:rPr>
      </w:pPr>
      <w:r>
        <w:rPr>
          <w:rFonts w:ascii="Times New Roman" w:hAnsi="Times New Roman" w:cs="Times New Roman" w:eastAsia="Times New Roman" w:hint="default"/>
        </w:rPr>
        <w:t>2</w:t>
      </w:r>
      <w:r>
        <w:rPr/>
        <w:t>．摊销年限</w:t>
      </w:r>
      <w:r>
        <w:rPr>
          <w:rFonts w:ascii="宋体" w:hAnsi="宋体" w:cs="宋体" w:eastAsia="宋体" w:hint="default"/>
        </w:rPr>
        <w:t> </w:t>
      </w:r>
    </w:p>
    <w:p>
      <w:pPr>
        <w:spacing w:line="240" w:lineRule="auto" w:before="3"/>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3231"/>
        <w:gridCol w:w="3233"/>
        <w:gridCol w:w="3233"/>
      </w:tblGrid>
      <w:tr>
        <w:trPr>
          <w:trHeight w:val="348"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摊销年限</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厂房装修费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center"/>
              <w:rPr>
                <w:rFonts w:ascii="Arial Narrow" w:hAnsi="Arial Narrow" w:cs="Arial Narrow" w:eastAsia="Arial Narrow" w:hint="default"/>
                <w:sz w:val="18"/>
                <w:szCs w:val="18"/>
              </w:rPr>
            </w:pPr>
            <w:r>
              <w:rPr>
                <w:rFonts w:ascii="Arial Narrow"/>
                <w:spacing w:val="-2"/>
                <w:sz w:val="18"/>
              </w:rPr>
              <w:t>---</w:t>
            </w:r>
            <w:r>
              <w:rPr>
                <w:rFonts w:ascii="Arial Narrow"/>
                <w:sz w:val="18"/>
              </w:rPr>
            </w:r>
          </w:p>
        </w:tc>
      </w:tr>
      <w:tr>
        <w:trPr>
          <w:trHeight w:val="35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服务器租金</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p>
        </w:tc>
        <w:tc>
          <w:tcPr>
            <w:tcW w:w="32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3"/>
        <w:spacing w:line="240" w:lineRule="auto" w:before="36"/>
        <w:ind w:right="254"/>
        <w:jc w:val="left"/>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13"/>
        <w:rPr>
          <w:rFonts w:ascii="宋体" w:hAnsi="宋体" w:cs="宋体" w:eastAsia="宋体" w:hint="default"/>
          <w:b/>
          <w:bCs/>
          <w:sz w:val="31"/>
          <w:szCs w:val="31"/>
        </w:rPr>
      </w:pPr>
    </w:p>
    <w:p>
      <w:pPr>
        <w:pStyle w:val="BodyText"/>
        <w:spacing w:line="357" w:lineRule="auto"/>
        <w:ind w:right="103" w:firstLine="360"/>
        <w:jc w:val="both"/>
        <w:rPr>
          <w:rFonts w:ascii="宋体" w:hAnsi="宋体" w:cs="宋体" w:eastAsia="宋体" w:hint="default"/>
        </w:rPr>
      </w:pPr>
      <w:r>
        <w:rPr>
          <w:spacing w:val="-4"/>
        </w:rPr>
        <w:t>职工薪酬，是指本公司为获得职工提供的服务或解除劳动关系而给予的各种形式的报酬或补偿。职工薪酬包括短期薪酬、</w:t>
      </w:r>
      <w:r>
        <w:rPr/>
        <w:t> 离职后福利、辞退福利和其他长期职工福利。</w:t>
      </w:r>
      <w:r>
        <w:rPr>
          <w:rFonts w:ascii="宋体" w:hAnsi="宋体" w:cs="宋体" w:eastAsia="宋体" w:hint="default"/>
          <w:b/>
          <w:bCs/>
          <w:w w:val="99"/>
        </w:rPr>
        <w:t> </w:t>
      </w:r>
      <w:r>
        <w:rPr>
          <w:rFonts w:ascii="宋体" w:hAnsi="宋体" w:cs="宋体" w:eastAsia="宋体" w:hint="default"/>
        </w:rPr>
      </w:r>
    </w:p>
    <w:p>
      <w:pPr>
        <w:spacing w:line="240" w:lineRule="auto" w:before="12"/>
        <w:rPr>
          <w:rFonts w:ascii="宋体" w:hAnsi="宋体" w:cs="宋体" w:eastAsia="宋体" w:hint="default"/>
          <w:b/>
          <w:bCs/>
          <w:sz w:val="24"/>
          <w:szCs w:val="24"/>
        </w:rPr>
      </w:pPr>
    </w:p>
    <w:p>
      <w:pPr>
        <w:pStyle w:val="Heading3"/>
        <w:spacing w:line="240" w:lineRule="auto"/>
        <w:ind w:right="254"/>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3"/>
        <w:rPr>
          <w:rFonts w:ascii="宋体" w:hAnsi="宋体" w:cs="宋体" w:eastAsia="宋体" w:hint="default"/>
          <w:b/>
          <w:bCs/>
          <w:sz w:val="31"/>
          <w:szCs w:val="31"/>
        </w:rPr>
      </w:pPr>
    </w:p>
    <w:p>
      <w:pPr>
        <w:pStyle w:val="BodyText"/>
        <w:spacing w:line="357" w:lineRule="auto"/>
        <w:ind w:right="190" w:firstLine="360"/>
        <w:jc w:val="both"/>
      </w:pPr>
      <w:r>
        <w:rPr>
          <w:spacing w:val="-2"/>
        </w:rPr>
        <w:t>短期薪酬是指本公司在职工提供相关服务的年度报告期间结束后十二个月内需要全部予以支付的职工薪酬，离职后福利</w:t>
      </w:r>
      <w:r>
        <w:rPr/>
        <w:t> </w:t>
      </w:r>
      <w:r>
        <w:rPr>
          <w:spacing w:val="-2"/>
        </w:rPr>
        <w:t>和辞退福利除外。本公司在职工提供服务的会计期间，将应付的短期薪酬确认为负债，并根据职工提供服务的受益对象计入</w:t>
      </w:r>
      <w:r>
        <w:rPr>
          <w:spacing w:val="-63"/>
        </w:rPr>
        <w:t> </w:t>
      </w:r>
      <w:r>
        <w:rPr>
          <w:spacing w:val="-63"/>
        </w:rPr>
      </w:r>
      <w:r>
        <w:rPr/>
        <w:t>相关资产成本和费用。</w:t>
      </w:r>
    </w:p>
    <w:p>
      <w:pPr>
        <w:spacing w:line="240" w:lineRule="auto" w:before="11"/>
        <w:rPr>
          <w:rFonts w:ascii="宋体" w:hAnsi="宋体" w:cs="宋体" w:eastAsia="宋体" w:hint="default"/>
          <w:sz w:val="24"/>
          <w:szCs w:val="24"/>
        </w:rPr>
      </w:pPr>
    </w:p>
    <w:p>
      <w:pPr>
        <w:pStyle w:val="Heading3"/>
        <w:spacing w:line="240" w:lineRule="auto"/>
        <w:ind w:right="254"/>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3"/>
        <w:rPr>
          <w:rFonts w:ascii="宋体" w:hAnsi="宋体" w:cs="宋体" w:eastAsia="宋体" w:hint="default"/>
          <w:b/>
          <w:bCs/>
          <w:sz w:val="31"/>
          <w:szCs w:val="31"/>
        </w:rPr>
      </w:pPr>
    </w:p>
    <w:p>
      <w:pPr>
        <w:pStyle w:val="BodyText"/>
        <w:spacing w:line="357" w:lineRule="auto"/>
        <w:ind w:right="111" w:firstLine="360"/>
        <w:jc w:val="both"/>
      </w:pPr>
      <w:r>
        <w:rPr/>
        <w:t>离职后福利是指本公司为获得职工提供的服务而在职工退休或与企业解除劳动关系后，提供的各种形式的报酬和福利， 短期薪酬和辞退福利除外。</w:t>
      </w:r>
    </w:p>
    <w:p>
      <w:pPr>
        <w:pStyle w:val="BodyText"/>
        <w:spacing w:line="357" w:lineRule="auto" w:before="26"/>
        <w:ind w:left="513" w:right="94"/>
        <w:jc w:val="left"/>
      </w:pPr>
      <w:r>
        <w:rPr/>
        <w:t>本公司的离职后福利计划分类为设定提存计划和设定受益计划。 </w:t>
      </w:r>
      <w:r>
        <w:rPr>
          <w:spacing w:val="-2"/>
        </w:rPr>
        <w:t>离职后福利设定提存计划主要为参加由各地劳动及社会保障机构组织实施的社会基本养老保险、失业保险等；在职工为</w:t>
      </w:r>
    </w:p>
    <w:p>
      <w:pPr>
        <w:pStyle w:val="BodyText"/>
        <w:spacing w:line="357" w:lineRule="auto" w:before="26"/>
        <w:ind w:left="513" w:right="634" w:hanging="361"/>
        <w:jc w:val="left"/>
      </w:pPr>
      <w:r>
        <w:rPr/>
        <w:t>本公司提供服务的会计期间，将根据设定提存计划计算的应缴存金额确认为负债，并计入当期损益或相关资产成本。 本公司按照国家规定的标准和年金计划定期缴付上述款项后，不再有其他的支付义务。</w:t>
      </w:r>
    </w:p>
    <w:p>
      <w:pPr>
        <w:spacing w:after="0" w:line="357" w:lineRule="auto"/>
        <w:jc w:val="left"/>
        <w:sectPr>
          <w:pgSz w:w="11910" w:h="16840"/>
          <w:pgMar w:header="745" w:footer="980" w:top="1060" w:bottom="1160" w:left="980" w:right="940"/>
        </w:sectPr>
      </w:pPr>
    </w:p>
    <w:p>
      <w:pPr>
        <w:spacing w:line="240" w:lineRule="auto" w:before="2"/>
        <w:rPr>
          <w:rFonts w:ascii="宋体" w:hAnsi="宋体" w:cs="宋体" w:eastAsia="宋体" w:hint="default"/>
          <w:sz w:val="23"/>
          <w:szCs w:val="23"/>
        </w:rPr>
      </w:pPr>
    </w:p>
    <w:p>
      <w:pPr>
        <w:pStyle w:val="Heading3"/>
        <w:spacing w:line="240" w:lineRule="auto" w:before="36"/>
        <w:ind w:right="254"/>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0"/>
        <w:rPr>
          <w:rFonts w:ascii="宋体" w:hAnsi="宋体" w:cs="宋体" w:eastAsia="宋体" w:hint="default"/>
          <w:b/>
          <w:bCs/>
          <w:sz w:val="32"/>
          <w:szCs w:val="32"/>
        </w:rPr>
      </w:pPr>
    </w:p>
    <w:p>
      <w:pPr>
        <w:pStyle w:val="BodyText"/>
        <w:spacing w:line="357" w:lineRule="auto"/>
        <w:ind w:right="94" w:firstLine="360"/>
        <w:jc w:val="left"/>
      </w:pPr>
      <w:r>
        <w:rPr/>
        <w:t>辞退福利是指本公司在职工劳动合同到期之前解除与职工的劳动关系，或者为鼓励职工自愿接受裁减而给予职工的补 </w:t>
      </w:r>
      <w:r>
        <w:rPr>
          <w:spacing w:val="-2"/>
        </w:rPr>
        <w:t>偿，在本公司不能单方面撤回解除劳动关系计划或裁减建议时和确认与涉及支付辞退福利的重组相关的成本费用时两者孰早</w:t>
      </w:r>
      <w:r>
        <w:rPr>
          <w:spacing w:val="-64"/>
        </w:rPr>
        <w:t> </w:t>
      </w:r>
      <w:r>
        <w:rPr>
          <w:spacing w:val="-64"/>
        </w:rPr>
      </w:r>
      <w:r>
        <w:rPr/>
        <w:t>日，确认因解除与职工的劳动关系给予补偿而产生的负债，同时计入当期损益。</w:t>
      </w:r>
    </w:p>
    <w:p>
      <w:pPr>
        <w:pStyle w:val="BodyText"/>
        <w:spacing w:line="357" w:lineRule="auto" w:before="26"/>
        <w:ind w:right="94" w:firstLine="360"/>
        <w:jc w:val="left"/>
      </w:pPr>
      <w:r>
        <w:rPr>
          <w:spacing w:val="-2"/>
        </w:rPr>
        <w:t>本公司向接受内部退休安排的职工提供内退福利。内退福利是指，向未达到国家规定的退休年龄、经本公司管理层批准</w:t>
      </w:r>
      <w:r>
        <w:rPr/>
        <w:t> </w:t>
      </w:r>
      <w:r>
        <w:rPr>
          <w:spacing w:val="-2"/>
        </w:rPr>
        <w:t>自愿退出工作岗位的职工支付的工资及为其缴纳的社会保险费等。本公司自内部退休安排开始之日起至职工达到正常退休年</w:t>
      </w:r>
      <w:r>
        <w:rPr>
          <w:spacing w:val="-64"/>
        </w:rPr>
        <w:t> </w:t>
      </w:r>
      <w:r>
        <w:rPr>
          <w:spacing w:val="-64"/>
        </w:rPr>
      </w:r>
      <w:r>
        <w:rPr>
          <w:spacing w:val="-4"/>
        </w:rPr>
        <w:t>龄止，向内退职工支付内部退养福利。对于内退福利，本公司比照辞退福利进行会计处理，在符合辞退福利相关确认条件时，</w:t>
      </w:r>
      <w:r>
        <w:rPr>
          <w:spacing w:val="-46"/>
        </w:rPr>
        <w:t> </w:t>
      </w:r>
      <w:r>
        <w:rPr>
          <w:spacing w:val="-46"/>
        </w:rPr>
      </w:r>
      <w:r>
        <w:rPr>
          <w:spacing w:val="-2"/>
        </w:rPr>
        <w:t>将自职工停止提供服务日至正常退休日期间拟支付的内退职工工资和缴纳的社会保险费等，确认为负债，一次性计入当期损</w:t>
      </w:r>
      <w:r>
        <w:rPr>
          <w:spacing w:val="-63"/>
        </w:rPr>
        <w:t> </w:t>
      </w:r>
      <w:r>
        <w:rPr>
          <w:spacing w:val="-63"/>
        </w:rPr>
      </w:r>
      <w:r>
        <w:rPr/>
        <w:t>益。内退福利的精算假设变化及福利标准调整引起的差异于发生时计入当期损益。</w:t>
      </w:r>
    </w:p>
    <w:p>
      <w:pPr>
        <w:spacing w:line="240" w:lineRule="auto" w:before="9"/>
        <w:rPr>
          <w:rFonts w:ascii="宋体" w:hAnsi="宋体" w:cs="宋体" w:eastAsia="宋体" w:hint="default"/>
          <w:sz w:val="24"/>
          <w:szCs w:val="24"/>
        </w:rPr>
      </w:pPr>
    </w:p>
    <w:p>
      <w:pPr>
        <w:pStyle w:val="Heading3"/>
        <w:spacing w:line="240" w:lineRule="auto"/>
        <w:ind w:right="254"/>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3"/>
        <w:rPr>
          <w:rFonts w:ascii="宋体" w:hAnsi="宋体" w:cs="宋体" w:eastAsia="宋体" w:hint="default"/>
          <w:b/>
          <w:bCs/>
          <w:sz w:val="32"/>
          <w:szCs w:val="32"/>
        </w:rPr>
      </w:pPr>
    </w:p>
    <w:p>
      <w:pPr>
        <w:pStyle w:val="BodyText"/>
        <w:spacing w:line="357" w:lineRule="auto"/>
        <w:ind w:left="513" w:right="94"/>
        <w:jc w:val="left"/>
      </w:pPr>
      <w:r>
        <w:rPr/>
        <w:t>其他长期职工福利是指除短期薪酬、离职后福利、辞退福利之外的其他所有职工福利。 </w:t>
      </w:r>
      <w:r>
        <w:rPr>
          <w:spacing w:val="-2"/>
        </w:rPr>
        <w:t>对符合设定提存计划条件的其他长期职工福利，在职工为本公司提供服务的会计期间，将应缴存金额确认为负债，并计</w:t>
      </w:r>
    </w:p>
    <w:p>
      <w:pPr>
        <w:pStyle w:val="BodyText"/>
        <w:spacing w:line="357" w:lineRule="auto" w:before="24"/>
        <w:ind w:right="94"/>
        <w:jc w:val="left"/>
      </w:pPr>
      <w:r>
        <w:rPr>
          <w:spacing w:val="-2"/>
        </w:rPr>
        <w:t>入当期损益或相关资产成本；除上述情形外的其他长期职工福利，在资产负债表日由独立精算师使用预期累计福利单位法进</w:t>
      </w:r>
      <w:r>
        <w:rPr>
          <w:spacing w:val="-64"/>
        </w:rPr>
        <w:t> </w:t>
      </w:r>
      <w:r>
        <w:rPr>
          <w:spacing w:val="-64"/>
        </w:rPr>
      </w:r>
      <w:r>
        <w:rPr/>
        <w:t>行精算，将设定受益计划产生的福利义务归属于职工提供服务的期间，并计入当期损益或相关资产成本。</w:t>
      </w:r>
    </w:p>
    <w:p>
      <w:pPr>
        <w:spacing w:line="240" w:lineRule="auto" w:before="11"/>
        <w:rPr>
          <w:rFonts w:ascii="宋体" w:hAnsi="宋体" w:cs="宋体" w:eastAsia="宋体" w:hint="default"/>
          <w:sz w:val="24"/>
          <w:szCs w:val="24"/>
        </w:rPr>
      </w:pPr>
    </w:p>
    <w:p>
      <w:pPr>
        <w:pStyle w:val="Heading3"/>
        <w:spacing w:line="240" w:lineRule="auto"/>
        <w:ind w:right="254"/>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13"/>
        <w:rPr>
          <w:rFonts w:ascii="宋体" w:hAnsi="宋体" w:cs="宋体" w:eastAsia="宋体" w:hint="default"/>
          <w:b/>
          <w:bCs/>
          <w:sz w:val="31"/>
          <w:szCs w:val="31"/>
        </w:rPr>
      </w:pPr>
    </w:p>
    <w:p>
      <w:pPr>
        <w:pStyle w:val="BodyText"/>
        <w:spacing w:line="352" w:lineRule="auto"/>
        <w:ind w:left="513" w:right="3873"/>
        <w:jc w:val="left"/>
      </w:pPr>
      <w:r>
        <w:rPr>
          <w:rFonts w:ascii="Times New Roman" w:hAnsi="Times New Roman" w:cs="Times New Roman" w:eastAsia="Times New Roman" w:hint="default"/>
        </w:rPr>
        <w:t>1</w:t>
      </w:r>
      <w:r>
        <w:rPr/>
        <w:t>．预计负债的确认标准 与或有事项相关的义务同时满足下列条件时，本公司确认为预计负债： 该义务是本公司承担的现时义务； 履行该义务很可能导致经济利益流出本公司； 该义务的金额能够可靠地计量。</w:t>
      </w:r>
    </w:p>
    <w:p>
      <w:pPr>
        <w:pStyle w:val="BodyText"/>
        <w:spacing w:line="338" w:lineRule="auto" w:before="30"/>
        <w:ind w:left="513" w:right="3333"/>
        <w:jc w:val="left"/>
      </w:pPr>
      <w:r>
        <w:rPr>
          <w:rFonts w:ascii="Times New Roman" w:hAnsi="Times New Roman" w:cs="Times New Roman" w:eastAsia="Times New Roman" w:hint="default"/>
        </w:rPr>
        <w:t>2</w:t>
      </w:r>
      <w:r>
        <w:rPr/>
        <w:t>．预计负债的计量方法 本公司预计负债按履行相关现时义务所需的支出的最佳估计数进行初始计量。</w:t>
      </w:r>
    </w:p>
    <w:p>
      <w:pPr>
        <w:pStyle w:val="BodyText"/>
        <w:spacing w:line="357" w:lineRule="auto" w:before="41"/>
        <w:ind w:right="94" w:firstLine="360"/>
        <w:jc w:val="left"/>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355" w:lineRule="auto" w:before="26"/>
        <w:ind w:left="513" w:right="94"/>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357" w:lineRule="auto" w:before="28"/>
        <w:ind w:left="513" w:right="94" w:hanging="361"/>
        <w:jc w:val="left"/>
      </w:pPr>
      <w:r>
        <w:rPr/>
        <w:t>即上下限金额的平均数确定。 </w:t>
      </w:r>
      <w:r>
        <w:rPr>
          <w:spacing w:val="-2"/>
        </w:rPr>
        <w:t>所需支出不存在一个连续范围（或区间），或虽然存在一个连续范围但该范围内各种结果发生的可能性不相同的，如或</w:t>
      </w:r>
    </w:p>
    <w:p>
      <w:pPr>
        <w:pStyle w:val="BodyText"/>
        <w:spacing w:line="357" w:lineRule="auto" w:before="26"/>
        <w:ind w:right="94"/>
        <w:jc w:val="left"/>
      </w:pPr>
      <w:r>
        <w:rPr>
          <w:spacing w:val="-2"/>
        </w:rPr>
        <w:t>有事项涉及单个项目的，则最佳估计数按照最可能发生金额确定；如或有事项涉及多个项目的，则最佳估计数按各种可能结</w:t>
      </w:r>
      <w:r>
        <w:rPr>
          <w:spacing w:val="-63"/>
        </w:rPr>
        <w:t> </w:t>
      </w:r>
      <w:r>
        <w:rPr>
          <w:spacing w:val="-63"/>
        </w:rPr>
      </w:r>
      <w:r>
        <w:rPr/>
        <w:t>果及相关概率计算确定。</w:t>
      </w:r>
    </w:p>
    <w:p>
      <w:pPr>
        <w:pStyle w:val="BodyText"/>
        <w:spacing w:line="357" w:lineRule="auto" w:before="26"/>
        <w:ind w:right="94" w:firstLine="360"/>
        <w:jc w:val="left"/>
      </w:pPr>
      <w:r>
        <w:rPr/>
        <w:t>本公司清偿预计负债所需支出全部或部分预期由第三方补偿的，补偿金额在基本确定能够收到时，作为资产单独确认， 确认的补偿金额不超过预计负债的账面价值。</w:t>
      </w:r>
    </w:p>
    <w:p>
      <w:pPr>
        <w:spacing w:after="0" w:line="357"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3"/>
        <w:rPr>
          <w:rFonts w:ascii="宋体" w:hAnsi="宋体" w:cs="宋体" w:eastAsia="宋体" w:hint="default"/>
          <w:b/>
          <w:bCs/>
          <w:sz w:val="23"/>
          <w:szCs w:val="23"/>
        </w:rPr>
      </w:pPr>
    </w:p>
    <w:p>
      <w:pPr>
        <w:pStyle w:val="BodyText"/>
        <w:spacing w:line="345" w:lineRule="auto"/>
        <w:ind w:left="513" w:right="369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股份支付的种类</w:t>
      </w:r>
      <w:r>
        <w:rPr>
          <w:w w:val="99"/>
        </w:rPr>
        <w:t> </w:t>
      </w:r>
      <w:r>
        <w:rPr/>
        <w:t>本公司的股份支付分为以权益结算的股份支付和以现金结算的股份支付。</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权益工具公允价值的确定方法</w:t>
      </w:r>
    </w:p>
    <w:p>
      <w:pPr>
        <w:pStyle w:val="BodyText"/>
        <w:spacing w:line="350" w:lineRule="auto" w:before="13"/>
        <w:ind w:right="94" w:firstLine="360"/>
        <w:jc w:val="left"/>
      </w:pPr>
      <w:r>
        <w:rPr>
          <w:spacing w:val="-2"/>
        </w:rPr>
        <w:t>对于授予的存在活跃市场的期权等权益工具，按照活跃市场中的报价确定其公允价值。对于授予的不存在活跃市场的期</w:t>
      </w:r>
      <w:r>
        <w:rPr/>
        <w:t> </w:t>
      </w:r>
      <w:r>
        <w:rPr>
          <w:spacing w:val="-2"/>
        </w:rPr>
        <w:t>权等权益工具，采用期权定价模型等确定其公允价值，选用的期权定价模型考虑以下因素：</w:t>
      </w:r>
      <w:r>
        <w:rPr>
          <w:rFonts w:ascii="Times New Roman" w:hAnsi="Times New Roman" w:cs="Times New Roman" w:eastAsia="Times New Roman" w:hint="default"/>
          <w:spacing w:val="-2"/>
        </w:rPr>
        <w:t>1</w:t>
      </w:r>
      <w:r>
        <w:rPr>
          <w:spacing w:val="-2"/>
        </w:rPr>
        <w:t>）期权的行权价格；</w:t>
      </w:r>
      <w:r>
        <w:rPr>
          <w:rFonts w:ascii="Times New Roman" w:hAnsi="Times New Roman" w:cs="Times New Roman" w:eastAsia="Times New Roman" w:hint="default"/>
          <w:spacing w:val="-2"/>
        </w:rPr>
        <w:t>2</w:t>
      </w:r>
      <w:r>
        <w:rPr>
          <w:spacing w:val="-2"/>
        </w:rPr>
        <w:t>）期权的</w:t>
      </w:r>
      <w:r>
        <w:rPr>
          <w:spacing w:val="-65"/>
        </w:rPr>
        <w:t> </w:t>
      </w:r>
      <w:r>
        <w:rPr>
          <w:spacing w:val="-65"/>
        </w:rPr>
      </w:r>
      <w:r>
        <w:rPr/>
        <w:t>有效期；</w:t>
      </w:r>
      <w:r>
        <w:rPr>
          <w:rFonts w:ascii="Times New Roman" w:hAnsi="Times New Roman" w:cs="Times New Roman" w:eastAsia="Times New Roman" w:hint="default"/>
        </w:rPr>
        <w:t>3</w:t>
      </w:r>
      <w:r>
        <w:rPr/>
        <w:t>）标的股份的现行价格；</w:t>
      </w:r>
      <w:r>
        <w:rPr>
          <w:rFonts w:ascii="Times New Roman" w:hAnsi="Times New Roman" w:cs="Times New Roman" w:eastAsia="Times New Roman" w:hint="default"/>
        </w:rPr>
        <w:t>4</w:t>
      </w:r>
      <w:r>
        <w:rPr/>
        <w:t>）股价预计波动率；</w:t>
      </w:r>
      <w:r>
        <w:rPr>
          <w:rFonts w:ascii="Times New Roman" w:hAnsi="Times New Roman" w:cs="Times New Roman" w:eastAsia="Times New Roman" w:hint="default"/>
        </w:rPr>
        <w:t>5</w:t>
      </w:r>
      <w:r>
        <w:rPr/>
        <w:t>）股份的预计股利；</w:t>
      </w:r>
      <w:r>
        <w:rPr>
          <w:rFonts w:ascii="Times New Roman" w:hAnsi="Times New Roman" w:cs="Times New Roman" w:eastAsia="Times New Roman" w:hint="default"/>
        </w:rPr>
        <w:t>6</w:t>
      </w:r>
      <w:r>
        <w:rPr/>
        <w:t>）期权有效期内的无风险利率。 </w:t>
      </w:r>
      <w:r>
        <w:rPr>
          <w:spacing w:val="-2"/>
        </w:rPr>
        <w:t>在确定权益工具授予日的公允价值时，考虑股份支付协议规定的可行权条件中的市场条件和非可行权条件的影响。股份支付</w:t>
      </w:r>
      <w:r>
        <w:rPr>
          <w:spacing w:val="-64"/>
        </w:rPr>
        <w:t> </w:t>
      </w:r>
      <w:r>
        <w:rPr>
          <w:spacing w:val="-64"/>
        </w:rPr>
      </w:r>
      <w:r>
        <w:rPr>
          <w:spacing w:val="-2"/>
        </w:rPr>
        <w:t>存在非可行权条件的，只要职工或其他方满足了所有可行权条件中的非市场条件（如服务期限等），即确认已得到服务相对</w:t>
      </w:r>
      <w:r>
        <w:rPr>
          <w:spacing w:val="-64"/>
        </w:rPr>
        <w:t> </w:t>
      </w:r>
      <w:r>
        <w:rPr>
          <w:spacing w:val="-64"/>
        </w:rPr>
      </w:r>
      <w:r>
        <w:rPr/>
        <w:t>应的成本费用。</w:t>
      </w:r>
    </w:p>
    <w:p>
      <w:pPr>
        <w:pStyle w:val="BodyText"/>
        <w:spacing w:line="338" w:lineRule="auto" w:before="32"/>
        <w:ind w:left="513" w:right="9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确定可行权权益工具最佳估计的依据</w:t>
      </w:r>
      <w:r>
        <w:rPr>
          <w:w w:val="99"/>
        </w:rPr>
        <w:t> </w:t>
      </w:r>
      <w:r>
        <w:rPr>
          <w:spacing w:val="-2"/>
        </w:rPr>
        <w:t>等待期内每个资产负债表日，根据最新取得的可行权职工人数变动等后续信息作出最佳估计，修正预计可行权的权益工</w:t>
      </w:r>
    </w:p>
    <w:p>
      <w:pPr>
        <w:pStyle w:val="BodyText"/>
        <w:spacing w:line="240" w:lineRule="auto" w:before="38"/>
        <w:ind w:right="0"/>
        <w:jc w:val="both"/>
      </w:pPr>
      <w:r>
        <w:rPr/>
        <w:t>具数量。在可行权日，最终预计可行权权益工具的数量与实际可行权数量一致。</w:t>
      </w:r>
    </w:p>
    <w:p>
      <w:pPr>
        <w:pStyle w:val="BodyText"/>
        <w:spacing w:line="338" w:lineRule="auto" w:before="115"/>
        <w:ind w:left="513" w:right="94"/>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会计处理方法</w:t>
      </w:r>
      <w:r>
        <w:rPr>
          <w:w w:val="99"/>
        </w:rPr>
        <w:t> </w:t>
      </w:r>
      <w:r>
        <w:rPr>
          <w:spacing w:val="-2"/>
        </w:rPr>
        <w:t>以权益结算的股份支付，按授予职工权益工具的公允价值计量。授予后立即可行权的，在授予日按照权益工具的公允价</w:t>
      </w:r>
    </w:p>
    <w:p>
      <w:pPr>
        <w:pStyle w:val="BodyText"/>
        <w:spacing w:line="357" w:lineRule="auto" w:before="41"/>
        <w:ind w:right="190"/>
        <w:jc w:val="both"/>
      </w:pPr>
      <w:r>
        <w:rPr>
          <w:spacing w:val="-2"/>
        </w:rPr>
        <w:t>值计入相关成本或费用，相应增加资本公积。在完成等待期内的服务或达到规定业绩条件才可行权的，在等待期内的每个资</w:t>
      </w:r>
      <w:r>
        <w:rPr>
          <w:spacing w:val="-63"/>
        </w:rPr>
        <w:t> </w:t>
      </w:r>
      <w:r>
        <w:rPr>
          <w:spacing w:val="-63"/>
        </w:rPr>
      </w:r>
      <w:r>
        <w:rPr>
          <w:spacing w:val="-2"/>
        </w:rPr>
        <w:t>产负债表日，以对可行权权益工具数量的最佳估计为基础，按照权益工具授予日的公允价值，将当期取得的服务计入相关成</w:t>
      </w:r>
      <w:r>
        <w:rPr>
          <w:spacing w:val="-63"/>
        </w:rPr>
        <w:t> </w:t>
      </w:r>
      <w:r>
        <w:rPr>
          <w:spacing w:val="-63"/>
        </w:rPr>
      </w:r>
      <w:r>
        <w:rPr/>
        <w:t>本或费用和资本公积。在可行权日之后不再对已确认的相关成本或费用和所有者权益总额进行调整。</w:t>
      </w:r>
    </w:p>
    <w:p>
      <w:pPr>
        <w:pStyle w:val="BodyText"/>
        <w:spacing w:line="357" w:lineRule="auto" w:before="26"/>
        <w:ind w:right="190" w:firstLine="360"/>
        <w:jc w:val="both"/>
      </w:pPr>
      <w:r>
        <w:rPr>
          <w:spacing w:val="-2"/>
        </w:rPr>
        <w:t>以现金结算的股份支付，按照本公司承担的以股份或其他权益工具为基础计算确定的负债的公允价值计量。授予后立即</w:t>
      </w:r>
      <w:r>
        <w:rPr/>
        <w:t> </w:t>
      </w:r>
      <w:r>
        <w:rPr>
          <w:spacing w:val="-2"/>
        </w:rPr>
        <w:t>可行权的，在授予日以本公司承担负债的公允价值计入相关成本或费用，相应增加负债。在完成等待期内的服务或达到规定</w:t>
      </w:r>
      <w:r>
        <w:rPr>
          <w:spacing w:val="-64"/>
        </w:rPr>
        <w:t> </w:t>
      </w:r>
      <w:r>
        <w:rPr>
          <w:spacing w:val="-64"/>
        </w:rPr>
      </w:r>
      <w:r>
        <w:rPr>
          <w:spacing w:val="-2"/>
        </w:rPr>
        <w:t>业绩条件以后才可行权的以现金结算的股份支付，在等待期内的每个资产负债表日，以对可行权情况的最佳估计为基础，按</w:t>
      </w:r>
      <w:r>
        <w:rPr>
          <w:spacing w:val="-63"/>
        </w:rPr>
        <w:t> </w:t>
      </w:r>
      <w:r>
        <w:rPr>
          <w:spacing w:val="-63"/>
        </w:rPr>
      </w:r>
      <w:r>
        <w:rPr>
          <w:spacing w:val="-2"/>
        </w:rPr>
        <w:t>照本公司承担负债的公允价值金额，将当期取得的服务计入成本或费用和相应的负债。在相关负债结算前的每个资产负债表</w:t>
      </w:r>
      <w:r>
        <w:rPr>
          <w:spacing w:val="-64"/>
        </w:rPr>
        <w:t> </w:t>
      </w:r>
      <w:r>
        <w:rPr>
          <w:spacing w:val="-64"/>
        </w:rPr>
      </w:r>
      <w:r>
        <w:rPr/>
        <w:t>日以及结算日，对负债的公允价值重新计量，其变动计入当期损益。</w:t>
      </w:r>
    </w:p>
    <w:p>
      <w:pPr>
        <w:pStyle w:val="BodyText"/>
        <w:spacing w:line="357" w:lineRule="auto" w:before="26"/>
        <w:ind w:right="189" w:firstLine="360"/>
        <w:jc w:val="both"/>
      </w:pPr>
      <w:r>
        <w:rPr>
          <w:spacing w:val="-2"/>
        </w:rPr>
        <w:t>若在等待期内取消了授予的权益工具，本公司对取消所授予的权益性工具作为加速行权处理，将剩余等待期内应确认的</w:t>
      </w:r>
      <w:r>
        <w:rPr/>
        <w:t> </w:t>
      </w:r>
      <w:r>
        <w:rPr>
          <w:spacing w:val="-2"/>
        </w:rPr>
        <w:t>金额立即计入当期损益，同时确认资本公积。职工或其他方能够选择满足非可行权条件但在等待期内未满足的，本公司将其</w:t>
      </w:r>
      <w:r>
        <w:rPr>
          <w:spacing w:val="-62"/>
        </w:rPr>
        <w:t> </w:t>
      </w:r>
      <w:r>
        <w:rPr>
          <w:spacing w:val="-62"/>
        </w:rPr>
      </w:r>
      <w:r>
        <w:rPr/>
        <w:t>作为授予权益工具的取消处理。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Heading3"/>
        <w:spacing w:line="240" w:lineRule="auto"/>
        <w:ind w:right="0"/>
        <w:jc w:val="both"/>
        <w:rPr>
          <w:b w:val="0"/>
          <w:bCs w:val="0"/>
        </w:rPr>
      </w:pPr>
      <w:r>
        <w:rPr>
          <w:rFonts w:ascii="Times New Roman" w:hAnsi="Times New Roman" w:cs="Times New Roman" w:eastAsia="Times New Roman" w:hint="default"/>
        </w:rPr>
        <w:t>25</w:t>
      </w:r>
      <w:r>
        <w:rPr/>
        <w:t>、优先股、永续债等其他金融工具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355" w:lineRule="auto"/>
        <w:ind w:right="192" w:firstLine="360"/>
        <w:jc w:val="both"/>
        <w:rPr>
          <w:rFonts w:ascii="宋体" w:hAnsi="宋体" w:cs="宋体" w:eastAsia="宋体" w:hint="default"/>
        </w:rPr>
      </w:pPr>
      <w:r>
        <w:rPr>
          <w:spacing w:val="-2"/>
        </w:rPr>
        <w:t>本公司按照金融工具准则的规定，根据所发行优先股、永续债等金融工具的合同条款及其所反映的经济实质而非仅以法</w:t>
      </w:r>
      <w:r>
        <w:rPr/>
        <w:t> 律形式，结合金融负债和权益工具的定义，在初始确认时将该金融工具或其组成部分分类为金融负债或权益工具：</w:t>
      </w:r>
      <w:r>
        <w:rPr>
          <w:rFonts w:ascii="宋体" w:hAnsi="宋体" w:cs="宋体" w:eastAsia="宋体" w:hint="default"/>
        </w:rPr>
        <w:t> </w:t>
      </w:r>
    </w:p>
    <w:p>
      <w:pPr>
        <w:pStyle w:val="BodyText"/>
        <w:spacing w:line="240" w:lineRule="auto" w:before="28"/>
        <w:ind w:left="513" w:right="254"/>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2"/>
        </w:rPr>
        <w:t> </w:t>
      </w:r>
      <w:r>
        <w:rPr/>
        <w:t>符合下列条件之一，将发行的金融工具分类为金融负债：</w:t>
      </w:r>
      <w:r>
        <w:rPr>
          <w:rFonts w:ascii="宋体" w:hAnsi="宋体" w:cs="宋体" w:eastAsia="宋体" w:hint="default"/>
        </w:rPr>
        <w:t> </w:t>
      </w:r>
    </w:p>
    <w:p>
      <w:pPr>
        <w:pStyle w:val="BodyText"/>
        <w:spacing w:line="240" w:lineRule="auto" w:before="115"/>
        <w:ind w:right="0"/>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1"/>
        </w:rPr>
        <w:t> </w:t>
      </w:r>
      <w:r>
        <w:rPr>
          <w:rFonts w:ascii="宋体" w:hAnsi="宋体" w:cs="宋体" w:eastAsia="宋体" w:hint="default"/>
        </w:rPr>
        <w:t>1</w:t>
      </w:r>
      <w:r>
        <w:rPr/>
        <w:t>）向其他方交付现金或其他金融资产的合同义务；</w:t>
      </w:r>
      <w:r>
        <w:rPr>
          <w:rFonts w:ascii="宋体" w:hAnsi="宋体" w:cs="宋体" w:eastAsia="宋体" w:hint="default"/>
        </w:rPr>
        <w:t> </w:t>
      </w:r>
    </w:p>
    <w:p>
      <w:pPr>
        <w:pStyle w:val="BodyText"/>
        <w:spacing w:line="240" w:lineRule="auto" w:before="115"/>
        <w:ind w:right="0"/>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1"/>
        </w:rPr>
        <w:t> </w:t>
      </w:r>
      <w:r>
        <w:rPr>
          <w:rFonts w:ascii="宋体" w:hAnsi="宋体" w:cs="宋体" w:eastAsia="宋体" w:hint="default"/>
        </w:rPr>
        <w:t>2</w:t>
      </w:r>
      <w:r>
        <w:rPr/>
        <w:t>）在潜在不利条件下，与其他方交换金融资产或金融负债的合同义务；</w:t>
      </w:r>
      <w:r>
        <w:rPr>
          <w:rFonts w:ascii="宋体" w:hAnsi="宋体" w:cs="宋体" w:eastAsia="宋体" w:hint="default"/>
        </w:rPr>
        <w:t>   </w:t>
      </w:r>
    </w:p>
    <w:p>
      <w:pPr>
        <w:pStyle w:val="BodyText"/>
        <w:spacing w:line="240" w:lineRule="auto" w:before="115"/>
        <w:ind w:right="0"/>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1"/>
        </w:rPr>
        <w:t> </w:t>
      </w:r>
      <w:r>
        <w:rPr>
          <w:rFonts w:ascii="宋体" w:hAnsi="宋体" w:cs="宋体" w:eastAsia="宋体" w:hint="default"/>
          <w:spacing w:val="1"/>
        </w:rPr>
        <w:t>3</w:t>
      </w:r>
      <w:r>
        <w:rPr>
          <w:spacing w:val="-87"/>
        </w:rPr>
        <w:t>）</w:t>
      </w:r>
      <w:r>
        <w:rPr/>
        <w:t>将来须用或可用企业</w:t>
      </w:r>
      <w:r>
        <w:rPr>
          <w:spacing w:val="-3"/>
        </w:rPr>
        <w:t>自</w:t>
      </w:r>
      <w:r>
        <w:rPr/>
        <w:t>身权益工具进行结算的非衍生工具合同</w:t>
      </w:r>
      <w:r>
        <w:rPr>
          <w:spacing w:val="-87"/>
        </w:rPr>
        <w:t>，</w:t>
      </w:r>
      <w:r>
        <w:rPr/>
        <w:t>且企业根据该合同将交付可变数量的自身权益工具</w:t>
      </w:r>
      <w:r>
        <w:rPr>
          <w:spacing w:val="-88"/>
        </w:rPr>
        <w:t>；</w:t>
      </w:r>
      <w:r>
        <w:rPr>
          <w:rFonts w:ascii="宋体" w:hAnsi="宋体" w:cs="宋体" w:eastAsia="宋体" w:hint="default"/>
        </w:rPr>
        <w:t> </w:t>
      </w:r>
    </w:p>
    <w:p>
      <w:pPr>
        <w:pStyle w:val="BodyText"/>
        <w:spacing w:line="357" w:lineRule="auto" w:before="115"/>
        <w:ind w:right="94"/>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1"/>
        </w:rPr>
        <w:t> </w:t>
      </w:r>
      <w:r>
        <w:rPr>
          <w:rFonts w:ascii="宋体" w:hAnsi="宋体" w:cs="宋体" w:eastAsia="宋体" w:hint="default"/>
          <w:spacing w:val="-2"/>
        </w:rPr>
        <w:t>4</w:t>
      </w:r>
      <w:r>
        <w:rPr>
          <w:spacing w:val="-2"/>
        </w:rPr>
        <w:t>）将来须用或可用企业自身权益工具进行结算的衍生工具合同，但以固定数量的自身权益工具交换固定金额的现金或</w:t>
      </w:r>
      <w:r>
        <w:rPr/>
        <w:t> 其他金融资产的衍生工具合同除外。</w:t>
      </w:r>
      <w:r>
        <w:rPr>
          <w:rFonts w:ascii="宋体" w:hAnsi="宋体" w:cs="宋体" w:eastAsia="宋体" w:hint="default"/>
        </w:rPr>
        <w:t> </w:t>
      </w:r>
    </w:p>
    <w:p>
      <w:pPr>
        <w:pStyle w:val="BodyText"/>
        <w:spacing w:line="240" w:lineRule="auto" w:before="26"/>
        <w:ind w:left="513" w:right="254"/>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2"/>
        </w:rPr>
        <w:t> </w:t>
      </w:r>
      <w:r>
        <w:rPr/>
        <w:t>同时满足下列条件的，将发行的金融工具分类为权益工具：</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80" w:top="1060" w:bottom="1160" w:left="980" w:right="940"/>
        </w:sectPr>
      </w:pPr>
    </w:p>
    <w:p>
      <w:pPr>
        <w:spacing w:line="240" w:lineRule="auto" w:before="8"/>
        <w:rPr>
          <w:rFonts w:ascii="宋体" w:hAnsi="宋体" w:cs="宋体" w:eastAsia="宋体" w:hint="default"/>
          <w:sz w:val="22"/>
          <w:szCs w:val="22"/>
        </w:rPr>
      </w:pPr>
    </w:p>
    <w:p>
      <w:pPr>
        <w:pStyle w:val="BodyText"/>
        <w:spacing w:line="357" w:lineRule="auto" w:before="44"/>
        <w:ind w:right="94"/>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1"/>
        </w:rPr>
        <w:t> </w:t>
      </w:r>
      <w:r>
        <w:rPr>
          <w:rFonts w:ascii="宋体" w:hAnsi="宋体" w:cs="宋体" w:eastAsia="宋体" w:hint="default"/>
          <w:spacing w:val="-2"/>
        </w:rPr>
        <w:t>1</w:t>
      </w:r>
      <w:r>
        <w:rPr>
          <w:spacing w:val="-2"/>
        </w:rPr>
        <w:t>）该金融工具不包括交付现金或其他金融资产给其他方，或在潜在不利条件下与其他方交换金融资产或金融负债的合</w:t>
      </w:r>
      <w:r>
        <w:rPr/>
        <w:t> 同义务；</w:t>
      </w:r>
      <w:r>
        <w:rPr>
          <w:rFonts w:ascii="宋体" w:hAnsi="宋体" w:cs="宋体" w:eastAsia="宋体" w:hint="default"/>
        </w:rPr>
        <w:t> </w:t>
      </w:r>
    </w:p>
    <w:p>
      <w:pPr>
        <w:pStyle w:val="BodyText"/>
        <w:spacing w:line="357" w:lineRule="auto" w:before="26"/>
        <w:ind w:right="189"/>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1"/>
        </w:rPr>
        <w:t> </w:t>
      </w:r>
      <w:r>
        <w:rPr>
          <w:rFonts w:ascii="宋体" w:hAnsi="宋体" w:cs="宋体" w:eastAsia="宋体" w:hint="default"/>
          <w:spacing w:val="-2"/>
        </w:rPr>
        <w:t>2</w:t>
      </w:r>
      <w:r>
        <w:rPr>
          <w:spacing w:val="-2"/>
        </w:rPr>
        <w:t>）将来须用或可用企业自身权益工具结算该金融工具的，如该金融工具为非衍生工具，不包括交付可变数量的自身权</w:t>
      </w:r>
      <w:r>
        <w:rPr/>
        <w:t> </w:t>
      </w:r>
      <w:r>
        <w:rPr>
          <w:spacing w:val="-2"/>
        </w:rPr>
        <w:t>益工具进行结算的合同义务；如为衍生工具，企业只能通过以固定数量的自身权益工具交换固定金额的现金或其他金融资产</w:t>
      </w:r>
      <w:r>
        <w:rPr>
          <w:spacing w:val="-64"/>
        </w:rPr>
        <w:t> </w:t>
      </w:r>
      <w:r>
        <w:rPr>
          <w:spacing w:val="-64"/>
        </w:rPr>
      </w:r>
      <w:r>
        <w:rPr/>
        <w:t>结算该金融工具。</w:t>
      </w:r>
      <w:r>
        <w:rPr>
          <w:rFonts w:ascii="宋体" w:hAnsi="宋体" w:cs="宋体" w:eastAsia="宋体" w:hint="default"/>
        </w:rPr>
        <w:t> </w:t>
      </w:r>
    </w:p>
    <w:p>
      <w:pPr>
        <w:pStyle w:val="BodyText"/>
        <w:spacing w:line="240" w:lineRule="auto" w:before="24"/>
        <w:ind w:left="513" w:right="254"/>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2"/>
        </w:rPr>
        <w:t> </w:t>
      </w:r>
      <w:r>
        <w:rPr/>
        <w:t>会计处理方法</w:t>
      </w:r>
      <w:r>
        <w:rPr>
          <w:rFonts w:ascii="宋体" w:hAnsi="宋体" w:cs="宋体" w:eastAsia="宋体" w:hint="default"/>
        </w:rPr>
        <w:t> </w:t>
      </w:r>
    </w:p>
    <w:p>
      <w:pPr>
        <w:pStyle w:val="BodyText"/>
        <w:spacing w:line="357" w:lineRule="auto" w:before="115"/>
        <w:ind w:right="94"/>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spacing w:val="-2"/>
        </w:rPr>
        <w:t>对于归类为权益工具的金融工具，其利息支出或股利分配都应当作为发行企业的利润分配，其回购、注销等作为权益的</w:t>
      </w:r>
      <w:r>
        <w:rPr/>
        <w:t> 变动处理，手续费、佣金等交易费用从权益中扣除；</w:t>
      </w:r>
      <w:r>
        <w:rPr>
          <w:rFonts w:ascii="宋体" w:hAnsi="宋体" w:cs="宋体" w:eastAsia="宋体" w:hint="default"/>
        </w:rPr>
        <w:t> </w:t>
      </w:r>
    </w:p>
    <w:p>
      <w:pPr>
        <w:pStyle w:val="BodyText"/>
        <w:spacing w:line="357" w:lineRule="auto" w:before="26"/>
        <w:ind w:right="94"/>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spacing w:val="-2"/>
        </w:rPr>
        <w:t>对于归类为金融负债的金融工具，其利息支出或股利分配原则上按照借款费用进行处理，其回购或赎回产生的利得或损</w:t>
      </w:r>
      <w:r>
        <w:rPr/>
        <w:t> 失等计入当期损益，手续费、佣金等交易费用计入所发行工具的初始计量金额。</w:t>
      </w:r>
      <w:r>
        <w:rPr>
          <w:rFonts w:ascii="宋体" w:hAnsi="宋体" w:cs="宋体" w:eastAsia="宋体" w:hint="default"/>
        </w:rPr>
        <w:t> </w:t>
      </w:r>
    </w:p>
    <w:p>
      <w:pPr>
        <w:spacing w:line="240" w:lineRule="auto" w:before="13"/>
        <w:rPr>
          <w:rFonts w:ascii="宋体" w:hAnsi="宋体" w:cs="宋体" w:eastAsia="宋体" w:hint="default"/>
          <w:sz w:val="24"/>
          <w:szCs w:val="24"/>
        </w:rPr>
      </w:pPr>
    </w:p>
    <w:p>
      <w:pPr>
        <w:pStyle w:val="Heading5"/>
        <w:spacing w:line="240" w:lineRule="auto"/>
        <w:ind w:right="0"/>
        <w:jc w:val="both"/>
        <w:rPr>
          <w:rFonts w:ascii="宋体" w:hAnsi="宋体" w:cs="宋体" w:eastAsia="宋体" w:hint="default"/>
          <w:b w:val="0"/>
          <w:bCs w:val="0"/>
        </w:rPr>
      </w:pPr>
      <w:r>
        <w:rPr>
          <w:rFonts w:ascii="宋体" w:hAnsi="宋体" w:cs="宋体" w:eastAsia="宋体" w:hint="default"/>
        </w:rPr>
        <w:t>26</w:t>
      </w:r>
      <w:r>
        <w:rPr/>
        <w:t>、收入</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3"/>
          <w:szCs w:val="13"/>
        </w:rPr>
      </w:pPr>
    </w:p>
    <w:p>
      <w:pPr>
        <w:pStyle w:val="BodyText"/>
        <w:spacing w:line="396" w:lineRule="auto"/>
        <w:ind w:right="6614"/>
        <w:jc w:val="left"/>
        <w:rPr>
          <w:rFonts w:ascii="宋体" w:hAnsi="宋体" w:cs="宋体" w:eastAsia="宋体" w:hint="default"/>
        </w:rPr>
      </w:pPr>
      <w:r>
        <w:rPr/>
        <w:t>公司是否需要遵守特殊行业的披露要求</w:t>
      </w:r>
      <w:r>
        <w:rPr>
          <w:rFonts w:ascii="宋体" w:hAnsi="宋体" w:cs="宋体" w:eastAsia="宋体" w:hint="default"/>
        </w:rPr>
        <w:t> </w:t>
      </w:r>
      <w:r>
        <w:rPr/>
        <w:t>否</w:t>
      </w:r>
      <w:r>
        <w:rPr>
          <w:rFonts w:ascii="宋体" w:hAnsi="宋体" w:cs="宋体" w:eastAsia="宋体" w:hint="default"/>
        </w:rPr>
        <w:t> </w:t>
      </w:r>
    </w:p>
    <w:p>
      <w:pPr>
        <w:pStyle w:val="BodyText"/>
        <w:spacing w:line="357" w:lineRule="auto" w:before="38"/>
        <w:ind w:left="513" w:right="94"/>
        <w:jc w:val="left"/>
      </w:pPr>
      <w:r>
        <w:rPr>
          <w:rFonts w:ascii="宋体" w:hAnsi="宋体" w:cs="宋体" w:eastAsia="宋体" w:hint="default"/>
        </w:rPr>
        <w:t>1</w:t>
      </w:r>
      <w:r>
        <w:rPr/>
        <w:t>．销售商品收入确认时间的具体判断标准</w:t>
      </w:r>
      <w:r>
        <w:rPr>
          <w:rFonts w:ascii="宋体" w:hAnsi="宋体" w:cs="宋体" w:eastAsia="宋体" w:hint="default"/>
        </w:rPr>
        <w:t> </w:t>
      </w:r>
      <w:r>
        <w:rPr>
          <w:spacing w:val="-2"/>
        </w:rPr>
        <w:t>公司已将商品所有权上的主要风险和报酬转移给购买方；公司既没有保留与所有权相联系的继续管理权，也没有对已售</w:t>
      </w:r>
    </w:p>
    <w:p>
      <w:pPr>
        <w:pStyle w:val="BodyText"/>
        <w:spacing w:line="357" w:lineRule="auto" w:before="26"/>
        <w:ind w:right="94"/>
        <w:jc w:val="left"/>
        <w:rPr>
          <w:rFonts w:ascii="宋体" w:hAnsi="宋体" w:cs="宋体" w:eastAsia="宋体" w:hint="default"/>
        </w:rPr>
      </w:pPr>
      <w:r>
        <w:rPr>
          <w:spacing w:val="-2"/>
        </w:rPr>
        <w:t>出的商品实施有效控制；收入的金额能够可靠地计量；相关的经济利益很可能流入企业；相关的已发生或将发生的成本能够</w:t>
      </w:r>
      <w:r>
        <w:rPr>
          <w:spacing w:val="-63"/>
        </w:rPr>
        <w:t> </w:t>
      </w:r>
      <w:r>
        <w:rPr>
          <w:spacing w:val="-63"/>
        </w:rPr>
      </w:r>
      <w:r>
        <w:rPr/>
        <w:t>可靠地计量时，确认商品销售收入实现。</w:t>
      </w:r>
      <w:r>
        <w:rPr>
          <w:rFonts w:ascii="宋体" w:hAnsi="宋体" w:cs="宋体" w:eastAsia="宋体" w:hint="default"/>
        </w:rPr>
        <w:t> </w:t>
      </w:r>
    </w:p>
    <w:p>
      <w:pPr>
        <w:pStyle w:val="BodyText"/>
        <w:spacing w:line="357" w:lineRule="auto" w:before="26"/>
        <w:ind w:right="94" w:firstLine="360"/>
        <w:jc w:val="left"/>
        <w:rPr>
          <w:rFonts w:ascii="宋体" w:hAnsi="宋体" w:cs="宋体" w:eastAsia="宋体" w:hint="default"/>
        </w:rPr>
      </w:pPr>
      <w:r>
        <w:rPr>
          <w:spacing w:val="-2"/>
        </w:rPr>
        <w:t>由于公司销售合同约定商品所有权的主要风险和报酬在送达指定地点时转移给购买方，因此公司以商品发出并经客户验</w:t>
      </w:r>
      <w:r>
        <w:rPr/>
        <w:t> 收为确认销售收入时点。</w:t>
      </w:r>
      <w:r>
        <w:rPr>
          <w:rFonts w:ascii="宋体" w:hAnsi="宋体" w:cs="宋体" w:eastAsia="宋体" w:hint="default"/>
        </w:rPr>
        <w:t> </w:t>
      </w:r>
    </w:p>
    <w:p>
      <w:pPr>
        <w:pStyle w:val="BodyText"/>
        <w:spacing w:line="240" w:lineRule="auto" w:before="24"/>
        <w:ind w:left="513" w:right="254"/>
        <w:jc w:val="left"/>
        <w:rPr>
          <w:rFonts w:ascii="宋体" w:hAnsi="宋体" w:cs="宋体" w:eastAsia="宋体" w:hint="default"/>
        </w:rPr>
      </w:pPr>
      <w:r>
        <w:rPr/>
        <w:t>公司销售分为内销和外销。</w:t>
      </w:r>
      <w:r>
        <w:rPr>
          <w:rFonts w:ascii="宋体" w:hAnsi="宋体" w:cs="宋体" w:eastAsia="宋体" w:hint="default"/>
        </w:rPr>
        <w:t> </w:t>
      </w:r>
    </w:p>
    <w:p>
      <w:pPr>
        <w:pStyle w:val="BodyText"/>
        <w:spacing w:line="357" w:lineRule="auto" w:before="115"/>
        <w:ind w:right="184" w:firstLine="180"/>
        <w:jc w:val="left"/>
        <w:rPr>
          <w:rFonts w:ascii="宋体" w:hAnsi="宋体" w:cs="宋体" w:eastAsia="宋体" w:hint="default"/>
        </w:rPr>
      </w:pPr>
      <w:r>
        <w:rPr/>
        <w:t>（</w:t>
      </w:r>
      <w:r>
        <w:rPr>
          <w:rFonts w:ascii="宋体" w:hAnsi="宋体" w:cs="宋体" w:eastAsia="宋体" w:hint="default"/>
        </w:rPr>
        <w:t>1</w:t>
      </w:r>
      <w:r>
        <w:rPr/>
        <w:t>）产品内销收入确认：内销采用的交货方式有快递、物流公司运输和公司车送货。公司根据回签的送货清单和相应的 订单、出库通知单、出厂放行条等确认收入。</w:t>
      </w:r>
      <w:r>
        <w:rPr>
          <w:rFonts w:ascii="宋体" w:hAnsi="宋体" w:cs="宋体" w:eastAsia="宋体" w:hint="default"/>
        </w:rPr>
        <w:t> </w:t>
      </w:r>
    </w:p>
    <w:p>
      <w:pPr>
        <w:pStyle w:val="BodyText"/>
        <w:spacing w:line="357" w:lineRule="auto" w:before="26"/>
        <w:ind w:right="184" w:firstLine="180"/>
        <w:jc w:val="left"/>
        <w:rPr>
          <w:rFonts w:ascii="宋体" w:hAnsi="宋体" w:cs="宋体" w:eastAsia="宋体" w:hint="default"/>
        </w:rPr>
      </w:pPr>
      <w:r>
        <w:rPr/>
        <w:t>（</w:t>
      </w:r>
      <w:r>
        <w:rPr>
          <w:rFonts w:ascii="宋体" w:hAnsi="宋体" w:cs="宋体" w:eastAsia="宋体" w:hint="default"/>
        </w:rPr>
        <w:t>2</w:t>
      </w:r>
      <w:r>
        <w:rPr/>
        <w:t>）产品外销收入确认：外销采用的是物流公司运输方式。公司以取得提单并向银行办妥交单手续的日期作为出口商品 外销收入确认的时点。</w:t>
      </w:r>
      <w:r>
        <w:rPr>
          <w:rFonts w:ascii="宋体" w:hAnsi="宋体" w:cs="宋体" w:eastAsia="宋体" w:hint="default"/>
        </w:rPr>
        <w:t> </w:t>
      </w:r>
      <w:r>
        <w:rPr>
          <w:spacing w:val="-2"/>
        </w:rPr>
        <w:t>合同或协议价款的收取采用递延方式，实质上具有融资性质的，按照应收的合同或协议价款的公允价值确定销售商品收入金</w:t>
      </w:r>
      <w:r>
        <w:rPr>
          <w:spacing w:val="-64"/>
        </w:rPr>
        <w:t> </w:t>
      </w:r>
      <w:r>
        <w:rPr>
          <w:spacing w:val="-64"/>
        </w:rPr>
      </w:r>
      <w:r>
        <w:rPr/>
        <w:t>额。</w:t>
      </w:r>
      <w:r>
        <w:rPr>
          <w:rFonts w:ascii="宋体" w:hAnsi="宋体" w:cs="宋体" w:eastAsia="宋体" w:hint="default"/>
        </w:rPr>
        <w:t> </w:t>
      </w:r>
    </w:p>
    <w:p>
      <w:pPr>
        <w:pStyle w:val="BodyText"/>
        <w:spacing w:line="357" w:lineRule="auto" w:before="26"/>
        <w:ind w:left="513" w:right="94"/>
        <w:jc w:val="left"/>
        <w:rPr>
          <w:rFonts w:ascii="宋体" w:hAnsi="宋体" w:cs="宋体" w:eastAsia="宋体" w:hint="default"/>
        </w:rPr>
      </w:pPr>
      <w:r>
        <w:rPr>
          <w:rFonts w:ascii="宋体" w:hAnsi="宋体" w:cs="宋体" w:eastAsia="宋体" w:hint="default"/>
        </w:rPr>
        <w:t>2</w:t>
      </w:r>
      <w:r>
        <w:rPr/>
        <w:t>．确认让渡资产使用权收入的依据</w:t>
      </w:r>
      <w:r>
        <w:rPr>
          <w:rFonts w:ascii="宋体" w:hAnsi="宋体" w:cs="宋体" w:eastAsia="宋体" w:hint="default"/>
        </w:rPr>
        <w:t> </w:t>
      </w:r>
      <w:r>
        <w:rPr>
          <w:spacing w:val="-2"/>
        </w:rPr>
        <w:t>与交易相关的经济利益很可能流入企业，收入的金额能够可靠地计量时，分别下列情况确定让渡资产使用权收入金额：</w:t>
      </w:r>
      <w:r>
        <w:rPr>
          <w:rFonts w:ascii="宋体" w:hAnsi="宋体" w:cs="宋体" w:eastAsia="宋体" w:hint="default"/>
        </w:rPr>
        <w:t> </w:t>
      </w:r>
    </w:p>
    <w:p>
      <w:pPr>
        <w:pStyle w:val="BodyText"/>
        <w:spacing w:line="240" w:lineRule="auto" w:before="24"/>
        <w:ind w:left="332" w:right="254"/>
        <w:jc w:val="left"/>
        <w:rPr>
          <w:rFonts w:ascii="宋体" w:hAnsi="宋体" w:cs="宋体" w:eastAsia="宋体" w:hint="default"/>
        </w:rPr>
      </w:pPr>
      <w:r>
        <w:rPr/>
        <w:t>（</w:t>
      </w:r>
      <w:r>
        <w:rPr>
          <w:rFonts w:ascii="宋体" w:hAnsi="宋体" w:cs="宋体" w:eastAsia="宋体" w:hint="default"/>
        </w:rPr>
        <w:t>1</w:t>
      </w:r>
      <w:r>
        <w:rPr/>
        <w:t>）利息收入金额，按照他人使用本企业货币资金的时间和实际利率计算确定。</w:t>
      </w:r>
      <w:r>
        <w:rPr>
          <w:rFonts w:ascii="宋体" w:hAnsi="宋体" w:cs="宋体" w:eastAsia="宋体" w:hint="default"/>
        </w:rPr>
        <w:t> </w:t>
      </w:r>
    </w:p>
    <w:p>
      <w:pPr>
        <w:pStyle w:val="BodyText"/>
        <w:spacing w:line="357" w:lineRule="auto" w:before="115"/>
        <w:ind w:left="513" w:right="2614" w:hanging="181"/>
        <w:jc w:val="left"/>
        <w:rPr>
          <w:rFonts w:ascii="宋体" w:hAnsi="宋体" w:cs="宋体" w:eastAsia="宋体" w:hint="default"/>
        </w:rPr>
      </w:pPr>
      <w:r>
        <w:rPr/>
        <w:t>（</w:t>
      </w:r>
      <w:r>
        <w:rPr>
          <w:rFonts w:ascii="宋体" w:hAnsi="宋体" w:cs="宋体" w:eastAsia="宋体" w:hint="default"/>
        </w:rPr>
        <w:t>2</w:t>
      </w:r>
      <w:r>
        <w:rPr/>
        <w:t>）使用费收入金额，按照有关合同或协议约定的收费时间和方法计算确定。</w:t>
      </w:r>
      <w:r>
        <w:rPr>
          <w:rFonts w:ascii="宋体" w:hAnsi="宋体" w:cs="宋体" w:eastAsia="宋体" w:hint="default"/>
        </w:rPr>
        <w:t> 3</w:t>
      </w:r>
      <w:r>
        <w:rPr/>
        <w:t>．提供劳务收入的确认依据和方法</w:t>
      </w:r>
      <w:r>
        <w:rPr>
          <w:rFonts w:ascii="宋体" w:hAnsi="宋体" w:cs="宋体" w:eastAsia="宋体" w:hint="default"/>
        </w:rPr>
        <w:t> </w:t>
      </w:r>
    </w:p>
    <w:p>
      <w:pPr>
        <w:pStyle w:val="BodyText"/>
        <w:spacing w:line="357" w:lineRule="auto" w:before="26"/>
        <w:ind w:right="94" w:firstLine="360"/>
        <w:jc w:val="left"/>
        <w:rPr>
          <w:rFonts w:ascii="宋体" w:hAnsi="宋体" w:cs="宋体" w:eastAsia="宋体" w:hint="default"/>
        </w:rPr>
      </w:pPr>
      <w:r>
        <w:rPr>
          <w:spacing w:val="-4"/>
        </w:rPr>
        <w:t>在资产负债表日提供劳务交易的结果能够可靠估计的，采用完工百分比法确认提供劳务收入。提供劳务交易的完工进度，</w:t>
      </w:r>
      <w:r>
        <w:rPr/>
        <w:t> 依据已完工作的测量确定。</w:t>
      </w:r>
      <w:r>
        <w:rPr>
          <w:rFonts w:ascii="宋体" w:hAnsi="宋体" w:cs="宋体" w:eastAsia="宋体" w:hint="default"/>
        </w:rPr>
        <w:t> </w:t>
      </w:r>
    </w:p>
    <w:p>
      <w:pPr>
        <w:pStyle w:val="BodyText"/>
        <w:spacing w:line="240" w:lineRule="auto" w:before="26"/>
        <w:ind w:left="513" w:right="254"/>
        <w:jc w:val="left"/>
        <w:rPr>
          <w:rFonts w:ascii="宋体" w:hAnsi="宋体" w:cs="宋体" w:eastAsia="宋体" w:hint="default"/>
        </w:rPr>
      </w:pPr>
      <w:r>
        <w:rPr/>
        <w:t>提供劳务交易的结果能够可靠估计，是指同时满足下列条件：</w:t>
      </w:r>
      <w:r>
        <w:rPr>
          <w:rFonts w:ascii="宋体" w:hAnsi="宋体" w:cs="宋体" w:eastAsia="宋体" w:hint="default"/>
        </w:rPr>
        <w:t> </w:t>
      </w:r>
    </w:p>
    <w:p>
      <w:pPr>
        <w:pStyle w:val="BodyText"/>
        <w:spacing w:line="240" w:lineRule="auto" w:before="115"/>
        <w:ind w:left="332" w:right="254"/>
        <w:jc w:val="left"/>
        <w:rPr>
          <w:rFonts w:ascii="宋体" w:hAnsi="宋体" w:cs="宋体" w:eastAsia="宋体" w:hint="default"/>
        </w:rPr>
      </w:pPr>
      <w:r>
        <w:rPr/>
        <w:t>（</w:t>
      </w:r>
      <w:r>
        <w:rPr>
          <w:rFonts w:ascii="宋体" w:hAnsi="宋体" w:cs="宋体" w:eastAsia="宋体" w:hint="default"/>
        </w:rPr>
        <w:t>1</w:t>
      </w:r>
      <w:r>
        <w:rPr/>
        <w:t>）收入的金额能够可靠地计量；</w:t>
      </w:r>
      <w:r>
        <w:rPr>
          <w:rFonts w:ascii="宋体" w:hAnsi="宋体" w:cs="宋体" w:eastAsia="宋体" w:hint="default"/>
        </w:rPr>
        <w:t> </w:t>
      </w:r>
    </w:p>
    <w:p>
      <w:pPr>
        <w:pStyle w:val="BodyText"/>
        <w:spacing w:line="240" w:lineRule="auto" w:before="115"/>
        <w:ind w:left="332" w:right="254"/>
        <w:jc w:val="left"/>
        <w:rPr>
          <w:rFonts w:ascii="宋体" w:hAnsi="宋体" w:cs="宋体" w:eastAsia="宋体" w:hint="default"/>
        </w:rPr>
      </w:pPr>
      <w:r>
        <w:rPr/>
        <w:t>（</w:t>
      </w:r>
      <w:r>
        <w:rPr>
          <w:rFonts w:ascii="宋体" w:hAnsi="宋体" w:cs="宋体" w:eastAsia="宋体" w:hint="default"/>
        </w:rPr>
        <w:t>2</w:t>
      </w:r>
      <w:r>
        <w:rPr/>
        <w:t>）相关的经济利益很可能流入企业；</w:t>
      </w:r>
      <w:r>
        <w:rPr>
          <w:rFonts w:ascii="宋体" w:hAnsi="宋体" w:cs="宋体" w:eastAsia="宋体" w:hint="default"/>
        </w:rPr>
        <w:t> </w:t>
      </w:r>
    </w:p>
    <w:p>
      <w:pPr>
        <w:pStyle w:val="BodyText"/>
        <w:spacing w:line="240" w:lineRule="auto" w:before="114"/>
        <w:ind w:left="332" w:right="254"/>
        <w:jc w:val="left"/>
        <w:rPr>
          <w:rFonts w:ascii="宋体" w:hAnsi="宋体" w:cs="宋体" w:eastAsia="宋体" w:hint="default"/>
        </w:rPr>
      </w:pPr>
      <w:r>
        <w:rPr/>
        <w:t>（</w:t>
      </w:r>
      <w:r>
        <w:rPr>
          <w:rFonts w:ascii="宋体" w:hAnsi="宋体" w:cs="宋体" w:eastAsia="宋体" w:hint="default"/>
        </w:rPr>
        <w:t>3</w:t>
      </w:r>
      <w:r>
        <w:rPr/>
        <w:t>）交易的完工进度能够可靠地确定；</w:t>
      </w:r>
      <w:r>
        <w:rPr>
          <w:rFonts w:ascii="宋体" w:hAnsi="宋体" w:cs="宋体" w:eastAsia="宋体" w:hint="default"/>
        </w:rPr>
        <w:t> </w:t>
      </w:r>
    </w:p>
    <w:p>
      <w:pPr>
        <w:pStyle w:val="BodyText"/>
        <w:spacing w:line="240" w:lineRule="auto" w:before="115"/>
        <w:ind w:left="332" w:right="254"/>
        <w:jc w:val="left"/>
        <w:rPr>
          <w:rFonts w:ascii="宋体" w:hAnsi="宋体" w:cs="宋体" w:eastAsia="宋体" w:hint="default"/>
        </w:rPr>
      </w:pPr>
      <w:r>
        <w:rPr/>
        <w:t>（</w:t>
      </w:r>
      <w:r>
        <w:rPr>
          <w:rFonts w:ascii="宋体" w:hAnsi="宋体" w:cs="宋体" w:eastAsia="宋体" w:hint="default"/>
        </w:rPr>
        <w:t>4</w:t>
      </w:r>
      <w:r>
        <w:rPr/>
        <w:t>）交易中已发生和将发生的成本能够可靠地计量。</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80" w:top="1060" w:bottom="1160" w:left="980" w:right="940"/>
        </w:sectPr>
      </w:pPr>
    </w:p>
    <w:p>
      <w:pPr>
        <w:spacing w:line="240" w:lineRule="auto" w:before="8"/>
        <w:rPr>
          <w:rFonts w:ascii="宋体" w:hAnsi="宋体" w:cs="宋体" w:eastAsia="宋体" w:hint="default"/>
          <w:sz w:val="22"/>
          <w:szCs w:val="22"/>
        </w:rPr>
      </w:pPr>
    </w:p>
    <w:p>
      <w:pPr>
        <w:pStyle w:val="BodyText"/>
        <w:spacing w:line="357" w:lineRule="auto" w:before="44"/>
        <w:ind w:right="94" w:firstLine="360"/>
        <w:jc w:val="left"/>
        <w:rPr>
          <w:rFonts w:ascii="宋体" w:hAnsi="宋体" w:cs="宋体" w:eastAsia="宋体" w:hint="default"/>
        </w:rPr>
      </w:pPr>
      <w:r>
        <w:rPr>
          <w:spacing w:val="-2"/>
        </w:rPr>
        <w:t>按照已收或应收的合同或协议价款确定提供劳务收入总额，但已收或应收的合同或协议价款不公允的除外。资产负债表</w:t>
      </w:r>
      <w:r>
        <w:rPr/>
        <w:t> </w:t>
      </w:r>
      <w:r>
        <w:rPr>
          <w:spacing w:val="-4"/>
        </w:rPr>
        <w:t>日按照提供劳务收入总额乘以完工进度扣除以前会计期间累计已确认提供劳务收入后的金额，确认当期提供劳务收入；同时，</w:t>
      </w:r>
      <w:r>
        <w:rPr>
          <w:spacing w:val="-44"/>
        </w:rPr>
        <w:t> </w:t>
      </w:r>
      <w:r>
        <w:rPr>
          <w:spacing w:val="-44"/>
        </w:rPr>
      </w:r>
      <w:r>
        <w:rPr/>
        <w:t>按照提供劳务估计总成本乘以完工进度扣除以前会计期间累计已确认劳务成本后的金额，结转当期劳务成本。</w:t>
      </w:r>
      <w:r>
        <w:rPr>
          <w:rFonts w:ascii="宋体" w:hAnsi="宋体" w:cs="宋体" w:eastAsia="宋体" w:hint="default"/>
        </w:rPr>
        <w:t> </w:t>
      </w:r>
      <w:r>
        <w:rPr/>
        <w:t>在资产负债表日提供劳务交易结果不能够可靠估计的，分别下列情况处理：</w:t>
      </w:r>
      <w:r>
        <w:rPr>
          <w:rFonts w:ascii="宋体" w:hAnsi="宋体" w:cs="宋体" w:eastAsia="宋体" w:hint="default"/>
        </w:rPr>
        <w:t> </w:t>
      </w:r>
    </w:p>
    <w:p>
      <w:pPr>
        <w:pStyle w:val="BodyText"/>
        <w:spacing w:line="355" w:lineRule="auto" w:before="26"/>
        <w:ind w:right="184" w:firstLine="180"/>
        <w:jc w:val="left"/>
        <w:rPr>
          <w:rFonts w:ascii="宋体" w:hAnsi="宋体" w:cs="宋体" w:eastAsia="宋体" w:hint="default"/>
        </w:rPr>
      </w:pPr>
      <w:r>
        <w:rPr/>
        <w:t>（</w:t>
      </w:r>
      <w:r>
        <w:rPr>
          <w:rFonts w:ascii="宋体" w:hAnsi="宋体" w:cs="宋体" w:eastAsia="宋体" w:hint="default"/>
        </w:rPr>
        <w:t>1</w:t>
      </w:r>
      <w:r>
        <w:rPr/>
        <w:t>）已经发生的劳务成本预计能够得到补偿的，按照已经发生的劳务成本金额确认提供劳务收入，并按相同金额结转劳 务成本。</w:t>
      </w:r>
      <w:r>
        <w:rPr>
          <w:rFonts w:ascii="宋体" w:hAnsi="宋体" w:cs="宋体" w:eastAsia="宋体" w:hint="default"/>
        </w:rPr>
        <w:t> </w:t>
      </w:r>
    </w:p>
    <w:p>
      <w:pPr>
        <w:pStyle w:val="BodyText"/>
        <w:spacing w:line="357" w:lineRule="auto" w:before="28"/>
        <w:ind w:right="94" w:firstLine="180"/>
        <w:jc w:val="left"/>
        <w:rPr>
          <w:rFonts w:ascii="宋体" w:hAnsi="宋体" w:cs="宋体" w:eastAsia="宋体" w:hint="default"/>
        </w:rPr>
      </w:pPr>
      <w:r>
        <w:rPr/>
        <w:t>（</w:t>
      </w:r>
      <w:r>
        <w:rPr>
          <w:rFonts w:ascii="宋体" w:hAnsi="宋体" w:cs="宋体" w:eastAsia="宋体" w:hint="default"/>
        </w:rPr>
        <w:t>2</w:t>
      </w:r>
      <w:r>
        <w:rPr/>
        <w:t>）已经发生的劳务成本预计不能够得到补偿的，将已经发生的劳务成本计入当期损益，不确认提供劳务收入。</w:t>
      </w:r>
      <w:r>
        <w:rPr>
          <w:rFonts w:ascii="宋体" w:hAnsi="宋体" w:cs="宋体" w:eastAsia="宋体" w:hint="default"/>
        </w:rPr>
        <w:t> </w:t>
      </w:r>
      <w:r>
        <w:rPr/>
        <w:t>本公司与其他企业签订的合同或协议包括销售商品和提供劳务时，销售商品部分和提供劳务部分能够区分且能够单独计量 </w:t>
      </w:r>
      <w:r>
        <w:rPr>
          <w:spacing w:val="-4"/>
        </w:rPr>
        <w:t>的，将销售商品的部分作为销售商品处理，将提供劳务的部分作为提供劳务处理。销售商品部分和提供劳务部分不能够区分，</w:t>
      </w:r>
      <w:r>
        <w:rPr>
          <w:spacing w:val="-44"/>
        </w:rPr>
        <w:t> </w:t>
      </w:r>
      <w:r>
        <w:rPr>
          <w:spacing w:val="-44"/>
        </w:rPr>
      </w:r>
      <w:r>
        <w:rPr/>
        <w:t>或虽能区分但不能够单独计量的，将销售商品部分和提供劳务部分全部作为销售商品处理。</w:t>
      </w:r>
      <w:r>
        <w:rPr>
          <w:rFonts w:ascii="宋体" w:hAnsi="宋体" w:cs="宋体" w:eastAsia="宋体" w:hint="default"/>
        </w:rPr>
        <w:t> </w:t>
      </w:r>
    </w:p>
    <w:p>
      <w:pPr>
        <w:pStyle w:val="BodyText"/>
        <w:spacing w:line="357" w:lineRule="auto" w:before="26"/>
        <w:ind w:left="513" w:right="94"/>
        <w:jc w:val="left"/>
      </w:pPr>
      <w:r>
        <w:rPr>
          <w:rFonts w:ascii="宋体" w:hAnsi="宋体" w:cs="宋体" w:eastAsia="宋体" w:hint="default"/>
        </w:rPr>
        <w:t>4</w:t>
      </w:r>
      <w:r>
        <w:rPr/>
        <w:t>．附回购条件的资产转让</w:t>
      </w:r>
      <w:r>
        <w:rPr>
          <w:rFonts w:ascii="宋体" w:hAnsi="宋体" w:cs="宋体" w:eastAsia="宋体" w:hint="default"/>
        </w:rPr>
        <w:t> </w:t>
      </w:r>
      <w:r>
        <w:rPr>
          <w:spacing w:val="-2"/>
        </w:rPr>
        <w:t>公司销售产品或转让其他资产时，与购买方签订了所销售的产品或转让资产回购协议，根据协议条款判断销售商品是否</w:t>
      </w:r>
    </w:p>
    <w:p>
      <w:pPr>
        <w:pStyle w:val="BodyText"/>
        <w:spacing w:line="357" w:lineRule="auto" w:before="27"/>
        <w:ind w:right="94"/>
        <w:jc w:val="left"/>
        <w:rPr>
          <w:rFonts w:ascii="宋体" w:hAnsi="宋体" w:cs="宋体" w:eastAsia="宋体" w:hint="default"/>
        </w:rPr>
      </w:pPr>
      <w:r>
        <w:rPr>
          <w:spacing w:val="-2"/>
        </w:rPr>
        <w:t>满足收入确认条件。如售后回购属于融资交易，则在交付产品或资产时，本公司不确认销售收入。回购价款大于销售价款的</w:t>
      </w:r>
      <w:r>
        <w:rPr>
          <w:spacing w:val="-65"/>
        </w:rPr>
        <w:t> </w:t>
      </w:r>
      <w:r>
        <w:rPr>
          <w:spacing w:val="-65"/>
        </w:rPr>
      </w:r>
      <w:r>
        <w:rPr/>
        <w:t>差额，在回购期间按期计提利息，计入财务费用。</w:t>
      </w:r>
      <w:r>
        <w:rPr>
          <w:rFonts w:ascii="宋体" w:hAnsi="宋体" w:cs="宋体" w:eastAsia="宋体" w:hint="default"/>
        </w:rPr>
        <w:t> </w:t>
      </w:r>
    </w:p>
    <w:p>
      <w:pPr>
        <w:pStyle w:val="BodyText"/>
        <w:spacing w:line="355" w:lineRule="auto" w:before="26"/>
        <w:ind w:left="513" w:right="634"/>
        <w:jc w:val="left"/>
        <w:rPr>
          <w:rFonts w:ascii="宋体" w:hAnsi="宋体" w:cs="宋体" w:eastAsia="宋体" w:hint="default"/>
        </w:rPr>
      </w:pPr>
      <w:r>
        <w:rPr>
          <w:rFonts w:ascii="宋体" w:hAnsi="宋体" w:cs="宋体" w:eastAsia="宋体" w:hint="default"/>
        </w:rPr>
        <w:t>5.</w:t>
      </w:r>
      <w:r>
        <w:rPr/>
        <w:t>顺为广告收入确认方法</w:t>
      </w:r>
      <w:r>
        <w:rPr>
          <w:rFonts w:ascii="宋体" w:hAnsi="宋体" w:cs="宋体" w:eastAsia="宋体" w:hint="default"/>
        </w:rPr>
        <w:t> </w:t>
      </w:r>
      <w:r>
        <w:rPr/>
        <w:t>顺为广告的营业收入类别主要分为互联网媒体营销服务收入和社会化媒体营销服务收入等。</w:t>
      </w:r>
      <w:r>
        <w:rPr>
          <w:rFonts w:ascii="宋体" w:hAnsi="宋体" w:cs="宋体" w:eastAsia="宋体" w:hint="default"/>
        </w:rPr>
        <w:t> </w:t>
      </w:r>
    </w:p>
    <w:p>
      <w:pPr>
        <w:pStyle w:val="BodyText"/>
        <w:spacing w:line="357" w:lineRule="auto" w:before="28"/>
        <w:ind w:left="513" w:right="183" w:hanging="181"/>
        <w:jc w:val="left"/>
      </w:pPr>
      <w:r>
        <w:rPr/>
        <w:t>（</w:t>
      </w:r>
      <w:r>
        <w:rPr>
          <w:rFonts w:ascii="宋体" w:hAnsi="宋体" w:cs="宋体" w:eastAsia="宋体" w:hint="default"/>
        </w:rPr>
        <w:t>1</w:t>
      </w:r>
      <w:r>
        <w:rPr/>
        <w:t>）互联网媒体营销服务收入的具体确认标准</w:t>
      </w:r>
      <w:r>
        <w:rPr>
          <w:rFonts w:ascii="宋体" w:hAnsi="宋体" w:cs="宋体" w:eastAsia="宋体" w:hint="default"/>
        </w:rPr>
        <w:t> </w:t>
      </w:r>
      <w:r>
        <w:rPr/>
        <w:t>顺为广告根据客户所需的服务内容、客户投放的金额预算、预计的媒介购买成本、预计所需人力</w:t>
      </w:r>
      <w:r>
        <w:rPr>
          <w:rFonts w:ascii="宋体" w:hAnsi="宋体" w:cs="宋体" w:eastAsia="宋体" w:hint="default"/>
        </w:rPr>
        <w:t>/</w:t>
      </w:r>
      <w:r>
        <w:rPr/>
        <w:t>物力等因素，综合确</w:t>
      </w:r>
    </w:p>
    <w:p>
      <w:pPr>
        <w:pStyle w:val="BodyText"/>
        <w:spacing w:line="240" w:lineRule="auto" w:before="26"/>
        <w:ind w:right="254"/>
        <w:jc w:val="left"/>
        <w:rPr>
          <w:rFonts w:ascii="宋体" w:hAnsi="宋体" w:cs="宋体" w:eastAsia="宋体" w:hint="default"/>
        </w:rPr>
      </w:pPr>
      <w:r>
        <w:rPr/>
        <w:t>定服务报价。</w:t>
      </w:r>
      <w:r>
        <w:rPr>
          <w:rFonts w:ascii="宋体" w:hAnsi="宋体" w:cs="宋体" w:eastAsia="宋体" w:hint="default"/>
        </w:rPr>
        <w:t> </w:t>
      </w:r>
    </w:p>
    <w:p>
      <w:pPr>
        <w:pStyle w:val="BodyText"/>
        <w:spacing w:line="357" w:lineRule="auto" w:before="115"/>
        <w:ind w:right="94" w:firstLine="360"/>
        <w:jc w:val="left"/>
        <w:rPr>
          <w:rFonts w:ascii="宋体" w:hAnsi="宋体" w:cs="宋体" w:eastAsia="宋体" w:hint="default"/>
        </w:rPr>
      </w:pPr>
      <w:r>
        <w:rPr>
          <w:spacing w:val="-2"/>
        </w:rPr>
        <w:t>顺为广告主要通过招投标程序或议标方式获取订单，并签订互联网媒体营销服务年度框架合同或根据客户要求签订单笔</w:t>
      </w:r>
      <w:r>
        <w:rPr/>
        <w:t> </w:t>
      </w:r>
      <w:r>
        <w:rPr>
          <w:spacing w:val="-4"/>
        </w:rPr>
        <w:t>服务合同，该框架服务合同约定服务内容、服务期限、结算方式等相关内容，单笔合同约定服务内容、服务期限、结算方式、</w:t>
      </w:r>
      <w:r>
        <w:rPr>
          <w:spacing w:val="-44"/>
        </w:rPr>
        <w:t> </w:t>
      </w:r>
      <w:r>
        <w:rPr>
          <w:spacing w:val="-44"/>
        </w:rPr>
      </w:r>
      <w:r>
        <w:rPr/>
        <w:t>合同金额等相关内容。合同约定，顺为广告所提供服务内容最终以双方确认的排期单为准，排期单上将列明拟投放的媒体、 位置、时间等具体要素。</w:t>
      </w:r>
      <w:r>
        <w:rPr>
          <w:rFonts w:ascii="宋体" w:hAnsi="宋体" w:cs="宋体" w:eastAsia="宋体" w:hint="default"/>
        </w:rPr>
        <w:t> </w:t>
      </w:r>
    </w:p>
    <w:p>
      <w:pPr>
        <w:pStyle w:val="BodyText"/>
        <w:spacing w:line="357" w:lineRule="auto" w:before="27"/>
        <w:ind w:right="94" w:firstLine="360"/>
        <w:jc w:val="left"/>
        <w:rPr>
          <w:rFonts w:ascii="宋体" w:hAnsi="宋体" w:cs="宋体" w:eastAsia="宋体" w:hint="default"/>
        </w:rPr>
      </w:pPr>
      <w:r>
        <w:rPr/>
        <w:t>根据框架合同或单笔合同，在单次投放前，客户首先提出单次营销需求，顺为广告进行综合分析并提出单次营销策略， 客户确认执行方案形成双方认可的可执行排期单，顺为广告根据排期单进行广告投放，投放过程包括素材制作、媒介购买、 </w:t>
      </w:r>
      <w:r>
        <w:rPr>
          <w:spacing w:val="-2"/>
        </w:rPr>
        <w:t>投放执行等。广告投放后，顺为广告将对广告投放效果进行监控，如需对广告位置和投放时间进行优化，则与客户确定新的</w:t>
      </w:r>
      <w:r>
        <w:rPr>
          <w:spacing w:val="-64"/>
        </w:rPr>
        <w:t> </w:t>
      </w:r>
      <w:r>
        <w:rPr>
          <w:spacing w:val="-64"/>
        </w:rPr>
      </w:r>
      <w:r>
        <w:rPr>
          <w:spacing w:val="-2"/>
        </w:rPr>
        <w:t>排期单，如需对广告内容进行优化，则在客户认可的情况下更换投放内容。单次投放结束后，公司按照客户要求向客户提交</w:t>
      </w:r>
      <w:r>
        <w:rPr>
          <w:spacing w:val="-65"/>
        </w:rPr>
        <w:t> </w:t>
      </w:r>
      <w:r>
        <w:rPr>
          <w:spacing w:val="-65"/>
        </w:rPr>
      </w:r>
      <w:r>
        <w:rPr/>
        <w:t>单次投放报告，客户根据顺为广告所实际执行的排期单与顺为广告进行结算。</w:t>
      </w:r>
      <w:r>
        <w:rPr>
          <w:rFonts w:ascii="宋体" w:hAnsi="宋体" w:cs="宋体" w:eastAsia="宋体" w:hint="default"/>
        </w:rPr>
        <w:t> </w:t>
      </w:r>
    </w:p>
    <w:p>
      <w:pPr>
        <w:pStyle w:val="BodyText"/>
        <w:spacing w:line="357" w:lineRule="auto" w:before="26"/>
        <w:ind w:right="94" w:firstLine="360"/>
        <w:jc w:val="left"/>
        <w:rPr>
          <w:rFonts w:ascii="宋体" w:hAnsi="宋体" w:cs="宋体" w:eastAsia="宋体" w:hint="default"/>
        </w:rPr>
      </w:pPr>
      <w:r>
        <w:rPr>
          <w:spacing w:val="-2"/>
        </w:rPr>
        <w:t>顺为广告与客户协商确定排期单，对已按照排期单完成媒体投放且相关成本能够可靠计量时，按照已执行的排期单所确</w:t>
      </w:r>
      <w:r>
        <w:rPr/>
        <w:t> 定的金额确认当期收入。</w:t>
      </w:r>
      <w:r>
        <w:rPr>
          <w:rFonts w:ascii="宋体" w:hAnsi="宋体" w:cs="宋体" w:eastAsia="宋体" w:hint="default"/>
        </w:rPr>
        <w:t> </w:t>
      </w:r>
    </w:p>
    <w:p>
      <w:pPr>
        <w:pStyle w:val="BodyText"/>
        <w:spacing w:line="357" w:lineRule="auto" w:before="26"/>
        <w:ind w:left="513" w:right="94" w:hanging="181"/>
        <w:jc w:val="left"/>
      </w:pPr>
      <w:r>
        <w:rPr/>
        <w:t>（</w:t>
      </w:r>
      <w:r>
        <w:rPr>
          <w:rFonts w:ascii="宋体" w:hAnsi="宋体" w:cs="宋体" w:eastAsia="宋体" w:hint="default"/>
        </w:rPr>
        <w:t>2</w:t>
      </w:r>
      <w:r>
        <w:rPr/>
        <w:t>）社会化媒体营销业务收入的具体确认标准</w:t>
      </w:r>
      <w:r>
        <w:rPr>
          <w:rFonts w:ascii="宋体" w:hAnsi="宋体" w:cs="宋体" w:eastAsia="宋体" w:hint="default"/>
        </w:rPr>
        <w:t> </w:t>
      </w:r>
      <w:r>
        <w:rPr>
          <w:spacing w:val="-2"/>
        </w:rPr>
        <w:t>顺为广告根据客户所要求的服务范围、服务内容、服务时间等，预计需投入的人力、物力成本等因素，综合确定服务报</w:t>
      </w:r>
    </w:p>
    <w:p>
      <w:pPr>
        <w:pStyle w:val="BodyText"/>
        <w:spacing w:line="357" w:lineRule="auto" w:before="26"/>
        <w:ind w:right="94"/>
        <w:jc w:val="left"/>
        <w:rPr>
          <w:rFonts w:ascii="宋体" w:hAnsi="宋体" w:cs="宋体" w:eastAsia="宋体" w:hint="default"/>
        </w:rPr>
      </w:pPr>
      <w:r>
        <w:rPr/>
        <w:t>价。</w:t>
      </w:r>
      <w:r>
        <w:rPr>
          <w:rFonts w:ascii="宋体" w:hAnsi="宋体" w:cs="宋体" w:eastAsia="宋体" w:hint="default"/>
        </w:rPr>
        <w:t> </w:t>
      </w:r>
      <w:r>
        <w:rPr>
          <w:spacing w:val="-2"/>
        </w:rPr>
        <w:t>在提供服务前，顺为广告将与客户协商确定服务内容、范围并签署服务合同。服务提供完毕并结案后，顺为广告将根据服务</w:t>
      </w:r>
      <w:r>
        <w:rPr>
          <w:spacing w:val="-65"/>
        </w:rPr>
        <w:t> </w:t>
      </w:r>
      <w:r>
        <w:rPr>
          <w:spacing w:val="-65"/>
        </w:rPr>
      </w:r>
      <w:r>
        <w:rPr/>
        <w:t>合同确定的服务报价确认收入。</w:t>
      </w:r>
      <w:r>
        <w:rPr>
          <w:rFonts w:ascii="宋体" w:hAnsi="宋体" w:cs="宋体" w:eastAsia="宋体" w:hint="default"/>
        </w:rPr>
        <w:t> </w:t>
      </w:r>
    </w:p>
    <w:p>
      <w:pPr>
        <w:pStyle w:val="BodyText"/>
        <w:spacing w:line="357" w:lineRule="auto" w:before="24"/>
        <w:ind w:left="513" w:right="94"/>
        <w:jc w:val="left"/>
      </w:pPr>
      <w:r>
        <w:rPr>
          <w:rFonts w:ascii="宋体" w:hAnsi="宋体" w:cs="宋体" w:eastAsia="宋体" w:hint="default"/>
        </w:rPr>
        <w:t>6.</w:t>
      </w:r>
      <w:r>
        <w:rPr/>
        <w:t>奇思广告收入确认方法</w:t>
      </w:r>
      <w:r>
        <w:rPr>
          <w:rFonts w:ascii="宋体" w:hAnsi="宋体" w:cs="宋体" w:eastAsia="宋体" w:hint="default"/>
        </w:rPr>
        <w:t> </w:t>
      </w:r>
      <w:r>
        <w:rPr/>
        <w:t>奇思广告的营业收入类别主要分为创意策略类服务收入、广告制作类服务收入和互联网整合营销服务收入等。</w:t>
      </w:r>
      <w:r>
        <w:rPr>
          <w:rFonts w:ascii="宋体" w:hAnsi="宋体" w:cs="宋体" w:eastAsia="宋体" w:hint="default"/>
        </w:rPr>
        <w:t> </w:t>
      </w:r>
      <w:r>
        <w:rPr>
          <w:spacing w:val="-4"/>
        </w:rPr>
        <w:t>创意策略类服务收入具体确认标准：第一种情况，奇思广告承接业务后，与客户签订合同，根据客户要求提供广告创意、</w:t>
      </w:r>
    </w:p>
    <w:p>
      <w:pPr>
        <w:pStyle w:val="BodyText"/>
        <w:spacing w:line="357" w:lineRule="auto" w:before="26"/>
        <w:ind w:right="94"/>
        <w:jc w:val="left"/>
      </w:pPr>
      <w:r>
        <w:rPr>
          <w:spacing w:val="-4"/>
        </w:rPr>
        <w:t>策略类服务，按月收取固定服务费，在月度周期结束并经客户确认无异议后，确认收入。第二种情况，奇思广告承接业务后，</w:t>
      </w:r>
      <w:r>
        <w:rPr>
          <w:spacing w:val="-42"/>
        </w:rPr>
        <w:t> </w:t>
      </w:r>
      <w:r>
        <w:rPr>
          <w:spacing w:val="-42"/>
        </w:rPr>
      </w:r>
      <w:r>
        <w:rPr>
          <w:spacing w:val="-2"/>
        </w:rPr>
        <w:t>与客户签订合同或订单，根据客户要求提供广告创意、策略类服务，按具体项目收取固定服务费，在项目完成并经客户确认</w:t>
      </w:r>
    </w:p>
    <w:p>
      <w:pPr>
        <w:spacing w:after="0" w:line="357" w:lineRule="auto"/>
        <w:jc w:val="left"/>
        <w:sectPr>
          <w:pgSz w:w="11910" w:h="16840"/>
          <w:pgMar w:header="745" w:footer="980" w:top="1060" w:bottom="1160" w:left="980" w:right="940"/>
        </w:sectPr>
      </w:pPr>
    </w:p>
    <w:p>
      <w:pPr>
        <w:spacing w:line="240" w:lineRule="auto" w:before="8"/>
        <w:rPr>
          <w:rFonts w:ascii="宋体" w:hAnsi="宋体" w:cs="宋体" w:eastAsia="宋体" w:hint="default"/>
          <w:sz w:val="22"/>
          <w:szCs w:val="22"/>
        </w:rPr>
      </w:pPr>
    </w:p>
    <w:p>
      <w:pPr>
        <w:pStyle w:val="BodyText"/>
        <w:spacing w:line="357" w:lineRule="auto" w:before="44"/>
        <w:ind w:left="513" w:right="93" w:hanging="361"/>
        <w:jc w:val="left"/>
      </w:pPr>
      <w:r>
        <w:rPr/>
        <w:t>无异议后，确认收入。</w:t>
      </w:r>
      <w:r>
        <w:rPr>
          <w:rFonts w:ascii="宋体" w:hAnsi="宋体" w:cs="宋体" w:eastAsia="宋体" w:hint="default"/>
        </w:rPr>
        <w:t> </w:t>
      </w:r>
      <w:r>
        <w:rPr/>
        <w:t>广告制作类服务收入具体确认标准：奇思广告承接业务后，根据客户要求制作电视、平面广告或提供其他相关服务等，</w:t>
      </w:r>
    </w:p>
    <w:p>
      <w:pPr>
        <w:pStyle w:val="BodyText"/>
        <w:spacing w:line="357" w:lineRule="auto" w:before="26"/>
        <w:ind w:right="94"/>
        <w:jc w:val="left"/>
        <w:rPr>
          <w:rFonts w:ascii="宋体" w:hAnsi="宋体" w:cs="宋体" w:eastAsia="宋体" w:hint="default"/>
        </w:rPr>
      </w:pPr>
      <w:r>
        <w:rPr/>
        <w:t>根据约定完成相应的制作内容，并按照验收要求提交客户审核，在项目完成并经客户确认无异议后，确认收入。</w:t>
      </w:r>
      <w:r>
        <w:rPr>
          <w:rFonts w:ascii="宋体" w:hAnsi="宋体" w:cs="宋体" w:eastAsia="宋体" w:hint="default"/>
        </w:rPr>
        <w:t> </w:t>
      </w:r>
      <w:r>
        <w:rPr/>
        <w:t>互联网整合营销服务收入具体确认标准：奇思广告承接业务后，与客户签订合同或订单，根据客户要求提供包括营销策略、 创意设计、内容制作、线上投放与线下活动策划执行服务，在项目完成并经客户确认无异议后，确认收入。</w:t>
      </w:r>
      <w:r>
        <w:rPr>
          <w:rFonts w:ascii="宋体" w:hAnsi="宋体" w:cs="宋体" w:eastAsia="宋体" w:hint="default"/>
        </w:rPr>
        <w:t> </w:t>
      </w:r>
    </w:p>
    <w:p>
      <w:pPr>
        <w:pStyle w:val="BodyText"/>
        <w:spacing w:line="357" w:lineRule="auto" w:before="24"/>
        <w:ind w:left="513" w:right="634"/>
        <w:jc w:val="left"/>
        <w:rPr>
          <w:rFonts w:ascii="宋体" w:hAnsi="宋体" w:cs="宋体" w:eastAsia="宋体" w:hint="default"/>
        </w:rPr>
      </w:pPr>
      <w:r>
        <w:rPr>
          <w:rFonts w:ascii="宋体" w:hAnsi="宋体" w:cs="宋体" w:eastAsia="宋体" w:hint="default"/>
        </w:rPr>
        <w:t>7.</w:t>
      </w:r>
      <w:r>
        <w:rPr/>
        <w:t>利宣广告收入确认方法</w:t>
      </w:r>
      <w:r>
        <w:rPr>
          <w:rFonts w:ascii="宋体" w:hAnsi="宋体" w:cs="宋体" w:eastAsia="宋体" w:hint="default"/>
        </w:rPr>
        <w:t> </w:t>
      </w:r>
      <w:r>
        <w:rPr/>
        <w:t>利宣广告的营业收入类别主要分为社会化媒体营销服务收入和其他媒体营销服务收入等。</w:t>
      </w:r>
      <w:r>
        <w:rPr>
          <w:rFonts w:ascii="宋体" w:hAnsi="宋体" w:cs="宋体" w:eastAsia="宋体" w:hint="default"/>
        </w:rPr>
        <w:t> </w:t>
      </w:r>
    </w:p>
    <w:p>
      <w:pPr>
        <w:pStyle w:val="BodyText"/>
        <w:spacing w:line="357" w:lineRule="auto" w:before="26"/>
        <w:ind w:right="190" w:firstLine="360"/>
        <w:jc w:val="both"/>
        <w:rPr>
          <w:rFonts w:ascii="宋体" w:hAnsi="宋体" w:cs="宋体" w:eastAsia="宋体" w:hint="default"/>
        </w:rPr>
      </w:pPr>
      <w:r>
        <w:rPr>
          <w:spacing w:val="-2"/>
        </w:rPr>
        <w:t>社会化媒体营销服务收入的具体确认标准：利宣广告承接业务后，与客户签订相应的合同，按照客户要求对特定品牌形</w:t>
      </w:r>
      <w:r>
        <w:rPr/>
        <w:t> </w:t>
      </w:r>
      <w:r>
        <w:rPr>
          <w:spacing w:val="-2"/>
        </w:rPr>
        <w:t>象或产品进行媒体传播、推广，为客户提供社会化媒体、自媒体等方面的创意及内容的制作、发布、维护和优化等服务，并</w:t>
      </w:r>
      <w:r>
        <w:rPr>
          <w:spacing w:val="-68"/>
        </w:rPr>
        <w:t> </w:t>
      </w:r>
      <w:r>
        <w:rPr>
          <w:spacing w:val="-68"/>
        </w:rPr>
      </w:r>
      <w:r>
        <w:rPr/>
        <w:t>按照合同约定周期或内容形成相应工作量数据，客户确认无异议并经利宣广告财务部门核实后确认收入。</w:t>
      </w:r>
      <w:r>
        <w:rPr>
          <w:rFonts w:ascii="宋体" w:hAnsi="宋体" w:cs="宋体" w:eastAsia="宋体" w:hint="default"/>
        </w:rPr>
        <w:t> </w:t>
      </w:r>
    </w:p>
    <w:p>
      <w:pPr>
        <w:pStyle w:val="BodyText"/>
        <w:spacing w:line="357" w:lineRule="auto" w:before="26"/>
        <w:ind w:right="190" w:firstLine="360"/>
        <w:jc w:val="both"/>
        <w:rPr>
          <w:rFonts w:ascii="宋体" w:hAnsi="宋体" w:cs="宋体" w:eastAsia="宋体" w:hint="default"/>
        </w:rPr>
      </w:pPr>
      <w:r>
        <w:rPr>
          <w:spacing w:val="-2"/>
        </w:rPr>
        <w:t>其他媒体营销服务收入的具体确认标准：利宣广告承接业务后，与客户签订相应的合同，根据客户营销需求，由利宣广</w:t>
      </w:r>
      <w:r>
        <w:rPr/>
        <w:t> </w:t>
      </w:r>
      <w:r>
        <w:rPr>
          <w:spacing w:val="-2"/>
        </w:rPr>
        <w:t>告与媒体沟通并编制媒介排期表同时提供相应的营销服务。广告发布后，利宣广告定期收集投放数据信息送客户核实，经客</w:t>
      </w:r>
      <w:r>
        <w:rPr>
          <w:spacing w:val="-63"/>
        </w:rPr>
        <w:t> </w:t>
      </w:r>
      <w:r>
        <w:rPr>
          <w:spacing w:val="-63"/>
        </w:rPr>
      </w:r>
      <w:r>
        <w:rPr/>
        <w:t>户确认无异议且相关成本能够可靠计量时，根据双方签订的合同金额及按照执行排期表上的排期金额，确认收入。</w:t>
      </w:r>
      <w:r>
        <w:rPr>
          <w:rFonts w:ascii="宋体" w:hAnsi="宋体" w:cs="宋体" w:eastAsia="宋体" w:hint="default"/>
        </w:rPr>
        <w:t> </w:t>
      </w:r>
    </w:p>
    <w:p>
      <w:pPr>
        <w:spacing w:line="240" w:lineRule="auto" w:before="13"/>
        <w:rPr>
          <w:rFonts w:ascii="宋体" w:hAnsi="宋体" w:cs="宋体" w:eastAsia="宋体" w:hint="default"/>
          <w:sz w:val="24"/>
          <w:szCs w:val="24"/>
        </w:rPr>
      </w:pPr>
    </w:p>
    <w:p>
      <w:pPr>
        <w:pStyle w:val="Heading5"/>
        <w:spacing w:line="240" w:lineRule="auto"/>
        <w:ind w:right="254"/>
        <w:jc w:val="left"/>
        <w:rPr>
          <w:rFonts w:ascii="宋体" w:hAnsi="宋体" w:cs="宋体" w:eastAsia="宋体" w:hint="default"/>
          <w:b w:val="0"/>
          <w:bCs w:val="0"/>
        </w:rPr>
      </w:pPr>
      <w:r>
        <w:rPr>
          <w:rFonts w:ascii="宋体" w:hAnsi="宋体" w:cs="宋体" w:eastAsia="宋体" w:hint="default"/>
        </w:rPr>
        <w:t>27</w:t>
      </w:r>
      <w:r>
        <w:rPr/>
        <w:t>、政府补助</w:t>
      </w:r>
      <w:r>
        <w:rPr>
          <w:rFonts w:ascii="宋体" w:hAnsi="宋体" w:cs="宋体" w:eastAsia="宋体" w:hint="default"/>
          <w:w w:val="99"/>
        </w:rPr>
        <w:t> </w:t>
      </w:r>
      <w:r>
        <w:rPr>
          <w:rFonts w:ascii="宋体" w:hAnsi="宋体" w:cs="宋体" w:eastAsia="宋体" w:hint="default"/>
          <w:b w:val="0"/>
          <w:bCs w:val="0"/>
        </w:rPr>
      </w:r>
    </w:p>
    <w:p>
      <w:pPr>
        <w:spacing w:line="640" w:lineRule="atLeast" w:before="10"/>
        <w:ind w:left="513" w:right="94" w:hanging="36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）与资产相关的政府补助判断依据及会计处理方法</w:t>
      </w:r>
      <w:r>
        <w:rPr>
          <w:rFonts w:ascii="宋体" w:hAnsi="宋体" w:cs="宋体" w:eastAsia="宋体" w:hint="default"/>
          <w:b/>
          <w:bCs/>
          <w:w w:val="99"/>
          <w:sz w:val="18"/>
          <w:szCs w:val="18"/>
        </w:rPr>
        <w:t> </w:t>
      </w:r>
      <w:r>
        <w:rPr>
          <w:rFonts w:ascii="宋体" w:hAnsi="宋体" w:cs="宋体" w:eastAsia="宋体" w:hint="default"/>
          <w:spacing w:val="-4"/>
          <w:sz w:val="18"/>
          <w:szCs w:val="18"/>
        </w:rPr>
        <w:t>与资产相关的政府补助，是指本公司取得的、用于购建或以其他方式形成长期资产的政府补助。与资产相关的政府补助，</w:t>
      </w:r>
    </w:p>
    <w:p>
      <w:pPr>
        <w:pStyle w:val="BodyText"/>
        <w:spacing w:line="240" w:lineRule="auto" w:before="115"/>
        <w:ind w:right="254"/>
        <w:jc w:val="left"/>
        <w:rPr>
          <w:rFonts w:ascii="宋体" w:hAnsi="宋体" w:cs="宋体" w:eastAsia="宋体" w:hint="default"/>
        </w:rPr>
      </w:pPr>
      <w:r>
        <w:rPr/>
        <w:t>确认为递延收益，按照所建造或购买的资产使用年限内按照合理、系统的方法分期计入损益；</w:t>
      </w:r>
      <w:r>
        <w:rPr>
          <w:rFonts w:ascii="宋体" w:hAnsi="宋体" w:cs="宋体" w:eastAsia="宋体" w:hint="default"/>
        </w:rPr>
        <w:t> </w:t>
      </w:r>
    </w:p>
    <w:p>
      <w:pPr>
        <w:spacing w:line="650" w:lineRule="atLeast" w:before="0"/>
        <w:ind w:left="513" w:right="94" w:hanging="36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）与收益相关的政府补助判断依据及会计处理方法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与收益相关的政府补助，是指除与资产相关的政府补助之外的政府补助。与收益相关的政府补助，用于补偿企业以后期</w:t>
      </w:r>
    </w:p>
    <w:p>
      <w:pPr>
        <w:pStyle w:val="BodyText"/>
        <w:spacing w:line="357" w:lineRule="auto" w:before="115"/>
        <w:ind w:right="94"/>
        <w:jc w:val="left"/>
        <w:rPr>
          <w:rFonts w:ascii="宋体" w:hAnsi="宋体" w:cs="宋体" w:eastAsia="宋体" w:hint="default"/>
        </w:rPr>
      </w:pPr>
      <w:r>
        <w:rPr>
          <w:spacing w:val="-2"/>
        </w:rPr>
        <w:t>间的相关费用或损失的，确认为递延收益，在确认相关费用或损失的期间计入当期损益；用于补偿企业已发生的相关费用或</w:t>
      </w:r>
      <w:r>
        <w:rPr>
          <w:spacing w:val="-63"/>
        </w:rPr>
        <w:t> </w:t>
      </w:r>
      <w:r>
        <w:rPr>
          <w:spacing w:val="-63"/>
        </w:rPr>
      </w:r>
      <w:r>
        <w:rPr/>
        <w:t>损失的，取得时直接计入当期损益。</w:t>
      </w:r>
      <w:r>
        <w:rPr>
          <w:rFonts w:ascii="宋体" w:hAnsi="宋体" w:cs="宋体" w:eastAsia="宋体" w:hint="default"/>
        </w:rPr>
        <w:t> </w:t>
      </w:r>
    </w:p>
    <w:p>
      <w:pPr>
        <w:pStyle w:val="BodyText"/>
        <w:spacing w:line="240" w:lineRule="auto" w:before="26"/>
        <w:ind w:left="513" w:right="254"/>
        <w:jc w:val="left"/>
        <w:rPr>
          <w:rFonts w:ascii="宋体" w:hAnsi="宋体" w:cs="宋体" w:eastAsia="宋体" w:hint="default"/>
        </w:rPr>
      </w:pPr>
      <w:r>
        <w:rPr/>
        <w:t>与企业日常活动相关的政府补助计入其他收益；与企业日常活动无关的政府补助计入营业外收支。</w:t>
      </w:r>
      <w:r>
        <w:rPr>
          <w:rFonts w:ascii="宋体" w:hAnsi="宋体" w:cs="宋体" w:eastAsia="宋体" w:hint="default"/>
        </w:rPr>
        <w:t> </w:t>
      </w:r>
    </w:p>
    <w:p>
      <w:pPr>
        <w:spacing w:line="650" w:lineRule="atLeast" w:before="0"/>
        <w:ind w:left="513" w:right="7114" w:hanging="36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）类型及政府补助的确认</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）类型</w:t>
      </w:r>
      <w:r>
        <w:rPr>
          <w:rFonts w:ascii="宋体" w:hAnsi="宋体" w:cs="宋体" w:eastAsia="宋体" w:hint="default"/>
          <w:sz w:val="18"/>
          <w:szCs w:val="18"/>
        </w:rPr>
        <w:t> </w:t>
      </w:r>
    </w:p>
    <w:p>
      <w:pPr>
        <w:pStyle w:val="BodyText"/>
        <w:spacing w:line="355" w:lineRule="auto" w:before="115"/>
        <w:ind w:right="189" w:firstLine="360"/>
        <w:jc w:val="both"/>
        <w:rPr>
          <w:rFonts w:ascii="宋体" w:hAnsi="宋体" w:cs="宋体" w:eastAsia="宋体" w:hint="default"/>
        </w:rPr>
      </w:pPr>
      <w:r>
        <w:rPr>
          <w:spacing w:val="-2"/>
        </w:rPr>
        <w:t>政府补助，是本公司从政府无偿取得的货币性资产与非货币性资产。根据相关政府文件规定的补助对象，将政府补助划</w:t>
      </w:r>
      <w:r>
        <w:rPr/>
        <w:t> 分为与资产相关的政府补助和与收益相关的政府补助。</w:t>
      </w:r>
      <w:r>
        <w:rPr>
          <w:rFonts w:ascii="宋体" w:hAnsi="宋体" w:cs="宋体" w:eastAsia="宋体" w:hint="default"/>
        </w:rPr>
        <w:t> </w:t>
      </w:r>
    </w:p>
    <w:p>
      <w:pPr>
        <w:pStyle w:val="BodyText"/>
        <w:spacing w:line="357" w:lineRule="auto" w:before="28"/>
        <w:ind w:right="192" w:firstLine="360"/>
        <w:jc w:val="both"/>
        <w:rPr>
          <w:rFonts w:ascii="宋体" w:hAnsi="宋体" w:cs="宋体" w:eastAsia="宋体" w:hint="default"/>
        </w:rPr>
      </w:pPr>
      <w:r>
        <w:rPr>
          <w:spacing w:val="-2"/>
        </w:rPr>
        <w:t>对于政府文件未明确补助对象的政府补助，公司根据实际补助对象划分为与资产相关的政府补助或与收益相关的政府补</w:t>
      </w:r>
      <w:r>
        <w:rPr/>
        <w:t> 助，相关判断依据说明详见本财务报表附注五之递延收益</w:t>
      </w:r>
      <w:r>
        <w:rPr>
          <w:rFonts w:ascii="宋体" w:hAnsi="宋体" w:cs="宋体" w:eastAsia="宋体" w:hint="default"/>
        </w:rPr>
        <w:t>/</w:t>
      </w:r>
      <w:r>
        <w:rPr/>
        <w:t>营业外收入</w:t>
      </w:r>
      <w:r>
        <w:rPr>
          <w:rFonts w:ascii="宋体" w:hAnsi="宋体" w:cs="宋体" w:eastAsia="宋体" w:hint="default"/>
        </w:rPr>
        <w:t>/</w:t>
      </w:r>
      <w:r>
        <w:rPr/>
        <w:t>其他收益项目注释。</w:t>
      </w:r>
      <w:r>
        <w:rPr>
          <w:rFonts w:ascii="宋体" w:hAnsi="宋体" w:cs="宋体" w:eastAsia="宋体" w:hint="default"/>
        </w:rPr>
        <w:t> </w:t>
      </w:r>
    </w:p>
    <w:p>
      <w:pPr>
        <w:pStyle w:val="BodyText"/>
        <w:spacing w:line="357" w:lineRule="auto" w:before="27"/>
        <w:ind w:right="103" w:firstLine="360"/>
        <w:jc w:val="both"/>
        <w:rPr>
          <w:rFonts w:ascii="宋体" w:hAnsi="宋体" w:cs="宋体" w:eastAsia="宋体" w:hint="default"/>
        </w:rPr>
      </w:pPr>
      <w:r>
        <w:rPr>
          <w:spacing w:val="-4"/>
        </w:rPr>
        <w:t>与资产相关的政府补助，是指本公司取得的、用于购建或以其他方式形成长期资产的政府补助。与收益相关的政府补助，</w:t>
      </w:r>
      <w:r>
        <w:rPr/>
        <w:t> 是指除与资产相关的政府补助之外的政府补助。</w:t>
      </w:r>
      <w:r>
        <w:rPr>
          <w:rFonts w:ascii="宋体" w:hAnsi="宋体" w:cs="宋体" w:eastAsia="宋体" w:hint="default"/>
        </w:rPr>
        <w:t> </w:t>
      </w:r>
    </w:p>
    <w:p>
      <w:pPr>
        <w:pStyle w:val="BodyText"/>
        <w:spacing w:line="357" w:lineRule="auto" w:before="26"/>
        <w:ind w:left="513" w:right="94"/>
        <w:jc w:val="left"/>
      </w:pPr>
      <w:r>
        <w:rPr>
          <w:rFonts w:ascii="宋体" w:hAnsi="宋体" w:cs="宋体" w:eastAsia="宋体" w:hint="default"/>
        </w:rPr>
        <w:t>2</w:t>
      </w:r>
      <w:r>
        <w:rPr/>
        <w:t>）政府补助的确认</w:t>
      </w:r>
      <w:r>
        <w:rPr>
          <w:rFonts w:ascii="宋体" w:hAnsi="宋体" w:cs="宋体" w:eastAsia="宋体" w:hint="default"/>
        </w:rPr>
        <w:t> </w:t>
      </w:r>
      <w:r>
        <w:rPr>
          <w:spacing w:val="-2"/>
        </w:rPr>
        <w:t>对期末有证据表明公司能够符合财政扶持政策规定的相关条件且预计能够收到财政扶持资金的，按应收金额确认政府补</w:t>
      </w:r>
    </w:p>
    <w:p>
      <w:pPr>
        <w:pStyle w:val="BodyText"/>
        <w:spacing w:line="357" w:lineRule="auto" w:before="26"/>
        <w:ind w:left="513" w:right="94" w:hanging="361"/>
        <w:jc w:val="left"/>
      </w:pPr>
      <w:r>
        <w:rPr/>
        <w:t>助。除此之外，政府补助均在实际收到时确认。</w:t>
      </w:r>
      <w:r>
        <w:rPr>
          <w:rFonts w:ascii="宋体" w:hAnsi="宋体" w:cs="宋体" w:eastAsia="宋体" w:hint="default"/>
        </w:rPr>
        <w:t> </w:t>
      </w:r>
      <w:r>
        <w:rPr>
          <w:spacing w:val="-2"/>
        </w:rPr>
        <w:t>政府补助为货币性资产的，按照收到或应收的金额计量。政府补助为非货币性资产的，按照公允价值计量；公允价值不</w:t>
      </w:r>
    </w:p>
    <w:p>
      <w:pPr>
        <w:spacing w:after="0" w:line="357" w:lineRule="auto"/>
        <w:jc w:val="left"/>
        <w:sectPr>
          <w:footerReference w:type="default" r:id="rId28"/>
          <w:pgSz w:w="11910" w:h="16840"/>
          <w:pgMar w:footer="980" w:header="745" w:top="1060" w:bottom="1160" w:left="980" w:right="940"/>
          <w:pgNumType w:start="132"/>
        </w:sectPr>
      </w:pPr>
    </w:p>
    <w:p>
      <w:pPr>
        <w:spacing w:line="240" w:lineRule="auto" w:before="8"/>
        <w:rPr>
          <w:rFonts w:ascii="宋体" w:hAnsi="宋体" w:cs="宋体" w:eastAsia="宋体" w:hint="default"/>
          <w:sz w:val="22"/>
          <w:szCs w:val="22"/>
        </w:rPr>
      </w:pPr>
    </w:p>
    <w:p>
      <w:pPr>
        <w:pStyle w:val="BodyText"/>
        <w:spacing w:line="357" w:lineRule="auto" w:before="44"/>
        <w:ind w:left="513" w:right="93" w:hanging="361"/>
        <w:jc w:val="left"/>
      </w:pPr>
      <w:r>
        <w:rPr/>
        <w:t>能够可靠取得的，按照名义金额（人民币</w:t>
      </w:r>
      <w:r>
        <w:rPr>
          <w:rFonts w:ascii="宋体" w:hAnsi="宋体" w:cs="宋体" w:eastAsia="宋体" w:hint="default"/>
        </w:rPr>
        <w:t>1</w:t>
      </w:r>
      <w:r>
        <w:rPr/>
        <w:t>元）计量。按照名义金额计量的政府补助，直接计入当期损益。</w:t>
      </w:r>
      <w:r>
        <w:rPr>
          <w:spacing w:val="-87"/>
        </w:rPr>
        <w:t> </w:t>
      </w:r>
      <w:r>
        <w:rPr>
          <w:rFonts w:ascii="宋体" w:hAnsi="宋体" w:cs="宋体" w:eastAsia="宋体" w:hint="default"/>
          <w:spacing w:val="-87"/>
        </w:rPr>
      </w:r>
      <w:r>
        <w:rPr/>
        <w:t>已确认的政府补助需要返还时，初始确认时冲减相关资产账面价值的，调整资产账面价值；存在相关递延收益余额的，</w:t>
      </w:r>
    </w:p>
    <w:p>
      <w:pPr>
        <w:spacing w:line="662" w:lineRule="auto" w:before="26"/>
        <w:ind w:left="152" w:right="254" w:firstLine="0"/>
        <w:jc w:val="left"/>
        <w:rPr>
          <w:rFonts w:ascii="宋体" w:hAnsi="宋体" w:cs="宋体" w:eastAsia="宋体" w:hint="default"/>
          <w:sz w:val="18"/>
          <w:szCs w:val="18"/>
        </w:rPr>
      </w:pPr>
      <w:r>
        <w:rPr>
          <w:rFonts w:ascii="宋体" w:hAnsi="宋体" w:cs="宋体" w:eastAsia="宋体" w:hint="default"/>
          <w:sz w:val="18"/>
          <w:szCs w:val="18"/>
        </w:rPr>
        <w:t>冲减相关递延收益账面余额，超出部分计入当期损益；不存在相关递延收益的，直接计入当期损益。</w:t>
      </w:r>
      <w:r>
        <w:rPr>
          <w:rFonts w:ascii="宋体" w:hAnsi="宋体" w:cs="宋体" w:eastAsia="宋体" w:hint="default"/>
          <w:sz w:val="18"/>
          <w:szCs w:val="18"/>
        </w:rPr>
        <w:t> </w:t>
      </w:r>
      <w:r>
        <w:rPr>
          <w:rFonts w:ascii="宋体" w:hAnsi="宋体" w:cs="宋体" w:eastAsia="宋体" w:hint="default"/>
          <w:b/>
          <w:bCs/>
          <w:sz w:val="18"/>
          <w:szCs w:val="18"/>
        </w:rPr>
        <w:t>28</w:t>
      </w:r>
      <w:r>
        <w:rPr>
          <w:rFonts w:ascii="宋体" w:hAnsi="宋体" w:cs="宋体" w:eastAsia="宋体" w:hint="default"/>
          <w:b/>
          <w:bCs/>
          <w:sz w:val="18"/>
          <w:szCs w:val="18"/>
        </w:rPr>
        <w:t>、递延所得税资产</w:t>
      </w:r>
      <w:r>
        <w:rPr>
          <w:rFonts w:ascii="宋体" w:hAnsi="宋体" w:cs="宋体" w:eastAsia="宋体" w:hint="default"/>
          <w:b/>
          <w:bCs/>
          <w:sz w:val="18"/>
          <w:szCs w:val="18"/>
        </w:rPr>
        <w:t>/</w:t>
      </w:r>
      <w:r>
        <w:rPr>
          <w:rFonts w:ascii="宋体" w:hAnsi="宋体" w:cs="宋体" w:eastAsia="宋体" w:hint="default"/>
          <w:b/>
          <w:bCs/>
          <w:sz w:val="18"/>
          <w:szCs w:val="18"/>
        </w:rPr>
        <w:t>递延所得税负债</w:t>
      </w:r>
      <w:r>
        <w:rPr>
          <w:rFonts w:ascii="宋体" w:hAnsi="宋体" w:cs="宋体" w:eastAsia="宋体" w:hint="default"/>
          <w:b/>
          <w:bCs/>
          <w:w w:val="99"/>
          <w:sz w:val="18"/>
          <w:szCs w:val="18"/>
        </w:rPr>
        <w:t> </w:t>
      </w:r>
      <w:r>
        <w:rPr>
          <w:rFonts w:ascii="宋体" w:hAnsi="宋体" w:cs="宋体" w:eastAsia="宋体" w:hint="default"/>
          <w:sz w:val="18"/>
          <w:szCs w:val="18"/>
        </w:rPr>
      </w:r>
    </w:p>
    <w:p>
      <w:pPr>
        <w:pStyle w:val="BodyText"/>
        <w:spacing w:line="355" w:lineRule="auto" w:before="98"/>
        <w:ind w:right="94" w:firstLine="360"/>
        <w:jc w:val="left"/>
        <w:rPr>
          <w:rFonts w:ascii="宋体" w:hAnsi="宋体" w:cs="宋体" w:eastAsia="宋体" w:hint="default"/>
        </w:rPr>
      </w:pPr>
      <w:r>
        <w:rPr>
          <w:spacing w:val="-2"/>
        </w:rPr>
        <w:t>递延所得税资产和递延所得税负债根据资产和负债的计税基础与其账面价值的差额</w:t>
      </w:r>
      <w:r>
        <w:rPr>
          <w:rFonts w:ascii="宋体" w:hAnsi="宋体" w:cs="宋体" w:eastAsia="宋体" w:hint="default"/>
          <w:spacing w:val="-2"/>
        </w:rPr>
        <w:t>(</w:t>
      </w:r>
      <w:r>
        <w:rPr>
          <w:spacing w:val="-2"/>
        </w:rPr>
        <w:t>暂时性差异</w:t>
      </w:r>
      <w:r>
        <w:rPr>
          <w:rFonts w:ascii="宋体" w:hAnsi="宋体" w:cs="宋体" w:eastAsia="宋体" w:hint="default"/>
          <w:spacing w:val="-2"/>
        </w:rPr>
        <w:t>)</w:t>
      </w:r>
      <w:r>
        <w:rPr>
          <w:spacing w:val="-2"/>
        </w:rPr>
        <w:t>计算确认。于资产负债</w:t>
      </w:r>
      <w:r>
        <w:rPr/>
        <w:t> 表日，递延所得税资产和递延所得税负债，按照预期收回该资产或清偿该负债期间的适用税率计量。</w:t>
      </w:r>
      <w:r>
        <w:rPr>
          <w:rFonts w:ascii="宋体" w:hAnsi="宋体" w:cs="宋体" w:eastAsia="宋体" w:hint="default"/>
        </w:rPr>
        <w:t> </w:t>
      </w:r>
    </w:p>
    <w:p>
      <w:pPr>
        <w:pStyle w:val="BodyText"/>
        <w:spacing w:line="357" w:lineRule="auto" w:before="28"/>
        <w:ind w:left="513" w:right="94"/>
        <w:jc w:val="left"/>
      </w:pPr>
      <w:r>
        <w:rPr>
          <w:rFonts w:ascii="宋体" w:hAnsi="宋体" w:cs="宋体" w:eastAsia="宋体" w:hint="default"/>
        </w:rPr>
        <w:t>1.</w:t>
      </w:r>
      <w:r>
        <w:rPr/>
        <w:t>确认递延所得税资产的依据</w:t>
      </w:r>
      <w:r>
        <w:rPr>
          <w:rFonts w:ascii="宋体" w:hAnsi="宋体" w:cs="宋体" w:eastAsia="宋体" w:hint="default"/>
        </w:rPr>
        <w:t> </w:t>
      </w:r>
      <w:r>
        <w:rPr>
          <w:spacing w:val="-2"/>
        </w:rPr>
        <w:t>本公司以很可能取得用来抵扣可抵扣暂时性差异、能够结转以后年度的可抵扣亏损和税款抵减的应纳税所得额为限，确</w:t>
      </w:r>
    </w:p>
    <w:p>
      <w:pPr>
        <w:pStyle w:val="BodyText"/>
        <w:spacing w:line="357" w:lineRule="auto" w:before="26"/>
        <w:ind w:right="94"/>
        <w:jc w:val="left"/>
        <w:rPr>
          <w:rFonts w:ascii="宋体" w:hAnsi="宋体" w:cs="宋体" w:eastAsia="宋体" w:hint="default"/>
        </w:rPr>
      </w:pPr>
      <w:r>
        <w:rPr>
          <w:spacing w:val="-2"/>
        </w:rPr>
        <w:t>认由可抵扣暂时性差异产生的递延所得税资产。但是，同时具有下列特征的交易中因资产或负债的初始确认所产生的递延所</w:t>
      </w:r>
      <w:r>
        <w:rPr>
          <w:spacing w:val="-64"/>
        </w:rPr>
        <w:t> </w:t>
      </w:r>
      <w:r>
        <w:rPr>
          <w:spacing w:val="-64"/>
        </w:rPr>
      </w:r>
      <w:r>
        <w:rPr>
          <w:spacing w:val="-2"/>
        </w:rPr>
        <w:t>得税资产不予确认：（</w:t>
      </w:r>
      <w:r>
        <w:rPr>
          <w:rFonts w:ascii="宋体" w:hAnsi="宋体" w:cs="宋体" w:eastAsia="宋体" w:hint="default"/>
          <w:spacing w:val="-2"/>
        </w:rPr>
        <w:t>1</w:t>
      </w:r>
      <w:r>
        <w:rPr>
          <w:spacing w:val="-2"/>
        </w:rPr>
        <w:t>）该交易不是企业合并；（</w:t>
      </w:r>
      <w:r>
        <w:rPr>
          <w:rFonts w:ascii="宋体" w:hAnsi="宋体" w:cs="宋体" w:eastAsia="宋体" w:hint="default"/>
          <w:spacing w:val="-2"/>
        </w:rPr>
        <w:t>2</w:t>
      </w:r>
      <w:r>
        <w:rPr>
          <w:spacing w:val="-2"/>
        </w:rPr>
        <w:t>）交易发生时既不影响会计利润也不影响应纳税所得额或可抵扣亏损。</w:t>
      </w:r>
      <w:r>
        <w:rPr>
          <w:spacing w:val="-80"/>
        </w:rPr>
        <w:t> </w:t>
      </w:r>
      <w:r>
        <w:rPr>
          <w:rFonts w:ascii="宋体" w:hAnsi="宋体" w:cs="宋体" w:eastAsia="宋体" w:hint="default"/>
          <w:spacing w:val="-80"/>
        </w:rPr>
      </w:r>
      <w:r>
        <w:rPr>
          <w:spacing w:val="-2"/>
        </w:rPr>
        <w:t>对于与联营企业投资相关的可抵扣暂时性差异，同时满足下列条件的，确认相应的递延所得税资产：暂时性差异在可预见的</w:t>
      </w:r>
      <w:r>
        <w:rPr>
          <w:spacing w:val="-63"/>
        </w:rPr>
        <w:t> </w:t>
      </w:r>
      <w:r>
        <w:rPr>
          <w:spacing w:val="-63"/>
        </w:rPr>
      </w:r>
      <w:r>
        <w:rPr/>
        <w:t>未来很可能转回，且未来很可能获得用来抵扣可抵扣暂时性差异的应纳税所得额。</w:t>
      </w:r>
      <w:r>
        <w:rPr>
          <w:rFonts w:ascii="宋体" w:hAnsi="宋体" w:cs="宋体" w:eastAsia="宋体" w:hint="default"/>
        </w:rPr>
        <w:t> </w:t>
      </w:r>
    </w:p>
    <w:p>
      <w:pPr>
        <w:pStyle w:val="BodyText"/>
        <w:spacing w:line="357" w:lineRule="auto" w:before="26"/>
        <w:ind w:left="513" w:right="254"/>
        <w:jc w:val="left"/>
        <w:rPr>
          <w:rFonts w:ascii="宋体" w:hAnsi="宋体" w:cs="宋体" w:eastAsia="宋体" w:hint="default"/>
        </w:rPr>
      </w:pPr>
      <w:r>
        <w:rPr>
          <w:rFonts w:ascii="宋体" w:hAnsi="宋体" w:cs="宋体" w:eastAsia="宋体" w:hint="default"/>
        </w:rPr>
        <w:t>2.</w:t>
      </w:r>
      <w:r>
        <w:rPr/>
        <w:t>确认递延所得税负债的依据</w:t>
      </w:r>
      <w:r>
        <w:rPr>
          <w:rFonts w:ascii="宋体" w:hAnsi="宋体" w:cs="宋体" w:eastAsia="宋体" w:hint="default"/>
        </w:rPr>
        <w:t> </w:t>
      </w:r>
      <w:r>
        <w:rPr/>
        <w:t>公司将当期与以前期间应交未交的应纳税暂时性差异确认为递延所得税负债。但不包括：</w:t>
      </w:r>
      <w:r>
        <w:rPr>
          <w:rFonts w:ascii="宋体" w:hAnsi="宋体" w:cs="宋体" w:eastAsia="宋体" w:hint="default"/>
        </w:rPr>
        <w:t> </w:t>
      </w:r>
    </w:p>
    <w:p>
      <w:pPr>
        <w:pStyle w:val="BodyText"/>
        <w:spacing w:line="240" w:lineRule="auto" w:before="26"/>
        <w:ind w:left="332" w:right="254"/>
        <w:jc w:val="left"/>
        <w:rPr>
          <w:rFonts w:ascii="宋体" w:hAnsi="宋体" w:cs="宋体" w:eastAsia="宋体" w:hint="default"/>
        </w:rPr>
      </w:pPr>
      <w:r>
        <w:rPr/>
        <w:t>（</w:t>
      </w:r>
      <w:r>
        <w:rPr>
          <w:rFonts w:ascii="宋体" w:hAnsi="宋体" w:cs="宋体" w:eastAsia="宋体" w:hint="default"/>
        </w:rPr>
        <w:t>1</w:t>
      </w:r>
      <w:r>
        <w:rPr/>
        <w:t>）商誉的初始确认所形成的暂时性差异；</w:t>
      </w:r>
      <w:r>
        <w:rPr>
          <w:rFonts w:ascii="宋体" w:hAnsi="宋体" w:cs="宋体" w:eastAsia="宋体" w:hint="default"/>
        </w:rPr>
        <w:t> </w:t>
      </w:r>
    </w:p>
    <w:p>
      <w:pPr>
        <w:pStyle w:val="BodyText"/>
        <w:spacing w:line="357" w:lineRule="auto" w:before="112"/>
        <w:ind w:right="103" w:firstLine="180"/>
        <w:jc w:val="both"/>
        <w:rPr>
          <w:rFonts w:ascii="宋体" w:hAnsi="宋体" w:cs="宋体" w:eastAsia="宋体" w:hint="default"/>
        </w:rPr>
      </w:pPr>
      <w:r>
        <w:rPr>
          <w:spacing w:val="-2"/>
        </w:rPr>
        <w:t>（</w:t>
      </w:r>
      <w:r>
        <w:rPr>
          <w:rFonts w:ascii="宋体" w:hAnsi="宋体" w:cs="宋体" w:eastAsia="宋体" w:hint="default"/>
          <w:spacing w:val="-2"/>
        </w:rPr>
        <w:t>2</w:t>
      </w:r>
      <w:r>
        <w:rPr>
          <w:spacing w:val="-2"/>
        </w:rPr>
        <w:t>）非企业合并形成的交易或事项，且该交易或事项发生时既不影响会计利润，也不影响应纳税所得额（或可抵扣亏损）</w:t>
      </w:r>
      <w:r>
        <w:rPr/>
        <w:t> 所形成的暂时性差异；</w:t>
      </w:r>
      <w:r>
        <w:rPr>
          <w:rFonts w:ascii="宋体" w:hAnsi="宋体" w:cs="宋体" w:eastAsia="宋体" w:hint="default"/>
        </w:rPr>
        <w:t> </w:t>
      </w:r>
    </w:p>
    <w:p>
      <w:pPr>
        <w:pStyle w:val="BodyText"/>
        <w:spacing w:line="357" w:lineRule="auto" w:before="26"/>
        <w:ind w:right="201" w:firstLine="180"/>
        <w:jc w:val="both"/>
        <w:rPr>
          <w:rFonts w:ascii="宋体" w:hAnsi="宋体" w:cs="宋体" w:eastAsia="宋体" w:hint="default"/>
        </w:rPr>
      </w:pPr>
      <w:r>
        <w:rPr/>
        <w:t>（</w:t>
      </w:r>
      <w:r>
        <w:rPr>
          <w:rFonts w:ascii="宋体" w:hAnsi="宋体" w:cs="宋体" w:eastAsia="宋体" w:hint="default"/>
        </w:rPr>
        <w:t>3</w:t>
      </w:r>
      <w:r>
        <w:rPr/>
        <w:t>）对于与子公司、联营企业投资相关的应纳税暂时性差异，该暂时性差异转回的时间能够控制并且该暂时性差异在可 预见的未来很可能不会转回。</w:t>
      </w:r>
      <w:r>
        <w:rPr>
          <w:rFonts w:ascii="宋体" w:hAnsi="宋体" w:cs="宋体" w:eastAsia="宋体" w:hint="default"/>
        </w:rPr>
        <w:t> </w:t>
      </w:r>
    </w:p>
    <w:p>
      <w:pPr>
        <w:pStyle w:val="BodyText"/>
        <w:spacing w:line="240" w:lineRule="auto" w:before="26"/>
        <w:ind w:left="513" w:right="254"/>
        <w:jc w:val="left"/>
        <w:rPr>
          <w:rFonts w:ascii="宋体" w:hAnsi="宋体" w:cs="宋体" w:eastAsia="宋体" w:hint="default"/>
        </w:rPr>
      </w:pPr>
      <w:r>
        <w:rPr>
          <w:rFonts w:ascii="宋体" w:hAnsi="宋体" w:cs="宋体" w:eastAsia="宋体" w:hint="default"/>
        </w:rPr>
        <w:t>3.</w:t>
      </w:r>
      <w:r>
        <w:rPr/>
        <w:t>同时满足下列条件时，将递延所得税资产及递延所得税负债以抵销后的净额列示</w:t>
      </w:r>
      <w:r>
        <w:rPr>
          <w:rFonts w:ascii="宋体" w:hAnsi="宋体" w:cs="宋体" w:eastAsia="宋体" w:hint="default"/>
        </w:rPr>
        <w:t> </w:t>
      </w:r>
    </w:p>
    <w:p>
      <w:pPr>
        <w:pStyle w:val="BodyText"/>
        <w:spacing w:line="240" w:lineRule="auto" w:before="115"/>
        <w:ind w:left="332" w:right="254"/>
        <w:jc w:val="left"/>
        <w:rPr>
          <w:rFonts w:ascii="宋体" w:hAnsi="宋体" w:cs="宋体" w:eastAsia="宋体" w:hint="default"/>
        </w:rPr>
      </w:pPr>
      <w:r>
        <w:rPr/>
        <w:t>（</w:t>
      </w:r>
      <w:r>
        <w:rPr>
          <w:rFonts w:ascii="宋体" w:hAnsi="宋体" w:cs="宋体" w:eastAsia="宋体" w:hint="default"/>
        </w:rPr>
        <w:t>1</w:t>
      </w:r>
      <w:r>
        <w:rPr/>
        <w:t>）企业拥有以净额结算当期所得税资产及当期所得税负债的法定权利；</w:t>
      </w:r>
      <w:r>
        <w:rPr>
          <w:rFonts w:ascii="宋体" w:hAnsi="宋体" w:cs="宋体" w:eastAsia="宋体" w:hint="default"/>
        </w:rPr>
        <w:t> </w:t>
      </w:r>
    </w:p>
    <w:p>
      <w:pPr>
        <w:pStyle w:val="BodyText"/>
        <w:spacing w:line="357" w:lineRule="auto" w:before="115"/>
        <w:ind w:right="193" w:firstLine="180"/>
        <w:jc w:val="both"/>
        <w:rPr>
          <w:rFonts w:ascii="宋体" w:hAnsi="宋体" w:cs="宋体" w:eastAsia="宋体" w:hint="default"/>
        </w:rPr>
      </w:pPr>
      <w:r>
        <w:rPr/>
        <w:t>（</w:t>
      </w:r>
      <w:r>
        <w:rPr>
          <w:rFonts w:ascii="宋体" w:hAnsi="宋体" w:cs="宋体" w:eastAsia="宋体" w:hint="default"/>
        </w:rPr>
        <w:t>2</w:t>
      </w:r>
      <w:r>
        <w:rPr/>
        <w:t>）递延所得税资产和递延所得税负债是与同一税收征管部门对同一纳税主体征收的所得税相关或者对不同的纳税主体 </w:t>
      </w:r>
      <w:r>
        <w:rPr>
          <w:spacing w:val="-2"/>
        </w:rPr>
        <w:t>相关，但在未来每一具有重要性的递延所得税资产和递延所得税负债转回的期间内，涉及的纳税主体体意图以净额结算当期</w:t>
      </w:r>
      <w:r>
        <w:rPr>
          <w:spacing w:val="-64"/>
        </w:rPr>
        <w:t> </w:t>
      </w:r>
      <w:r>
        <w:rPr>
          <w:spacing w:val="-64"/>
        </w:rPr>
      </w:r>
      <w:r>
        <w:rPr/>
        <w:t>所得税资产及当期所得税负债或是同时取得资产、清偿债务。</w:t>
      </w:r>
      <w:r>
        <w:rPr>
          <w:rFonts w:ascii="宋体" w:hAnsi="宋体" w:cs="宋体" w:eastAsia="宋体" w:hint="default"/>
        </w:rPr>
        <w:t> </w:t>
      </w:r>
    </w:p>
    <w:p>
      <w:pPr>
        <w:spacing w:line="240" w:lineRule="auto" w:before="13"/>
        <w:rPr>
          <w:rFonts w:ascii="宋体" w:hAnsi="宋体" w:cs="宋体" w:eastAsia="宋体" w:hint="default"/>
          <w:sz w:val="24"/>
          <w:szCs w:val="24"/>
        </w:rPr>
      </w:pPr>
    </w:p>
    <w:p>
      <w:pPr>
        <w:pStyle w:val="Heading5"/>
        <w:spacing w:line="240" w:lineRule="auto"/>
        <w:ind w:right="254"/>
        <w:jc w:val="left"/>
        <w:rPr>
          <w:rFonts w:ascii="宋体" w:hAnsi="宋体" w:cs="宋体" w:eastAsia="宋体" w:hint="default"/>
          <w:b w:val="0"/>
          <w:bCs w:val="0"/>
        </w:rPr>
      </w:pPr>
      <w:r>
        <w:rPr>
          <w:rFonts w:ascii="宋体" w:hAnsi="宋体" w:cs="宋体" w:eastAsia="宋体" w:hint="default"/>
        </w:rPr>
        <w:t>29</w:t>
      </w:r>
      <w:r>
        <w:rPr/>
        <w:t>、租赁</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3"/>
          <w:szCs w:val="13"/>
        </w:rPr>
      </w:pPr>
    </w:p>
    <w:p>
      <w:pPr>
        <w:pStyle w:val="BodyText"/>
        <w:spacing w:line="357" w:lineRule="auto"/>
        <w:ind w:right="94" w:firstLine="360"/>
        <w:jc w:val="left"/>
        <w:rPr>
          <w:rFonts w:ascii="宋体" w:hAnsi="宋体" w:cs="宋体" w:eastAsia="宋体" w:hint="default"/>
        </w:rPr>
      </w:pPr>
      <w:r>
        <w:rPr>
          <w:spacing w:val="-2"/>
        </w:rPr>
        <w:t>如果租赁条款在实质上将与租赁资产所有权有关的全部风险和报酬转移给承租人，该租赁为融资租赁，其他租赁则为经</w:t>
      </w:r>
      <w:r>
        <w:rPr/>
        <w:t> 营租赁。</w:t>
      </w:r>
      <w:r>
        <w:rPr>
          <w:rFonts w:ascii="宋体" w:hAnsi="宋体" w:cs="宋体" w:eastAsia="宋体" w:hint="default"/>
        </w:rPr>
        <w:t> </w:t>
      </w:r>
    </w:p>
    <w:p>
      <w:pPr>
        <w:spacing w:line="650" w:lineRule="exact" w:before="17"/>
        <w:ind w:left="513" w:right="6754" w:hanging="36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）经营租赁的会计处理方法</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）经营租入资产</w:t>
      </w:r>
      <w:r>
        <w:rPr>
          <w:rFonts w:ascii="宋体" w:hAnsi="宋体" w:cs="宋体" w:eastAsia="宋体" w:hint="default"/>
          <w:sz w:val="18"/>
          <w:szCs w:val="18"/>
        </w:rPr>
        <w:t> </w:t>
      </w:r>
    </w:p>
    <w:p>
      <w:pPr>
        <w:pStyle w:val="BodyText"/>
        <w:spacing w:line="357" w:lineRule="auto" w:before="10"/>
        <w:ind w:right="94" w:firstLine="360"/>
        <w:jc w:val="left"/>
        <w:rPr>
          <w:rFonts w:ascii="宋体" w:hAnsi="宋体" w:cs="宋体" w:eastAsia="宋体" w:hint="default"/>
        </w:rPr>
      </w:pPr>
      <w:r>
        <w:rPr>
          <w:spacing w:val="-2"/>
        </w:rPr>
        <w:t>公司租入资产所支付的租赁费，在不扣除免租期的整个租赁期内，按直线法进行分摊，计入当期费用。公司支付的与租</w:t>
      </w:r>
      <w:r>
        <w:rPr/>
        <w:t> 赁交易相关的初始直接费用，计入当期费用。</w:t>
      </w:r>
      <w:r>
        <w:rPr>
          <w:rFonts w:ascii="宋体" w:hAnsi="宋体" w:cs="宋体" w:eastAsia="宋体" w:hint="default"/>
        </w:rPr>
        <w:t> </w:t>
      </w:r>
    </w:p>
    <w:p>
      <w:pPr>
        <w:pStyle w:val="BodyText"/>
        <w:spacing w:line="357" w:lineRule="auto" w:before="26"/>
        <w:ind w:right="94" w:firstLine="360"/>
        <w:jc w:val="left"/>
        <w:rPr>
          <w:rFonts w:ascii="宋体" w:hAnsi="宋体" w:cs="宋体" w:eastAsia="宋体" w:hint="default"/>
        </w:rPr>
      </w:pPr>
      <w:r>
        <w:rPr>
          <w:spacing w:val="-2"/>
        </w:rPr>
        <w:t>资产出租方承担了应由公司承担的与租赁相关的费用时，公司将该部分费用从租金总额中扣除，按扣除后的租金费用在</w:t>
      </w:r>
      <w:r>
        <w:rPr/>
        <w:t> 租赁期内分摊，计入当期费用。</w:t>
      </w:r>
      <w:r>
        <w:rPr>
          <w:rFonts w:ascii="宋体" w:hAnsi="宋体" w:cs="宋体" w:eastAsia="宋体" w:hint="default"/>
        </w:rPr>
        <w:t> </w:t>
      </w:r>
    </w:p>
    <w:p>
      <w:pPr>
        <w:pStyle w:val="BodyText"/>
        <w:spacing w:line="357" w:lineRule="auto" w:before="26"/>
        <w:ind w:left="513" w:right="94"/>
        <w:jc w:val="left"/>
      </w:pPr>
      <w:r>
        <w:rPr>
          <w:rFonts w:ascii="宋体" w:hAnsi="宋体" w:cs="宋体" w:eastAsia="宋体" w:hint="default"/>
        </w:rPr>
        <w:t>2</w:t>
      </w:r>
      <w:r>
        <w:rPr/>
        <w:t>）经营租出资产</w:t>
      </w:r>
      <w:r>
        <w:rPr>
          <w:rFonts w:ascii="宋体" w:hAnsi="宋体" w:cs="宋体" w:eastAsia="宋体" w:hint="default"/>
        </w:rPr>
        <w:t> </w:t>
      </w:r>
      <w:r>
        <w:rPr>
          <w:spacing w:val="-2"/>
        </w:rPr>
        <w:t>公司出租资产所收取的租赁费，在不扣除免租期的整个租赁期内，按直线法进行分摊，确认为租赁收入。公司支付的与</w:t>
      </w:r>
    </w:p>
    <w:p>
      <w:pPr>
        <w:spacing w:after="0" w:line="357" w:lineRule="auto"/>
        <w:jc w:val="left"/>
        <w:sectPr>
          <w:footerReference w:type="default" r:id="rId29"/>
          <w:pgSz w:w="11910" w:h="16840"/>
          <w:pgMar w:footer="980" w:header="745" w:top="1060" w:bottom="1160" w:left="980" w:right="940"/>
          <w:pgNumType w:start="133"/>
        </w:sectPr>
      </w:pPr>
    </w:p>
    <w:p>
      <w:pPr>
        <w:spacing w:line="240" w:lineRule="auto" w:before="8"/>
        <w:rPr>
          <w:rFonts w:ascii="宋体" w:hAnsi="宋体" w:cs="宋体" w:eastAsia="宋体" w:hint="default"/>
          <w:sz w:val="22"/>
          <w:szCs w:val="22"/>
        </w:rPr>
      </w:pPr>
    </w:p>
    <w:p>
      <w:pPr>
        <w:pStyle w:val="BodyText"/>
        <w:spacing w:line="357" w:lineRule="auto" w:before="44"/>
        <w:ind w:right="0"/>
        <w:jc w:val="left"/>
        <w:rPr>
          <w:rFonts w:ascii="宋体" w:hAnsi="宋体" w:cs="宋体" w:eastAsia="宋体" w:hint="default"/>
        </w:rPr>
      </w:pPr>
      <w:r>
        <w:rPr>
          <w:spacing w:val="-2"/>
        </w:rPr>
        <w:t>租赁交易相关的初始直接费用，计入当期费用；如金额较大的，则予以资本化，在整个租赁期间内按照与租赁收入确认相同</w:t>
      </w:r>
      <w:r>
        <w:rPr>
          <w:spacing w:val="-66"/>
        </w:rPr>
        <w:t> </w:t>
      </w:r>
      <w:r>
        <w:rPr>
          <w:spacing w:val="-66"/>
        </w:rPr>
      </w:r>
      <w:r>
        <w:rPr/>
        <w:t>的基础分期计入当期收益。</w:t>
      </w:r>
      <w:r>
        <w:rPr>
          <w:rFonts w:ascii="宋体" w:hAnsi="宋体" w:cs="宋体" w:eastAsia="宋体" w:hint="default"/>
        </w:rPr>
        <w:t> </w:t>
      </w:r>
    </w:p>
    <w:p>
      <w:pPr>
        <w:pStyle w:val="BodyText"/>
        <w:spacing w:line="357" w:lineRule="auto" w:before="26"/>
        <w:ind w:right="152" w:firstLine="360"/>
        <w:jc w:val="both"/>
        <w:rPr>
          <w:rFonts w:ascii="宋体" w:hAnsi="宋体" w:cs="宋体" w:eastAsia="宋体" w:hint="default"/>
        </w:rPr>
      </w:pPr>
      <w:r>
        <w:rPr>
          <w:spacing w:val="-2"/>
        </w:rPr>
        <w:t>公司承担了应由承租方承担的与租赁相关的费用时，公司将该部分费用从租金收入总额中扣除，按扣除后的租金费用在</w:t>
      </w:r>
      <w:r>
        <w:rPr/>
        <w:t> 租赁期内分配。</w:t>
      </w:r>
      <w:r>
        <w:rPr>
          <w:rFonts w:ascii="宋体" w:hAnsi="宋体" w:cs="宋体" w:eastAsia="宋体" w:hint="default"/>
        </w:rPr>
        <w:t> </w:t>
      </w:r>
    </w:p>
    <w:p>
      <w:pPr>
        <w:pStyle w:val="BodyText"/>
        <w:spacing w:line="240" w:lineRule="auto" w:before="26"/>
        <w:ind w:right="0"/>
        <w:jc w:val="left"/>
        <w:rPr>
          <w:rFonts w:ascii="宋体" w:hAnsi="宋体" w:cs="宋体" w:eastAsia="宋体" w:hint="default"/>
        </w:rPr>
      </w:pPr>
      <w:r>
        <w:rPr>
          <w:rFonts w:ascii="宋体"/>
        </w:rPr>
        <w:t> </w:t>
      </w:r>
    </w:p>
    <w:p>
      <w:pPr>
        <w:spacing w:line="650" w:lineRule="exact" w:before="102"/>
        <w:ind w:left="513" w:right="143" w:hanging="36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）融资租赁的会计处理方法</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）融资租入资产：公司在承租开始日，将租赁资产公允价值与最低租赁付款额现值两者中较低者作为租入资产的入账</w:t>
      </w:r>
    </w:p>
    <w:p>
      <w:pPr>
        <w:pStyle w:val="BodyText"/>
        <w:spacing w:line="357" w:lineRule="auto" w:before="10"/>
        <w:ind w:right="150"/>
        <w:jc w:val="left"/>
        <w:rPr>
          <w:rFonts w:ascii="宋体" w:hAnsi="宋体" w:cs="宋体" w:eastAsia="宋体" w:hint="default"/>
        </w:rPr>
      </w:pPr>
      <w:r>
        <w:rPr>
          <w:spacing w:val="-2"/>
        </w:rPr>
        <w:t>价值，将最低租赁付款额作为长期应付款的入账价值，其差额作为未确认的融资费用。融资租入资产的认定依据、计价和折</w:t>
      </w:r>
      <w:r>
        <w:rPr>
          <w:spacing w:val="-64"/>
        </w:rPr>
        <w:t> </w:t>
      </w:r>
      <w:r>
        <w:rPr>
          <w:spacing w:val="-64"/>
        </w:rPr>
      </w:r>
      <w:r>
        <w:rPr/>
        <w:t>旧方法详见本附注五</w:t>
      </w:r>
      <w:r>
        <w:rPr>
          <w:rFonts w:ascii="宋体" w:hAnsi="宋体" w:cs="宋体" w:eastAsia="宋体" w:hint="default"/>
        </w:rPr>
        <w:t>-</w:t>
      </w:r>
      <w:r>
        <w:rPr/>
        <w:t>注释</w:t>
      </w:r>
      <w:r>
        <w:rPr>
          <w:rFonts w:ascii="宋体" w:hAnsi="宋体" w:cs="宋体" w:eastAsia="宋体" w:hint="default"/>
        </w:rPr>
        <w:t>16</w:t>
      </w:r>
      <w:r>
        <w:rPr/>
        <w:t>固定资产。</w:t>
      </w:r>
      <w:r>
        <w:rPr>
          <w:rFonts w:ascii="宋体" w:hAnsi="宋体" w:cs="宋体" w:eastAsia="宋体" w:hint="default"/>
        </w:rPr>
        <w:t> </w:t>
      </w:r>
      <w:r>
        <w:rPr/>
        <w:t>公司采用实际利率法对未确认的融资费用，在资产租赁期间内摊销，计入财务费用。</w:t>
      </w:r>
      <w:r>
        <w:rPr>
          <w:rFonts w:ascii="宋体" w:hAnsi="宋体" w:cs="宋体" w:eastAsia="宋体" w:hint="default"/>
        </w:rPr>
        <w:t> </w:t>
      </w:r>
    </w:p>
    <w:p>
      <w:pPr>
        <w:pStyle w:val="BodyText"/>
        <w:spacing w:line="357" w:lineRule="auto" w:before="27"/>
        <w:ind w:right="153" w:firstLine="360"/>
        <w:jc w:val="both"/>
        <w:rPr>
          <w:rFonts w:ascii="宋体" w:hAnsi="宋体" w:cs="宋体" w:eastAsia="宋体" w:hint="default"/>
        </w:rPr>
      </w:pPr>
      <w:r>
        <w:rPr>
          <w:rFonts w:ascii="宋体" w:hAnsi="宋体" w:cs="宋体" w:eastAsia="宋体" w:hint="default"/>
        </w:rPr>
        <w:t>2</w:t>
      </w:r>
      <w:r>
        <w:rPr/>
        <w:t>）融资租出资产：公司在租赁开始日，将应收融资租赁款，未担保余值之和与其现值的差额确认为未实现融资收益，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r>
        <w:rPr>
          <w:rFonts w:ascii="宋体" w:hAnsi="宋体" w:cs="宋体" w:eastAsia="宋体" w:hint="default"/>
        </w:rPr>
        <w:t> </w:t>
      </w:r>
    </w:p>
    <w:p>
      <w:pPr>
        <w:pStyle w:val="Heading5"/>
        <w:spacing w:line="662" w:lineRule="auto" w:before="26"/>
        <w:ind w:right="153"/>
        <w:jc w:val="left"/>
        <w:rPr>
          <w:rFonts w:ascii="宋体" w:hAnsi="宋体" w:cs="宋体" w:eastAsia="宋体" w:hint="default"/>
          <w:b w:val="0"/>
          <w:bCs w:val="0"/>
        </w:rPr>
      </w:pPr>
      <w:r>
        <w:rPr>
          <w:rFonts w:ascii="宋体" w:hAnsi="宋体" w:cs="宋体" w:eastAsia="宋体" w:hint="default"/>
          <w:b w:val="0"/>
          <w:bCs w:val="0"/>
        </w:rPr>
        <w:t>  </w:t>
      </w:r>
      <w:r>
        <w:rPr>
          <w:rFonts w:ascii="宋体" w:hAnsi="宋体" w:cs="宋体" w:eastAsia="宋体" w:hint="default"/>
          <w:spacing w:val="1"/>
          <w:w w:val="99"/>
        </w:rPr>
        <w:t>30</w:t>
      </w:r>
      <w:r>
        <w:rPr>
          <w:w w:val="99"/>
        </w:rPr>
        <w:t>、其</w:t>
      </w:r>
      <w:r>
        <w:rPr>
          <w:spacing w:val="2"/>
          <w:w w:val="99"/>
        </w:rPr>
        <w:t>他</w:t>
      </w:r>
      <w:r>
        <w:rPr>
          <w:w w:val="99"/>
        </w:rPr>
        <w:t>重要</w:t>
      </w:r>
      <w:r>
        <w:rPr>
          <w:spacing w:val="2"/>
          <w:w w:val="99"/>
        </w:rPr>
        <w:t>的</w:t>
      </w:r>
      <w:r>
        <w:rPr>
          <w:w w:val="99"/>
        </w:rPr>
        <w:t>会计</w:t>
      </w:r>
      <w:r>
        <w:rPr>
          <w:spacing w:val="2"/>
          <w:w w:val="99"/>
        </w:rPr>
        <w:t>政</w:t>
      </w:r>
      <w:r>
        <w:rPr>
          <w:w w:val="99"/>
        </w:rPr>
        <w:t>策和会</w:t>
      </w:r>
      <w:r>
        <w:rPr>
          <w:spacing w:val="2"/>
          <w:w w:val="99"/>
        </w:rPr>
        <w:t>计</w:t>
      </w:r>
      <w:r>
        <w:rPr>
          <w:w w:val="99"/>
        </w:rPr>
        <w:t>估</w:t>
      </w:r>
      <w:r>
        <w:rPr>
          <w:spacing w:val="1"/>
          <w:w w:val="99"/>
        </w:rPr>
        <w:t>计</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95"/>
        <w:ind w:left="513" w:right="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终止经营</w:t>
      </w:r>
      <w:r>
        <w:rPr>
          <w:rFonts w:ascii="宋体" w:hAnsi="宋体" w:cs="宋体" w:eastAsia="宋体" w:hint="default"/>
        </w:rPr>
        <w:t> </w:t>
      </w:r>
      <w:r>
        <w:rPr>
          <w:spacing w:val="-2"/>
        </w:rPr>
        <w:t>本公司将满足下列条件之一的，且该组成部分已经处置或划归为持有待售类别的、能够单独区分的组成部分确认为终止</w:t>
      </w:r>
    </w:p>
    <w:p>
      <w:pPr>
        <w:pStyle w:val="BodyText"/>
        <w:spacing w:line="240" w:lineRule="auto" w:before="26"/>
        <w:ind w:right="153"/>
        <w:jc w:val="left"/>
        <w:rPr>
          <w:rFonts w:ascii="宋体" w:hAnsi="宋体" w:cs="宋体" w:eastAsia="宋体" w:hint="default"/>
        </w:rPr>
      </w:pPr>
      <w:r>
        <w:rPr/>
        <w:t>经营组成部分：</w:t>
      </w:r>
      <w:r>
        <w:rPr>
          <w:rFonts w:ascii="宋体" w:hAnsi="宋体" w:cs="宋体" w:eastAsia="宋体" w:hint="default"/>
        </w:rPr>
        <w:t> </w:t>
      </w:r>
    </w:p>
    <w:p>
      <w:pPr>
        <w:pStyle w:val="BodyText"/>
        <w:spacing w:line="240" w:lineRule="auto" w:before="115"/>
        <w:ind w:left="332" w:right="153"/>
        <w:jc w:val="left"/>
        <w:rPr>
          <w:rFonts w:ascii="宋体" w:hAnsi="宋体" w:cs="宋体" w:eastAsia="宋体" w:hint="default"/>
        </w:rPr>
      </w:pPr>
      <w:r>
        <w:rPr/>
        <w:t>（</w:t>
      </w:r>
      <w:r>
        <w:rPr>
          <w:rFonts w:ascii="宋体" w:hAnsi="宋体" w:cs="宋体" w:eastAsia="宋体" w:hint="default"/>
        </w:rPr>
        <w:t>1</w:t>
      </w:r>
      <w:r>
        <w:rPr/>
        <w:t>）该组成部分代表一项独立的主要业务或一个单独的主要经营地区。</w:t>
      </w:r>
      <w:r>
        <w:rPr>
          <w:rFonts w:ascii="宋体" w:hAnsi="宋体" w:cs="宋体" w:eastAsia="宋体" w:hint="default"/>
        </w:rPr>
        <w:t> </w:t>
      </w:r>
    </w:p>
    <w:p>
      <w:pPr>
        <w:pStyle w:val="BodyText"/>
        <w:spacing w:line="240" w:lineRule="auto" w:before="115"/>
        <w:ind w:left="332" w:right="153"/>
        <w:jc w:val="left"/>
        <w:rPr>
          <w:rFonts w:ascii="宋体" w:hAnsi="宋体" w:cs="宋体" w:eastAsia="宋体" w:hint="default"/>
        </w:rPr>
      </w:pPr>
      <w:r>
        <w:rPr/>
        <w:t>（</w:t>
      </w:r>
      <w:r>
        <w:rPr>
          <w:rFonts w:ascii="宋体" w:hAnsi="宋体" w:cs="宋体" w:eastAsia="宋体" w:hint="default"/>
        </w:rPr>
        <w:t>2</w:t>
      </w:r>
      <w:r>
        <w:rPr/>
        <w:t>）该组成部分是拟对一项独立的主要业务或一个单独的主要经营地区进行处置的一项相关联计划的一部分。</w:t>
      </w:r>
      <w:r>
        <w:rPr>
          <w:rFonts w:ascii="宋体" w:hAnsi="宋体" w:cs="宋体" w:eastAsia="宋体" w:hint="default"/>
        </w:rPr>
        <w:t> </w:t>
      </w:r>
    </w:p>
    <w:p>
      <w:pPr>
        <w:pStyle w:val="BodyText"/>
        <w:spacing w:line="357" w:lineRule="auto" w:before="115"/>
        <w:ind w:left="513" w:right="153" w:hanging="181"/>
        <w:jc w:val="left"/>
        <w:rPr>
          <w:rFonts w:ascii="宋体" w:hAnsi="宋体" w:cs="宋体" w:eastAsia="宋体" w:hint="default"/>
        </w:rPr>
      </w:pPr>
      <w:r>
        <w:rPr/>
        <w:t>（</w:t>
      </w:r>
      <w:r>
        <w:rPr>
          <w:rFonts w:ascii="宋体" w:hAnsi="宋体" w:cs="宋体" w:eastAsia="宋体" w:hint="default"/>
        </w:rPr>
        <w:t>3</w:t>
      </w:r>
      <w:r>
        <w:rPr/>
        <w:t>）该组成部分是专为转售而取得的子公司。</w:t>
      </w:r>
      <w:r>
        <w:rPr>
          <w:rFonts w:ascii="宋体" w:hAnsi="宋体" w:cs="宋体" w:eastAsia="宋体" w:hint="default"/>
        </w:rPr>
        <w:t> </w:t>
      </w:r>
      <w:r>
        <w:rPr/>
        <w:t>终止经营的减值损失和转回金额等经营损益及处置损益作为终止经营损益在利润表中列示。</w:t>
      </w:r>
      <w:r>
        <w:rPr>
          <w:rFonts w:ascii="宋体" w:hAnsi="宋体" w:cs="宋体" w:eastAsia="宋体" w:hint="default"/>
        </w:rPr>
        <w:t> </w:t>
      </w:r>
    </w:p>
    <w:p>
      <w:pPr>
        <w:pStyle w:val="BodyText"/>
        <w:spacing w:line="357" w:lineRule="auto" w:before="26"/>
        <w:ind w:left="513" w:right="1674" w:hanging="181"/>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套期会计</w:t>
      </w:r>
      <w:r>
        <w:rPr>
          <w:rFonts w:ascii="宋体" w:hAnsi="宋体" w:cs="宋体" w:eastAsia="宋体" w:hint="default"/>
        </w:rPr>
        <w:t> </w:t>
      </w:r>
      <w:r>
        <w:rPr/>
        <w:t>本公司按照套期关系，将套期保值划分为公允价值套期、现金流量套期和境外净投资套期。</w:t>
      </w:r>
      <w:r>
        <w:rPr>
          <w:rFonts w:ascii="宋体" w:hAnsi="宋体" w:cs="宋体" w:eastAsia="宋体" w:hint="default"/>
        </w:rPr>
        <w:t> 1</w:t>
      </w:r>
      <w:r>
        <w:rPr/>
        <w:t>．对于满足下列条件的套期工具，运用套期会计方法进行处理</w:t>
      </w:r>
      <w:r>
        <w:rPr>
          <w:rFonts w:ascii="宋体" w:hAnsi="宋体" w:cs="宋体" w:eastAsia="宋体" w:hint="default"/>
        </w:rPr>
        <w:t> </w:t>
      </w:r>
    </w:p>
    <w:p>
      <w:pPr>
        <w:pStyle w:val="BodyText"/>
        <w:spacing w:line="357" w:lineRule="auto" w:before="24"/>
        <w:ind w:right="0" w:firstLine="180"/>
        <w:jc w:val="left"/>
        <w:rPr>
          <w:rFonts w:ascii="宋体" w:hAnsi="宋体" w:cs="宋体" w:eastAsia="宋体" w:hint="default"/>
        </w:rPr>
      </w:pPr>
      <w:r>
        <w:rPr>
          <w:spacing w:val="-2"/>
        </w:rPr>
        <w:t>（</w:t>
      </w:r>
      <w:r>
        <w:rPr>
          <w:rFonts w:ascii="宋体" w:hAnsi="宋体" w:cs="宋体" w:eastAsia="宋体" w:hint="default"/>
          <w:spacing w:val="-2"/>
        </w:rPr>
        <w:t>1</w:t>
      </w:r>
      <w:r>
        <w:rPr>
          <w:spacing w:val="-2"/>
        </w:rPr>
        <w:t>）在套期开始时，本公司对套期关系（即套期工具和被套期项目之间的关系</w:t>
      </w:r>
      <w:r>
        <w:rPr>
          <w:rFonts w:ascii="宋体" w:hAnsi="宋体" w:cs="宋体" w:eastAsia="宋体" w:hint="default"/>
          <w:spacing w:val="-2"/>
        </w:rPr>
        <w:t>)</w:t>
      </w:r>
      <w:r>
        <w:rPr>
          <w:spacing w:val="-2"/>
        </w:rPr>
        <w:t>有正式指定，并准备了关于套期关系、风</w:t>
      </w:r>
      <w:r>
        <w:rPr/>
        <w:t> 险管理目标和套期策略的正式书面文件；</w:t>
      </w:r>
      <w:r>
        <w:rPr>
          <w:rFonts w:ascii="宋体" w:hAnsi="宋体" w:cs="宋体" w:eastAsia="宋体" w:hint="default"/>
        </w:rPr>
        <w:t> </w:t>
      </w:r>
    </w:p>
    <w:p>
      <w:pPr>
        <w:pStyle w:val="BodyText"/>
        <w:spacing w:line="240" w:lineRule="auto" w:before="26"/>
        <w:ind w:left="332" w:right="153"/>
        <w:jc w:val="left"/>
        <w:rPr>
          <w:rFonts w:ascii="宋体" w:hAnsi="宋体" w:cs="宋体" w:eastAsia="宋体" w:hint="default"/>
        </w:rPr>
      </w:pPr>
      <w:r>
        <w:rPr/>
        <w:t>（</w:t>
      </w:r>
      <w:r>
        <w:rPr>
          <w:rFonts w:ascii="宋体" w:hAnsi="宋体" w:cs="宋体" w:eastAsia="宋体" w:hint="default"/>
        </w:rPr>
        <w:t>2</w:t>
      </w:r>
      <w:r>
        <w:rPr/>
        <w:t>）该套期预期高度有效，且符合公司最初为该套期关系所确定的风险管理策略；</w:t>
      </w:r>
      <w:r>
        <w:rPr>
          <w:rFonts w:ascii="宋体" w:hAnsi="宋体" w:cs="宋体" w:eastAsia="宋体" w:hint="default"/>
        </w:rPr>
        <w:t> </w:t>
      </w:r>
    </w:p>
    <w:p>
      <w:pPr>
        <w:pStyle w:val="BodyText"/>
        <w:spacing w:line="240" w:lineRule="auto" w:before="115"/>
        <w:ind w:left="332" w:right="153"/>
        <w:jc w:val="left"/>
        <w:rPr>
          <w:rFonts w:ascii="宋体" w:hAnsi="宋体" w:cs="宋体" w:eastAsia="宋体" w:hint="default"/>
        </w:rPr>
      </w:pPr>
      <w:r>
        <w:rPr/>
        <w:t>（</w:t>
      </w:r>
      <w:r>
        <w:rPr>
          <w:rFonts w:ascii="宋体" w:hAnsi="宋体" w:cs="宋体" w:eastAsia="宋体" w:hint="default"/>
        </w:rPr>
        <w:t>3</w:t>
      </w:r>
      <w:r>
        <w:rPr/>
        <w:t>）对预期交易的现金流量套期，预期交易很可能发生，且必须使公司面临最终将影响损益的现金流量变动风险；</w:t>
      </w:r>
      <w:r>
        <w:rPr>
          <w:rFonts w:ascii="宋体" w:hAnsi="宋体" w:cs="宋体" w:eastAsia="宋体" w:hint="default"/>
        </w:rPr>
        <w:t> </w:t>
      </w:r>
    </w:p>
    <w:p>
      <w:pPr>
        <w:pStyle w:val="BodyText"/>
        <w:spacing w:line="240" w:lineRule="auto" w:before="115"/>
        <w:ind w:left="332" w:right="153"/>
        <w:jc w:val="left"/>
        <w:rPr>
          <w:rFonts w:ascii="宋体" w:hAnsi="宋体" w:cs="宋体" w:eastAsia="宋体" w:hint="default"/>
        </w:rPr>
      </w:pPr>
      <w:r>
        <w:rPr/>
        <w:t>（</w:t>
      </w:r>
      <w:r>
        <w:rPr>
          <w:rFonts w:ascii="宋体" w:hAnsi="宋体" w:cs="宋体" w:eastAsia="宋体" w:hint="default"/>
        </w:rPr>
        <w:t>4</w:t>
      </w:r>
      <w:r>
        <w:rPr/>
        <w:t>）套期有效性能够可靠地计量；</w:t>
      </w:r>
      <w:r>
        <w:rPr>
          <w:rFonts w:ascii="宋体" w:hAnsi="宋体" w:cs="宋体" w:eastAsia="宋体" w:hint="default"/>
        </w:rPr>
        <w:t> </w:t>
      </w:r>
    </w:p>
    <w:p>
      <w:pPr>
        <w:pStyle w:val="BodyText"/>
        <w:spacing w:line="357" w:lineRule="auto" w:before="115"/>
        <w:ind w:left="513" w:right="143" w:hanging="181"/>
        <w:jc w:val="left"/>
      </w:pPr>
      <w:r>
        <w:rPr/>
        <w:t>（</w:t>
      </w:r>
      <w:r>
        <w:rPr>
          <w:rFonts w:ascii="宋体" w:hAnsi="宋体" w:cs="宋体" w:eastAsia="宋体" w:hint="default"/>
        </w:rPr>
        <w:t>5</w:t>
      </w:r>
      <w:r>
        <w:rPr/>
        <w:t>）持续地对套期有效性进行评价，并确保该套期在套期关系被指定的会计期间内高度有效。</w:t>
      </w:r>
      <w:r>
        <w:rPr>
          <w:rFonts w:ascii="宋体" w:hAnsi="宋体" w:cs="宋体" w:eastAsia="宋体" w:hint="default"/>
        </w:rPr>
        <w:t> </w:t>
      </w:r>
      <w:r>
        <w:rPr/>
        <w:t>套期同时满足下列条件时，本公司认定其高度有效：（</w:t>
      </w:r>
      <w:r>
        <w:rPr>
          <w:rFonts w:ascii="宋体" w:hAnsi="宋体" w:cs="宋体" w:eastAsia="宋体" w:hint="default"/>
        </w:rPr>
        <w:t>1</w:t>
      </w:r>
      <w:r>
        <w:rPr/>
        <w:t>）在套期开始及以后期间，该项套期预期会高度有效地抵销套</w:t>
      </w:r>
    </w:p>
    <w:p>
      <w:pPr>
        <w:pStyle w:val="BodyText"/>
        <w:spacing w:line="357" w:lineRule="auto" w:before="26"/>
        <w:ind w:left="513" w:right="153" w:hanging="361"/>
        <w:jc w:val="left"/>
        <w:rPr>
          <w:rFonts w:ascii="宋体" w:hAnsi="宋体" w:cs="宋体" w:eastAsia="宋体" w:hint="default"/>
        </w:rPr>
      </w:pPr>
      <w:r>
        <w:rPr/>
        <w:t>期指定期间被套期风险引起的公允价值或现金流量变动；（</w:t>
      </w:r>
      <w:r>
        <w:rPr>
          <w:rFonts w:ascii="宋体" w:hAnsi="宋体" w:cs="宋体" w:eastAsia="宋体" w:hint="default"/>
        </w:rPr>
        <w:t>2</w:t>
      </w:r>
      <w:r>
        <w:rPr/>
        <w:t>）该套期的实际抵销结果在</w:t>
      </w:r>
      <w:r>
        <w:rPr>
          <w:rFonts w:ascii="宋体" w:hAnsi="宋体" w:cs="宋体" w:eastAsia="宋体" w:hint="default"/>
        </w:rPr>
        <w:t>80%</w:t>
      </w:r>
      <w:r>
        <w:rPr/>
        <w:t>至</w:t>
      </w:r>
      <w:r>
        <w:rPr>
          <w:rFonts w:ascii="宋体" w:hAnsi="宋体" w:cs="宋体" w:eastAsia="宋体" w:hint="default"/>
        </w:rPr>
        <w:t>125%</w:t>
      </w:r>
      <w:r>
        <w:rPr/>
        <w:t>的范围内。</w:t>
      </w:r>
      <w:r>
        <w:rPr>
          <w:rFonts w:ascii="宋体" w:hAnsi="宋体" w:cs="宋体" w:eastAsia="宋体" w:hint="default"/>
        </w:rPr>
        <w:t> 2</w:t>
      </w:r>
      <w:r>
        <w:rPr/>
        <w:t>．公允价值套期会计处理</w:t>
      </w:r>
      <w:r>
        <w:rPr>
          <w:rFonts w:ascii="宋体" w:hAnsi="宋体" w:cs="宋体" w:eastAsia="宋体" w:hint="default"/>
        </w:rPr>
        <w:t> </w:t>
      </w:r>
    </w:p>
    <w:p>
      <w:pPr>
        <w:pStyle w:val="BodyText"/>
        <w:spacing w:line="355" w:lineRule="auto" w:before="26"/>
        <w:ind w:left="513" w:right="143" w:hanging="181"/>
        <w:jc w:val="left"/>
      </w:pPr>
      <w:r>
        <w:rPr/>
        <w:t>（</w:t>
      </w:r>
      <w:r>
        <w:rPr>
          <w:rFonts w:ascii="宋体" w:hAnsi="宋体" w:cs="宋体" w:eastAsia="宋体" w:hint="default"/>
        </w:rPr>
        <w:t>1</w:t>
      </w:r>
      <w:r>
        <w:rPr/>
        <w:t>）基本要求</w:t>
      </w:r>
      <w:r>
        <w:rPr>
          <w:rFonts w:ascii="宋体" w:hAnsi="宋体" w:cs="宋体" w:eastAsia="宋体" w:hint="default"/>
        </w:rPr>
        <w:t> 1</w:t>
      </w:r>
      <w:r>
        <w:rPr/>
        <w:t>）套期工具为衍生工具的，公允价值变动形成的利得或损失计入当期损益；套期工具为非衍生工具的，账面价值因汇</w:t>
      </w:r>
    </w:p>
    <w:p>
      <w:pPr>
        <w:spacing w:after="0" w:line="355" w:lineRule="auto"/>
        <w:jc w:val="left"/>
        <w:sectPr>
          <w:pgSz w:w="11910" w:h="16840"/>
          <w:pgMar w:header="745" w:footer="980" w:top="1060" w:bottom="1160" w:left="980" w:right="980"/>
        </w:sectPr>
      </w:pPr>
    </w:p>
    <w:p>
      <w:pPr>
        <w:spacing w:line="240" w:lineRule="auto" w:before="8"/>
        <w:rPr>
          <w:rFonts w:ascii="宋体" w:hAnsi="宋体" w:cs="宋体" w:eastAsia="宋体" w:hint="default"/>
          <w:sz w:val="22"/>
          <w:szCs w:val="22"/>
        </w:rPr>
      </w:pPr>
    </w:p>
    <w:p>
      <w:pPr>
        <w:pStyle w:val="BodyText"/>
        <w:spacing w:line="357" w:lineRule="auto" w:before="44"/>
        <w:ind w:left="513" w:right="183" w:hanging="361"/>
        <w:jc w:val="left"/>
      </w:pPr>
      <w:r>
        <w:rPr/>
        <w:t>率变动形成的利得或损失计入当期损益。</w:t>
      </w:r>
      <w:r>
        <w:rPr>
          <w:rFonts w:ascii="宋体" w:hAnsi="宋体" w:cs="宋体" w:eastAsia="宋体" w:hint="default"/>
        </w:rPr>
        <w:t> 2</w:t>
      </w:r>
      <w:r>
        <w:rPr/>
        <w:t>）被套期项目因被套期风险形成的利得或损失计入当期损益，同时调整被套期项目的账面价值。被套期项目为按成本</w:t>
      </w:r>
    </w:p>
    <w:p>
      <w:pPr>
        <w:pStyle w:val="BodyText"/>
        <w:spacing w:line="240" w:lineRule="auto" w:before="26"/>
        <w:ind w:right="254"/>
        <w:jc w:val="left"/>
        <w:rPr>
          <w:rFonts w:ascii="宋体" w:hAnsi="宋体" w:cs="宋体" w:eastAsia="宋体" w:hint="default"/>
        </w:rPr>
      </w:pPr>
      <w:r>
        <w:rPr/>
        <w:t>与可变现净值孰低进行后续计量的存货、按摊余成本进行后续计量的金融资产或可供出售金融资产的，也按此规定处理。</w:t>
      </w:r>
      <w:r>
        <w:rPr>
          <w:rFonts w:ascii="宋体" w:hAnsi="宋体" w:cs="宋体" w:eastAsia="宋体" w:hint="default"/>
        </w:rPr>
        <w:t> </w:t>
      </w:r>
    </w:p>
    <w:p>
      <w:pPr>
        <w:pStyle w:val="BodyText"/>
        <w:spacing w:line="357" w:lineRule="auto" w:before="115"/>
        <w:ind w:left="513" w:right="183" w:hanging="181"/>
        <w:jc w:val="left"/>
      </w:pPr>
      <w:r>
        <w:rPr/>
        <w:t>（</w:t>
      </w:r>
      <w:r>
        <w:rPr>
          <w:rFonts w:ascii="宋体" w:hAnsi="宋体" w:cs="宋体" w:eastAsia="宋体" w:hint="default"/>
        </w:rPr>
        <w:t>2</w:t>
      </w:r>
      <w:r>
        <w:rPr/>
        <w:t>）被套期项目利得或损失的处理</w:t>
      </w:r>
      <w:r>
        <w:rPr>
          <w:rFonts w:ascii="宋体" w:hAnsi="宋体" w:cs="宋体" w:eastAsia="宋体" w:hint="default"/>
        </w:rPr>
        <w:t> 1</w:t>
      </w:r>
      <w:r>
        <w:rPr/>
        <w:t>）对于金融资产或金融负债组合一部分的利率风险公允价值套期，本公司对被套期项目形成的利得或损失可按下列方</w:t>
      </w:r>
    </w:p>
    <w:p>
      <w:pPr>
        <w:pStyle w:val="BodyText"/>
        <w:spacing w:line="240" w:lineRule="auto" w:before="24"/>
        <w:ind w:right="254"/>
        <w:jc w:val="left"/>
        <w:rPr>
          <w:rFonts w:ascii="宋体" w:hAnsi="宋体" w:cs="宋体" w:eastAsia="宋体" w:hint="default"/>
        </w:rPr>
      </w:pPr>
      <w:r>
        <w:rPr/>
        <w:t>法处理</w:t>
      </w:r>
      <w:r>
        <w:rPr>
          <w:rFonts w:ascii="宋体" w:hAnsi="宋体" w:cs="宋体" w:eastAsia="宋体" w:hint="default"/>
        </w:rPr>
        <w:t>: </w:t>
      </w:r>
    </w:p>
    <w:p>
      <w:pPr>
        <w:pStyle w:val="BodyText"/>
        <w:spacing w:line="357" w:lineRule="auto" w:before="115"/>
        <w:ind w:left="513" w:right="183"/>
        <w:jc w:val="left"/>
      </w:pPr>
      <w:r>
        <w:rPr/>
        <w:t>被套期项目在重新定价期间内是资产的，在资产负债表中资产项下单列项目反映，待终止确认时转销；</w:t>
      </w:r>
      <w:r>
        <w:rPr>
          <w:rFonts w:ascii="宋体" w:hAnsi="宋体" w:cs="宋体" w:eastAsia="宋体" w:hint="default"/>
        </w:rPr>
        <w:t> </w:t>
      </w:r>
      <w:r>
        <w:rPr/>
        <w:t>被套期项目在重新定价期间内是负债的，在资产负债表中负债项下单列项目反映，待终止确认时转销。</w:t>
      </w:r>
      <w:r>
        <w:rPr>
          <w:rFonts w:ascii="宋体" w:hAnsi="宋体" w:cs="宋体" w:eastAsia="宋体" w:hint="default"/>
        </w:rPr>
        <w:t> 2</w:t>
      </w:r>
      <w:r>
        <w:rPr/>
        <w:t>）被套期项目是以摊余成本计量的金融工具的，对被套期项目账面价值所作的调整，按照调整日重新计算的实际利率</w:t>
      </w:r>
    </w:p>
    <w:p>
      <w:pPr>
        <w:pStyle w:val="BodyText"/>
        <w:spacing w:line="357" w:lineRule="auto" w:before="26"/>
        <w:ind w:left="513" w:right="94" w:hanging="361"/>
        <w:jc w:val="left"/>
      </w:pPr>
      <w:r>
        <w:rPr/>
        <w:t>在调整日至到期日的期间内进行摊销，计入当期损益。</w:t>
      </w:r>
      <w:r>
        <w:rPr>
          <w:rFonts w:ascii="宋体" w:hAnsi="宋体" w:cs="宋体" w:eastAsia="宋体" w:hint="default"/>
        </w:rPr>
        <w:t> </w:t>
      </w:r>
      <w:r>
        <w:rPr>
          <w:spacing w:val="-2"/>
        </w:rPr>
        <w:t>对利率风险组合的公允价值套期，在资产负债表中单列的相关项目，也按照调整日重新计算的实际利率在调整日至相关</w:t>
      </w:r>
    </w:p>
    <w:p>
      <w:pPr>
        <w:pStyle w:val="BodyText"/>
        <w:spacing w:line="357" w:lineRule="auto" w:before="26"/>
        <w:ind w:right="94"/>
        <w:jc w:val="left"/>
        <w:rPr>
          <w:rFonts w:ascii="宋体" w:hAnsi="宋体" w:cs="宋体" w:eastAsia="宋体" w:hint="default"/>
        </w:rPr>
      </w:pPr>
      <w:r>
        <w:rPr>
          <w:spacing w:val="-2"/>
        </w:rPr>
        <w:t>的重新定价期间结束日的期间内摊销。采用实际利率法进行摊销不切实可行的，可以采用直线法进行摊销。此调整金额于金</w:t>
      </w:r>
      <w:r>
        <w:rPr>
          <w:spacing w:val="-63"/>
        </w:rPr>
        <w:t> </w:t>
      </w:r>
      <w:r>
        <w:rPr>
          <w:spacing w:val="-63"/>
        </w:rPr>
      </w:r>
      <w:r>
        <w:rPr/>
        <w:t>融工具到期日前摊销完毕；对于利率风险组合的公允价值套期，于相关重新定价期间结束日前摊销完毕。</w:t>
      </w:r>
      <w:r>
        <w:rPr>
          <w:rFonts w:ascii="宋体" w:hAnsi="宋体" w:cs="宋体" w:eastAsia="宋体" w:hint="default"/>
        </w:rPr>
        <w:t> </w:t>
      </w:r>
    </w:p>
    <w:p>
      <w:pPr>
        <w:pStyle w:val="BodyText"/>
        <w:spacing w:line="357" w:lineRule="auto" w:before="26"/>
        <w:ind w:right="94" w:firstLine="360"/>
        <w:jc w:val="left"/>
        <w:rPr>
          <w:rFonts w:ascii="宋体" w:hAnsi="宋体" w:cs="宋体" w:eastAsia="宋体" w:hint="default"/>
        </w:rPr>
      </w:pPr>
      <w:r>
        <w:rPr>
          <w:rFonts w:ascii="宋体" w:hAnsi="宋体" w:cs="宋体" w:eastAsia="宋体" w:hint="default"/>
          <w:spacing w:val="-2"/>
        </w:rPr>
        <w:t>3</w:t>
      </w:r>
      <w:r>
        <w:rPr>
          <w:spacing w:val="-2"/>
        </w:rPr>
        <w:t>）被套期项目为尚未确认的确定承诺的，该确定承诺因被套期风险引起的公允价值变动累计额确认为一项资产或负债，</w:t>
      </w:r>
      <w:r>
        <w:rPr/>
        <w:t> 相关的利得或损失计人当期损益。</w:t>
      </w:r>
      <w:r>
        <w:rPr>
          <w:rFonts w:ascii="宋体" w:hAnsi="宋体" w:cs="宋体" w:eastAsia="宋体" w:hint="default"/>
        </w:rPr>
        <w:t> </w:t>
      </w:r>
    </w:p>
    <w:p>
      <w:pPr>
        <w:pStyle w:val="BodyText"/>
        <w:spacing w:line="357" w:lineRule="auto" w:before="24"/>
        <w:ind w:right="94" w:firstLine="360"/>
        <w:jc w:val="left"/>
        <w:rPr>
          <w:rFonts w:ascii="宋体" w:hAnsi="宋体" w:cs="宋体" w:eastAsia="宋体" w:hint="default"/>
        </w:rPr>
      </w:pPr>
      <w:r>
        <w:rPr>
          <w:rFonts w:ascii="宋体" w:hAnsi="宋体" w:cs="宋体" w:eastAsia="宋体" w:hint="default"/>
          <w:spacing w:val="-2"/>
        </w:rPr>
        <w:t>4</w:t>
      </w:r>
      <w:r>
        <w:rPr>
          <w:spacing w:val="-2"/>
        </w:rPr>
        <w:t>）在购买资产或承担负债的确定承诺的公允价值套期中，该确定承诺因被套期风险引起的公允价值变动累计额</w:t>
      </w:r>
      <w:r>
        <w:rPr>
          <w:rFonts w:ascii="宋体" w:hAnsi="宋体" w:cs="宋体" w:eastAsia="宋体" w:hint="default"/>
          <w:spacing w:val="-2"/>
        </w:rPr>
        <w:t>(</w:t>
      </w:r>
      <w:r>
        <w:rPr>
          <w:spacing w:val="-2"/>
        </w:rPr>
        <w:t>已确认</w:t>
      </w:r>
      <w:r>
        <w:rPr/>
        <w:t> 为资产或负债</w:t>
      </w:r>
      <w:r>
        <w:rPr>
          <w:rFonts w:ascii="宋体" w:hAnsi="宋体" w:cs="宋体" w:eastAsia="宋体" w:hint="default"/>
        </w:rPr>
        <w:t>)</w:t>
      </w:r>
      <w:r>
        <w:rPr/>
        <w:t>，调整履行该确定承诺所取得的资产或承担的负债的初始确认金额。</w:t>
      </w:r>
      <w:r>
        <w:rPr>
          <w:rFonts w:ascii="宋体" w:hAnsi="宋体" w:cs="宋体" w:eastAsia="宋体" w:hint="default"/>
        </w:rPr>
        <w:t> </w:t>
      </w:r>
    </w:p>
    <w:p>
      <w:pPr>
        <w:pStyle w:val="BodyText"/>
        <w:spacing w:line="357" w:lineRule="auto" w:before="26"/>
        <w:ind w:left="513" w:right="4593" w:hanging="181"/>
        <w:jc w:val="left"/>
        <w:rPr>
          <w:rFonts w:ascii="宋体" w:hAnsi="宋体" w:cs="宋体" w:eastAsia="宋体" w:hint="default"/>
        </w:rPr>
      </w:pPr>
      <w:r>
        <w:rPr/>
        <w:t>（</w:t>
      </w:r>
      <w:r>
        <w:rPr>
          <w:rFonts w:ascii="宋体" w:hAnsi="宋体" w:cs="宋体" w:eastAsia="宋体" w:hint="default"/>
        </w:rPr>
        <w:t>3</w:t>
      </w:r>
      <w:r>
        <w:rPr/>
        <w:t>）终止运用公允价值套期会计方法的条件</w:t>
      </w:r>
      <w:r>
        <w:rPr>
          <w:rFonts w:ascii="宋体" w:hAnsi="宋体" w:cs="宋体" w:eastAsia="宋体" w:hint="default"/>
        </w:rPr>
        <w:t> </w:t>
      </w:r>
      <w:r>
        <w:rPr/>
        <w:t>套期满足下列条件之一时终止运用公允价值套期会计</w:t>
      </w:r>
      <w:r>
        <w:rPr>
          <w:rFonts w:ascii="宋体" w:hAnsi="宋体" w:cs="宋体" w:eastAsia="宋体" w:hint="default"/>
        </w:rPr>
        <w:t>: 1</w:t>
      </w:r>
      <w:r>
        <w:rPr/>
        <w:t>）套期工具已到期、被出售、合同终止或已行使。</w:t>
      </w:r>
      <w:r>
        <w:rPr>
          <w:rFonts w:ascii="宋体" w:hAnsi="宋体" w:cs="宋体" w:eastAsia="宋体" w:hint="default"/>
        </w:rPr>
        <w:t> </w:t>
      </w:r>
    </w:p>
    <w:p>
      <w:pPr>
        <w:pStyle w:val="BodyText"/>
        <w:spacing w:line="357" w:lineRule="auto" w:before="26"/>
        <w:ind w:right="184" w:firstLine="360"/>
        <w:jc w:val="left"/>
        <w:rPr>
          <w:rFonts w:ascii="宋体" w:hAnsi="宋体" w:cs="宋体" w:eastAsia="宋体" w:hint="default"/>
        </w:rPr>
      </w:pPr>
      <w:r>
        <w:rPr>
          <w:rFonts w:ascii="宋体" w:hAnsi="宋体" w:cs="宋体" w:eastAsia="宋体" w:hint="default"/>
        </w:rPr>
        <w:t>2</w:t>
      </w:r>
      <w:r>
        <w:rPr/>
        <w:t>）套期工具展期或被另一项套期工具替换时，展期或替换是本公司正式书面文件所载明的套期策略组成部分的，不作 为已到期或合同终止处理。</w:t>
      </w:r>
      <w:r>
        <w:rPr>
          <w:rFonts w:ascii="宋体" w:hAnsi="宋体" w:cs="宋体" w:eastAsia="宋体" w:hint="default"/>
        </w:rPr>
        <w:t> </w:t>
      </w:r>
    </w:p>
    <w:p>
      <w:pPr>
        <w:pStyle w:val="BodyText"/>
        <w:spacing w:line="240" w:lineRule="auto" w:before="26"/>
        <w:ind w:left="513" w:right="254"/>
        <w:jc w:val="left"/>
        <w:rPr>
          <w:rFonts w:ascii="宋体" w:hAnsi="宋体" w:cs="宋体" w:eastAsia="宋体" w:hint="default"/>
        </w:rPr>
      </w:pPr>
      <w:r>
        <w:rPr>
          <w:rFonts w:ascii="宋体" w:hAnsi="宋体" w:cs="宋体" w:eastAsia="宋体" w:hint="default"/>
        </w:rPr>
        <w:t>3</w:t>
      </w:r>
      <w:r>
        <w:rPr/>
        <w:t>）该套期不再满足运用套期会计方法的条件。</w:t>
      </w:r>
      <w:r>
        <w:rPr>
          <w:rFonts w:ascii="宋体" w:hAnsi="宋体" w:cs="宋体" w:eastAsia="宋体" w:hint="default"/>
        </w:rPr>
        <w:t> </w:t>
      </w:r>
    </w:p>
    <w:p>
      <w:pPr>
        <w:pStyle w:val="BodyText"/>
        <w:spacing w:line="240" w:lineRule="auto" w:before="115"/>
        <w:ind w:left="513" w:right="254"/>
        <w:jc w:val="left"/>
        <w:rPr>
          <w:rFonts w:ascii="宋体" w:hAnsi="宋体" w:cs="宋体" w:eastAsia="宋体" w:hint="default"/>
        </w:rPr>
      </w:pPr>
      <w:r>
        <w:rPr>
          <w:rFonts w:ascii="宋体" w:hAnsi="宋体" w:cs="宋体" w:eastAsia="宋体" w:hint="default"/>
        </w:rPr>
        <w:t>4</w:t>
      </w:r>
      <w:r>
        <w:rPr/>
        <w:t>）本公司撤销了对套期关系的指定。</w:t>
      </w:r>
      <w:r>
        <w:rPr>
          <w:rFonts w:ascii="宋体" w:hAnsi="宋体" w:cs="宋体" w:eastAsia="宋体" w:hint="default"/>
        </w:rPr>
        <w:t> </w:t>
      </w:r>
    </w:p>
    <w:p>
      <w:pPr>
        <w:pStyle w:val="BodyText"/>
        <w:spacing w:line="240" w:lineRule="auto" w:before="115"/>
        <w:ind w:left="513" w:right="254"/>
        <w:jc w:val="left"/>
        <w:rPr>
          <w:rFonts w:ascii="宋体" w:hAnsi="宋体" w:cs="宋体" w:eastAsia="宋体" w:hint="default"/>
        </w:rPr>
      </w:pPr>
      <w:r>
        <w:rPr>
          <w:rFonts w:ascii="宋体" w:hAnsi="宋体" w:cs="宋体" w:eastAsia="宋体" w:hint="default"/>
        </w:rPr>
        <w:t>3</w:t>
      </w:r>
      <w:r>
        <w:rPr/>
        <w:t>．现金流量套期会计处理</w:t>
      </w:r>
      <w:r>
        <w:rPr>
          <w:rFonts w:ascii="宋体" w:hAnsi="宋体" w:cs="宋体" w:eastAsia="宋体" w:hint="default"/>
        </w:rPr>
        <w:t> </w:t>
      </w:r>
    </w:p>
    <w:p>
      <w:pPr>
        <w:pStyle w:val="BodyText"/>
        <w:spacing w:line="357" w:lineRule="auto" w:before="112"/>
        <w:ind w:left="513" w:right="183" w:hanging="181"/>
        <w:jc w:val="left"/>
      </w:pPr>
      <w:r>
        <w:rPr/>
        <w:t>（</w:t>
      </w:r>
      <w:r>
        <w:rPr>
          <w:rFonts w:ascii="宋体" w:hAnsi="宋体" w:cs="宋体" w:eastAsia="宋体" w:hint="default"/>
        </w:rPr>
        <w:t>1</w:t>
      </w:r>
      <w:r>
        <w:rPr/>
        <w:t>）基本要求</w:t>
      </w:r>
      <w:r>
        <w:rPr>
          <w:rFonts w:ascii="宋体" w:hAnsi="宋体" w:cs="宋体" w:eastAsia="宋体" w:hint="default"/>
        </w:rPr>
        <w:t> 1</w:t>
      </w:r>
      <w:r>
        <w:rPr/>
        <w:t>）套期工具利得或损失中属于有效套期的部分，直接确认为所有者权益，并单列项目反映。该有效套期部分的金额，</w:t>
      </w:r>
    </w:p>
    <w:p>
      <w:pPr>
        <w:pStyle w:val="BodyText"/>
        <w:spacing w:line="357" w:lineRule="auto" w:before="26"/>
        <w:ind w:left="513" w:right="4233" w:hanging="361"/>
        <w:jc w:val="left"/>
        <w:rPr>
          <w:rFonts w:ascii="宋体" w:hAnsi="宋体" w:cs="宋体" w:eastAsia="宋体" w:hint="default"/>
        </w:rPr>
      </w:pPr>
      <w:r>
        <w:rPr/>
        <w:t>按照下列两项的绝对额中较低者确定</w:t>
      </w:r>
      <w:r>
        <w:rPr>
          <w:rFonts w:ascii="宋体" w:hAnsi="宋体" w:cs="宋体" w:eastAsia="宋体" w:hint="default"/>
        </w:rPr>
        <w:t>: </w:t>
      </w:r>
      <w:r>
        <w:rPr/>
        <w:t>套期工具自套期开始的累计利得或损失；</w:t>
      </w:r>
      <w:r>
        <w:rPr>
          <w:rFonts w:ascii="宋体" w:hAnsi="宋体" w:cs="宋体" w:eastAsia="宋体" w:hint="default"/>
        </w:rPr>
        <w:t> </w:t>
      </w:r>
      <w:r>
        <w:rPr/>
        <w:t>被套期项目自套期开始的预计未来现金流量现值的累计变动额。</w:t>
      </w:r>
      <w:r>
        <w:rPr>
          <w:rFonts w:ascii="宋体" w:hAnsi="宋体" w:cs="宋体" w:eastAsia="宋体" w:hint="default"/>
        </w:rPr>
        <w:t> </w:t>
      </w:r>
    </w:p>
    <w:p>
      <w:pPr>
        <w:pStyle w:val="BodyText"/>
        <w:spacing w:line="240" w:lineRule="auto" w:before="26"/>
        <w:ind w:left="513" w:right="94"/>
        <w:jc w:val="left"/>
        <w:rPr>
          <w:rFonts w:ascii="宋体" w:hAnsi="宋体" w:cs="宋体" w:eastAsia="宋体" w:hint="default"/>
        </w:rPr>
      </w:pPr>
      <w:r>
        <w:rPr>
          <w:rFonts w:ascii="宋体" w:hAnsi="宋体" w:cs="宋体" w:eastAsia="宋体" w:hint="default"/>
        </w:rPr>
        <w:t>2</w:t>
      </w:r>
      <w:r>
        <w:rPr/>
        <w:t>）套期工具利得或损失中属于无效套期的部分</w:t>
      </w:r>
      <w:r>
        <w:rPr>
          <w:rFonts w:ascii="宋体" w:hAnsi="宋体" w:cs="宋体" w:eastAsia="宋体" w:hint="default"/>
        </w:rPr>
        <w:t>(</w:t>
      </w:r>
      <w:r>
        <w:rPr/>
        <w:t>即扣除直接确认为所有者权益后的其他利得或损失</w:t>
      </w:r>
      <w:r>
        <w:rPr>
          <w:rFonts w:ascii="宋体" w:hAnsi="宋体" w:cs="宋体" w:eastAsia="宋体" w:hint="default"/>
        </w:rPr>
        <w:t>)</w:t>
      </w:r>
      <w:r>
        <w:rPr/>
        <w:t>，计入当期损益。</w:t>
      </w:r>
      <w:r>
        <w:rPr>
          <w:rFonts w:ascii="宋体" w:hAnsi="宋体" w:cs="宋体" w:eastAsia="宋体" w:hint="default"/>
        </w:rPr>
        <w:t> </w:t>
      </w:r>
    </w:p>
    <w:p>
      <w:pPr>
        <w:pStyle w:val="BodyText"/>
        <w:spacing w:line="357" w:lineRule="auto" w:before="115"/>
        <w:ind w:right="184" w:firstLine="360"/>
        <w:jc w:val="left"/>
        <w:rPr>
          <w:rFonts w:ascii="宋体" w:hAnsi="宋体" w:cs="宋体" w:eastAsia="宋体" w:hint="default"/>
        </w:rPr>
      </w:pPr>
      <w:r>
        <w:rPr>
          <w:rFonts w:ascii="宋体" w:hAnsi="宋体" w:cs="宋体" w:eastAsia="宋体" w:hint="default"/>
        </w:rPr>
        <w:t>3</w:t>
      </w:r>
      <w:r>
        <w:rPr/>
        <w:t>）在风险管理策略的正式书面文件中，载明了在评价套期有效性时将排除套期工具的某部分利得或损失或相关现金流 量影响的，被排除的该部分利得或损失的处理适用《企业会计准则第</w:t>
      </w:r>
      <w:r>
        <w:rPr>
          <w:rFonts w:ascii="宋体" w:hAnsi="宋体" w:cs="宋体" w:eastAsia="宋体" w:hint="default"/>
        </w:rPr>
        <w:t>22</w:t>
      </w:r>
      <w:r>
        <w:rPr/>
        <w:t>号——金融工具确认和计量》。</w:t>
      </w:r>
      <w:r>
        <w:rPr>
          <w:rFonts w:ascii="宋体" w:hAnsi="宋体" w:cs="宋体" w:eastAsia="宋体" w:hint="default"/>
        </w:rPr>
        <w:t> </w:t>
      </w:r>
    </w:p>
    <w:p>
      <w:pPr>
        <w:pStyle w:val="BodyText"/>
        <w:spacing w:line="357" w:lineRule="auto" w:before="26"/>
        <w:ind w:left="513" w:right="183" w:hanging="181"/>
        <w:jc w:val="left"/>
      </w:pPr>
      <w:r>
        <w:rPr/>
        <w:t>（</w:t>
      </w:r>
      <w:r>
        <w:rPr>
          <w:rFonts w:ascii="宋体" w:hAnsi="宋体" w:cs="宋体" w:eastAsia="宋体" w:hint="default"/>
        </w:rPr>
        <w:t>2</w:t>
      </w:r>
      <w:r>
        <w:rPr/>
        <w:t>）套期工具利得或损失的后续处理</w:t>
      </w:r>
      <w:r>
        <w:rPr>
          <w:rFonts w:ascii="宋体" w:hAnsi="宋体" w:cs="宋体" w:eastAsia="宋体" w:hint="default"/>
        </w:rPr>
        <w:t> 1</w:t>
      </w:r>
      <w:r>
        <w:rPr/>
        <w:t>）被套期项目为预期交易，且该预期交易使本公司随后确认一项金融资产或一项金融负债的，原直接确认为所有者权</w:t>
      </w:r>
    </w:p>
    <w:p>
      <w:pPr>
        <w:pStyle w:val="BodyText"/>
        <w:spacing w:line="357" w:lineRule="auto" w:before="24"/>
        <w:ind w:right="94"/>
        <w:jc w:val="left"/>
        <w:rPr>
          <w:rFonts w:ascii="宋体" w:hAnsi="宋体" w:cs="宋体" w:eastAsia="宋体" w:hint="default"/>
        </w:rPr>
      </w:pPr>
      <w:r>
        <w:rPr>
          <w:spacing w:val="-2"/>
        </w:rPr>
        <w:t>益的相关利得或损失，在该金融资产或金融负债影响本公司损益的相同期间转出，计入当期损益。但是，本公司预期原直接</w:t>
      </w:r>
      <w:r>
        <w:rPr>
          <w:spacing w:val="-64"/>
        </w:rPr>
        <w:t> </w:t>
      </w:r>
      <w:r>
        <w:rPr>
          <w:spacing w:val="-64"/>
        </w:rPr>
      </w:r>
      <w:r>
        <w:rPr/>
        <w:t>在所有者权益中确认的净损失全部或部分在未来会计期间不能弥补时，将不能弥补的部分转出，计入当期损益。</w:t>
      </w:r>
      <w:r>
        <w:rPr>
          <w:rFonts w:ascii="宋体" w:hAnsi="宋体" w:cs="宋体" w:eastAsia="宋体" w:hint="default"/>
        </w:rPr>
        <w:t> </w:t>
      </w:r>
    </w:p>
    <w:p>
      <w:pPr>
        <w:pStyle w:val="BodyText"/>
        <w:spacing w:line="357" w:lineRule="auto" w:before="26"/>
        <w:ind w:right="101" w:firstLine="360"/>
        <w:jc w:val="both"/>
        <w:rPr>
          <w:rFonts w:ascii="宋体" w:hAnsi="宋体" w:cs="宋体" w:eastAsia="宋体" w:hint="default"/>
        </w:rPr>
      </w:pPr>
      <w:r>
        <w:rPr>
          <w:rFonts w:ascii="宋体" w:hAnsi="宋体" w:cs="宋体" w:eastAsia="宋体" w:hint="default"/>
        </w:rPr>
        <w:t>2</w:t>
      </w:r>
      <w:r>
        <w:rPr/>
        <w:t>）被套期项目为预期交易，且该预期交易使本公司随后确认一项非金融资产或一项非金融负债的，原直接在所有者权 </w:t>
      </w:r>
      <w:r>
        <w:rPr>
          <w:spacing w:val="-2"/>
        </w:rPr>
        <w:t>益中确认的相关利得或损失，在该非金融资产或非金融负债影响本公司损益的相同期间转出，计入当期损益。但是，本公司</w:t>
      </w:r>
      <w:r>
        <w:rPr>
          <w:spacing w:val="-66"/>
        </w:rPr>
        <w:t> </w:t>
      </w:r>
      <w:r>
        <w:rPr>
          <w:spacing w:val="-66"/>
        </w:rPr>
      </w:r>
      <w:r>
        <w:rPr>
          <w:spacing w:val="-2"/>
        </w:rPr>
        <w:t>预期原直接在所有者权益中确认的净损失全部或部分在未来会计期间不能弥补时，将不能弥补的部分转出，计入当期损益。</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745" w:footer="980" w:top="1060" w:bottom="1160" w:left="980" w:right="940"/>
        </w:sectPr>
      </w:pPr>
    </w:p>
    <w:p>
      <w:pPr>
        <w:spacing w:line="240" w:lineRule="auto" w:before="8"/>
        <w:rPr>
          <w:rFonts w:ascii="宋体" w:hAnsi="宋体" w:cs="宋体" w:eastAsia="宋体" w:hint="default"/>
          <w:sz w:val="22"/>
          <w:szCs w:val="22"/>
        </w:rPr>
      </w:pPr>
    </w:p>
    <w:p>
      <w:pPr>
        <w:pStyle w:val="BodyText"/>
        <w:spacing w:line="357" w:lineRule="auto" w:before="44"/>
        <w:ind w:right="199" w:firstLine="360"/>
        <w:jc w:val="both"/>
        <w:rPr>
          <w:rFonts w:ascii="宋体" w:hAnsi="宋体" w:cs="宋体" w:eastAsia="宋体" w:hint="default"/>
        </w:rPr>
      </w:pPr>
      <w:r>
        <w:rPr>
          <w:rFonts w:ascii="宋体" w:hAnsi="宋体" w:cs="宋体" w:eastAsia="宋体" w:hint="default"/>
        </w:rPr>
        <w:t>3</w:t>
      </w:r>
      <w:r>
        <w:rPr/>
        <w:t>）不属于以上</w:t>
      </w:r>
      <w:r>
        <w:rPr>
          <w:rFonts w:ascii="宋体" w:hAnsi="宋体" w:cs="宋体" w:eastAsia="宋体" w:hint="default"/>
        </w:rPr>
        <w:t>1</w:t>
      </w:r>
      <w:r>
        <w:rPr/>
        <w:t>）或</w:t>
      </w:r>
      <w:r>
        <w:rPr>
          <w:rFonts w:ascii="宋体" w:hAnsi="宋体" w:cs="宋体" w:eastAsia="宋体" w:hint="default"/>
        </w:rPr>
        <w:t>2</w:t>
      </w:r>
      <w:r>
        <w:rPr/>
        <w:t>）所指情况的，原直接计入所有者权益中的套期工具利得或损失，在被套期预期交易影响损益的 相同期间转出，计入当期损益。</w:t>
      </w:r>
      <w:r>
        <w:rPr>
          <w:rFonts w:ascii="宋体" w:hAnsi="宋体" w:cs="宋体" w:eastAsia="宋体" w:hint="default"/>
        </w:rPr>
        <w:t> </w:t>
      </w:r>
    </w:p>
    <w:p>
      <w:pPr>
        <w:pStyle w:val="BodyText"/>
        <w:spacing w:line="357" w:lineRule="auto" w:before="26"/>
        <w:ind w:left="513" w:right="183" w:hanging="181"/>
        <w:jc w:val="left"/>
      </w:pPr>
      <w:r>
        <w:rPr/>
        <w:t>（</w:t>
      </w:r>
      <w:r>
        <w:rPr>
          <w:rFonts w:ascii="宋体" w:hAnsi="宋体" w:cs="宋体" w:eastAsia="宋体" w:hint="default"/>
        </w:rPr>
        <w:t>3</w:t>
      </w:r>
      <w:r>
        <w:rPr/>
        <w:t>）终止运用现金流量套期会计方法的条件</w:t>
      </w:r>
      <w:r>
        <w:rPr>
          <w:rFonts w:ascii="宋体" w:hAnsi="宋体" w:cs="宋体" w:eastAsia="宋体" w:hint="default"/>
        </w:rPr>
        <w:t> 1</w:t>
      </w:r>
      <w:r>
        <w:rPr/>
        <w:t>）当套期工具已到期、被出售、合同终止或已行使时，在套期有效期间直接计入所有者权益中的套期工具利得或损失</w:t>
      </w:r>
    </w:p>
    <w:p>
      <w:pPr>
        <w:pStyle w:val="BodyText"/>
        <w:spacing w:line="355" w:lineRule="auto" w:before="26"/>
        <w:ind w:left="513" w:right="183" w:hanging="361"/>
        <w:jc w:val="left"/>
      </w:pPr>
      <w:r>
        <w:rPr/>
        <w:t>不转出，直至预期交易实际发生时，再按有关规定处理。</w:t>
      </w:r>
      <w:r>
        <w:rPr>
          <w:rFonts w:ascii="宋体" w:hAnsi="宋体" w:cs="宋体" w:eastAsia="宋体" w:hint="default"/>
        </w:rPr>
        <w:t> 2</w:t>
      </w:r>
      <w:r>
        <w:rPr/>
        <w:t>）当该套期不再满足运用套期保值准则规定的套期会计方法的条件时，在套期有效期间直接计入所有者权益中的套期</w:t>
      </w:r>
    </w:p>
    <w:p>
      <w:pPr>
        <w:pStyle w:val="BodyText"/>
        <w:spacing w:line="357" w:lineRule="auto" w:before="28"/>
        <w:ind w:left="513" w:right="94" w:hanging="361"/>
        <w:jc w:val="left"/>
        <w:rPr>
          <w:rFonts w:ascii="宋体" w:hAnsi="宋体" w:cs="宋体" w:eastAsia="宋体" w:hint="default"/>
        </w:rPr>
      </w:pPr>
      <w:r>
        <w:rPr/>
        <w:t>工具利得或损失不转出，直至预期交易实际发生时，再按有关规定处理。</w:t>
      </w:r>
      <w:r>
        <w:rPr>
          <w:rFonts w:ascii="宋体" w:hAnsi="宋体" w:cs="宋体" w:eastAsia="宋体" w:hint="default"/>
        </w:rPr>
        <w:t> 3</w:t>
      </w:r>
      <w:r>
        <w:rPr/>
        <w:t>）当预期交易预计不会发生时，在套期有效期间直接计入所有者权益中的套期工具利得或损失转出，计入当期损益。</w:t>
      </w:r>
      <w:r>
        <w:rPr>
          <w:rFonts w:ascii="宋体" w:hAnsi="宋体" w:cs="宋体" w:eastAsia="宋体" w:hint="default"/>
        </w:rPr>
        <w:t> </w:t>
      </w:r>
    </w:p>
    <w:p>
      <w:pPr>
        <w:pStyle w:val="BodyText"/>
        <w:spacing w:line="357" w:lineRule="auto" w:before="26"/>
        <w:ind w:right="189" w:firstLine="360"/>
        <w:jc w:val="both"/>
        <w:rPr>
          <w:rFonts w:ascii="宋体" w:hAnsi="宋体" w:cs="宋体" w:eastAsia="宋体" w:hint="default"/>
        </w:rPr>
      </w:pPr>
      <w:r>
        <w:rPr>
          <w:rFonts w:ascii="宋体" w:hAnsi="宋体" w:cs="宋体" w:eastAsia="宋体" w:hint="default"/>
        </w:rPr>
        <w:t>4</w:t>
      </w:r>
      <w:r>
        <w:rPr/>
        <w:t>）当本公司撤销了对套期关系的指定时，对于预期交易套期，在套期有效期间直接计入所有者权益中的套期工具利得 </w:t>
      </w:r>
      <w:r>
        <w:rPr>
          <w:spacing w:val="-2"/>
        </w:rPr>
        <w:t>或损失不转出，直至预期交易实际发生或预计不会发生。预期交易实际发生的，应按有关规定处理；预期交易预计不会发生</w:t>
      </w:r>
      <w:r>
        <w:rPr>
          <w:spacing w:val="-63"/>
        </w:rPr>
        <w:t> </w:t>
      </w:r>
      <w:r>
        <w:rPr>
          <w:spacing w:val="-63"/>
        </w:rPr>
      </w:r>
      <w:r>
        <w:rPr/>
        <w:t>的，原直接计入所有者权益中的套期工具利得或损失转出，计入当期损益。</w:t>
      </w:r>
      <w:r>
        <w:rPr>
          <w:rFonts w:ascii="宋体" w:hAnsi="宋体" w:cs="宋体" w:eastAsia="宋体" w:hint="default"/>
        </w:rPr>
        <w:t> </w:t>
      </w:r>
    </w:p>
    <w:p>
      <w:pPr>
        <w:pStyle w:val="BodyText"/>
        <w:spacing w:line="357" w:lineRule="auto" w:before="26"/>
        <w:ind w:left="513" w:right="2614"/>
        <w:jc w:val="left"/>
        <w:rPr>
          <w:rFonts w:ascii="宋体" w:hAnsi="宋体" w:cs="宋体" w:eastAsia="宋体" w:hint="default"/>
        </w:rPr>
      </w:pPr>
      <w:r>
        <w:rPr>
          <w:rFonts w:ascii="宋体" w:hAnsi="宋体" w:cs="宋体" w:eastAsia="宋体" w:hint="default"/>
        </w:rPr>
        <w:t>4</w:t>
      </w:r>
      <w:r>
        <w:rPr/>
        <w:t>．境外经营净投资套期</w:t>
      </w:r>
      <w:r>
        <w:rPr>
          <w:rFonts w:ascii="宋体" w:hAnsi="宋体" w:cs="宋体" w:eastAsia="宋体" w:hint="default"/>
        </w:rPr>
        <w:t> </w:t>
      </w:r>
      <w:r>
        <w:rPr/>
        <w:t>对境外经营净投资的套期，本公司应按类似于现金流量套期会计的规定处理</w:t>
      </w:r>
      <w:r>
        <w:rPr>
          <w:rFonts w:ascii="宋体" w:hAnsi="宋体" w:cs="宋体" w:eastAsia="宋体" w:hint="default"/>
        </w:rPr>
        <w:t>: </w:t>
      </w:r>
    </w:p>
    <w:p>
      <w:pPr>
        <w:pStyle w:val="BodyText"/>
        <w:spacing w:line="357" w:lineRule="auto" w:before="26"/>
        <w:ind w:right="184" w:firstLine="180"/>
        <w:jc w:val="left"/>
        <w:rPr>
          <w:rFonts w:ascii="宋体" w:hAnsi="宋体" w:cs="宋体" w:eastAsia="宋体" w:hint="default"/>
        </w:rPr>
      </w:pPr>
      <w:r>
        <w:rPr/>
        <w:t>（</w:t>
      </w:r>
      <w:r>
        <w:rPr>
          <w:rFonts w:ascii="宋体" w:hAnsi="宋体" w:cs="宋体" w:eastAsia="宋体" w:hint="default"/>
        </w:rPr>
        <w:t>1</w:t>
      </w:r>
      <w:r>
        <w:rPr/>
        <w:t>）套期工具形成的利得或损失中属于有效套期的部分，直接确认为所有者权益，并单列项目反映。处置境外经营时， 上述在所有者权益中单列项目反映的套期工具利得或损失转出，计入当期损益。</w:t>
      </w:r>
      <w:r>
        <w:rPr>
          <w:rFonts w:ascii="宋体" w:hAnsi="宋体" w:cs="宋体" w:eastAsia="宋体" w:hint="default"/>
        </w:rPr>
        <w:t> </w:t>
      </w:r>
    </w:p>
    <w:p>
      <w:pPr>
        <w:spacing w:line="662" w:lineRule="auto" w:before="24"/>
        <w:ind w:left="152" w:right="2614" w:firstLine="18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）套期工具形成的利得或损失中属于无效套期的部分，计入当期损益。</w:t>
      </w:r>
      <w:r>
        <w:rPr>
          <w:rFonts w:ascii="宋体" w:hAnsi="宋体" w:cs="宋体" w:eastAsia="宋体" w:hint="default"/>
          <w:sz w:val="18"/>
          <w:szCs w:val="18"/>
        </w:rPr>
        <w:t> </w:t>
      </w:r>
      <w:r>
        <w:rPr>
          <w:rFonts w:ascii="宋体" w:hAnsi="宋体" w:cs="宋体" w:eastAsia="宋体" w:hint="default"/>
          <w:b/>
          <w:bCs/>
          <w:sz w:val="18"/>
          <w:szCs w:val="18"/>
        </w:rPr>
        <w:t>31</w:t>
      </w:r>
      <w:r>
        <w:rPr>
          <w:rFonts w:ascii="宋体" w:hAnsi="宋体" w:cs="宋体" w:eastAsia="宋体" w:hint="default"/>
          <w:b/>
          <w:bCs/>
          <w:sz w:val="18"/>
          <w:szCs w:val="18"/>
        </w:rPr>
        <w:t>、重要会计政策和会计估计变更</w:t>
      </w:r>
      <w:r>
        <w:rPr>
          <w:rFonts w:ascii="宋体" w:hAnsi="宋体" w:cs="宋体" w:eastAsia="宋体" w:hint="default"/>
          <w:b/>
          <w:bCs/>
          <w:w w:val="99"/>
          <w:sz w:val="18"/>
          <w:szCs w:val="18"/>
        </w:rPr>
        <w:t> </w:t>
      </w:r>
      <w:r>
        <w:rPr>
          <w:rFonts w:ascii="宋体" w:hAnsi="宋体" w:cs="宋体" w:eastAsia="宋体" w:hint="default"/>
          <w:sz w:val="18"/>
          <w:szCs w:val="18"/>
        </w:rPr>
      </w:r>
    </w:p>
    <w:p>
      <w:pPr>
        <w:pStyle w:val="Heading5"/>
        <w:spacing w:line="240" w:lineRule="auto" w:before="98"/>
        <w:ind w:right="254"/>
        <w:jc w:val="left"/>
        <w:rPr>
          <w:rFonts w:ascii="宋体" w:hAnsi="宋体" w:cs="宋体" w:eastAsia="宋体" w:hint="default"/>
          <w:b w:val="0"/>
          <w:bCs w:val="0"/>
        </w:rPr>
      </w:pPr>
      <w:r>
        <w:rPr/>
        <w:t>（</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3"/>
          <w:szCs w:val="13"/>
        </w:rPr>
      </w:pPr>
    </w:p>
    <w:p>
      <w:pPr>
        <w:pStyle w:val="BodyText"/>
        <w:spacing w:line="398" w:lineRule="auto"/>
        <w:ind w:right="675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 </w:t>
      </w:r>
      <w:r>
        <w:rPr>
          <w:rFonts w:ascii="宋体" w:hAnsi="宋体" w:cs="宋体" w:eastAsia="宋体" w:hint="default"/>
        </w:rPr>
      </w:r>
      <w:r>
        <w:rPr/>
        <w:t>不适用</w:t>
      </w:r>
      <w:r>
        <w:rPr>
          <w:rFonts w:ascii="宋体" w:hAnsi="宋体" w:cs="宋体" w:eastAsia="宋体" w:hint="default"/>
          <w:spacing w:val="-2"/>
        </w:rPr>
        <w:t> </w:t>
      </w:r>
      <w:r>
        <w:rPr>
          <w:rFonts w:ascii="宋体" w:hAnsi="宋体" w:cs="宋体" w:eastAsia="宋体" w:hint="default"/>
        </w:rPr>
        <w:t> </w:t>
      </w:r>
      <w:r>
        <w:rPr/>
        <w:t>会计政策变更说明：</w:t>
      </w:r>
      <w:r>
        <w:rPr>
          <w:rFonts w:ascii="宋体" w:hAnsi="宋体" w:cs="宋体" w:eastAsia="宋体" w:hint="default"/>
        </w:rPr>
        <w:t> </w:t>
      </w:r>
    </w:p>
    <w:p>
      <w:pPr>
        <w:pStyle w:val="BodyText"/>
        <w:spacing w:line="355" w:lineRule="auto"/>
        <w:ind w:right="191" w:firstLine="360"/>
        <w:jc w:val="both"/>
        <w:rPr>
          <w:rFonts w:ascii="宋体" w:hAnsi="宋体" w:cs="宋体" w:eastAsia="宋体" w:hint="default"/>
        </w:rPr>
      </w:pPr>
      <w:r>
        <w:rPr>
          <w:rFonts w:ascii="宋体" w:hAnsi="宋体" w:cs="宋体" w:eastAsia="宋体" w:hint="default"/>
        </w:rPr>
        <w:t>(1)2017</w:t>
      </w:r>
      <w:r>
        <w:rPr/>
        <w:t>年</w:t>
      </w:r>
      <w:r>
        <w:rPr>
          <w:rFonts w:ascii="宋体" w:hAnsi="宋体" w:cs="宋体" w:eastAsia="宋体" w:hint="default"/>
        </w:rPr>
        <w:t>5</w:t>
      </w:r>
      <w:r>
        <w:rPr/>
        <w:t>月</w:t>
      </w:r>
      <w:r>
        <w:rPr>
          <w:rFonts w:ascii="宋体" w:hAnsi="宋体" w:cs="宋体" w:eastAsia="宋体" w:hint="default"/>
        </w:rPr>
        <w:t>10</w:t>
      </w:r>
      <w:r>
        <w:rPr/>
        <w:t>日，财政部公布了修订后的《企业会计准则第</w:t>
      </w:r>
      <w:r>
        <w:rPr>
          <w:rFonts w:ascii="宋体" w:hAnsi="宋体" w:cs="宋体" w:eastAsia="宋体" w:hint="default"/>
        </w:rPr>
        <w:t>16</w:t>
      </w:r>
      <w:r>
        <w:rPr/>
        <w:t>号——政府补助》，该准则修订自</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12</w:t>
      </w:r>
      <w:r>
        <w:rPr/>
        <w:t>日起施 </w:t>
      </w:r>
      <w:r>
        <w:rPr>
          <w:spacing w:val="-2"/>
        </w:rPr>
        <w:t>行，同时要求企业对</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日存在的政府补助采用未来适用法处理，对</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日至该准则施行日之间新增的政府补</w:t>
      </w:r>
      <w:r>
        <w:rPr>
          <w:spacing w:val="-57"/>
        </w:rPr>
        <w:t> </w:t>
      </w:r>
      <w:r>
        <w:rPr>
          <w:spacing w:val="-57"/>
        </w:rPr>
      </w:r>
      <w:r>
        <w:rPr/>
        <w:t>助根据修订后的准则进行调整。</w:t>
      </w:r>
      <w:r>
        <w:rPr>
          <w:rFonts w:ascii="宋体" w:hAnsi="宋体" w:cs="宋体" w:eastAsia="宋体" w:hint="default"/>
        </w:rPr>
        <w:t> </w:t>
      </w:r>
    </w:p>
    <w:p>
      <w:pPr>
        <w:pStyle w:val="BodyText"/>
        <w:spacing w:line="357" w:lineRule="auto" w:before="28"/>
        <w:ind w:right="199" w:firstLine="360"/>
        <w:jc w:val="both"/>
        <w:rPr>
          <w:rFonts w:ascii="宋体" w:hAnsi="宋体" w:cs="宋体" w:eastAsia="宋体" w:hint="default"/>
        </w:rPr>
      </w:pPr>
      <w:r>
        <w:rPr/>
        <w:t>本公司自</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12</w:t>
      </w:r>
      <w:r>
        <w:rPr/>
        <w:t>日开始采用该修订后的准则，上述会计政策变化的主要内容为：与企业日常活动相关的政府补助 计入其他收益；与企业日常活动无关的政府补助计入营业外收支。</w:t>
      </w:r>
      <w:r>
        <w:rPr>
          <w:rFonts w:ascii="宋体" w:hAnsi="宋体" w:cs="宋体" w:eastAsia="宋体" w:hint="default"/>
        </w:rPr>
        <w:t> </w:t>
      </w:r>
    </w:p>
    <w:p>
      <w:pPr>
        <w:pStyle w:val="BodyText"/>
        <w:spacing w:line="357" w:lineRule="auto" w:before="26"/>
        <w:ind w:right="94" w:firstLine="360"/>
        <w:jc w:val="left"/>
        <w:rPr>
          <w:rFonts w:ascii="宋体" w:hAnsi="宋体" w:cs="宋体" w:eastAsia="宋体" w:hint="default"/>
        </w:rPr>
      </w:pPr>
      <w:r>
        <w:rPr>
          <w:spacing w:val="-2"/>
        </w:rPr>
        <w:t>本公司已根据《企业会计准则第</w:t>
      </w:r>
      <w:r>
        <w:rPr>
          <w:rFonts w:ascii="宋体" w:hAnsi="宋体" w:cs="宋体" w:eastAsia="宋体" w:hint="default"/>
          <w:spacing w:val="-2"/>
        </w:rPr>
        <w:t>16</w:t>
      </w:r>
      <w:r>
        <w:rPr>
          <w:spacing w:val="-2"/>
        </w:rPr>
        <w:t>号——政府补助》的规定，对于该规定影响的财务报表列报项目金额进行了调整，将</w:t>
      </w:r>
      <w:r>
        <w:rPr/>
        <w:t> </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日期间发生的与公司日常相关的政府补助</w:t>
      </w:r>
      <w:r>
        <w:rPr>
          <w:rFonts w:ascii="宋体" w:hAnsi="宋体" w:cs="宋体" w:eastAsia="宋体" w:hint="default"/>
        </w:rPr>
        <w:t>5,392,632.56</w:t>
      </w:r>
      <w:r>
        <w:rPr/>
        <w:t>元从“营业外收入”调整至“其他收 </w:t>
      </w:r>
      <w:r>
        <w:rPr>
          <w:spacing w:val="-2"/>
        </w:rPr>
        <w:t>益”，对于</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日期间发生的交易，不予追溯调整；对于</w:t>
      </w:r>
      <w:r>
        <w:rPr>
          <w:rFonts w:ascii="宋体" w:hAnsi="宋体" w:cs="宋体" w:eastAsia="宋体" w:hint="default"/>
          <w:spacing w:val="-2"/>
        </w:rPr>
        <w:t>2016</w:t>
      </w:r>
      <w:r>
        <w:rPr>
          <w:spacing w:val="-2"/>
        </w:rPr>
        <w:t>年财务报表中可比期间的财务报表也不予追</w:t>
      </w:r>
      <w:r>
        <w:rPr>
          <w:spacing w:val="-56"/>
        </w:rPr>
        <w:t> </w:t>
      </w:r>
      <w:r>
        <w:rPr>
          <w:spacing w:val="-56"/>
        </w:rPr>
      </w:r>
      <w:r>
        <w:rPr/>
        <w:t>溯调整。</w:t>
      </w:r>
      <w:r>
        <w:rPr>
          <w:rFonts w:ascii="宋体" w:hAnsi="宋体" w:cs="宋体" w:eastAsia="宋体" w:hint="default"/>
        </w:rPr>
        <w:t> </w:t>
      </w:r>
    </w:p>
    <w:p>
      <w:pPr>
        <w:pStyle w:val="BodyText"/>
        <w:spacing w:line="357" w:lineRule="auto" w:before="26"/>
        <w:ind w:right="186" w:firstLine="360"/>
        <w:jc w:val="both"/>
        <w:rPr>
          <w:rFonts w:ascii="宋体" w:hAnsi="宋体" w:cs="宋体" w:eastAsia="宋体" w:hint="default"/>
        </w:rPr>
      </w:pPr>
      <w:r>
        <w:rPr>
          <w:rFonts w:ascii="宋体" w:hAnsi="宋体" w:cs="宋体" w:eastAsia="宋体" w:hint="default"/>
          <w:spacing w:val="-2"/>
        </w:rPr>
        <w:t>(2)2017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28</w:t>
      </w:r>
      <w:r>
        <w:rPr>
          <w:spacing w:val="-2"/>
        </w:rPr>
        <w:t>日，财政部发布了《企业会计准则第</w:t>
      </w:r>
      <w:r>
        <w:rPr>
          <w:rFonts w:ascii="宋体" w:hAnsi="宋体" w:cs="宋体" w:eastAsia="宋体" w:hint="default"/>
          <w:spacing w:val="-2"/>
        </w:rPr>
        <w:t>42</w:t>
      </w:r>
      <w:r>
        <w:rPr>
          <w:spacing w:val="-2"/>
        </w:rPr>
        <w:t>号——持有待售的非流动资产、处置组和终止经营》，该准则自</w:t>
      </w:r>
      <w:r>
        <w:rPr/>
        <w:t> </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28</w:t>
      </w:r>
      <w:r>
        <w:rPr/>
        <w:t>日起施行。本公司根据该准则及财政部《关于修订印发一般企业财务报表格式的通知》（财会〔</w:t>
      </w:r>
      <w:r>
        <w:rPr>
          <w:rFonts w:ascii="宋体" w:hAnsi="宋体" w:cs="宋体" w:eastAsia="宋体" w:hint="default"/>
        </w:rPr>
        <w:t>2017</w:t>
      </w:r>
      <w:r>
        <w:rPr/>
        <w:t>〕</w:t>
      </w:r>
      <w:r>
        <w:rPr>
          <w:rFonts w:ascii="宋体" w:hAnsi="宋体" w:cs="宋体" w:eastAsia="宋体" w:hint="default"/>
        </w:rPr>
        <w:t>30</w:t>
      </w:r>
      <w:r>
        <w:rPr/>
        <w:t>号的</w:t>
      </w:r>
      <w:r>
        <w:rPr>
          <w:spacing w:val="-3"/>
        </w:rPr>
        <w:t> </w:t>
      </w:r>
      <w:r>
        <w:rPr>
          <w:spacing w:val="-2"/>
        </w:rPr>
        <w:t>规定，在利润表中新增了“资产处置收益”项目，并对净利润按经营持续性进行分类列报。本公司按照《企业会计准则第</w:t>
      </w:r>
      <w:r>
        <w:rPr>
          <w:rFonts w:ascii="宋体" w:hAnsi="宋体" w:cs="宋体" w:eastAsia="宋体" w:hint="default"/>
          <w:spacing w:val="-2"/>
        </w:rPr>
        <w:t>30</w:t>
      </w:r>
      <w:r>
        <w:rPr>
          <w:rFonts w:ascii="宋体" w:hAnsi="宋体" w:cs="宋体" w:eastAsia="宋体" w:hint="default"/>
          <w:spacing w:val="-59"/>
        </w:rPr>
        <w:t> </w:t>
      </w:r>
      <w:r>
        <w:rPr/>
        <w:t>号——财务报表列报》等的相关规定，对可比期间的比较数据进行调整。</w:t>
      </w:r>
      <w:r>
        <w:rPr>
          <w:rFonts w:ascii="宋体" w:hAnsi="宋体" w:cs="宋体" w:eastAsia="宋体" w:hint="default"/>
        </w:rPr>
        <w:t> </w:t>
      </w:r>
    </w:p>
    <w:p>
      <w:pPr>
        <w:pStyle w:val="BodyText"/>
        <w:spacing w:line="357" w:lineRule="auto" w:before="26"/>
        <w:ind w:right="191" w:firstLine="360"/>
        <w:jc w:val="both"/>
        <w:rPr>
          <w:rFonts w:ascii="宋体" w:hAnsi="宋体" w:cs="宋体" w:eastAsia="宋体" w:hint="default"/>
        </w:rPr>
      </w:pPr>
      <w:r>
        <w:rPr>
          <w:spacing w:val="-2"/>
        </w:rPr>
        <w:t>本公司已根据《企业会计准则第</w:t>
      </w:r>
      <w:r>
        <w:rPr>
          <w:rFonts w:ascii="宋体" w:hAnsi="宋体" w:cs="宋体" w:eastAsia="宋体" w:hint="default"/>
          <w:spacing w:val="-2"/>
        </w:rPr>
        <w:t>42</w:t>
      </w:r>
      <w:r>
        <w:rPr>
          <w:spacing w:val="-2"/>
        </w:rPr>
        <w:t>号——持有待售的非流动资产、处置组和终止经营》的规定，对于该规定影响的财务</w:t>
      </w:r>
      <w:r>
        <w:rPr/>
        <w:t> 报表列报项目金额进行了调整，将</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日期间发生的非流动资产处置收益</w:t>
      </w:r>
      <w:r>
        <w:rPr>
          <w:rFonts w:ascii="宋体" w:hAnsi="宋体" w:cs="宋体" w:eastAsia="宋体" w:hint="default"/>
        </w:rPr>
        <w:t>-5,203,450.14</w:t>
      </w:r>
      <w:r>
        <w:rPr/>
        <w:t>元从“营 </w:t>
      </w:r>
      <w:r>
        <w:rPr>
          <w:spacing w:val="-2"/>
        </w:rPr>
        <w:t>业外收入”和“营业外支出”调整至“资产处置收益”，对于</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日期间发生的非流动资产处置收</w:t>
      </w:r>
      <w:r>
        <w:rPr>
          <w:spacing w:val="-58"/>
        </w:rPr>
        <w:t> </w:t>
      </w:r>
      <w:r>
        <w:rPr/>
        <w:t>益</w:t>
      </w:r>
      <w:r>
        <w:rPr>
          <w:rFonts w:ascii="宋体" w:hAnsi="宋体" w:cs="宋体" w:eastAsia="宋体" w:hint="default"/>
        </w:rPr>
        <w:t>1,519,876.28</w:t>
      </w:r>
      <w:r>
        <w:rPr/>
        <w:t>元从“营业外收入”和“营业外支出”调整至“资产处置收益”。</w:t>
      </w:r>
      <w:r>
        <w:rPr>
          <w:rFonts w:ascii="宋体" w:hAnsi="宋体" w:cs="宋体" w:eastAsia="宋体" w:hint="default"/>
        </w:rPr>
        <w:t> </w:t>
      </w:r>
    </w:p>
    <w:p>
      <w:pPr>
        <w:spacing w:after="0" w:line="357" w:lineRule="auto"/>
        <w:jc w:val="both"/>
        <w:rPr>
          <w:rFonts w:ascii="宋体" w:hAnsi="宋体" w:cs="宋体" w:eastAsia="宋体" w:hint="default"/>
        </w:rPr>
        <w:sectPr>
          <w:footerReference w:type="default" r:id="rId30"/>
          <w:pgSz w:w="11910" w:h="16840"/>
          <w:pgMar w:footer="980" w:header="745" w:top="1060" w:bottom="1160" w:left="980" w:right="940"/>
          <w:pgNumType w:start="136"/>
        </w:sectPr>
      </w:pPr>
    </w:p>
    <w:p>
      <w:pPr>
        <w:spacing w:line="240" w:lineRule="auto" w:before="8"/>
        <w:rPr>
          <w:rFonts w:ascii="宋体" w:hAnsi="宋体" w:cs="宋体" w:eastAsia="宋体" w:hint="default"/>
          <w:sz w:val="22"/>
          <w:szCs w:val="22"/>
        </w:rPr>
      </w:pPr>
    </w:p>
    <w:p>
      <w:pPr>
        <w:pStyle w:val="Heading5"/>
        <w:spacing w:line="240" w:lineRule="auto" w:before="44"/>
        <w:ind w:right="153"/>
        <w:jc w:val="left"/>
        <w:rPr>
          <w:rFonts w:ascii="宋体" w:hAnsi="宋体" w:cs="宋体" w:eastAsia="宋体" w:hint="default"/>
          <w:b w:val="0"/>
          <w:bCs w:val="0"/>
        </w:rPr>
      </w:pPr>
      <w:r>
        <w:rPr/>
        <w:t>（</w:t>
      </w:r>
      <w:r>
        <w:rPr>
          <w:rFonts w:ascii="宋体" w:hAnsi="宋体" w:cs="宋体" w:eastAsia="宋体" w:hint="default"/>
        </w:rPr>
        <w:t>2</w:t>
      </w:r>
      <w:r>
        <w:rPr/>
        <w:t>）重要会计估计变更</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16"/>
          <w:szCs w:val="1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spacing w:line="487" w:lineRule="auto" w:before="0"/>
        <w:ind w:left="152" w:right="79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49"/>
              <w:ind w:left="1313" w:right="58" w:hanging="1260"/>
              <w:jc w:val="left"/>
              <w:rPr>
                <w:rFonts w:ascii="宋体" w:hAnsi="宋体" w:cs="宋体" w:eastAsia="宋体" w:hint="default"/>
                <w:sz w:val="18"/>
                <w:szCs w:val="18"/>
              </w:rPr>
            </w:pPr>
            <w:r>
              <w:rPr>
                <w:rFonts w:ascii="宋体" w:hAnsi="宋体" w:cs="宋体" w:eastAsia="宋体" w:hint="default"/>
                <w:sz w:val="18"/>
                <w:szCs w:val="18"/>
              </w:rPr>
              <w:t>境内销售货物、提供应税劳务收入和应 税服务</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8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5.00%</w:t>
            </w:r>
            <w:r>
              <w:rPr>
                <w:rFonts w:ascii="宋体" w:hAnsi="宋体" w:cs="宋体" w:eastAsia="宋体" w:hint="default"/>
                <w:sz w:val="18"/>
                <w:szCs w:val="18"/>
              </w:rPr>
              <w:t>、</w:t>
            </w:r>
            <w:r>
              <w:rPr>
                <w:rFonts w:ascii="Times New Roman" w:hAnsi="Times New Roman" w:cs="Times New Roman" w:eastAsia="Times New Roman" w:hint="default"/>
                <w:sz w:val="18"/>
                <w:szCs w:val="18"/>
              </w:rPr>
              <w:t>6.00%</w:t>
            </w:r>
            <w:r>
              <w:rPr>
                <w:rFonts w:ascii="宋体" w:hAnsi="宋体" w:cs="宋体" w:eastAsia="宋体" w:hint="default"/>
                <w:sz w:val="18"/>
                <w:szCs w:val="18"/>
              </w:rPr>
              <w:t>、</w:t>
            </w:r>
            <w:r>
              <w:rPr>
                <w:rFonts w:ascii="Times New Roman" w:hAnsi="Times New Roman" w:cs="Times New Roman" w:eastAsia="Times New Roman" w:hint="default"/>
                <w:sz w:val="18"/>
                <w:szCs w:val="18"/>
              </w:rPr>
              <w:t>17.00%</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95"/>
                <w:sz w:val="18"/>
                <w:szCs w:val="18"/>
              </w:rPr>
              <w:t>1.00%</w: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5.00%</w: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7.00%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文化事业建设费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应税收入（广告业）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w:t>
            </w:r>
          </w:p>
        </w:tc>
      </w:tr>
    </w:tbl>
    <w:p>
      <w:pPr>
        <w:pStyle w:val="BodyText"/>
        <w:spacing w:line="240" w:lineRule="auto" w:before="49"/>
        <w:ind w:right="153"/>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深圳市麦达数字股份有限公司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深圳前海实益达投资发展有限公司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深圳市前海麦达数字有限公司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北京麦达数字技术服务有限公司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凯扬商贸（香港）有限公司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上海顺为广告传播有限公司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上海地幔广告传播有限公司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上海利宣广告有限公司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奇思国际广告（北京）有限公司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深圳市汇大光电科技股份有限公司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深圳市实益达工业有限公司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深圳市实益达技术股份有限公司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深圳市实益达智能技术有限公司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无锡市益明光电有限公司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实益达技术（香港）有限公司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16.50%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实益达智能（香港）有限公司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16.50%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无锡实益达电子有限公司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无锡实益达照明科技有限公司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7"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无锡益锡电子有限公司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Mindata Holding</w:t>
            </w:r>
            <w:r>
              <w:rPr>
                <w:rFonts w:ascii="Times New Roman"/>
                <w:spacing w:val="-7"/>
                <w:sz w:val="18"/>
              </w:rPr>
              <w:t> </w:t>
            </w:r>
            <w:r>
              <w:rPr>
                <w:rFonts w:ascii="Times New Roman"/>
                <w:sz w:val="18"/>
              </w:rPr>
              <w:t>Co.,Ltd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left="172" w:right="254"/>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3"/>
        <w:rPr>
          <w:rFonts w:ascii="宋体" w:hAnsi="宋体" w:cs="宋体" w:eastAsia="宋体" w:hint="default"/>
          <w:b/>
          <w:bCs/>
          <w:sz w:val="23"/>
          <w:szCs w:val="23"/>
        </w:rPr>
      </w:pPr>
    </w:p>
    <w:p>
      <w:pPr>
        <w:pStyle w:val="BodyText"/>
        <w:spacing w:line="336" w:lineRule="auto"/>
        <w:ind w:left="172" w:right="169" w:firstLine="360"/>
        <w:jc w:val="both"/>
      </w:pPr>
      <w:r>
        <w:rPr>
          <w:spacing w:val="-1"/>
        </w:rPr>
        <w:t>《中华人民共和国企业所得税法》第二十八条规定，国家需要重点扶持的高新技术企业，减按</w:t>
      </w:r>
      <w:r>
        <w:rPr>
          <w:rFonts w:ascii="Times New Roman" w:hAnsi="Times New Roman" w:cs="Times New Roman" w:eastAsia="Times New Roman" w:hint="default"/>
          <w:spacing w:val="-1"/>
        </w:rPr>
        <w:t>15%</w:t>
      </w:r>
      <w:r>
        <w:rPr>
          <w:spacing w:val="-1"/>
        </w:rPr>
        <w:t>的税率征收企业所得</w:t>
      </w:r>
      <w:r>
        <w:rPr/>
        <w:t> 税。根据该规定，科技部、财政部、国家税务总局联合发布了国科发火〔</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172</w:t>
      </w:r>
      <w:r>
        <w:rPr/>
        <w:t>号《高新技术企业认定管理办法》和国 科发火〔</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362</w:t>
      </w:r>
      <w:r>
        <w:rPr/>
        <w:t>号《高新技术企业认定管理工作指引》，规定只要经过认定属于国家需要重点扶持的高新技术企业，都 可以适用</w:t>
      </w:r>
      <w:r>
        <w:rPr>
          <w:rFonts w:ascii="Times New Roman" w:hAnsi="Times New Roman" w:cs="Times New Roman" w:eastAsia="Times New Roman" w:hint="default"/>
        </w:rPr>
        <w:t>15%</w:t>
      </w:r>
      <w:r>
        <w:rPr/>
        <w:t>的优惠税率。</w:t>
      </w:r>
    </w:p>
    <w:p>
      <w:pPr>
        <w:pStyle w:val="BodyText"/>
        <w:spacing w:line="338" w:lineRule="auto" w:before="21"/>
        <w:ind w:left="172" w:right="171" w:firstLine="360"/>
        <w:jc w:val="both"/>
      </w:pPr>
      <w:r>
        <w:rPr/>
        <w:t>深圳市科技创新委员会、深圳市财政委员会、深圳市国家税务局和深圳市地方税务局于</w:t>
      </w:r>
      <w:r>
        <w:rPr>
          <w:rFonts w:ascii="Times New Roman" w:hAnsi="Times New Roman" w:cs="Times New Roman" w:eastAsia="Times New Roman" w:hint="default"/>
        </w:rPr>
        <w:t>2016</w:t>
      </w:r>
      <w:r>
        <w:rPr/>
        <w:t>年</w:t>
      </w:r>
      <w:r>
        <w:rPr>
          <w:spacing w:val="-17"/>
        </w:rPr>
        <w:t> </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日认定深圳市实 益达技术股份有限公司为高新技术企业，颁发</w:t>
      </w:r>
      <w:r>
        <w:rPr>
          <w:rFonts w:ascii="Times New Roman" w:hAnsi="Times New Roman" w:cs="Times New Roman" w:eastAsia="Times New Roman" w:hint="default"/>
        </w:rPr>
        <w:t>GR201644203195</w:t>
      </w:r>
      <w:r>
        <w:rPr/>
        <w:t>号证书，发证时间为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rFonts w:ascii="Times New Roman" w:hAnsi="Times New Roman" w:cs="Times New Roman" w:eastAsia="Times New Roman" w:hint="default"/>
          <w:spacing w:val="-21"/>
        </w:rPr>
        <w:t> </w:t>
      </w:r>
      <w:r>
        <w:rPr>
          <w:spacing w:val="-5"/>
        </w:rPr>
        <w:t>日，有效期三年。本报</w:t>
      </w:r>
      <w:r>
        <w:rPr/>
        <w:t> 告期适用</w:t>
      </w:r>
      <w:r>
        <w:rPr>
          <w:spacing w:val="-18"/>
        </w:rPr>
        <w:t> </w:t>
      </w:r>
      <w:r>
        <w:rPr>
          <w:rFonts w:ascii="Times New Roman" w:hAnsi="Times New Roman" w:cs="Times New Roman" w:eastAsia="Times New Roman" w:hint="default"/>
        </w:rPr>
        <w:t>15%</w:t>
      </w:r>
      <w:r>
        <w:rPr/>
        <w:t>的优惠税率。</w:t>
      </w:r>
    </w:p>
    <w:p>
      <w:pPr>
        <w:pStyle w:val="BodyText"/>
        <w:spacing w:line="338" w:lineRule="auto" w:before="20"/>
        <w:ind w:left="172" w:right="171" w:firstLine="360"/>
        <w:jc w:val="both"/>
      </w:pPr>
      <w:r>
        <w:rPr>
          <w:spacing w:val="-2"/>
        </w:rPr>
        <w:t>根据科技部、财政部、国家税务总局《高新技术企业认定办法》及指引，深圳市汇大光电科技股份有限公司</w:t>
      </w:r>
      <w:r>
        <w:rPr>
          <w:rFonts w:ascii="Times New Roman" w:hAnsi="Times New Roman" w:cs="Times New Roman" w:eastAsia="Times New Roman" w:hint="default"/>
          <w:spacing w:val="-2"/>
        </w:rPr>
        <w:t>2017</w:t>
      </w:r>
      <w:r>
        <w:rPr>
          <w:spacing w:val="-2"/>
        </w:rPr>
        <w:t>年度通</w:t>
      </w:r>
      <w:r>
        <w:rPr/>
        <w:t> </w:t>
      </w:r>
      <w:r>
        <w:rPr>
          <w:spacing w:val="-2"/>
        </w:rPr>
        <w:t>过高新技术企业审查，并于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17</w:t>
      </w:r>
      <w:r>
        <w:rPr>
          <w:spacing w:val="-2"/>
        </w:rPr>
        <w:t>日取得了新的高新技术企业证书，证书号为</w:t>
      </w:r>
      <w:r>
        <w:rPr>
          <w:rFonts w:ascii="Times New Roman" w:hAnsi="Times New Roman" w:cs="Times New Roman" w:eastAsia="Times New Roman" w:hint="default"/>
          <w:spacing w:val="-2"/>
        </w:rPr>
        <w:t>GR201744200962</w:t>
      </w:r>
      <w:r>
        <w:rPr>
          <w:spacing w:val="-2"/>
        </w:rPr>
        <w:t>，有效期为三年，本年</w:t>
      </w:r>
      <w:r>
        <w:rPr>
          <w:spacing w:val="-36"/>
        </w:rPr>
        <w:t> </w:t>
      </w:r>
      <w:r>
        <w:rPr>
          <w:spacing w:val="-36"/>
        </w:rPr>
      </w:r>
      <w:r>
        <w:rPr/>
        <w:t>度按照</w:t>
      </w:r>
      <w:r>
        <w:rPr>
          <w:rFonts w:ascii="Times New Roman" w:hAnsi="Times New Roman" w:cs="Times New Roman" w:eastAsia="Times New Roman" w:hint="default"/>
        </w:rPr>
        <w:t>15%</w:t>
      </w:r>
      <w:r>
        <w:rPr/>
        <w:t>的税率缴纳所得税。</w:t>
      </w:r>
    </w:p>
    <w:p>
      <w:pPr>
        <w:spacing w:line="240" w:lineRule="auto" w:before="13"/>
        <w:rPr>
          <w:rFonts w:ascii="宋体" w:hAnsi="宋体" w:cs="宋体" w:eastAsia="宋体" w:hint="default"/>
          <w:sz w:val="25"/>
          <w:szCs w:val="25"/>
        </w:rPr>
      </w:pPr>
    </w:p>
    <w:p>
      <w:pPr>
        <w:pStyle w:val="Heading3"/>
        <w:spacing w:line="240" w:lineRule="auto"/>
        <w:ind w:left="172" w:right="254"/>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0"/>
        <w:rPr>
          <w:rFonts w:ascii="宋体" w:hAnsi="宋体" w:cs="宋体" w:eastAsia="宋体" w:hint="default"/>
          <w:b/>
          <w:bCs/>
          <w:sz w:val="23"/>
          <w:szCs w:val="23"/>
        </w:rPr>
      </w:pPr>
    </w:p>
    <w:p>
      <w:pPr>
        <w:pStyle w:val="BodyText"/>
        <w:spacing w:line="338" w:lineRule="auto"/>
        <w:ind w:left="533" w:right="19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房产税</w:t>
      </w:r>
      <w:r>
        <w:rPr>
          <w:w w:val="99"/>
        </w:rPr>
        <w:t> </w:t>
      </w:r>
      <w:r>
        <w:rPr/>
        <w:t>房产税按照房产原值的</w:t>
      </w:r>
      <w:r>
        <w:rPr>
          <w:rFonts w:ascii="Times New Roman" w:hAnsi="Times New Roman" w:cs="Times New Roman" w:eastAsia="Times New Roman" w:hint="default"/>
        </w:rPr>
        <w:t>70%</w:t>
      </w:r>
      <w:r>
        <w:rPr/>
        <w:t>为纳税基准，税率为</w:t>
      </w:r>
      <w:r>
        <w:rPr>
          <w:rFonts w:ascii="Times New Roman" w:hAnsi="Times New Roman" w:cs="Times New Roman" w:eastAsia="Times New Roman" w:hint="default"/>
        </w:rPr>
        <w:t>1.2%</w:t>
      </w:r>
      <w:r>
        <w:rPr/>
        <w:t>，或以租金收入为纳税基准，税率为</w:t>
      </w:r>
      <w:r>
        <w:rPr>
          <w:rFonts w:ascii="Times New Roman" w:hAnsi="Times New Roman" w:cs="Times New Roman" w:eastAsia="Times New Roman" w:hint="default"/>
        </w:rPr>
        <w:t>12%</w:t>
      </w:r>
      <w:r>
        <w:rPr/>
        <w:t>。</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个人所得税</w:t>
      </w:r>
      <w:r>
        <w:rPr>
          <w:w w:val="99"/>
        </w:rPr>
        <w:t> </w:t>
      </w:r>
      <w:r>
        <w:rPr/>
        <w:t>员工个人所得税由本公司代扣代缴，独立董事津贴个人所得税由本公司代扣代缴。</w:t>
      </w:r>
    </w:p>
    <w:p>
      <w:pPr>
        <w:spacing w:line="240" w:lineRule="auto" w:before="9"/>
        <w:rPr>
          <w:rFonts w:ascii="宋体" w:hAnsi="宋体" w:cs="宋体" w:eastAsia="宋体" w:hint="default"/>
          <w:sz w:val="25"/>
          <w:szCs w:val="25"/>
        </w:rPr>
      </w:pPr>
    </w:p>
    <w:p>
      <w:pPr>
        <w:pStyle w:val="Heading2"/>
        <w:spacing w:line="240" w:lineRule="auto"/>
        <w:ind w:left="172" w:right="254"/>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72" w:right="254"/>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7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156,862.33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61,981.92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247,855,992.50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120,835,329.95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16,635,667.13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2,831,816.66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264,648,521.96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123,729,128.53</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2,997,848.39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349,993.08</w:t>
            </w:r>
          </w:p>
        </w:tc>
      </w:tr>
    </w:tbl>
    <w:p>
      <w:pPr>
        <w:pStyle w:val="BodyText"/>
        <w:spacing w:line="240" w:lineRule="auto" w:before="8"/>
        <w:ind w:left="172" w:right="254"/>
        <w:jc w:val="left"/>
      </w:pPr>
      <w:r>
        <w:rPr/>
        <w:t>其中受限制的货币资金明细如下：</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301"/>
        <w:gridCol w:w="3440"/>
        <w:gridCol w:w="2972"/>
      </w:tblGrid>
      <w:tr>
        <w:trPr>
          <w:trHeight w:val="360" w:hRule="exact"/>
        </w:trPr>
        <w:tc>
          <w:tcPr>
            <w:tcW w:w="330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9"/>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4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7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9"/>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33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9"/>
              <w:ind w:left="19" w:right="0"/>
              <w:jc w:val="center"/>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4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50"/>
              <w:jc w:val="right"/>
              <w:rPr>
                <w:rFonts w:ascii="Arial Narrow" w:hAnsi="Arial Narrow" w:cs="Arial Narrow" w:eastAsia="Arial Narrow" w:hint="default"/>
                <w:sz w:val="18"/>
                <w:szCs w:val="18"/>
              </w:rPr>
            </w:pPr>
            <w:r>
              <w:rPr>
                <w:rFonts w:ascii="Arial Narrow"/>
                <w:spacing w:val="-1"/>
                <w:sz w:val="18"/>
              </w:rPr>
              <w:t>16,466,184.00</w:t>
            </w:r>
          </w:p>
        </w:tc>
        <w:tc>
          <w:tcPr>
            <w:tcW w:w="29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1"/>
              <w:ind w:right="54"/>
              <w:jc w:val="right"/>
              <w:rPr>
                <w:rFonts w:ascii="Arial Narrow" w:hAnsi="Arial Narrow" w:cs="Arial Narrow" w:eastAsia="Arial Narrow" w:hint="default"/>
                <w:sz w:val="18"/>
                <w:szCs w:val="18"/>
              </w:rPr>
            </w:pPr>
            <w:r>
              <w:rPr>
                <w:rFonts w:ascii="Arial Narrow"/>
                <w:spacing w:val="-1"/>
                <w:sz w:val="18"/>
              </w:rPr>
              <w:t>2,831,816.66</w:t>
            </w:r>
          </w:p>
        </w:tc>
      </w:tr>
      <w:tr>
        <w:trPr>
          <w:trHeight w:val="350" w:hRule="exact"/>
        </w:trPr>
        <w:tc>
          <w:tcPr>
            <w:tcW w:w="33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9"/>
              <w:ind w:left="19"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34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49"/>
              <w:jc w:val="right"/>
              <w:rPr>
                <w:rFonts w:ascii="Arial Narrow" w:hAnsi="Arial Narrow" w:cs="Arial Narrow" w:eastAsia="Arial Narrow" w:hint="default"/>
                <w:sz w:val="18"/>
                <w:szCs w:val="18"/>
              </w:rPr>
            </w:pPr>
            <w:r>
              <w:rPr>
                <w:rFonts w:ascii="Arial Narrow"/>
                <w:spacing w:val="-1"/>
                <w:sz w:val="18"/>
              </w:rPr>
              <w:t>167,615.60</w:t>
            </w:r>
          </w:p>
        </w:tc>
        <w:tc>
          <w:tcPr>
            <w:tcW w:w="29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9"/>
              <w:ind w:right="-35"/>
              <w:jc w:val="right"/>
              <w:rPr>
                <w:rFonts w:ascii="宋体" w:hAnsi="宋体" w:cs="宋体" w:eastAsia="宋体" w:hint="default"/>
                <w:sz w:val="18"/>
                <w:szCs w:val="18"/>
              </w:rPr>
            </w:pPr>
            <w:r>
              <w:rPr>
                <w:rFonts w:ascii="宋体"/>
                <w:sz w:val="18"/>
              </w:rPr>
              <w:t> </w:t>
            </w:r>
          </w:p>
        </w:tc>
      </w:tr>
      <w:tr>
        <w:trPr>
          <w:trHeight w:val="348" w:hRule="exact"/>
        </w:trPr>
        <w:tc>
          <w:tcPr>
            <w:tcW w:w="33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9"/>
              <w:ind w:left="21" w:right="0"/>
              <w:jc w:val="center"/>
              <w:rPr>
                <w:rFonts w:ascii="宋体" w:hAnsi="宋体" w:cs="宋体" w:eastAsia="宋体" w:hint="default"/>
                <w:sz w:val="18"/>
                <w:szCs w:val="18"/>
              </w:rPr>
            </w:pPr>
            <w:r>
              <w:rPr>
                <w:rFonts w:ascii="宋体" w:hAnsi="宋体" w:cs="宋体" w:eastAsia="宋体" w:hint="default"/>
                <w:sz w:val="18"/>
                <w:szCs w:val="18"/>
              </w:rPr>
              <w:t>未决诉讼冻结资金</w:t>
            </w:r>
          </w:p>
        </w:tc>
        <w:tc>
          <w:tcPr>
            <w:tcW w:w="34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49"/>
              <w:jc w:val="right"/>
              <w:rPr>
                <w:rFonts w:ascii="Arial Narrow" w:hAnsi="Arial Narrow" w:cs="Arial Narrow" w:eastAsia="Arial Narrow" w:hint="default"/>
                <w:sz w:val="18"/>
                <w:szCs w:val="18"/>
              </w:rPr>
            </w:pPr>
            <w:r>
              <w:rPr>
                <w:rFonts w:ascii="Arial Narrow"/>
                <w:spacing w:val="-1"/>
                <w:sz w:val="18"/>
              </w:rPr>
              <w:t>1,568,208.00</w:t>
            </w:r>
          </w:p>
        </w:tc>
        <w:tc>
          <w:tcPr>
            <w:tcW w:w="29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9"/>
              <w:ind w:right="-35"/>
              <w:jc w:val="right"/>
              <w:rPr>
                <w:rFonts w:ascii="宋体" w:hAnsi="宋体" w:cs="宋体" w:eastAsia="宋体" w:hint="default"/>
                <w:sz w:val="18"/>
                <w:szCs w:val="18"/>
              </w:rPr>
            </w:pPr>
            <w:r>
              <w:rPr>
                <w:rFonts w:ascii="宋体"/>
                <w:sz w:val="18"/>
              </w:rPr>
              <w:t> </w:t>
            </w:r>
          </w:p>
        </w:tc>
      </w:tr>
      <w:tr>
        <w:trPr>
          <w:trHeight w:val="362" w:hRule="exact"/>
        </w:trPr>
        <w:tc>
          <w:tcPr>
            <w:tcW w:w="330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2"/>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3"/>
              <w:ind w:right="50"/>
              <w:jc w:val="right"/>
              <w:rPr>
                <w:rFonts w:ascii="Arial Narrow" w:hAnsi="Arial Narrow" w:cs="Arial Narrow" w:eastAsia="Arial Narrow" w:hint="default"/>
                <w:sz w:val="18"/>
                <w:szCs w:val="18"/>
              </w:rPr>
            </w:pPr>
            <w:r>
              <w:rPr>
                <w:rFonts w:ascii="Arial Narrow"/>
                <w:spacing w:val="-1"/>
                <w:sz w:val="18"/>
              </w:rPr>
              <w:t>18,202,007.60</w:t>
            </w:r>
          </w:p>
        </w:tc>
        <w:tc>
          <w:tcPr>
            <w:tcW w:w="297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3"/>
              <w:ind w:right="54"/>
              <w:jc w:val="right"/>
              <w:rPr>
                <w:rFonts w:ascii="Arial Narrow" w:hAnsi="Arial Narrow" w:cs="Arial Narrow" w:eastAsia="Arial Narrow" w:hint="default"/>
                <w:sz w:val="18"/>
                <w:szCs w:val="18"/>
              </w:rPr>
            </w:pPr>
            <w:r>
              <w:rPr>
                <w:rFonts w:ascii="Arial Narrow"/>
                <w:spacing w:val="-1"/>
                <w:sz w:val="18"/>
              </w:rPr>
              <w:t>2,831,816.66</w:t>
            </w:r>
          </w:p>
        </w:tc>
      </w:tr>
    </w:tbl>
    <w:p>
      <w:pPr>
        <w:spacing w:after="0" w:line="240" w:lineRule="auto"/>
        <w:jc w:val="right"/>
        <w:rPr>
          <w:rFonts w:ascii="Arial Narrow" w:hAnsi="Arial Narrow" w:cs="Arial Narrow" w:eastAsia="Arial Narrow" w:hint="default"/>
          <w:sz w:val="18"/>
          <w:szCs w:val="18"/>
        </w:rPr>
        <w:sectPr>
          <w:pgSz w:w="11910" w:h="16840"/>
          <w:pgMar w:header="745" w:footer="980" w:top="1060" w:bottom="1160" w:left="96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7"/>
        <w:ind w:right="153"/>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73,740.00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73,740.00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73,740.00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8"/>
        <w:ind w:right="234"/>
        <w:jc w:val="left"/>
      </w:pPr>
      <w:r>
        <w:rPr/>
        <w:t>以公允价值计量且其变动计入当期损益的金融资产说明： 期末以公允价值计量且其变动计入当期损益的金融资产为公司控股孙公司无锡市益明光电有限公司向银行购买的尚未履行 完毕的远期外汇合约公允价值变动产生。</w:t>
      </w:r>
    </w:p>
    <w:p>
      <w:pPr>
        <w:spacing w:line="240" w:lineRule="auto" w:before="11"/>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9,806,932.00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7,892,529.00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9,806,932.00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7,892,529.00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1,577,480.34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1,577,480.34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
        </w:rPr>
        <w:t> </w:t>
      </w:r>
      <w:r>
        <w:rPr/>
        <w:t>期末公司无已质押的应收票据。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  </w:t>
      </w:r>
      <w:r>
        <w:rPr/>
        <w:t>期末公司无因出票人未履约而将其转应收账款的票据。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1"/>
        </w:rPr>
        <w:t> </w:t>
      </w:r>
      <w:r>
        <w:rPr/>
        <w:t>本期公司应收票据无其他需要说明的情况。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7"/>
        <w:gridCol w:w="656"/>
        <w:gridCol w:w="761"/>
        <w:gridCol w:w="814"/>
        <w:gridCol w:w="934"/>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4"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4"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23,599,8</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84.11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23,599,8</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84.11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25,054,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696.22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25,054,69</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6.22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265,944,</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564.32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91.85%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7,517,98</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2.07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258,426,5</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82.25</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257,691</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,889.88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91.10%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8,227,722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249,464,16</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7.22</w:t>
            </w: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134,508</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67,254.00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67,254.00</w:t>
            </w:r>
          </w:p>
        </w:tc>
      </w:tr>
      <w:tr>
        <w:trPr>
          <w:trHeight w:val="163"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3"/>
              <w:ind w:left="84" w:right="0"/>
              <w:jc w:val="center"/>
              <w:rPr>
                <w:rFonts w:ascii="Times New Roman" w:hAnsi="Times New Roman" w:cs="Times New Roman" w:eastAsia="Times New Roman" w:hint="default"/>
                <w:sz w:val="18"/>
                <w:szCs w:val="18"/>
              </w:rPr>
            </w:pPr>
            <w:r>
              <w:rPr>
                <w:rFonts w:ascii="Times New Roman"/>
                <w:sz w:val="18"/>
              </w:rPr>
              <w:t>289,544,</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448.43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31,117,8</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66.18</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10.75%</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258,426,5</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82.25</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282,881</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,094.10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33,349,67</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2.88</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11.79%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249,531,42</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1.22</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561"/>
              <w:jc w:val="left"/>
              <w:rPr>
                <w:rFonts w:ascii="Times New Roman" w:hAnsi="Times New Roman" w:cs="Times New Roman" w:eastAsia="Times New Roman" w:hint="default"/>
                <w:sz w:val="18"/>
                <w:szCs w:val="18"/>
              </w:rPr>
            </w:pPr>
            <w:r>
              <w:rPr>
                <w:rFonts w:ascii="Times New Roman"/>
                <w:sz w:val="18"/>
              </w:rPr>
              <w:t>Perception</w:t>
            </w:r>
            <w:r>
              <w:rPr>
                <w:rFonts w:ascii="Times New Roman"/>
                <w:spacing w:val="-2"/>
                <w:sz w:val="18"/>
              </w:rPr>
              <w:t> </w:t>
            </w:r>
            <w:r>
              <w:rPr>
                <w:rFonts w:ascii="Times New Roman"/>
                <w:sz w:val="18"/>
              </w:rPr>
              <w:t>Digital</w:t>
            </w:r>
            <w:r>
              <w:rPr>
                <w:rFonts w:ascii="Times New Roman"/>
                <w:sz w:val="18"/>
              </w:rPr>
              <w:t> Limited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23,599,884.11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23,599,884.11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5"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客户出现财务困难，且 账龄超过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23,599,884.11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23,599,884.11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49"/>
        <w:ind w:right="-20"/>
        <w:jc w:val="left"/>
      </w:pPr>
      <w:r>
        <w:rPr/>
        <w:t>组合中，按账龄分析法计提坏账准备的应收账款：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8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246,822,166.75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4,843,444.34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1.96%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17,245,840.15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1,729,174.80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1,460,100.38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528,905.89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36.22%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416,457.04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416,457.04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265,944,564.32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7,517,982.07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2.83%</w:t>
            </w:r>
          </w:p>
        </w:tc>
      </w:tr>
    </w:tbl>
    <w:p>
      <w:pPr>
        <w:pStyle w:val="BodyText"/>
        <w:spacing w:line="240" w:lineRule="auto" w:before="49"/>
        <w:ind w:left="172" w:right="254"/>
        <w:jc w:val="left"/>
      </w:pPr>
      <w:r>
        <w:rPr/>
        <w:t>组合中，采用余额百分比法计提坏账准备的应收账款：</w:t>
      </w:r>
    </w:p>
    <w:p>
      <w:pPr>
        <w:pStyle w:val="BodyText"/>
        <w:spacing w:line="340" w:lineRule="auto" w:before="115"/>
        <w:ind w:left="172" w:right="58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240" w:lineRule="auto" w:before="41"/>
        <w:ind w:left="172" w:right="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left="172" w:right="254"/>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60" w:right="960"/>
        </w:sectPr>
      </w:pPr>
    </w:p>
    <w:p>
      <w:pPr>
        <w:pStyle w:val="BodyText"/>
        <w:spacing w:line="340" w:lineRule="auto" w:before="44"/>
        <w:ind w:left="172" w:right="-10"/>
        <w:jc w:val="left"/>
      </w:pPr>
      <w:r>
        <w:rPr/>
        <w:t>本期计提坏账准备金额</w:t>
      </w:r>
      <w:r>
        <w:rPr>
          <w:spacing w:val="-47"/>
        </w:rPr>
        <w:t> </w:t>
      </w:r>
      <w:r>
        <w:rPr>
          <w:rFonts w:ascii="Times New Roman" w:hAnsi="Times New Roman" w:cs="Times New Roman" w:eastAsia="Times New Roman" w:hint="default"/>
        </w:rPr>
        <w:t>6,489,553.46 </w:t>
      </w:r>
      <w:r>
        <w:rPr/>
        <w:t>元；本期收回或转回坏账准备金额</w:t>
      </w:r>
      <w:r>
        <w:rPr>
          <w:spacing w:val="-48"/>
        </w:rPr>
        <w:t> </w:t>
      </w:r>
      <w:r>
        <w:rPr>
          <w:rFonts w:ascii="Times New Roman" w:hAnsi="Times New Roman" w:cs="Times New Roman" w:eastAsia="Times New Roman" w:hint="default"/>
        </w:rPr>
        <w:t>6,737,879.51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172" w:right="0"/>
        <w:jc w:val="left"/>
      </w:pPr>
      <w:r>
        <w:rPr/>
        <w:t>单位：</w:t>
      </w:r>
      <w:r>
        <w:rPr>
          <w:spacing w:val="1"/>
        </w:rPr>
        <w:t> </w:t>
      </w:r>
      <w:r>
        <w:rPr/>
        <w:t>元</w:t>
      </w:r>
    </w:p>
    <w:p>
      <w:pPr>
        <w:spacing w:after="0" w:line="240" w:lineRule="auto"/>
        <w:jc w:val="left"/>
        <w:sectPr>
          <w:type w:val="continuous"/>
          <w:pgSz w:w="11910" w:h="16840"/>
          <w:pgMar w:top="1060" w:bottom="1160" w:left="960" w:right="960"/>
          <w:cols w:num="2" w:equalWidth="0">
            <w:col w:w="7108" w:space="1721"/>
            <w:col w:w="1161"/>
          </w:cols>
        </w:sectPr>
      </w:pPr>
    </w:p>
    <w:p>
      <w:pPr>
        <w:spacing w:line="240" w:lineRule="auto" w:before="3"/>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乐视相关单位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3,442,532.43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三方债权债务偿还协议</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3,442,532.43</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16" w:lineRule="auto" w:before="8"/>
        <w:ind w:left="172" w:right="6031"/>
        <w:jc w:val="left"/>
      </w:pPr>
      <w:r>
        <w:rPr/>
        <w:t>本期坏账准备转回或收回金额重要的情况说明： 注</w:t>
      </w:r>
      <w:r>
        <w:rPr>
          <w:rFonts w:ascii="Times New Roman" w:hAnsi="Times New Roman" w:cs="Times New Roman" w:eastAsia="Times New Roman" w:hint="default"/>
        </w:rPr>
        <w:t>1</w:t>
      </w:r>
      <w:r>
        <w:rPr/>
        <w:t>：详见附注七</w:t>
      </w:r>
      <w:r>
        <w:rPr>
          <w:rFonts w:ascii="宋体" w:hAnsi="宋体" w:cs="宋体" w:eastAsia="宋体" w:hint="default"/>
        </w:rPr>
        <w:t>-</w:t>
      </w:r>
      <w:r>
        <w:rPr/>
        <w:t>注释</w:t>
      </w:r>
      <w:r>
        <w:rPr>
          <w:rFonts w:ascii="Times New Roman" w:hAnsi="Times New Roman" w:cs="Times New Roman" w:eastAsia="Times New Roman" w:hint="default"/>
        </w:rPr>
        <w:t>10</w:t>
      </w:r>
      <w:r>
        <w:rPr/>
        <w:t>。</w:t>
      </w:r>
    </w:p>
    <w:p>
      <w:pPr>
        <w:spacing w:line="240" w:lineRule="auto" w:before="4"/>
        <w:rPr>
          <w:rFonts w:ascii="宋体" w:hAnsi="宋体" w:cs="宋体" w:eastAsia="宋体" w:hint="default"/>
          <w:sz w:val="21"/>
          <w:szCs w:val="21"/>
        </w:rPr>
      </w:pPr>
    </w:p>
    <w:p>
      <w:pPr>
        <w:pStyle w:val="Heading3"/>
        <w:spacing w:line="240" w:lineRule="auto"/>
        <w:ind w:left="172" w:right="254"/>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7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528,668.54</w:t>
            </w:r>
          </w:p>
        </w:tc>
      </w:tr>
    </w:tbl>
    <w:p>
      <w:pPr>
        <w:pStyle w:val="BodyText"/>
        <w:spacing w:line="240" w:lineRule="auto" w:before="49"/>
        <w:ind w:left="172" w:right="254"/>
        <w:jc w:val="left"/>
      </w:pPr>
      <w:r>
        <w:rPr/>
        <w:t>其中重要的应收账款核销情况：</w:t>
      </w:r>
    </w:p>
    <w:p>
      <w:pPr>
        <w:pStyle w:val="BodyText"/>
        <w:spacing w:line="240" w:lineRule="auto" w:before="117"/>
        <w:ind w:left="0" w:right="17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3"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乐视相关单位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广告投放款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329,983.01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内部审批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329,983.01</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8"/>
        <w:ind w:left="172" w:right="254"/>
        <w:jc w:val="left"/>
      </w:pPr>
      <w:r>
        <w:rPr/>
        <w:t>应收账款核销说明：详见附注七</w:t>
      </w:r>
      <w:r>
        <w:rPr>
          <w:rFonts w:ascii="宋体" w:hAnsi="宋体" w:cs="宋体" w:eastAsia="宋体" w:hint="default"/>
        </w:rPr>
        <w:t>-</w:t>
      </w:r>
      <w:r>
        <w:rPr/>
        <w:t>注释</w:t>
      </w:r>
      <w:r>
        <w:rPr>
          <w:rFonts w:ascii="Times New Roman" w:hAnsi="Times New Roman" w:cs="Times New Roman" w:eastAsia="Times New Roman" w:hint="default"/>
        </w:rPr>
        <w:t>10</w:t>
      </w:r>
      <w:r>
        <w:rPr/>
        <w:t>。</w:t>
      </w:r>
    </w:p>
    <w:p>
      <w:pPr>
        <w:spacing w:line="240" w:lineRule="auto" w:before="2"/>
        <w:rPr>
          <w:rFonts w:ascii="宋体" w:hAnsi="宋体" w:cs="宋体" w:eastAsia="宋体" w:hint="default"/>
          <w:sz w:val="26"/>
          <w:szCs w:val="26"/>
        </w:rPr>
      </w:pPr>
    </w:p>
    <w:p>
      <w:pPr>
        <w:pStyle w:val="Heading3"/>
        <w:spacing w:line="240" w:lineRule="auto"/>
        <w:ind w:left="172" w:right="254"/>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3385"/>
        <w:gridCol w:w="2271"/>
        <w:gridCol w:w="1786"/>
        <w:gridCol w:w="2271"/>
      </w:tblGrid>
      <w:tr>
        <w:trPr>
          <w:trHeight w:val="590" w:hRule="exact"/>
        </w:trPr>
        <w:tc>
          <w:tcPr>
            <w:tcW w:w="3385" w:type="dxa"/>
            <w:tcBorders>
              <w:top w:val="single" w:sz="12" w:space="0" w:color="000000"/>
              <w:left w:val="nil" w:sz="6" w:space="0" w:color="auto"/>
              <w:bottom w:val="single" w:sz="12" w:space="0" w:color="000000"/>
              <w:right w:val="dotted" w:sz="4" w:space="0" w:color="000000"/>
            </w:tcBorders>
          </w:tcPr>
          <w:p>
            <w:pPr>
              <w:pStyle w:val="TableParagraph"/>
              <w:spacing w:line="240" w:lineRule="auto" w:before="140"/>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71" w:type="dxa"/>
            <w:tcBorders>
              <w:top w:val="single" w:sz="12" w:space="0" w:color="000000"/>
              <w:left w:val="dotted" w:sz="4" w:space="0" w:color="000000"/>
              <w:bottom w:val="single" w:sz="12" w:space="0" w:color="000000"/>
              <w:right w:val="dotted" w:sz="4" w:space="0" w:color="000000"/>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786" w:type="dxa"/>
            <w:tcBorders>
              <w:top w:val="single" w:sz="12" w:space="0" w:color="000000"/>
              <w:left w:val="dotted" w:sz="4" w:space="0" w:color="000000"/>
              <w:bottom w:val="single" w:sz="12" w:space="0" w:color="000000"/>
              <w:right w:val="dotted" w:sz="4" w:space="0" w:color="000000"/>
            </w:tcBorders>
          </w:tcPr>
          <w:p>
            <w:pPr>
              <w:pStyle w:val="TableParagraph"/>
              <w:spacing w:line="244" w:lineRule="auto" w:before="20"/>
              <w:ind w:left="501" w:right="77" w:hanging="425"/>
              <w:jc w:val="left"/>
              <w:rPr>
                <w:rFonts w:ascii="Arial Narrow" w:hAnsi="Arial Narrow" w:cs="Arial Narrow" w:eastAsia="Arial Narrow" w:hint="default"/>
                <w:sz w:val="18"/>
                <w:szCs w:val="18"/>
              </w:rPr>
            </w:pPr>
            <w:r>
              <w:rPr>
                <w:rFonts w:ascii="宋体" w:hAnsi="宋体" w:cs="宋体" w:eastAsia="宋体" w:hint="default"/>
                <w:sz w:val="18"/>
                <w:szCs w:val="18"/>
              </w:rPr>
              <w:t>占应收账款期末余额 的比例</w:t>
            </w:r>
            <w:r>
              <w:rPr>
                <w:rFonts w:ascii="Arial Narrow" w:hAnsi="Arial Narrow" w:cs="Arial Narrow" w:eastAsia="Arial Narrow" w:hint="default"/>
                <w:sz w:val="18"/>
                <w:szCs w:val="18"/>
              </w:rPr>
              <w:t>(%)</w:t>
            </w:r>
          </w:p>
        </w:tc>
        <w:tc>
          <w:tcPr>
            <w:tcW w:w="2271" w:type="dxa"/>
            <w:tcBorders>
              <w:top w:val="single" w:sz="12" w:space="0" w:color="000000"/>
              <w:left w:val="dotted" w:sz="4" w:space="0" w:color="000000"/>
              <w:bottom w:val="single" w:sz="12" w:space="0" w:color="000000"/>
              <w:right w:val="nil" w:sz="6" w:space="0" w:color="auto"/>
            </w:tcBorders>
          </w:tcPr>
          <w:p>
            <w:pPr>
              <w:pStyle w:val="TableParagraph"/>
              <w:spacing w:line="240" w:lineRule="auto" w:before="140"/>
              <w:ind w:left="501"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bl>
    <w:p>
      <w:pPr>
        <w:spacing w:after="0" w:line="240" w:lineRule="auto"/>
        <w:jc w:val="left"/>
        <w:rPr>
          <w:rFonts w:ascii="宋体" w:hAnsi="宋体" w:cs="宋体" w:eastAsia="宋体" w:hint="default"/>
          <w:sz w:val="18"/>
          <w:szCs w:val="18"/>
        </w:rPr>
        <w:sectPr>
          <w:type w:val="continuous"/>
          <w:pgSz w:w="11910" w:h="16840"/>
          <w:pgMar w:top="1060" w:bottom="1160" w:left="960" w:right="960"/>
        </w:sectPr>
      </w:pPr>
    </w:p>
    <w:p>
      <w:pPr>
        <w:spacing w:line="240" w:lineRule="auto" w:before="6"/>
        <w:rPr>
          <w:rFonts w:ascii="宋体" w:hAnsi="宋体" w:cs="宋体" w:eastAsia="宋体" w:hint="default"/>
          <w:b/>
          <w:bCs/>
          <w:sz w:val="28"/>
          <w:szCs w:val="28"/>
        </w:rPr>
      </w:pPr>
    </w:p>
    <w:tbl>
      <w:tblPr>
        <w:tblW w:w="0" w:type="auto"/>
        <w:jc w:val="left"/>
        <w:tblInd w:w="115" w:type="dxa"/>
        <w:tblLayout w:type="fixed"/>
        <w:tblCellMar>
          <w:top w:w="0" w:type="dxa"/>
          <w:left w:w="0" w:type="dxa"/>
          <w:bottom w:w="0" w:type="dxa"/>
          <w:right w:w="0" w:type="dxa"/>
        </w:tblCellMar>
        <w:tblLook w:val="01E0"/>
      </w:tblPr>
      <w:tblGrid>
        <w:gridCol w:w="3385"/>
        <w:gridCol w:w="2271"/>
        <w:gridCol w:w="1786"/>
        <w:gridCol w:w="2271"/>
      </w:tblGrid>
      <w:tr>
        <w:trPr>
          <w:trHeight w:val="581" w:hRule="exact"/>
        </w:trPr>
        <w:tc>
          <w:tcPr>
            <w:tcW w:w="338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42"/>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7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786" w:type="dxa"/>
            <w:tcBorders>
              <w:top w:val="single" w:sz="12" w:space="0" w:color="000000"/>
              <w:left w:val="dotted" w:sz="4" w:space="0" w:color="000000"/>
              <w:bottom w:val="dotted" w:sz="4" w:space="0" w:color="000000"/>
              <w:right w:val="dotted" w:sz="4" w:space="0" w:color="000000"/>
            </w:tcBorders>
          </w:tcPr>
          <w:p>
            <w:pPr>
              <w:pStyle w:val="TableParagraph"/>
              <w:spacing w:line="242" w:lineRule="auto" w:before="22"/>
              <w:ind w:left="501" w:right="77" w:hanging="425"/>
              <w:jc w:val="left"/>
              <w:rPr>
                <w:rFonts w:ascii="Arial Narrow" w:hAnsi="Arial Narrow" w:cs="Arial Narrow" w:eastAsia="Arial Narrow" w:hint="default"/>
                <w:sz w:val="18"/>
                <w:szCs w:val="18"/>
              </w:rPr>
            </w:pPr>
            <w:r>
              <w:rPr>
                <w:rFonts w:ascii="宋体" w:hAnsi="宋体" w:cs="宋体" w:eastAsia="宋体" w:hint="default"/>
                <w:sz w:val="18"/>
                <w:szCs w:val="18"/>
              </w:rPr>
              <w:t>占应收账款期末余额 的比例</w:t>
            </w:r>
            <w:r>
              <w:rPr>
                <w:rFonts w:ascii="Arial Narrow" w:hAnsi="Arial Narrow" w:cs="Arial Narrow" w:eastAsia="Arial Narrow" w:hint="default"/>
                <w:sz w:val="18"/>
                <w:szCs w:val="18"/>
              </w:rPr>
              <w:t>(%)</w:t>
            </w:r>
          </w:p>
        </w:tc>
        <w:tc>
          <w:tcPr>
            <w:tcW w:w="227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2"/>
              <w:ind w:left="501"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50"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9"/>
              <w:ind w:left="16"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2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48"/>
              <w:jc w:val="right"/>
              <w:rPr>
                <w:rFonts w:ascii="Arial Narrow" w:hAnsi="Arial Narrow" w:cs="Arial Narrow" w:eastAsia="Arial Narrow" w:hint="default"/>
                <w:sz w:val="18"/>
                <w:szCs w:val="18"/>
              </w:rPr>
            </w:pPr>
            <w:r>
              <w:rPr>
                <w:rFonts w:ascii="Arial Narrow"/>
                <w:spacing w:val="-1"/>
                <w:sz w:val="18"/>
              </w:rPr>
              <w:t>33,797,628.53</w:t>
            </w:r>
          </w:p>
        </w:tc>
        <w:tc>
          <w:tcPr>
            <w:tcW w:w="17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52"/>
              <w:jc w:val="right"/>
              <w:rPr>
                <w:rFonts w:ascii="Arial Narrow" w:hAnsi="Arial Narrow" w:cs="Arial Narrow" w:eastAsia="Arial Narrow" w:hint="default"/>
                <w:sz w:val="18"/>
                <w:szCs w:val="18"/>
              </w:rPr>
            </w:pPr>
            <w:r>
              <w:rPr>
                <w:rFonts w:ascii="Arial Narrow"/>
                <w:spacing w:val="-3"/>
                <w:sz w:val="18"/>
              </w:rPr>
              <w:t>11.67</w:t>
            </w:r>
          </w:p>
        </w:tc>
        <w:tc>
          <w:tcPr>
            <w:tcW w:w="22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1"/>
              <w:ind w:right="54"/>
              <w:jc w:val="right"/>
              <w:rPr>
                <w:rFonts w:ascii="Arial Narrow" w:hAnsi="Arial Narrow" w:cs="Arial Narrow" w:eastAsia="Arial Narrow" w:hint="default"/>
                <w:sz w:val="18"/>
                <w:szCs w:val="18"/>
              </w:rPr>
            </w:pPr>
            <w:r>
              <w:rPr>
                <w:rFonts w:ascii="Arial Narrow"/>
                <w:spacing w:val="-1"/>
                <w:sz w:val="18"/>
              </w:rPr>
              <w:t>1,689,881.43</w:t>
            </w:r>
          </w:p>
        </w:tc>
      </w:tr>
      <w:tr>
        <w:trPr>
          <w:trHeight w:val="350"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9"/>
              <w:ind w:left="16"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2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48"/>
              <w:jc w:val="right"/>
              <w:rPr>
                <w:rFonts w:ascii="Arial Narrow" w:hAnsi="Arial Narrow" w:cs="Arial Narrow" w:eastAsia="Arial Narrow" w:hint="default"/>
                <w:sz w:val="18"/>
                <w:szCs w:val="18"/>
              </w:rPr>
            </w:pPr>
            <w:r>
              <w:rPr>
                <w:rFonts w:ascii="Arial Narrow"/>
                <w:spacing w:val="-1"/>
                <w:sz w:val="18"/>
              </w:rPr>
              <w:t>25,450,190.45</w:t>
            </w:r>
          </w:p>
        </w:tc>
        <w:tc>
          <w:tcPr>
            <w:tcW w:w="17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52"/>
              <w:jc w:val="right"/>
              <w:rPr>
                <w:rFonts w:ascii="Arial Narrow" w:hAnsi="Arial Narrow" w:cs="Arial Narrow" w:eastAsia="Arial Narrow" w:hint="default"/>
                <w:sz w:val="18"/>
                <w:szCs w:val="18"/>
              </w:rPr>
            </w:pPr>
            <w:r>
              <w:rPr>
                <w:rFonts w:ascii="Arial Narrow"/>
                <w:spacing w:val="-1"/>
                <w:sz w:val="18"/>
              </w:rPr>
              <w:t>8.79</w:t>
            </w:r>
          </w:p>
        </w:tc>
        <w:tc>
          <w:tcPr>
            <w:tcW w:w="22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1"/>
              <w:ind w:right="54"/>
              <w:jc w:val="right"/>
              <w:rPr>
                <w:rFonts w:ascii="Arial Narrow" w:hAnsi="Arial Narrow" w:cs="Arial Narrow" w:eastAsia="Arial Narrow" w:hint="default"/>
                <w:sz w:val="18"/>
                <w:szCs w:val="18"/>
              </w:rPr>
            </w:pPr>
            <w:r>
              <w:rPr>
                <w:rFonts w:ascii="Arial Narrow"/>
                <w:spacing w:val="-1"/>
                <w:sz w:val="18"/>
              </w:rPr>
              <w:t>127,250.95</w:t>
            </w:r>
          </w:p>
        </w:tc>
      </w:tr>
      <w:tr>
        <w:trPr>
          <w:trHeight w:val="348"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9"/>
              <w:ind w:left="16"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2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48"/>
              <w:jc w:val="right"/>
              <w:rPr>
                <w:rFonts w:ascii="Arial Narrow" w:hAnsi="Arial Narrow" w:cs="Arial Narrow" w:eastAsia="Arial Narrow" w:hint="default"/>
                <w:sz w:val="18"/>
                <w:szCs w:val="18"/>
              </w:rPr>
            </w:pPr>
            <w:r>
              <w:rPr>
                <w:rFonts w:ascii="Arial Narrow"/>
                <w:spacing w:val="-2"/>
                <w:sz w:val="18"/>
              </w:rPr>
              <w:t>23,599,884.11</w:t>
            </w:r>
          </w:p>
        </w:tc>
        <w:tc>
          <w:tcPr>
            <w:tcW w:w="17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52"/>
              <w:jc w:val="right"/>
              <w:rPr>
                <w:rFonts w:ascii="Arial Narrow" w:hAnsi="Arial Narrow" w:cs="Arial Narrow" w:eastAsia="Arial Narrow" w:hint="default"/>
                <w:sz w:val="18"/>
                <w:szCs w:val="18"/>
              </w:rPr>
            </w:pPr>
            <w:r>
              <w:rPr>
                <w:rFonts w:ascii="Arial Narrow"/>
                <w:spacing w:val="-1"/>
                <w:sz w:val="18"/>
              </w:rPr>
              <w:t>8.15</w:t>
            </w:r>
          </w:p>
        </w:tc>
        <w:tc>
          <w:tcPr>
            <w:tcW w:w="22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1"/>
              <w:ind w:right="55"/>
              <w:jc w:val="right"/>
              <w:rPr>
                <w:rFonts w:ascii="Arial Narrow" w:hAnsi="Arial Narrow" w:cs="Arial Narrow" w:eastAsia="Arial Narrow" w:hint="default"/>
                <w:sz w:val="18"/>
                <w:szCs w:val="18"/>
              </w:rPr>
            </w:pPr>
            <w:r>
              <w:rPr>
                <w:rFonts w:ascii="Arial Narrow"/>
                <w:spacing w:val="-2"/>
                <w:sz w:val="18"/>
              </w:rPr>
              <w:t>23,599,884.11</w:t>
            </w:r>
          </w:p>
        </w:tc>
      </w:tr>
      <w:tr>
        <w:trPr>
          <w:trHeight w:val="350"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2"/>
              <w:ind w:left="16"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2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3"/>
              <w:ind w:right="48"/>
              <w:jc w:val="right"/>
              <w:rPr>
                <w:rFonts w:ascii="Arial Narrow" w:hAnsi="Arial Narrow" w:cs="Arial Narrow" w:eastAsia="Arial Narrow" w:hint="default"/>
                <w:sz w:val="18"/>
                <w:szCs w:val="18"/>
              </w:rPr>
            </w:pPr>
            <w:r>
              <w:rPr>
                <w:rFonts w:ascii="Arial Narrow"/>
                <w:spacing w:val="-1"/>
                <w:sz w:val="18"/>
              </w:rPr>
              <w:t>21,446,802.04</w:t>
            </w:r>
          </w:p>
        </w:tc>
        <w:tc>
          <w:tcPr>
            <w:tcW w:w="17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3"/>
              <w:ind w:right="52"/>
              <w:jc w:val="right"/>
              <w:rPr>
                <w:rFonts w:ascii="Arial Narrow" w:hAnsi="Arial Narrow" w:cs="Arial Narrow" w:eastAsia="Arial Narrow" w:hint="default"/>
                <w:sz w:val="18"/>
                <w:szCs w:val="18"/>
              </w:rPr>
            </w:pPr>
            <w:r>
              <w:rPr>
                <w:rFonts w:ascii="Arial Narrow"/>
                <w:spacing w:val="-1"/>
                <w:sz w:val="18"/>
              </w:rPr>
              <w:t>7.41</w:t>
            </w:r>
          </w:p>
        </w:tc>
        <w:tc>
          <w:tcPr>
            <w:tcW w:w="22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3"/>
              <w:ind w:right="54"/>
              <w:jc w:val="right"/>
              <w:rPr>
                <w:rFonts w:ascii="Arial Narrow" w:hAnsi="Arial Narrow" w:cs="Arial Narrow" w:eastAsia="Arial Narrow" w:hint="default"/>
                <w:sz w:val="18"/>
                <w:szCs w:val="18"/>
              </w:rPr>
            </w:pPr>
            <w:r>
              <w:rPr>
                <w:rFonts w:ascii="Arial Narrow"/>
                <w:spacing w:val="-1"/>
                <w:sz w:val="18"/>
              </w:rPr>
              <w:t>1,072,340.10</w:t>
            </w:r>
          </w:p>
        </w:tc>
      </w:tr>
      <w:tr>
        <w:trPr>
          <w:trHeight w:val="350"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2"/>
              <w:ind w:left="16"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2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3"/>
              <w:ind w:right="48"/>
              <w:jc w:val="right"/>
              <w:rPr>
                <w:rFonts w:ascii="Arial Narrow" w:hAnsi="Arial Narrow" w:cs="Arial Narrow" w:eastAsia="Arial Narrow" w:hint="default"/>
                <w:sz w:val="18"/>
                <w:szCs w:val="18"/>
              </w:rPr>
            </w:pPr>
            <w:r>
              <w:rPr>
                <w:rFonts w:ascii="Arial Narrow"/>
                <w:spacing w:val="-1"/>
                <w:sz w:val="18"/>
              </w:rPr>
              <w:t>14,857,582.53</w:t>
            </w:r>
          </w:p>
        </w:tc>
        <w:tc>
          <w:tcPr>
            <w:tcW w:w="17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3"/>
              <w:ind w:right="52"/>
              <w:jc w:val="right"/>
              <w:rPr>
                <w:rFonts w:ascii="Arial Narrow" w:hAnsi="Arial Narrow" w:cs="Arial Narrow" w:eastAsia="Arial Narrow" w:hint="default"/>
                <w:sz w:val="18"/>
                <w:szCs w:val="18"/>
              </w:rPr>
            </w:pPr>
            <w:r>
              <w:rPr>
                <w:rFonts w:ascii="Arial Narrow"/>
                <w:spacing w:val="-1"/>
                <w:sz w:val="18"/>
              </w:rPr>
              <w:t>5.13</w:t>
            </w:r>
          </w:p>
        </w:tc>
        <w:tc>
          <w:tcPr>
            <w:tcW w:w="22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3"/>
              <w:ind w:right="55"/>
              <w:jc w:val="right"/>
              <w:rPr>
                <w:rFonts w:ascii="Arial Narrow" w:hAnsi="Arial Narrow" w:cs="Arial Narrow" w:eastAsia="Arial Narrow" w:hint="default"/>
                <w:sz w:val="18"/>
                <w:szCs w:val="18"/>
              </w:rPr>
            </w:pPr>
            <w:r>
              <w:rPr>
                <w:rFonts w:ascii="Arial Narrow"/>
                <w:spacing w:val="-1"/>
                <w:sz w:val="18"/>
              </w:rPr>
              <w:t>74,287.91</w:t>
            </w:r>
          </w:p>
        </w:tc>
      </w:tr>
      <w:tr>
        <w:trPr>
          <w:trHeight w:val="360" w:hRule="exact"/>
        </w:trPr>
        <w:tc>
          <w:tcPr>
            <w:tcW w:w="338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1"/>
              <w:ind w:right="48"/>
              <w:jc w:val="right"/>
              <w:rPr>
                <w:rFonts w:ascii="Arial Narrow" w:hAnsi="Arial Narrow" w:cs="Arial Narrow" w:eastAsia="Arial Narrow" w:hint="default"/>
                <w:sz w:val="18"/>
                <w:szCs w:val="18"/>
              </w:rPr>
            </w:pPr>
            <w:r>
              <w:rPr>
                <w:rFonts w:ascii="Arial Narrow"/>
                <w:spacing w:val="-2"/>
                <w:sz w:val="18"/>
              </w:rPr>
              <w:t>119,152,087.66</w:t>
            </w:r>
          </w:p>
        </w:tc>
        <w:tc>
          <w:tcPr>
            <w:tcW w:w="17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1"/>
              <w:ind w:right="52"/>
              <w:jc w:val="right"/>
              <w:rPr>
                <w:rFonts w:ascii="Arial Narrow" w:hAnsi="Arial Narrow" w:cs="Arial Narrow" w:eastAsia="Arial Narrow" w:hint="default"/>
                <w:sz w:val="18"/>
                <w:szCs w:val="18"/>
              </w:rPr>
            </w:pPr>
            <w:r>
              <w:rPr>
                <w:rFonts w:ascii="Arial Narrow"/>
                <w:spacing w:val="-1"/>
                <w:sz w:val="18"/>
              </w:rPr>
              <w:t>41.15</w:t>
            </w:r>
          </w:p>
        </w:tc>
        <w:tc>
          <w:tcPr>
            <w:tcW w:w="227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1"/>
              <w:ind w:right="55"/>
              <w:jc w:val="right"/>
              <w:rPr>
                <w:rFonts w:ascii="Arial Narrow" w:hAnsi="Arial Narrow" w:cs="Arial Narrow" w:eastAsia="Arial Narrow" w:hint="default"/>
                <w:sz w:val="18"/>
                <w:szCs w:val="18"/>
              </w:rPr>
            </w:pPr>
            <w:r>
              <w:rPr>
                <w:rFonts w:ascii="Arial Narrow"/>
                <w:spacing w:val="-1"/>
                <w:sz w:val="18"/>
              </w:rPr>
              <w:t>26,563,644.50</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left="172" w:right="254"/>
        <w:jc w:val="left"/>
        <w:rPr>
          <w:b w:val="0"/>
          <w:bCs w:val="0"/>
        </w:rPr>
      </w:pPr>
      <w:r>
        <w:rPr/>
        <w:t>（</w:t>
      </w:r>
      <w:r>
        <w:rPr>
          <w:rFonts w:ascii="Times New Roman" w:hAnsi="Times New Roman" w:cs="Times New Roman" w:eastAsia="Times New Roman" w:hint="default"/>
        </w:rPr>
        <w:t>5</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172" w:right="6014"/>
        <w:jc w:val="left"/>
      </w:pPr>
      <w:r>
        <w:rPr/>
        <w:t>其他说明： 本期无因金融资产转移而终止确认的应收款项。</w:t>
      </w:r>
    </w:p>
    <w:p>
      <w:pPr>
        <w:pStyle w:val="BodyText"/>
        <w:spacing w:line="222" w:lineRule="exact"/>
        <w:ind w:left="172" w:right="254"/>
        <w:jc w:val="left"/>
      </w:pPr>
      <w:r>
        <w:rPr/>
        <w:t>期末无转移应收款项且继续涉入而形成的资产、负债的情况。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left="172" w:right="254"/>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72" w:right="254"/>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7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5,195,009.20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7,972,721.21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98.77%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238,164.38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56,402.44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42,645.48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3,803.71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5,437,466.36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8,071,769.13</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172" w:right="25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7"/>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2838"/>
        <w:gridCol w:w="2205"/>
        <w:gridCol w:w="1277"/>
        <w:gridCol w:w="3365"/>
      </w:tblGrid>
      <w:tr>
        <w:trPr>
          <w:trHeight w:val="344" w:hRule="exact"/>
        </w:trPr>
        <w:tc>
          <w:tcPr>
            <w:tcW w:w="28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7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45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3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048" w:right="0"/>
              <w:jc w:val="left"/>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350" w:hRule="exact"/>
        </w:trPr>
        <w:tc>
          <w:tcPr>
            <w:tcW w:w="28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北京搜狗信息服务有限公司</w:t>
            </w:r>
          </w:p>
        </w:tc>
        <w:tc>
          <w:tcPr>
            <w:tcW w:w="2205" w:type="dxa"/>
            <w:tcBorders>
              <w:top w:val="single" w:sz="8" w:space="0" w:color="000000"/>
              <w:left w:val="single" w:sz="10" w:space="0" w:color="D9D9D9"/>
              <w:bottom w:val="single" w:sz="4" w:space="0" w:color="000000"/>
              <w:right w:val="single" w:sz="4" w:space="0" w:color="000000"/>
            </w:tcBorders>
          </w:tcPr>
          <w:p>
            <w:pPr>
              <w:pStyle w:val="TableParagraph"/>
              <w:spacing w:line="240" w:lineRule="auto" w:before="69"/>
              <w:ind w:right="47"/>
              <w:jc w:val="right"/>
              <w:rPr>
                <w:rFonts w:ascii="Arial Narrow" w:hAnsi="Arial Narrow" w:cs="Arial Narrow" w:eastAsia="Arial Narrow" w:hint="default"/>
                <w:sz w:val="18"/>
                <w:szCs w:val="18"/>
              </w:rPr>
            </w:pPr>
            <w:r>
              <w:rPr>
                <w:rFonts w:ascii="Arial Narrow"/>
                <w:spacing w:val="-1"/>
                <w:sz w:val="18"/>
              </w:rPr>
              <w:t>229,841.64</w:t>
            </w:r>
          </w:p>
        </w:tc>
        <w:tc>
          <w:tcPr>
            <w:tcW w:w="127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7"/>
              <w:ind w:left="415"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336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未结算返点</w:t>
            </w:r>
          </w:p>
        </w:tc>
      </w:tr>
      <w:tr>
        <w:trPr>
          <w:trHeight w:val="350" w:hRule="exact"/>
        </w:trPr>
        <w:tc>
          <w:tcPr>
            <w:tcW w:w="28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73"/>
              <w:ind w:right="47"/>
              <w:jc w:val="right"/>
              <w:rPr>
                <w:rFonts w:ascii="Arial Narrow" w:hAnsi="Arial Narrow" w:cs="Arial Narrow" w:eastAsia="Arial Narrow" w:hint="default"/>
                <w:sz w:val="18"/>
                <w:szCs w:val="18"/>
              </w:rPr>
            </w:pPr>
            <w:r>
              <w:rPr>
                <w:rFonts w:ascii="Arial Narrow"/>
                <w:spacing w:val="-1"/>
                <w:sz w:val="18"/>
              </w:rPr>
              <w:t>229,841.64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90" w:right="0"/>
              <w:jc w:val="center"/>
              <w:rPr>
                <w:rFonts w:ascii="宋体" w:hAnsi="宋体" w:cs="宋体" w:eastAsia="宋体" w:hint="default"/>
                <w:sz w:val="18"/>
                <w:szCs w:val="18"/>
              </w:rPr>
            </w:pPr>
            <w:r>
              <w:rPr>
                <w:rFonts w:ascii="宋体"/>
                <w:sz w:val="18"/>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2" w:right="0"/>
              <w:jc w:val="left"/>
              <w:rPr>
                <w:rFonts w:ascii="宋体" w:hAnsi="宋体" w:cs="宋体" w:eastAsia="宋体" w:hint="default"/>
                <w:sz w:val="18"/>
                <w:szCs w:val="18"/>
              </w:rPr>
            </w:pP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left="172" w:right="254"/>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3"/>
        <w:rPr>
          <w:rFonts w:ascii="宋体" w:hAnsi="宋体" w:cs="宋体" w:eastAsia="宋体" w:hint="default"/>
          <w:b/>
          <w:bCs/>
          <w:sz w:val="25"/>
          <w:szCs w:val="25"/>
        </w:rPr>
      </w:pPr>
    </w:p>
    <w:tbl>
      <w:tblPr>
        <w:tblW w:w="0" w:type="auto"/>
        <w:jc w:val="left"/>
        <w:tblInd w:w="151" w:type="dxa"/>
        <w:tblLayout w:type="fixed"/>
        <w:tblCellMar>
          <w:top w:w="0" w:type="dxa"/>
          <w:left w:w="0" w:type="dxa"/>
          <w:bottom w:w="0" w:type="dxa"/>
          <w:right w:w="0" w:type="dxa"/>
        </w:tblCellMar>
        <w:tblLook w:val="01E0"/>
      </w:tblPr>
      <w:tblGrid>
        <w:gridCol w:w="3264"/>
        <w:gridCol w:w="3450"/>
        <w:gridCol w:w="2972"/>
      </w:tblGrid>
      <w:tr>
        <w:trPr>
          <w:trHeight w:val="346" w:hRule="exact"/>
        </w:trPr>
        <w:tc>
          <w:tcPr>
            <w:tcW w:w="32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9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right="1"/>
              <w:jc w:val="center"/>
              <w:rPr>
                <w:rFonts w:ascii="Arial Narrow" w:hAnsi="Arial Narrow" w:cs="Arial Narrow" w:eastAsia="Arial Narrow" w:hint="default"/>
                <w:sz w:val="18"/>
                <w:szCs w:val="18"/>
              </w:rPr>
            </w:pPr>
            <w:r>
              <w:rPr>
                <w:rFonts w:ascii="宋体" w:hAnsi="宋体" w:cs="宋体" w:eastAsia="宋体" w:hint="default"/>
                <w:sz w:val="18"/>
                <w:szCs w:val="18"/>
              </w:rPr>
              <w:t>占预付账款总额的比例</w:t>
            </w:r>
            <w:r>
              <w:rPr>
                <w:rFonts w:ascii="Arial Narrow" w:hAnsi="Arial Narrow" w:cs="Arial Narrow" w:eastAsia="Arial Narrow" w:hint="default"/>
                <w:sz w:val="18"/>
                <w:szCs w:val="18"/>
              </w:rPr>
              <w:t>(%)</w:t>
            </w:r>
          </w:p>
        </w:tc>
      </w:tr>
      <w:tr>
        <w:trPr>
          <w:trHeight w:val="349" w:hRule="exact"/>
        </w:trPr>
        <w:tc>
          <w:tcPr>
            <w:tcW w:w="32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期末余额前五名预付账款汇总</w:t>
            </w:r>
          </w:p>
        </w:tc>
        <w:tc>
          <w:tcPr>
            <w:tcW w:w="3450" w:type="dxa"/>
            <w:tcBorders>
              <w:top w:val="single" w:sz="8" w:space="0" w:color="000000"/>
              <w:left w:val="single" w:sz="10" w:space="0" w:color="D9D9D9"/>
              <w:bottom w:val="single" w:sz="4" w:space="0" w:color="000000"/>
              <w:right w:val="single" w:sz="4" w:space="0" w:color="000000"/>
            </w:tcBorders>
          </w:tcPr>
          <w:p>
            <w:pPr>
              <w:pStyle w:val="TableParagraph"/>
              <w:spacing w:line="240" w:lineRule="auto" w:before="67"/>
              <w:ind w:right="49"/>
              <w:jc w:val="right"/>
              <w:rPr>
                <w:rFonts w:ascii="Arial Narrow" w:hAnsi="Arial Narrow" w:cs="Arial Narrow" w:eastAsia="Arial Narrow" w:hint="default"/>
                <w:sz w:val="18"/>
                <w:szCs w:val="18"/>
              </w:rPr>
            </w:pPr>
            <w:r>
              <w:rPr>
                <w:rFonts w:ascii="Arial Narrow"/>
                <w:spacing w:val="-1"/>
                <w:sz w:val="18"/>
              </w:rPr>
              <w:t>2,152,591.21</w:t>
            </w:r>
          </w:p>
        </w:tc>
        <w:tc>
          <w:tcPr>
            <w:tcW w:w="297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Arial Narrow" w:hAnsi="Arial Narrow" w:cs="Arial Narrow" w:eastAsia="Arial Narrow" w:hint="default"/>
                <w:sz w:val="18"/>
                <w:szCs w:val="18"/>
              </w:rPr>
            </w:pPr>
            <w:r>
              <w:rPr>
                <w:rFonts w:ascii="Arial Narrow"/>
                <w:sz w:val="18"/>
              </w:rPr>
              <w:t>39.59</w:t>
            </w:r>
          </w:p>
        </w:tc>
      </w:tr>
    </w:tbl>
    <w:p>
      <w:pPr>
        <w:spacing w:after="0" w:line="240" w:lineRule="auto"/>
        <w:jc w:val="center"/>
        <w:rPr>
          <w:rFonts w:ascii="Arial Narrow" w:hAnsi="Arial Narrow" w:cs="Arial Narrow" w:eastAsia="Arial Narrow" w:hint="default"/>
          <w:sz w:val="18"/>
          <w:szCs w:val="18"/>
        </w:rPr>
        <w:sectPr>
          <w:pgSz w:w="11910" w:h="16840"/>
          <w:pgMar w:header="745" w:footer="980" w:top="1060" w:bottom="1160" w:left="960" w:right="960"/>
        </w:sectPr>
      </w:pPr>
    </w:p>
    <w:p>
      <w:pPr>
        <w:spacing w:line="240" w:lineRule="auto" w:before="10"/>
        <w:rPr>
          <w:rFonts w:ascii="宋体" w:hAnsi="宋体" w:cs="宋体" w:eastAsia="宋体" w:hint="default"/>
          <w:b/>
          <w:bCs/>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3,817.41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39,949.77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保本理财产品利息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833,161.56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3,817.41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873,111.33</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8</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7,730,00</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28.90%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7,730,00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7,730,0</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33.72%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7,730,000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19,017,4</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49.79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71.10%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177,646.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18,839,80</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2.96</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12,192,</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057.78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53.19%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384,187.7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11,807,870.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13.09%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26,747,4</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49.79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7,907,64</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6.83</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29.56%</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18,839,80</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2.96</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22,922,</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057.78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11,114,18</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7.78</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48.49%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11,807,870.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491"/>
        <w:gridCol w:w="1416"/>
        <w:gridCol w:w="1136"/>
        <w:gridCol w:w="3617"/>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3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厦门萤火虫节能科技有 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7,730,000.00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7,730,000.00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100.00%</w:t>
            </w:r>
          </w:p>
        </w:tc>
        <w:tc>
          <w:tcPr>
            <w:tcW w:w="36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3"/>
                <w:sz w:val="18"/>
                <w:szCs w:val="18"/>
              </w:rPr>
              <w:t>未能根据仲裁裁决书归还款项，经公司向法院</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申请强制执行，目前客户无可供执行财产。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7,730,000.00</w:t>
            </w:r>
          </w:p>
        </w:tc>
        <w:tc>
          <w:tcPr>
            <w:tcW w:w="14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5"/>
              <w:jc w:val="right"/>
              <w:rPr>
                <w:rFonts w:ascii="Times New Roman" w:hAnsi="Times New Roman" w:cs="Times New Roman" w:eastAsia="Times New Roman" w:hint="default"/>
                <w:sz w:val="18"/>
                <w:szCs w:val="18"/>
              </w:rPr>
            </w:pPr>
            <w:r>
              <w:rPr>
                <w:rFonts w:ascii="Times New Roman"/>
                <w:spacing w:val="-1"/>
                <w:sz w:val="18"/>
              </w:rPr>
              <w:t>7,730,000.00</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组合中，按账龄分析法计提坏账准备的其他应收款：</w:t>
      </w:r>
    </w:p>
    <w:p>
      <w:pPr>
        <w:spacing w:after="0" w:line="240" w:lineRule="auto"/>
        <w:jc w:val="left"/>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3"/>
      </w:tblGrid>
      <w:tr>
        <w:trPr>
          <w:trHeight w:val="206"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9"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231,213.52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11,560.68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89,868.24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17,973.65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5,665.00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2,832.50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145,280.00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472,026.76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177,646.83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37.63%</w:t>
            </w:r>
          </w:p>
        </w:tc>
      </w:tr>
    </w:tbl>
    <w:p>
      <w:pPr>
        <w:pStyle w:val="BodyText"/>
        <w:spacing w:line="360" w:lineRule="auto" w:before="49"/>
        <w:ind w:right="5314"/>
        <w:jc w:val="left"/>
      </w:pPr>
      <w:r>
        <w:rPr/>
        <w:t>确定该组合依据的说明： 组合中，采用余额百分比法计提坏账准备的其他应收款：</w:t>
      </w:r>
    </w:p>
    <w:p>
      <w:pPr>
        <w:pStyle w:val="BodyText"/>
        <w:spacing w:line="340" w:lineRule="auto" w:before="25"/>
        <w:ind w:right="5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3005"/>
        <w:gridCol w:w="2026"/>
        <w:gridCol w:w="2028"/>
        <w:gridCol w:w="1455"/>
      </w:tblGrid>
      <w:tr>
        <w:trPr>
          <w:trHeight w:val="337" w:hRule="exact"/>
        </w:trPr>
        <w:tc>
          <w:tcPr>
            <w:tcW w:w="300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509"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3005" w:type="dxa"/>
            <w:vMerge/>
            <w:tcBorders>
              <w:left w:val="single" w:sz="4" w:space="0" w:color="000000"/>
              <w:bottom w:val="single" w:sz="4" w:space="0" w:color="000000"/>
              <w:right w:val="single" w:sz="4" w:space="0" w:color="000000"/>
            </w:tcBorders>
            <w:shd w:val="clear" w:color="auto" w:fill="D9D9D9"/>
          </w:tcPr>
          <w:p>
            <w:pPr/>
          </w:p>
        </w:tc>
        <w:tc>
          <w:tcPr>
            <w:tcW w:w="20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55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65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3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32" w:right="0"/>
              <w:jc w:val="left"/>
              <w:rPr>
                <w:rFonts w:ascii="宋体" w:hAnsi="宋体" w:cs="宋体" w:eastAsia="宋体" w:hint="default"/>
                <w:sz w:val="18"/>
                <w:szCs w:val="18"/>
              </w:rPr>
            </w:pPr>
            <w:r>
              <w:rPr>
                <w:rFonts w:ascii="宋体" w:hAnsi="宋体" w:cs="宋体" w:eastAsia="宋体" w:hint="default"/>
                <w:sz w:val="18"/>
                <w:szCs w:val="18"/>
              </w:rPr>
              <w:t>特殊风险组合</w:t>
            </w:r>
          </w:p>
        </w:tc>
        <w:tc>
          <w:tcPr>
            <w:tcW w:w="202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spacing w:val="-1"/>
                <w:sz w:val="18"/>
              </w:rPr>
              <w:t>18,545,423.03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3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2" w:right="0"/>
              <w:jc w:val="left"/>
              <w:rPr>
                <w:rFonts w:ascii="宋体" w:hAnsi="宋体" w:cs="宋体" w:eastAsia="宋体" w:hint="default"/>
                <w:sz w:val="18"/>
                <w:szCs w:val="18"/>
              </w:rPr>
            </w:pPr>
            <w:r>
              <w:rPr>
                <w:rFonts w:ascii="宋体" w:hAnsi="宋体" w:cs="宋体" w:eastAsia="宋体" w:hint="default"/>
                <w:sz w:val="18"/>
                <w:szCs w:val="18"/>
              </w:rPr>
              <w:t>其中：保证金</w:t>
            </w:r>
          </w:p>
        </w:tc>
        <w:tc>
          <w:tcPr>
            <w:tcW w:w="202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29"/>
              <w:jc w:val="right"/>
              <w:rPr>
                <w:rFonts w:ascii="Times New Roman" w:hAnsi="Times New Roman" w:cs="Times New Roman" w:eastAsia="Times New Roman" w:hint="default"/>
                <w:sz w:val="18"/>
                <w:szCs w:val="18"/>
              </w:rPr>
            </w:pPr>
            <w:r>
              <w:rPr>
                <w:rFonts w:ascii="Times New Roman"/>
                <w:spacing w:val="-1"/>
                <w:sz w:val="18"/>
              </w:rPr>
              <w:t>7,018,414.13</w:t>
            </w:r>
          </w:p>
        </w:tc>
        <w:tc>
          <w:tcPr>
            <w:tcW w:w="2028"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57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202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2,155,413.57</w:t>
            </w:r>
          </w:p>
        </w:tc>
        <w:tc>
          <w:tcPr>
            <w:tcW w:w="2028"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57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202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28"/>
              <w:jc w:val="right"/>
              <w:rPr>
                <w:rFonts w:ascii="Times New Roman" w:hAnsi="Times New Roman" w:cs="Times New Roman" w:eastAsia="Times New Roman" w:hint="default"/>
                <w:sz w:val="18"/>
                <w:szCs w:val="18"/>
              </w:rPr>
            </w:pPr>
            <w:r>
              <w:rPr>
                <w:rFonts w:ascii="Times New Roman"/>
                <w:spacing w:val="-1"/>
                <w:sz w:val="18"/>
              </w:rPr>
              <w:t>25,460.00</w:t>
            </w:r>
          </w:p>
        </w:tc>
        <w:tc>
          <w:tcPr>
            <w:tcW w:w="2028"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3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340"/>
              <w:jc w:val="right"/>
              <w:rPr>
                <w:rFonts w:ascii="宋体" w:hAnsi="宋体" w:cs="宋体" w:eastAsia="宋体" w:hint="default"/>
                <w:sz w:val="18"/>
                <w:szCs w:val="18"/>
              </w:rPr>
            </w:pPr>
            <w:r>
              <w:rPr>
                <w:rFonts w:ascii="宋体" w:hAnsi="宋体" w:cs="宋体" w:eastAsia="宋体" w:hint="default"/>
                <w:sz w:val="18"/>
                <w:szCs w:val="18"/>
              </w:rPr>
              <w:t>政府部门往来</w:t>
            </w:r>
          </w:p>
        </w:tc>
        <w:tc>
          <w:tcPr>
            <w:tcW w:w="202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6,758,000.00</w:t>
            </w:r>
          </w:p>
        </w:tc>
        <w:tc>
          <w:tcPr>
            <w:tcW w:w="2028"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1340"/>
              <w:jc w:val="right"/>
              <w:rPr>
                <w:rFonts w:ascii="宋体" w:hAnsi="宋体" w:cs="宋体" w:eastAsia="宋体" w:hint="default"/>
                <w:sz w:val="18"/>
                <w:szCs w:val="18"/>
              </w:rPr>
            </w:pPr>
            <w:r>
              <w:rPr>
                <w:rFonts w:ascii="宋体" w:hAnsi="宋体" w:cs="宋体" w:eastAsia="宋体" w:hint="default"/>
                <w:sz w:val="18"/>
                <w:szCs w:val="18"/>
              </w:rPr>
              <w:t>应收出口退税</w:t>
            </w:r>
          </w:p>
        </w:tc>
        <w:tc>
          <w:tcPr>
            <w:tcW w:w="202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29"/>
              <w:jc w:val="right"/>
              <w:rPr>
                <w:rFonts w:ascii="Times New Roman" w:hAnsi="Times New Roman" w:cs="Times New Roman" w:eastAsia="Times New Roman" w:hint="default"/>
                <w:sz w:val="18"/>
                <w:szCs w:val="18"/>
              </w:rPr>
            </w:pPr>
            <w:r>
              <w:rPr>
                <w:rFonts w:ascii="Times New Roman"/>
                <w:spacing w:val="-1"/>
                <w:sz w:val="18"/>
              </w:rPr>
              <w:t>2,588,135.33</w:t>
            </w:r>
          </w:p>
        </w:tc>
        <w:tc>
          <w:tcPr>
            <w:tcW w:w="2028"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316"/>
              <w:jc w:val="right"/>
              <w:rPr>
                <w:rFonts w:ascii="宋体" w:hAnsi="宋体" w:cs="宋体" w:eastAsia="宋体" w:hint="default"/>
                <w:sz w:val="18"/>
                <w:szCs w:val="18"/>
              </w:rPr>
            </w:pPr>
            <w:r>
              <w:rPr>
                <w:rFonts w:ascii="宋体" w:hAnsi="宋体" w:cs="宋体" w:eastAsia="宋体" w:hint="default"/>
                <w:sz w:val="18"/>
                <w:szCs w:val="18"/>
              </w:rPr>
              <w:t>合计</w:t>
            </w:r>
          </w:p>
        </w:tc>
        <w:tc>
          <w:tcPr>
            <w:tcW w:w="202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18,545,423.03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center"/>
              <w:rPr>
                <w:rFonts w:ascii="宋体" w:hAnsi="宋体" w:cs="宋体" w:eastAsia="宋体" w:hint="default"/>
                <w:sz w:val="18"/>
                <w:szCs w:val="18"/>
              </w:rPr>
            </w:pP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254"/>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40"/>
        </w:sectPr>
      </w:pPr>
    </w:p>
    <w:p>
      <w:pPr>
        <w:pStyle w:val="BodyText"/>
        <w:spacing w:line="338" w:lineRule="auto" w:before="44"/>
        <w:ind w:right="-15"/>
        <w:jc w:val="left"/>
      </w:pPr>
      <w:r>
        <w:rPr/>
        <w:t>本期计提坏账准备金额元；本期收回或转回坏账准备金额</w:t>
      </w:r>
      <w:r>
        <w:rPr>
          <w:spacing w:val="-46"/>
        </w:rPr>
        <w:t> </w:t>
      </w:r>
      <w:r>
        <w:rPr>
          <w:rFonts w:ascii="Times New Roman" w:hAnsi="Times New Roman" w:cs="Times New Roman" w:eastAsia="Times New Roman" w:hint="default"/>
        </w:rPr>
        <w:t>3,154,493.22</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40"/>
          <w:cols w:num="2" w:equalWidth="0">
            <w:col w:w="6054" w:space="2776"/>
            <w:col w:w="116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无锡市新区鸿山街道办事处土地资金管 理办公室</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协议收回</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7" w:lineRule="auto" w:before="8"/>
        <w:ind w:right="94"/>
        <w:jc w:val="left"/>
      </w:pPr>
      <w:r>
        <w:rPr/>
        <w:t>注</w:t>
      </w:r>
      <w:r>
        <w:rPr>
          <w:rFonts w:ascii="Times New Roman" w:hAnsi="Times New Roman" w:cs="Times New Roman" w:eastAsia="Times New Roman" w:hint="default"/>
        </w:rPr>
        <w:t>1</w:t>
      </w:r>
      <w:r>
        <w:rPr/>
        <w:t>：公司子公司无锡实益达电子有限公司在</w:t>
      </w:r>
      <w:r>
        <w:rPr>
          <w:rFonts w:ascii="Times New Roman" w:hAnsi="Times New Roman" w:cs="Times New Roman" w:eastAsia="Times New Roman" w:hint="default"/>
        </w:rPr>
        <w:t>2016</w:t>
      </w:r>
      <w:r>
        <w:rPr/>
        <w:t>年末对未能如期收回的土地款保证金</w:t>
      </w:r>
      <w:r>
        <w:rPr>
          <w:rFonts w:ascii="Times New Roman" w:hAnsi="Times New Roman" w:cs="Times New Roman" w:eastAsia="Times New Roman" w:hint="default"/>
        </w:rPr>
        <w:t>300</w:t>
      </w:r>
      <w:r>
        <w:rPr/>
        <w:t>万元单项评估并全额计提了坏账。 </w:t>
      </w:r>
      <w:r>
        <w:rPr>
          <w:spacing w:val="-2"/>
        </w:rPr>
        <w:t>本期无锡实益达电子有限公司与无锡市新吴区鸿山街道办事达成相关协议，回购部分闲置地块并按计划归还前期保证金。公</w:t>
      </w:r>
      <w:r>
        <w:rPr>
          <w:spacing w:val="-64"/>
        </w:rPr>
        <w:t> </w:t>
      </w:r>
      <w:r>
        <w:rPr>
          <w:spacing w:val="-64"/>
        </w:rPr>
      </w:r>
      <w:r>
        <w:rPr/>
        <w:t>司年末对该应收款项重新进行评估，认为可以收回，故转回原计提的坏账准备。公司已于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月按约定收回了相关保证 金。</w:t>
      </w:r>
    </w:p>
    <w:p>
      <w:pPr>
        <w:spacing w:after="0" w:line="307" w:lineRule="auto"/>
        <w:jc w:val="left"/>
        <w:sectPr>
          <w:type w:val="continuous"/>
          <w:pgSz w:w="11910" w:h="16840"/>
          <w:pgMar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51,853.17</w:t>
            </w:r>
          </w:p>
        </w:tc>
      </w:tr>
    </w:tbl>
    <w:p>
      <w:pPr>
        <w:pStyle w:val="BodyText"/>
        <w:spacing w:line="240" w:lineRule="auto" w:before="49"/>
        <w:ind w:right="153"/>
        <w:jc w:val="left"/>
      </w:pPr>
      <w:r>
        <w:rPr/>
        <w:t>其中重要的其他应收款核销情况：</w:t>
      </w:r>
    </w:p>
    <w:p>
      <w:pPr>
        <w:pStyle w:val="BodyText"/>
        <w:spacing w:line="240" w:lineRule="auto" w:before="117"/>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9,645,854.46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11,493,183.89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14,488,000.00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25,460.00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51,882.60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应收退税款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2,588,135.33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3,418,917.39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228,073.90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26,747,449.79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22,922,057.78</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7"/>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无锡市新区鸿山街 道办事处土地资金 管理办公室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保证金</w:t>
            </w:r>
            <w:r>
              <w:rPr>
                <w:rFonts w:ascii="宋体" w:hAnsi="宋体" w:cs="宋体" w:eastAsia="宋体" w:hint="default"/>
                <w:spacing w:val="-82"/>
                <w:sz w:val="18"/>
                <w:szCs w:val="18"/>
              </w:rPr>
              <w:t>、</w:t>
            </w:r>
            <w:r>
              <w:rPr>
                <w:rFonts w:ascii="宋体" w:hAnsi="宋体" w:cs="宋体" w:eastAsia="宋体" w:hint="default"/>
                <w:sz w:val="18"/>
                <w:szCs w:val="18"/>
              </w:rPr>
              <w:t>土地转让款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9,725,000.00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r>
              <w:rPr>
                <w:rFonts w:ascii="宋体" w:hAnsi="宋体" w:cs="宋体" w:eastAsia="宋体" w:hint="default"/>
                <w:spacing w:val="-82"/>
                <w:sz w:val="18"/>
                <w:szCs w:val="18"/>
              </w:rPr>
              <w:t>；</w:t>
            </w:r>
            <w:r>
              <w:rPr>
                <w:rFonts w:ascii="宋体" w:hAnsi="宋体" w:cs="宋体" w:eastAsia="宋体" w:hint="default"/>
                <w:sz w:val="18"/>
                <w:szCs w:val="18"/>
              </w:rPr>
              <w:t>土</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地转让款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36.36%</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厦门萤火虫节能科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其他往来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28.90%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7,730,000.00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出口退税</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2,588,135.33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9.68%</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昌荣金准（天津）网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络科技有限公司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2,078,500.00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7.77%</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上海明捷置业有限 公司及相关物业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1,144,753.25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23,266,388.58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86.99%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7,730,000.00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6</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53"/>
        <w:jc w:val="left"/>
      </w:pPr>
      <w:r>
        <w:rPr/>
        <w:t>期末无涉及政府补助的应收款项。</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left="513" w:right="4553"/>
        <w:jc w:val="left"/>
      </w:pPr>
      <w:r>
        <w:rPr/>
        <w:t>期末无因金融资产转移而终止确认的其他应收款项情况。 期末无转移其他应收款且继续涉入而形成资产、负债的情况。 期末无其他需要说明的情况。</w:t>
      </w:r>
    </w:p>
    <w:p>
      <w:pPr>
        <w:spacing w:line="240" w:lineRule="auto" w:before="9"/>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534"/>
        <w:jc w:val="left"/>
      </w:pPr>
      <w:r>
        <w:rPr/>
        <w:t>公司是否需要遵守房地产行业的披露要求 否</w:t>
      </w:r>
    </w:p>
    <w:p>
      <w:pPr>
        <w:spacing w:line="240" w:lineRule="auto" w:before="6"/>
        <w:rPr>
          <w:rFonts w:ascii="宋体" w:hAnsi="宋体" w:cs="宋体" w:eastAsia="宋体" w:hint="default"/>
          <w:sz w:val="20"/>
          <w:szCs w:val="20"/>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36,948,049.85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5,460,999.52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31,487,050.33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31,228,148.65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6,627,585.74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24,600,562.91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8,539,873.68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168,573.56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8,371,300.12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4,940,606.93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4,940,606.93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9,067,929.06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2,064,620.39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7,003,308.67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10,823,528.04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2,061,361.04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8,762,167.00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自制半成品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1,819,504.38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81,525.47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1,737,978.91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4,660,030.49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257,932.13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4,402,098.36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115,744.42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115,744.42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4,598,178.87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57,614.51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4,540,564.36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8,853.15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8,853.15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劳务成本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1,352,970.92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1,352,970.92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7,002,120.27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7,002,120.27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62,326,506.76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7,833,333.45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54,493,173.31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58,779,031.95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8,946,878.91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49,832,153.04</w:t>
            </w:r>
          </w:p>
        </w:tc>
      </w:tr>
    </w:tbl>
    <w:p>
      <w:pPr>
        <w:pStyle w:val="BodyText"/>
        <w:spacing w:line="338" w:lineRule="auto" w:before="49"/>
        <w:ind w:right="149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7"/>
        <w:rPr>
          <w:rFonts w:ascii="宋体" w:hAnsi="宋体" w:cs="宋体" w:eastAsia="宋体" w:hint="default"/>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8"/>
        <w:gridCol w:w="1369"/>
        <w:gridCol w:w="1366"/>
        <w:gridCol w:w="1368"/>
        <w:gridCol w:w="1366"/>
        <w:gridCol w:w="1369"/>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right w:val="single" w:sz="4" w:space="0" w:color="000000"/>
            </w:tcBorders>
            <w:shd w:val="clear" w:color="auto" w:fill="D2D2D2"/>
          </w:tcPr>
          <w:p>
            <w:pPr/>
          </w:p>
        </w:tc>
      </w:tr>
      <w:tr>
        <w:trPr>
          <w:trHeight w:val="199"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right w:val="single" w:sz="4" w:space="0" w:color="000000"/>
            </w:tcBorders>
            <w:shd w:val="clear" w:color="auto" w:fill="D2D2D2"/>
          </w:tcPr>
          <w:p>
            <w:pP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6,627,585.74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2,156,485.00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3,323,071.22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5,460,999.52</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2"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168,573.56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168,573.56</w:t>
            </w:r>
          </w:p>
        </w:tc>
      </w:tr>
      <w:tr>
        <w:trPr>
          <w:trHeight w:val="40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2,061,361.04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1,762,788.75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1,759,529.40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2,064,620.39</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自制半成品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257,932.13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59,616.47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236,023.13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81,525.47</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57,614.51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57,614.51</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8,946,878.91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4,205,078.29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5,318,623.75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7,833,333.45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6174"/>
        <w:jc w:val="left"/>
      </w:pPr>
      <w:r>
        <w:rPr/>
        <w:t>存货期末余额无含有借款费用资本化的情况。 劳务成本是指未结案的广告项目。</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增值税留抵扣额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4,359,560.89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5,318,694.45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以抵销后净额列示的所得税预缴税额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254,299.81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457,310,000.00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503,290,000.00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媒体资源</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23,987,125.64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485,910,986.34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508,608,694.45</w:t>
            </w:r>
          </w:p>
        </w:tc>
      </w:tr>
    </w:tbl>
    <w:p>
      <w:pPr>
        <w:pStyle w:val="BodyText"/>
        <w:spacing w:line="203" w:lineRule="exact"/>
        <w:ind w:right="153"/>
        <w:jc w:val="left"/>
      </w:pPr>
      <w:r>
        <w:rPr/>
        <w:t>关于媒体资源的说明：</w:t>
      </w:r>
    </w:p>
    <w:p>
      <w:pPr>
        <w:pStyle w:val="BodyText"/>
        <w:spacing w:line="357" w:lineRule="auto" w:before="115"/>
        <w:ind w:right="155" w:firstLine="360"/>
        <w:jc w:val="both"/>
      </w:pPr>
      <w:r>
        <w:rPr>
          <w:spacing w:val="-2"/>
        </w:rPr>
        <w:t>公司子公司顺为广告公司原对乐视相关单位（包括乐视电子商务（北京）有限公司、乐视控股（北京）有限公司、乐视</w:t>
      </w:r>
      <w:r>
        <w:rPr/>
        <w:t> </w:t>
      </w:r>
      <w:r>
        <w:rPr>
          <w:spacing w:val="-2"/>
        </w:rPr>
        <w:t>品牌营销策划（北京）有限公司、乐帕营销服务（北京）有限公司等）的债权划分为组合中按账龄法计提坏账，账龄分别在</w:t>
      </w:r>
      <w:r>
        <w:rPr>
          <w:spacing w:val="-73"/>
        </w:rPr>
        <w:t> </w:t>
      </w:r>
      <w:r>
        <w:rPr>
          <w:spacing w:val="-73"/>
        </w:rPr>
      </w:r>
      <w:r>
        <w:rPr>
          <w:rFonts w:ascii="Times New Roman" w:hAnsi="Times New Roman" w:cs="Times New Roman" w:eastAsia="Times New Roman" w:hint="default"/>
        </w:rPr>
        <w:t>1-3</w:t>
      </w:r>
      <w:r>
        <w:rPr/>
        <w:t>年不等，按账龄计提相应坏账</w:t>
      </w:r>
      <w:r>
        <w:rPr>
          <w:rFonts w:ascii="Times New Roman" w:hAnsi="Times New Roman" w:cs="Times New Roman" w:eastAsia="Times New Roman" w:hint="default"/>
        </w:rPr>
        <w:t>344.25</w:t>
      </w:r>
      <w:r>
        <w:rPr/>
        <w:t>万元。</w:t>
      </w:r>
    </w:p>
    <w:p>
      <w:pPr>
        <w:pStyle w:val="BodyText"/>
        <w:spacing w:line="348" w:lineRule="auto" w:before="3"/>
        <w:ind w:right="154" w:firstLine="360"/>
        <w:jc w:val="both"/>
      </w:pPr>
      <w:r>
        <w:rPr>
          <w:spacing w:val="-2"/>
        </w:rPr>
        <w:t>本期公司与原乐视相关单位和乐风移动科技（北京）有限公司签订三方债权债务偿还协议，用乐风移动科技（北京）有</w:t>
      </w:r>
      <w:r>
        <w:rPr/>
        <w:t> 限公司拥有的</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日的价值等同于未付款金额的媒体资源给公司用于抵偿原乐视相关单位对公司的 债务。</w:t>
      </w:r>
    </w:p>
    <w:p>
      <w:pPr>
        <w:pStyle w:val="BodyText"/>
        <w:spacing w:line="338" w:lineRule="auto" w:before="34"/>
        <w:ind w:right="152" w:firstLine="360"/>
        <w:jc w:val="both"/>
      </w:pPr>
      <w:r>
        <w:rPr>
          <w:spacing w:val="-1"/>
        </w:rPr>
        <w:t>签订债权债务偿还协议后公司转回原计提的相关坏账准备</w:t>
      </w:r>
      <w:r>
        <w:rPr>
          <w:rFonts w:ascii="Times New Roman" w:hAnsi="Times New Roman" w:cs="Times New Roman" w:eastAsia="Times New Roman" w:hint="default"/>
          <w:spacing w:val="-1"/>
        </w:rPr>
        <w:t>344.25</w:t>
      </w:r>
      <w:r>
        <w:rPr>
          <w:spacing w:val="-1"/>
        </w:rPr>
        <w:t>万元，与原乐视相关单位还有部分对账差异未能找到责</w:t>
      </w:r>
      <w:r>
        <w:rPr/>
        <w:t> 任人，公司认为已无法收回，涉及金额</w:t>
      </w:r>
      <w:r>
        <w:rPr>
          <w:rFonts w:ascii="Times New Roman" w:hAnsi="Times New Roman" w:cs="Times New Roman" w:eastAsia="Times New Roman" w:hint="default"/>
        </w:rPr>
        <w:t>33.00</w:t>
      </w:r>
      <w:r>
        <w:rPr/>
        <w:t>万元，公司确认减值损失后进行核销处理。</w:t>
      </w:r>
    </w:p>
    <w:p>
      <w:pPr>
        <w:pStyle w:val="BodyText"/>
        <w:spacing w:line="355" w:lineRule="auto" w:before="19"/>
        <w:ind w:right="152" w:firstLine="360"/>
        <w:jc w:val="both"/>
      </w:pPr>
      <w:r>
        <w:rPr>
          <w:spacing w:val="-2"/>
        </w:rPr>
        <w:t>公司将尚未消耗的媒体资源作为其他流动资产核算并在资产负债表日进行减值测试。期末对相关媒体资源进行减值测试</w:t>
      </w:r>
      <w:r>
        <w:rPr/>
        <w:t> 公司认为未发生减值。</w:t>
      </w:r>
    </w:p>
    <w:p>
      <w:pPr>
        <w:spacing w:line="240" w:lineRule="auto" w:before="8"/>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8"/>
        <w:gridCol w:w="1196"/>
        <w:gridCol w:w="1248"/>
        <w:gridCol w:w="1368"/>
        <w:gridCol w:w="1366"/>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73,311,568.78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73,311,568.78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3,181,568.78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3,181,568.78</w:t>
            </w:r>
          </w:p>
        </w:tc>
      </w:tr>
      <w:tr>
        <w:trPr>
          <w:trHeight w:val="401"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按成本计量的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73,311,568.78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73,311,568.78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3,181,568.78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3,181,568.78</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73,311,568.78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73,311,568.78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3,181,568.78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3,181,568.78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94"/>
        <w:gridCol w:w="991"/>
        <w:gridCol w:w="992"/>
        <w:gridCol w:w="852"/>
        <w:gridCol w:w="1135"/>
        <w:gridCol w:w="566"/>
        <w:gridCol w:w="850"/>
        <w:gridCol w:w="852"/>
        <w:gridCol w:w="593"/>
        <w:gridCol w:w="965"/>
        <w:gridCol w:w="775"/>
      </w:tblGrid>
      <w:tr>
        <w:trPr>
          <w:trHeight w:val="403" w:hRule="exact"/>
        </w:trPr>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9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9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8" w:right="26"/>
              <w:jc w:val="left"/>
              <w:rPr>
                <w:rFonts w:ascii="宋体" w:hAnsi="宋体" w:cs="宋体" w:eastAsia="宋体" w:hint="default"/>
                <w:sz w:val="18"/>
                <w:szCs w:val="18"/>
              </w:rPr>
            </w:pPr>
            <w:r>
              <w:rPr>
                <w:rFonts w:ascii="宋体" w:hAnsi="宋体" w:cs="宋体" w:eastAsia="宋体" w:hint="default"/>
                <w:sz w:val="18"/>
                <w:szCs w:val="18"/>
              </w:rPr>
              <w:t>在被投资单 位持股比例</w:t>
            </w: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2" w:right="110"/>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401"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965" w:type="dxa"/>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8"/>
              <w:jc w:val="both"/>
              <w:rPr>
                <w:rFonts w:ascii="宋体" w:hAnsi="宋体" w:cs="宋体" w:eastAsia="宋体" w:hint="default"/>
                <w:sz w:val="18"/>
                <w:szCs w:val="18"/>
              </w:rPr>
            </w:pPr>
            <w:r>
              <w:rPr>
                <w:rFonts w:ascii="宋体" w:hAnsi="宋体" w:cs="宋体" w:eastAsia="宋体" w:hint="default"/>
                <w:sz w:val="18"/>
                <w:szCs w:val="18"/>
              </w:rPr>
              <w:t>深圳市电明 科技股份有 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10.00%</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8"/>
              <w:jc w:val="both"/>
              <w:rPr>
                <w:rFonts w:ascii="宋体" w:hAnsi="宋体" w:cs="宋体" w:eastAsia="宋体" w:hint="default"/>
                <w:sz w:val="18"/>
                <w:szCs w:val="18"/>
              </w:rPr>
            </w:pPr>
            <w:r>
              <w:rPr>
                <w:rFonts w:ascii="宋体" w:hAnsi="宋体" w:cs="宋体" w:eastAsia="宋体" w:hint="default"/>
                <w:sz w:val="18"/>
                <w:szCs w:val="18"/>
              </w:rPr>
              <w:t>新余九派凯 阳投资合伙 企业（有限 合伙）</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181,568.78</w:t>
            </w: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181,568.78</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68" w:right="0"/>
              <w:jc w:val="left"/>
              <w:rPr>
                <w:rFonts w:ascii="Times New Roman" w:hAnsi="Times New Roman" w:cs="Times New Roman" w:eastAsia="Times New Roman" w:hint="default"/>
                <w:sz w:val="18"/>
                <w:szCs w:val="18"/>
              </w:rPr>
            </w:pPr>
            <w:r>
              <w:rPr>
                <w:rFonts w:ascii="Times New Roman"/>
                <w:sz w:val="18"/>
              </w:rPr>
              <w:t>7.42%</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8"/>
              <w:jc w:val="both"/>
              <w:rPr>
                <w:rFonts w:ascii="宋体" w:hAnsi="宋体" w:cs="宋体" w:eastAsia="宋体" w:hint="default"/>
                <w:sz w:val="18"/>
                <w:szCs w:val="18"/>
              </w:rPr>
            </w:pPr>
            <w:r>
              <w:rPr>
                <w:rFonts w:ascii="宋体" w:hAnsi="宋体" w:cs="宋体" w:eastAsia="宋体" w:hint="default"/>
                <w:sz w:val="18"/>
                <w:szCs w:val="18"/>
              </w:rPr>
              <w:t>北京惠赢天 下网络技术 有限公司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46,756,700.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46,756,700.00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8" w:right="0"/>
              <w:jc w:val="left"/>
              <w:rPr>
                <w:rFonts w:ascii="Times New Roman" w:hAnsi="Times New Roman" w:cs="Times New Roman" w:eastAsia="Times New Roman" w:hint="default"/>
                <w:sz w:val="18"/>
                <w:szCs w:val="18"/>
              </w:rPr>
            </w:pPr>
            <w:r>
              <w:rPr>
                <w:rFonts w:ascii="Times New Roman"/>
                <w:sz w:val="18"/>
              </w:rPr>
              <w:t>8.52%</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8"/>
              <w:jc w:val="both"/>
              <w:rPr>
                <w:rFonts w:ascii="宋体" w:hAnsi="宋体" w:cs="宋体" w:eastAsia="宋体" w:hint="default"/>
                <w:sz w:val="18"/>
                <w:szCs w:val="18"/>
              </w:rPr>
            </w:pPr>
            <w:r>
              <w:rPr>
                <w:rFonts w:ascii="宋体" w:hAnsi="宋体" w:cs="宋体" w:eastAsia="宋体" w:hint="default"/>
                <w:sz w:val="18"/>
                <w:szCs w:val="18"/>
              </w:rPr>
              <w:t>北京赢销通 软件技术有 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23,373,300.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23,373,300.00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8" w:right="0"/>
              <w:jc w:val="left"/>
              <w:rPr>
                <w:rFonts w:ascii="Times New Roman" w:hAnsi="Times New Roman" w:cs="Times New Roman" w:eastAsia="Times New Roman" w:hint="default"/>
                <w:sz w:val="18"/>
                <w:szCs w:val="18"/>
              </w:rPr>
            </w:pPr>
            <w:r>
              <w:rPr>
                <w:rFonts w:ascii="Times New Roman"/>
                <w:sz w:val="18"/>
              </w:rPr>
              <w:t>8.43%</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3,181,568.7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70,130,000.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73,311,568.78</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8" w:right="0"/>
              <w:jc w:val="left"/>
              <w:rPr>
                <w:rFonts w:ascii="Times New Roman" w:hAnsi="Times New Roman" w:cs="Times New Roman" w:eastAsia="Times New Roman" w:hint="default"/>
                <w:sz w:val="18"/>
                <w:szCs w:val="18"/>
              </w:rPr>
            </w:pPr>
            <w:r>
              <w:rPr>
                <w:rFonts w:ascii="Times New Roman"/>
                <w:sz w:val="18"/>
              </w:rPr>
              <w:t>--</w:t>
            </w:r>
          </w:p>
        </w:tc>
        <w:tc>
          <w:tcPr>
            <w:tcW w:w="7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）可供出售权益工具期末公允价值严重下跌或非暂时性下跌但未计提减值准备的相关说明</w:t>
      </w:r>
      <w:r>
        <w:rPr>
          <w:b w:val="0"/>
          <w:bCs w:val="0"/>
        </w:rPr>
      </w:r>
    </w:p>
    <w:p>
      <w:pPr>
        <w:spacing w:line="240" w:lineRule="auto" w:before="2"/>
        <w:rPr>
          <w:rFonts w:ascii="宋体" w:hAnsi="宋体" w:cs="宋体" w:eastAsia="宋体" w:hint="default"/>
          <w:b/>
          <w:bCs/>
          <w:sz w:val="26"/>
          <w:szCs w:val="26"/>
        </w:rPr>
      </w:pPr>
    </w:p>
    <w:p>
      <w:pPr>
        <w:pStyle w:val="BodyText"/>
        <w:spacing w:line="338" w:lineRule="auto"/>
        <w:ind w:right="2934"/>
        <w:jc w:val="left"/>
      </w:pPr>
      <w:r>
        <w:rPr/>
        <w:t>其他说明： 无可供出售权益工具期末公允价值严重下跌或非暂时性下跌但未计提减值准备的情况。 可供出售金融资产无其他需要说明的情况。</w:t>
      </w:r>
    </w:p>
    <w:p>
      <w:pPr>
        <w:spacing w:line="240" w:lineRule="auto" w:before="7"/>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59"/>
        <w:gridCol w:w="1135"/>
        <w:gridCol w:w="425"/>
        <w:gridCol w:w="425"/>
        <w:gridCol w:w="991"/>
        <w:gridCol w:w="708"/>
        <w:gridCol w:w="569"/>
        <w:gridCol w:w="850"/>
        <w:gridCol w:w="708"/>
        <w:gridCol w:w="605"/>
        <w:gridCol w:w="800"/>
        <w:gridCol w:w="797"/>
      </w:tblGrid>
      <w:tr>
        <w:trPr>
          <w:trHeight w:val="403" w:hRule="exact"/>
        </w:trPr>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28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6"/>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38"/>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6"/>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5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84"/>
              <w:jc w:val="both"/>
              <w:rPr>
                <w:rFonts w:ascii="宋体" w:hAnsi="宋体" w:cs="宋体" w:eastAsia="宋体" w:hint="default"/>
                <w:sz w:val="18"/>
                <w:szCs w:val="18"/>
              </w:rPr>
            </w:pPr>
            <w:r>
              <w:rPr>
                <w:rFonts w:ascii="宋体" w:hAnsi="宋体" w:cs="宋体" w:eastAsia="宋体" w:hint="default"/>
                <w:sz w:val="18"/>
                <w:szCs w:val="18"/>
              </w:rPr>
              <w:t>新余久益投资管理 合伙企业（有限合 伙）</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629,097.14</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15,766.05</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644,863.1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广州奇异果互动科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22,496,728.53</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2,728,031.2</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25,224,75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7,442,983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60"/>
        <w:gridCol w:w="1135"/>
        <w:gridCol w:w="425"/>
        <w:gridCol w:w="425"/>
        <w:gridCol w:w="991"/>
        <w:gridCol w:w="708"/>
        <w:gridCol w:w="569"/>
        <w:gridCol w:w="850"/>
        <w:gridCol w:w="708"/>
        <w:gridCol w:w="605"/>
        <w:gridCol w:w="800"/>
        <w:gridCol w:w="797"/>
      </w:tblGrid>
      <w:tr>
        <w:trPr>
          <w:trHeight w:val="3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技股份有限公司</w:t>
            </w: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9.82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.91</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深圳市六度人和科 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164,816,272.3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-10,182,573.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154,633,6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99.27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187,942,098.0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-7,438,775.7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180,503,3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22.28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7,442,983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.91</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187,942,098.0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-7,438,775.7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180,503,3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22.28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7,442,983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.91</w:t>
            </w:r>
          </w:p>
        </w:tc>
      </w:tr>
    </w:tbl>
    <w:p>
      <w:pPr>
        <w:pStyle w:val="BodyText"/>
        <w:spacing w:line="316" w:lineRule="auto" w:before="8"/>
        <w:ind w:right="6084"/>
        <w:jc w:val="left"/>
      </w:pPr>
      <w:r>
        <w:rPr/>
        <w:t>长期股权投资说明： 公司在联营企业的相关权益详见附注九注释</w:t>
      </w:r>
      <w:r>
        <w:rPr>
          <w:rFonts w:ascii="宋体" w:hAnsi="宋体" w:cs="宋体" w:eastAsia="宋体" w:hint="default"/>
        </w:rPr>
        <w:t>2</w:t>
      </w:r>
      <w:r>
        <w:rPr/>
        <w:t>。</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34,620,968.38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34,620,968.38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43"/>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34,620,968.38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34,620,968.38</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3,729,861.93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3,729,861.93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1,489,357.99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1,489,357.99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1,489,357.99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1,489,357.99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5,219,219.92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5,219,219.92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29,401,748.46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29,401,748.46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30,891,106.45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30,891,106.45</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）未办妥产权证书的投资性房地产情况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pStyle w:val="BodyText"/>
        <w:spacing w:line="316" w:lineRule="auto" w:before="41"/>
        <w:ind w:right="6534"/>
        <w:jc w:val="left"/>
      </w:pPr>
      <w:r>
        <w:rPr/>
        <w:t>期末无未办妥产权证书的投资性房地产。 投资性房地产无受限情况。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53"/>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594" w:type="dxa"/>
            <w:tcBorders>
              <w:top w:val="single" w:sz="4" w:space="0" w:color="000000"/>
              <w:left w:val="single" w:sz="12" w:space="0" w:color="D9D9D9"/>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44,387,812.22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95,142,252.07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7,715,837.14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15,121,004.36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162,366,905.79</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56,336,020.67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2,979,978.21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153,692.64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1,187,403.26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60,657,094.78</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2,979,978.21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153,692.64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1,187,403.26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4,321,074.11</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56,336,020.67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56,336,020.67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36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2,058,097.16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1,232,521.00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394,778.54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3,685,396.70</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2,058,097.16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1,232,521.00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394,778.54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3,685,396.70</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100,723,832.89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96,064,133.12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6,637,008.78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15,913,629.08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219,338,603.87</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6,796,106.27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61,974,338.83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7,049,509.62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11,705,305.54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87,525,260.26</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3,272,203.69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3,975,989.23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218,894.20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1,014,091.55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8,481,178.67</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3,272,203.69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3,975,989.23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218,894.20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1,014,091.55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8,481,178.67</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1,848,139.15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1,160,757.87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316,848.09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3,325,745.11</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1,848,139.15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1,160,757.87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316,848.09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3,325,745.11</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10,068,309.96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64,102,188.91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6,107,645.95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12,402,549.00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92,680,693.82</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19,008,697.92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19,026,585.82</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462,357.45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462,357.45</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462,357.45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462,357.45</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18,546,340.47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18,564,228.37</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90,655,522.93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13,415,603.74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529,362.83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3,493,192.18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108,093,681.68</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37,591,705.95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14,159,215.32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666,327.52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3,397,810.92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55,815,059.71</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4,297,375.94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2,862,162.76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1,128,430.82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306,782.36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307,337.34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270,405.17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6,858.00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30,074.17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4,604,713.28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3,132,567.93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1,135,288.82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336,856.53</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258" w:right="153"/>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3"/>
        </w:rPr>
        <w:t> </w:t>
      </w:r>
      <w:r>
        <w:rPr/>
        <w:t>期末无通过融资租赁租入的固定资产。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3"/>
        </w:rPr>
        <w:t> </w:t>
      </w:r>
      <w:r>
        <w:rPr/>
        <w:t>通过无经营租赁租出的固定资产。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3"/>
        </w:rPr>
        <w:t> </w:t>
      </w:r>
      <w:r>
        <w:rPr/>
        <w:t>期末无未办妥产权证书的固定资产。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(6) </w:t>
      </w:r>
      <w:r>
        <w:rPr>
          <w:rFonts w:ascii="Times New Roman" w:hAnsi="Times New Roman" w:cs="Times New Roman" w:eastAsia="Times New Roman" w:hint="default"/>
          <w:spacing w:val="1"/>
        </w:rPr>
        <w:t> </w:t>
      </w:r>
      <w:r>
        <w:rPr/>
        <w:t>期末固定资产无受限情况。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176"/>
        <w:gridCol w:w="1369"/>
        <w:gridCol w:w="1366"/>
        <w:gridCol w:w="1368"/>
        <w:gridCol w:w="1366"/>
        <w:gridCol w:w="1369"/>
      </w:tblGrid>
      <w:tr>
        <w:trPr>
          <w:trHeight w:val="403"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1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60"/>
              <w:jc w:val="center"/>
              <w:rPr>
                <w:rFonts w:ascii="宋体" w:hAnsi="宋体" w:cs="宋体" w:eastAsia="宋体" w:hint="default"/>
                <w:sz w:val="18"/>
                <w:szCs w:val="18"/>
              </w:rPr>
            </w:pPr>
            <w:r>
              <w:rPr>
                <w:rFonts w:ascii="宋体" w:hAnsi="宋体" w:cs="宋体" w:eastAsia="宋体" w:hint="default"/>
                <w:sz w:val="18"/>
                <w:szCs w:val="18"/>
              </w:rPr>
              <w:t>无锡鸿山厂房项目</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58,680,344.53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58,680,344.53</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58,680,344.53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58,680,344.53</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5"/>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3"/>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无锡鸿 山厂房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58,680,3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44.53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56,336,0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20.67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2,344,32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3.86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93.89%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4"/>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58,680,3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44.53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56,336,0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20.67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2,344,32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3.86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2934"/>
        <w:jc w:val="left"/>
      </w:pPr>
      <w:r>
        <w:rPr/>
        <w:t>其他说明 在建工程其他减少系本期在建工程转固时针对工程量变更与部分供应商进行结算调整。</w:t>
      </w:r>
    </w:p>
    <w:p>
      <w:pPr>
        <w:spacing w:after="0" w:line="36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1"/>
        </w:rPr>
        <w:t> </w:t>
      </w:r>
      <w:r>
        <w:rPr/>
        <w:t>本报告期无计提在建工程减值准备的情况。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3"/>
        </w:rPr>
        <w:t> </w:t>
      </w:r>
      <w:r>
        <w:rPr/>
        <w:t>在建工程无其他需要说明的情况。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16</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10" w:space="0" w:color="D2D2D2"/>
              <w:bottom w:val="single" w:sz="4" w:space="0" w:color="000000"/>
              <w:right w:val="single" w:sz="4" w:space="0" w:color="000000"/>
            </w:tcBorders>
            <w:shd w:val="clear" w:color="auto" w:fill="D9D9D9"/>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12" w:space="0" w:color="D9D9D9"/>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65,872,859.52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12,827,776.57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78,700,636.09</w:t>
            </w:r>
          </w:p>
        </w:tc>
      </w:tr>
      <w:tr>
        <w:trPr>
          <w:trHeight w:val="716"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 发</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16,726,552.83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16,726,552.83</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16,726,552.83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16,726,552.83</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49,146,306.69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12,827,776.57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61,974,083.26</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7,801,078.71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4,699,355.85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12,500,434.56</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1,289,573.52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1,366,673.60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2,656,247.12</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1,289,573.52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1,366,673.60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2,656,247.12</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1,753,017.49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1,753,017.49</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1,753,017.49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1,753,017.49</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7,337,634.74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6,066,029.45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13,403,664.19</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41,808,671.95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6,761,747.12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48,570,419.07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58,071,780.81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8,128,420.72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66,200,201.53</w:t>
            </w:r>
          </w:p>
        </w:tc>
      </w:tr>
    </w:tbl>
    <w:p>
      <w:pPr>
        <w:pStyle w:val="BodyText"/>
        <w:spacing w:line="240" w:lineRule="auto" w:before="49"/>
        <w:ind w:right="153"/>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3"/>
        <w:rPr>
          <w:rFonts w:ascii="宋体" w:hAnsi="宋体" w:cs="宋体" w:eastAsia="宋体" w:hint="default"/>
          <w:sz w:val="25"/>
          <w:szCs w:val="25"/>
        </w:rPr>
      </w:pPr>
    </w:p>
    <w:p>
      <w:pPr>
        <w:spacing w:line="547" w:lineRule="auto" w:before="0"/>
        <w:ind w:left="152" w:right="2394" w:firstLine="10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宋体" w:hAnsi="宋体" w:cs="宋体" w:eastAsia="宋体" w:hint="default"/>
          <w:b/>
          <w:bCs/>
          <w:sz w:val="21"/>
          <w:szCs w:val="21"/>
        </w:rPr>
        <w:t>无形资产说明</w:t>
      </w:r>
      <w:r>
        <w:rPr>
          <w:rFonts w:ascii="宋体" w:hAnsi="宋体" w:cs="宋体" w:eastAsia="宋体" w:hint="default"/>
          <w:b/>
          <w:bCs/>
          <w:w w:val="100"/>
          <w:sz w:val="21"/>
          <w:szCs w:val="21"/>
        </w:rPr>
        <w:t> </w:t>
      </w:r>
      <w:r>
        <w:rPr>
          <w:rFonts w:ascii="宋体" w:hAnsi="宋体" w:cs="宋体" w:eastAsia="宋体" w:hint="default"/>
          <w:sz w:val="18"/>
          <w:szCs w:val="18"/>
        </w:rPr>
        <w:t>本报告期无形资产减少系政府回收公司子公司无锡实益达电子有限公司的土地，详见注释</w:t>
      </w:r>
      <w:r>
        <w:rPr>
          <w:rFonts w:ascii="Times New Roman" w:hAnsi="Times New Roman" w:cs="Times New Roman" w:eastAsia="Times New Roman" w:hint="default"/>
          <w:sz w:val="18"/>
          <w:szCs w:val="18"/>
        </w:rPr>
        <w:t>46</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Times New Roman" w:hAnsi="Times New Roman" w:cs="Times New Roman" w:eastAsia="Times New Roman" w:hint="default"/>
          <w:b/>
          <w:bCs/>
          <w:sz w:val="21"/>
          <w:szCs w:val="21"/>
        </w:rPr>
        <w:t>(3) </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期末无未办妥产权证书的土地使用权情况。</w:t>
      </w:r>
      <w:r>
        <w:rPr>
          <w:rFonts w:ascii="宋体" w:hAnsi="宋体" w:cs="宋体" w:eastAsia="宋体" w:hint="default"/>
          <w:sz w:val="21"/>
          <w:szCs w:val="21"/>
        </w:rPr>
      </w:r>
    </w:p>
    <w:p>
      <w:pPr>
        <w:pStyle w:val="Heading3"/>
        <w:spacing w:line="240" w:lineRule="auto" w:before="26"/>
        <w:ind w:right="153"/>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2"/>
        </w:rPr>
        <w:t> </w:t>
      </w:r>
      <w:r>
        <w:rPr/>
        <w:t>无形资产权属无受限的情况。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7"/>
        <w:gridCol w:w="1702"/>
        <w:gridCol w:w="994"/>
        <w:gridCol w:w="1133"/>
        <w:gridCol w:w="1135"/>
        <w:gridCol w:w="972"/>
        <w:gridCol w:w="1366"/>
      </w:tblGrid>
      <w:tr>
        <w:trPr>
          <w:trHeight w:val="715"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58" w:right="46" w:hanging="810"/>
              <w:jc w:val="left"/>
              <w:rPr>
                <w:rFonts w:ascii="宋体" w:hAnsi="宋体" w:cs="宋体" w:eastAsia="宋体" w:hint="default"/>
                <w:sz w:val="18"/>
                <w:szCs w:val="18"/>
              </w:rPr>
            </w:pPr>
            <w:r>
              <w:rPr>
                <w:rFonts w:ascii="宋体" w:hAnsi="宋体" w:cs="宋体" w:eastAsia="宋体" w:hint="default"/>
                <w:sz w:val="18"/>
                <w:szCs w:val="18"/>
              </w:rPr>
              <w:t>被投资单位名称或形成商誉 的事项</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22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深圳市汇大光电科技股份有 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10,451,398.91</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10,451,398.91</w:t>
            </w:r>
          </w:p>
        </w:tc>
      </w:tr>
      <w:tr>
        <w:trPr>
          <w:trHeight w:val="404" w:hRule="exact"/>
        </w:trPr>
        <w:tc>
          <w:tcPr>
            <w:tcW w:w="22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上海顺为广告传播有限公司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270,514,787.61</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270,514,787.61</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上海利宣广告有限公司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57,512,819.75</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57,512,819.75</w:t>
            </w:r>
          </w:p>
        </w:tc>
      </w:tr>
      <w:tr>
        <w:trPr>
          <w:trHeight w:val="715" w:hRule="exact"/>
        </w:trPr>
        <w:tc>
          <w:tcPr>
            <w:tcW w:w="22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奇思国际广告（北京）有限 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213,543,932.07</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213,543,932.07</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552,022,938.34</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552,022,938.34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2037"/>
        <w:gridCol w:w="1461"/>
        <w:gridCol w:w="1166"/>
        <w:gridCol w:w="1169"/>
        <w:gridCol w:w="1169"/>
        <w:gridCol w:w="1171"/>
        <w:gridCol w:w="1513"/>
      </w:tblGrid>
      <w:tr>
        <w:trPr>
          <w:trHeight w:val="155" w:hRule="exact"/>
        </w:trPr>
        <w:tc>
          <w:tcPr>
            <w:tcW w:w="2037" w:type="dxa"/>
            <w:vMerge w:val="restart"/>
            <w:tcBorders>
              <w:top w:val="single" w:sz="4" w:space="0" w:color="000000"/>
              <w:left w:val="single" w:sz="4" w:space="0" w:color="000000"/>
              <w:right w:val="single" w:sz="4" w:space="0" w:color="000000"/>
            </w:tcBorders>
            <w:shd w:val="clear" w:color="auto" w:fill="D9D9D9"/>
          </w:tcPr>
          <w:p>
            <w:pPr>
              <w:pStyle w:val="TableParagraph"/>
              <w:spacing w:line="244" w:lineRule="auto" w:before="50"/>
              <w:ind w:left="564" w:right="112" w:hanging="452"/>
              <w:jc w:val="left"/>
              <w:rPr>
                <w:rFonts w:ascii="宋体" w:hAnsi="宋体" w:cs="宋体" w:eastAsia="宋体" w:hint="default"/>
                <w:sz w:val="18"/>
                <w:szCs w:val="18"/>
              </w:rPr>
            </w:pPr>
            <w:r>
              <w:rPr>
                <w:rFonts w:ascii="宋体" w:hAnsi="宋体" w:cs="宋体" w:eastAsia="宋体" w:hint="default"/>
                <w:sz w:val="18"/>
                <w:szCs w:val="18"/>
              </w:rPr>
              <w:t>被投资单位名称或形成 商誉的事项</w:t>
            </w:r>
          </w:p>
        </w:tc>
        <w:tc>
          <w:tcPr>
            <w:tcW w:w="1461" w:type="dxa"/>
            <w:tcBorders>
              <w:top w:val="single" w:sz="4" w:space="0" w:color="000000"/>
              <w:left w:val="single" w:sz="4" w:space="0" w:color="000000"/>
              <w:bottom w:val="nil" w:sz="6" w:space="0" w:color="auto"/>
              <w:right w:val="single" w:sz="4" w:space="0" w:color="000000"/>
            </w:tcBorders>
            <w:shd w:val="clear" w:color="auto" w:fill="D9D9D9"/>
          </w:tcPr>
          <w:p>
            <w:pPr/>
          </w:p>
        </w:tc>
        <w:tc>
          <w:tcPr>
            <w:tcW w:w="2336"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33" w:lineRule="exact"/>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340"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1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1" w:hRule="exact"/>
        </w:trPr>
        <w:tc>
          <w:tcPr>
            <w:tcW w:w="2037" w:type="dxa"/>
            <w:vMerge/>
            <w:tcBorders>
              <w:left w:val="single" w:sz="4" w:space="0" w:color="000000"/>
              <w:right w:val="single" w:sz="4" w:space="0" w:color="000000"/>
            </w:tcBorders>
            <w:shd w:val="clear" w:color="auto" w:fill="D9D9D9"/>
          </w:tcPr>
          <w:p>
            <w:pPr/>
          </w:p>
        </w:tc>
        <w:tc>
          <w:tcPr>
            <w:tcW w:w="1461"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20"/>
              <w:ind w:left="3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36" w:type="dxa"/>
            <w:gridSpan w:val="2"/>
            <w:vMerge/>
            <w:tcBorders>
              <w:left w:val="single" w:sz="4" w:space="0" w:color="000000"/>
              <w:bottom w:val="single" w:sz="4" w:space="0" w:color="000000"/>
              <w:right w:val="single" w:sz="4" w:space="0" w:color="000000"/>
            </w:tcBorders>
            <w:shd w:val="clear" w:color="auto" w:fill="D9D9D9"/>
          </w:tcPr>
          <w:p>
            <w:pPr/>
          </w:p>
        </w:tc>
        <w:tc>
          <w:tcPr>
            <w:tcW w:w="2340" w:type="dxa"/>
            <w:gridSpan w:val="2"/>
            <w:vMerge/>
            <w:tcBorders>
              <w:left w:val="single" w:sz="4" w:space="0" w:color="000000"/>
              <w:bottom w:val="single" w:sz="4" w:space="0" w:color="000000"/>
              <w:right w:val="single" w:sz="4" w:space="0" w:color="000000"/>
            </w:tcBorders>
            <w:shd w:val="clear" w:color="auto" w:fill="D9D9D9"/>
          </w:tcPr>
          <w:p>
            <w:pPr/>
          </w:p>
        </w:tc>
        <w:tc>
          <w:tcPr>
            <w:tcW w:w="1513" w:type="dxa"/>
            <w:vMerge/>
            <w:tcBorders>
              <w:left w:val="single" w:sz="4" w:space="0" w:color="000000"/>
              <w:right w:val="single" w:sz="4" w:space="0" w:color="000000"/>
            </w:tcBorders>
            <w:shd w:val="clear" w:color="auto" w:fill="D9D9D9"/>
          </w:tcPr>
          <w:p>
            <w:pPr/>
          </w:p>
        </w:tc>
      </w:tr>
      <w:tr>
        <w:trPr>
          <w:trHeight w:val="161" w:hRule="exact"/>
        </w:trPr>
        <w:tc>
          <w:tcPr>
            <w:tcW w:w="2037" w:type="dxa"/>
            <w:vMerge/>
            <w:tcBorders>
              <w:left w:val="single" w:sz="4" w:space="0" w:color="000000"/>
              <w:right w:val="single" w:sz="4" w:space="0" w:color="000000"/>
            </w:tcBorders>
            <w:shd w:val="clear" w:color="auto" w:fill="D9D9D9"/>
          </w:tcPr>
          <w:p>
            <w:pPr/>
          </w:p>
        </w:tc>
        <w:tc>
          <w:tcPr>
            <w:tcW w:w="1461" w:type="dxa"/>
            <w:vMerge/>
            <w:tcBorders>
              <w:left w:val="single" w:sz="4" w:space="0" w:color="000000"/>
              <w:bottom w:val="nil" w:sz="6" w:space="0" w:color="auto"/>
              <w:right w:val="single" w:sz="4" w:space="0" w:color="000000"/>
            </w:tcBorders>
            <w:shd w:val="clear" w:color="auto" w:fill="D9D9D9"/>
          </w:tcPr>
          <w:p>
            <w:pPr/>
          </w:p>
        </w:tc>
        <w:tc>
          <w:tcPr>
            <w:tcW w:w="116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16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6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17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9"/>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13" w:type="dxa"/>
            <w:vMerge/>
            <w:tcBorders>
              <w:left w:val="single" w:sz="4" w:space="0" w:color="000000"/>
              <w:right w:val="single" w:sz="4" w:space="0" w:color="000000"/>
            </w:tcBorders>
            <w:shd w:val="clear" w:color="auto" w:fill="D9D9D9"/>
          </w:tcPr>
          <w:p>
            <w:pPr/>
          </w:p>
        </w:tc>
      </w:tr>
      <w:tr>
        <w:trPr>
          <w:trHeight w:val="157" w:hRule="exact"/>
        </w:trPr>
        <w:tc>
          <w:tcPr>
            <w:tcW w:w="2037" w:type="dxa"/>
            <w:vMerge/>
            <w:tcBorders>
              <w:left w:val="single" w:sz="4" w:space="0" w:color="000000"/>
              <w:bottom w:val="single" w:sz="4" w:space="0" w:color="000000"/>
              <w:right w:val="single" w:sz="4" w:space="0" w:color="000000"/>
            </w:tcBorders>
            <w:shd w:val="clear" w:color="auto" w:fill="D9D9D9"/>
          </w:tcPr>
          <w:p>
            <w:pPr/>
          </w:p>
        </w:tc>
        <w:tc>
          <w:tcPr>
            <w:tcW w:w="1461" w:type="dxa"/>
            <w:tcBorders>
              <w:top w:val="nil" w:sz="6" w:space="0" w:color="auto"/>
              <w:left w:val="single" w:sz="4" w:space="0" w:color="000000"/>
              <w:bottom w:val="single" w:sz="4" w:space="0" w:color="000000"/>
              <w:right w:val="single" w:sz="4" w:space="0" w:color="000000"/>
            </w:tcBorders>
            <w:shd w:val="clear" w:color="auto" w:fill="D9D9D9"/>
          </w:tcPr>
          <w:p>
            <w:pPr/>
          </w:p>
        </w:tc>
        <w:tc>
          <w:tcPr>
            <w:tcW w:w="1166" w:type="dxa"/>
            <w:vMerge/>
            <w:tcBorders>
              <w:left w:val="single" w:sz="4" w:space="0" w:color="000000"/>
              <w:bottom w:val="single" w:sz="4" w:space="0" w:color="000000"/>
              <w:right w:val="single" w:sz="4" w:space="0" w:color="000000"/>
            </w:tcBorders>
            <w:shd w:val="clear" w:color="auto" w:fill="D9D9D9"/>
          </w:tcPr>
          <w:p>
            <w:pPr/>
          </w:p>
        </w:tc>
        <w:tc>
          <w:tcPr>
            <w:tcW w:w="1169" w:type="dxa"/>
            <w:vMerge/>
            <w:tcBorders>
              <w:left w:val="single" w:sz="4" w:space="0" w:color="000000"/>
              <w:bottom w:val="single" w:sz="4" w:space="0" w:color="000000"/>
              <w:right w:val="single" w:sz="4" w:space="0" w:color="000000"/>
            </w:tcBorders>
            <w:shd w:val="clear" w:color="auto" w:fill="D9D9D9"/>
          </w:tcPr>
          <w:p>
            <w:pPr/>
          </w:p>
        </w:tc>
        <w:tc>
          <w:tcPr>
            <w:tcW w:w="1169" w:type="dxa"/>
            <w:vMerge/>
            <w:tcBorders>
              <w:left w:val="single" w:sz="4" w:space="0" w:color="000000"/>
              <w:bottom w:val="single" w:sz="4" w:space="0" w:color="000000"/>
              <w:right w:val="single" w:sz="4" w:space="0" w:color="000000"/>
            </w:tcBorders>
            <w:shd w:val="clear" w:color="auto" w:fill="D9D9D9"/>
          </w:tcPr>
          <w:p>
            <w:pPr/>
          </w:p>
        </w:tc>
        <w:tc>
          <w:tcPr>
            <w:tcW w:w="1171" w:type="dxa"/>
            <w:vMerge/>
            <w:tcBorders>
              <w:left w:val="single" w:sz="4" w:space="0" w:color="000000"/>
              <w:bottom w:val="single" w:sz="4" w:space="0" w:color="000000"/>
              <w:right w:val="single" w:sz="4" w:space="0" w:color="000000"/>
            </w:tcBorders>
            <w:shd w:val="clear" w:color="auto" w:fill="D9D9D9"/>
          </w:tcPr>
          <w:p>
            <w:pPr/>
          </w:p>
        </w:tc>
        <w:tc>
          <w:tcPr>
            <w:tcW w:w="1513" w:type="dxa"/>
            <w:vMerge/>
            <w:tcBorders>
              <w:left w:val="single" w:sz="4" w:space="0" w:color="000000"/>
              <w:bottom w:val="single" w:sz="4" w:space="0" w:color="000000"/>
              <w:right w:val="single" w:sz="4" w:space="0" w:color="000000"/>
            </w:tcBorders>
            <w:shd w:val="clear" w:color="auto" w:fill="D9D9D9"/>
          </w:tcPr>
          <w:p>
            <w:pPr/>
          </w:p>
        </w:tc>
      </w:tr>
      <w:tr>
        <w:trPr>
          <w:trHeight w:val="601" w:hRule="exact"/>
        </w:trPr>
        <w:tc>
          <w:tcPr>
            <w:tcW w:w="20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52"/>
              <w:ind w:left="40" w:right="37"/>
              <w:jc w:val="left"/>
              <w:rPr>
                <w:rFonts w:ascii="宋体" w:hAnsi="宋体" w:cs="宋体" w:eastAsia="宋体" w:hint="default"/>
                <w:sz w:val="18"/>
                <w:szCs w:val="18"/>
              </w:rPr>
            </w:pPr>
            <w:r>
              <w:rPr>
                <w:rFonts w:ascii="宋体" w:hAnsi="宋体" w:cs="宋体" w:eastAsia="宋体" w:hint="default"/>
                <w:spacing w:val="14"/>
                <w:sz w:val="18"/>
                <w:szCs w:val="18"/>
              </w:rPr>
              <w:t>深圳市汇大光电科技股</w:t>
            </w:r>
            <w:r>
              <w:rPr>
                <w:rFonts w:ascii="宋体" w:hAnsi="宋体" w:cs="宋体" w:eastAsia="宋体" w:hint="default"/>
                <w:sz w:val="18"/>
                <w:szCs w:val="18"/>
              </w:rPr>
              <w:t> 份有限公司</w:t>
            </w:r>
          </w:p>
        </w:tc>
        <w:tc>
          <w:tcPr>
            <w:tcW w:w="1461"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1"/>
                <w:sz w:val="18"/>
              </w:rPr>
              <w:t>10,451,398.91</w:t>
            </w:r>
          </w:p>
        </w:tc>
        <w:tc>
          <w:tcPr>
            <w:tcW w:w="116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16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16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1"/>
                <w:sz w:val="18"/>
              </w:rPr>
              <w:t>10,451,398.91</w:t>
            </w:r>
          </w:p>
        </w:tc>
      </w:tr>
      <w:tr>
        <w:trPr>
          <w:trHeight w:val="571" w:hRule="exact"/>
        </w:trPr>
        <w:tc>
          <w:tcPr>
            <w:tcW w:w="20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auto" w:before="22"/>
              <w:ind w:left="40" w:right="36"/>
              <w:jc w:val="left"/>
              <w:rPr>
                <w:rFonts w:ascii="宋体" w:hAnsi="宋体" w:cs="宋体" w:eastAsia="宋体" w:hint="default"/>
                <w:sz w:val="18"/>
                <w:szCs w:val="18"/>
              </w:rPr>
            </w:pPr>
            <w:r>
              <w:rPr>
                <w:rFonts w:ascii="宋体" w:hAnsi="宋体" w:cs="宋体" w:eastAsia="宋体" w:hint="default"/>
                <w:spacing w:val="14"/>
                <w:sz w:val="18"/>
                <w:szCs w:val="18"/>
              </w:rPr>
              <w:t>上海顺为广告传播有限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461"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r>
      <w:tr>
        <w:trPr>
          <w:trHeight w:val="350" w:hRule="exact"/>
        </w:trPr>
        <w:tc>
          <w:tcPr>
            <w:tcW w:w="20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40" w:right="0"/>
              <w:jc w:val="left"/>
              <w:rPr>
                <w:rFonts w:ascii="宋体" w:hAnsi="宋体" w:cs="宋体" w:eastAsia="宋体" w:hint="default"/>
                <w:sz w:val="18"/>
                <w:szCs w:val="18"/>
              </w:rPr>
            </w:pPr>
            <w:r>
              <w:rPr>
                <w:rFonts w:ascii="宋体" w:hAnsi="宋体" w:cs="宋体" w:eastAsia="宋体" w:hint="default"/>
                <w:sz w:val="18"/>
                <w:szCs w:val="18"/>
              </w:rPr>
              <w:t>上海利宣广告有限公司</w:t>
            </w:r>
          </w:p>
        </w:tc>
        <w:tc>
          <w:tcPr>
            <w:tcW w:w="1461"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71"/>
              <w:ind w:right="50"/>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0"/>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0"/>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0"/>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0"/>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0"/>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r>
      <w:tr>
        <w:trPr>
          <w:trHeight w:val="569" w:hRule="exact"/>
        </w:trPr>
        <w:tc>
          <w:tcPr>
            <w:tcW w:w="20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20"/>
              <w:ind w:left="40" w:right="37"/>
              <w:jc w:val="left"/>
              <w:rPr>
                <w:rFonts w:ascii="宋体" w:hAnsi="宋体" w:cs="宋体" w:eastAsia="宋体" w:hint="default"/>
                <w:sz w:val="18"/>
                <w:szCs w:val="18"/>
              </w:rPr>
            </w:pPr>
            <w:r>
              <w:rPr>
                <w:rFonts w:ascii="宋体" w:hAnsi="宋体" w:cs="宋体" w:eastAsia="宋体" w:hint="default"/>
                <w:spacing w:val="-4"/>
                <w:sz w:val="18"/>
                <w:szCs w:val="18"/>
              </w:rPr>
              <w:t>奇思国际广告（北京）有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限公司</w:t>
            </w:r>
          </w:p>
        </w:tc>
        <w:tc>
          <w:tcPr>
            <w:tcW w:w="1461"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r>
      <w:tr>
        <w:trPr>
          <w:trHeight w:val="350" w:hRule="exact"/>
        </w:trPr>
        <w:tc>
          <w:tcPr>
            <w:tcW w:w="20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61"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73"/>
              <w:ind w:right="50"/>
              <w:jc w:val="right"/>
              <w:rPr>
                <w:rFonts w:ascii="Arial Narrow" w:hAnsi="Arial Narrow" w:cs="Arial Narrow" w:eastAsia="Arial Narrow" w:hint="default"/>
                <w:sz w:val="18"/>
                <w:szCs w:val="18"/>
              </w:rPr>
            </w:pPr>
            <w:r>
              <w:rPr>
                <w:rFonts w:ascii="Arial Narrow"/>
                <w:spacing w:val="-1"/>
                <w:sz w:val="18"/>
              </w:rPr>
              <w:t>10,451,398.91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Narrow" w:hAnsi="Arial Narrow" w:cs="Arial Narrow" w:eastAsia="Arial Narrow" w:hint="default"/>
                <w:sz w:val="18"/>
                <w:szCs w:val="18"/>
              </w:rPr>
            </w:pPr>
            <w:r>
              <w:rPr>
                <w:rFonts w:ascii="Arial Narrow"/>
                <w:spacing w:val="-1"/>
                <w:sz w:val="18"/>
              </w:rPr>
              <w:t>10,451,398.91</w:t>
            </w:r>
          </w:p>
        </w:tc>
      </w:tr>
    </w:tbl>
    <w:p>
      <w:pPr>
        <w:pStyle w:val="BodyText"/>
        <w:spacing w:line="204" w:lineRule="exact"/>
        <w:ind w:right="153"/>
        <w:jc w:val="left"/>
      </w:pPr>
      <w:r>
        <w:rPr/>
        <w:t>商誉减值测试过程、参数及商誉减值损失的确认方法：</w:t>
      </w:r>
    </w:p>
    <w:p>
      <w:pPr>
        <w:pStyle w:val="BodyText"/>
        <w:spacing w:line="343" w:lineRule="auto" w:before="115"/>
        <w:ind w:right="0"/>
        <w:jc w:val="left"/>
      </w:pPr>
      <w:r>
        <w:rPr/>
        <w:t>本公司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月收购深圳市汇大光电科技股份有限公司（下称</w:t>
      </w:r>
      <w:r>
        <w:rPr>
          <w:rFonts w:ascii="Times New Roman" w:hAnsi="Times New Roman" w:cs="Times New Roman" w:eastAsia="Times New Roman" w:hint="default"/>
        </w:rPr>
        <w:t>“</w:t>
      </w:r>
      <w:r>
        <w:rPr/>
        <w:t>汇大</w:t>
      </w:r>
      <w:r>
        <w:rPr>
          <w:rFonts w:ascii="Times New Roman" w:hAnsi="Times New Roman" w:cs="Times New Roman" w:eastAsia="Times New Roman" w:hint="default"/>
        </w:rPr>
        <w:t>”</w:t>
      </w:r>
      <w:r>
        <w:rPr/>
        <w:t>）产生商誉</w:t>
      </w:r>
      <w:r>
        <w:rPr>
          <w:rFonts w:ascii="Times New Roman" w:hAnsi="Times New Roman" w:cs="Times New Roman" w:eastAsia="Times New Roman" w:hint="default"/>
        </w:rPr>
        <w:t>10,451,398.91</w:t>
      </w:r>
      <w:r>
        <w:rPr/>
        <w:t>元，由于汇大经营情况未达 到预期且行业竞争加剧。公司于</w:t>
      </w:r>
      <w:r>
        <w:rPr>
          <w:rFonts w:ascii="Times New Roman" w:hAnsi="Times New Roman" w:cs="Times New Roman" w:eastAsia="Times New Roman" w:hint="default"/>
        </w:rPr>
        <w:t>2013</w:t>
      </w:r>
      <w:r>
        <w:rPr/>
        <w:t>年进行减值测试，认定商誉需全额计提减值准备。 </w:t>
      </w:r>
      <w:r>
        <w:rPr>
          <w:spacing w:val="-2"/>
        </w:rPr>
        <w:t>年末公司对商誉进行减值测试，参考外部评估机构出具的资产评估报告，运用未来现金流量折现法，预计资产组的可收回金</w:t>
      </w:r>
      <w:r>
        <w:rPr>
          <w:spacing w:val="-63"/>
        </w:rPr>
        <w:t> </w:t>
      </w:r>
      <w:r>
        <w:rPr>
          <w:spacing w:val="-63"/>
        </w:rPr>
      </w:r>
      <w:r>
        <w:rPr/>
        <w:t>额，测试未发现需要计提减值准备的其他情况。</w:t>
      </w:r>
    </w:p>
    <w:p>
      <w:pPr>
        <w:spacing w:line="240" w:lineRule="auto" w:before="0"/>
        <w:rPr>
          <w:rFonts w:ascii="宋体" w:hAnsi="宋体" w:cs="宋体" w:eastAsia="宋体" w:hint="default"/>
          <w:sz w:val="18"/>
          <w:szCs w:val="18"/>
        </w:rPr>
      </w:pPr>
    </w:p>
    <w:p>
      <w:pPr>
        <w:pStyle w:val="Heading3"/>
        <w:spacing w:line="240" w:lineRule="auto" w:before="122"/>
        <w:ind w:right="153"/>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厂房装修费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2,934,086.15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707,862.99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1,070,417.77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2,571,531.37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服务器租金</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90,558.00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12,577.50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77,980.50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2,934,086.15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798,420.99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1,082,995.27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2,649,511.87</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12,692,422.27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2,641,910.79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10,724,407.92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2,277,268.21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123,779.65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30,944.91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5,025,256.86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1,256,314.22</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140,775.12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35,193.78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未实现内部损益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1,147,212.22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286,803.05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14,104,189.26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2,994,852.53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15,749,664.78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3,533,582.43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254"/>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3,387,659.36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846,914.84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3,934,607.46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983,651.87</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公允价值变动应纳税暂 时性差异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73,740.00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18,435.00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3,461,399.36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865,349.84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3,934,607.46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983,651.87</w:t>
            </w:r>
          </w:p>
        </w:tc>
      </w:tr>
    </w:tbl>
    <w:p>
      <w:pPr>
        <w:spacing w:line="240" w:lineRule="auto" w:before="3"/>
        <w:rPr>
          <w:rFonts w:ascii="宋体" w:hAnsi="宋体" w:cs="宋体" w:eastAsia="宋体" w:hint="default"/>
          <w:sz w:val="19"/>
          <w:szCs w:val="19"/>
        </w:rPr>
      </w:pPr>
    </w:p>
    <w:p>
      <w:pPr>
        <w:pStyle w:val="Heading3"/>
        <w:spacing w:line="240" w:lineRule="auto" w:before="36"/>
        <w:ind w:right="254"/>
        <w:jc w:val="left"/>
        <w:rPr>
          <w:b w:val="0"/>
          <w:bCs w:val="0"/>
        </w:rPr>
      </w:pP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86,423,121.77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55,582,976.72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预计负债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1,874,889.04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1,655,341.82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资产减值准备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60,173,636.47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69,155,901.38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148,471,647.28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126,394,219.92</w:t>
            </w:r>
          </w:p>
        </w:tc>
      </w:tr>
    </w:tbl>
    <w:p>
      <w:pPr>
        <w:spacing w:line="240" w:lineRule="auto" w:before="4"/>
        <w:rPr>
          <w:rFonts w:ascii="宋体" w:hAnsi="宋体" w:cs="宋体" w:eastAsia="宋体" w:hint="default"/>
          <w:sz w:val="20"/>
          <w:szCs w:val="20"/>
        </w:rPr>
      </w:pPr>
    </w:p>
    <w:p>
      <w:pPr>
        <w:pStyle w:val="BodyText"/>
        <w:spacing w:line="240" w:lineRule="auto" w:before="44"/>
        <w:ind w:left="0" w:right="111"/>
        <w:jc w:val="right"/>
      </w:pPr>
      <w:r>
        <w:rPr/>
        <w:t>由于未来能否获得足够的应纳税所得额具有不确定性，因此没有确认为递延所得税资产的可抵扣暂时性差异和可抵扣亏损。</w:t>
      </w:r>
    </w:p>
    <w:p>
      <w:pPr>
        <w:spacing w:line="240" w:lineRule="auto" w:before="0"/>
        <w:rPr>
          <w:rFonts w:ascii="宋体" w:hAnsi="宋体" w:cs="宋体" w:eastAsia="宋体" w:hint="default"/>
          <w:sz w:val="18"/>
          <w:szCs w:val="18"/>
        </w:rPr>
      </w:pPr>
    </w:p>
    <w:p>
      <w:pPr>
        <w:pStyle w:val="Heading3"/>
        <w:spacing w:line="240" w:lineRule="auto" w:before="118"/>
        <w:ind w:right="254"/>
        <w:jc w:val="left"/>
        <w:rPr>
          <w:b w:val="0"/>
          <w:bCs w:val="0"/>
        </w:rPr>
      </w:pP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32,973,077.34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37,069,643.41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7,214,625.76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9,441,079.67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872,607.72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1,152,816.83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13,479,017.68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7,919,436.81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31,883,793.27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86,423,121.77</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55,582,976.72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254"/>
        <w:jc w:val="left"/>
        <w:rPr>
          <w:b w:val="0"/>
          <w:bCs w:val="0"/>
        </w:rPr>
      </w:pPr>
      <w:r>
        <w:rPr>
          <w:rFonts w:ascii="Times New Roman" w:hAnsi="Times New Roman" w:cs="Times New Roman" w:eastAsia="Times New Roman" w:hint="default"/>
        </w:rPr>
        <w:t>20</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预付设备款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120,852.00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76,923.08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预付工程款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194,556.60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315,408.60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76,923.08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right="153"/>
        <w:jc w:val="left"/>
        <w:rPr>
          <w:b w:val="0"/>
          <w:bCs w:val="0"/>
        </w:rPr>
      </w:pPr>
      <w:r>
        <w:rPr>
          <w:rFonts w:ascii="Times New Roman" w:hAnsi="Times New Roman" w:cs="Times New Roman" w:eastAsia="Times New Roman" w:hint="default"/>
        </w:rPr>
        <w:t>21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96" w:lineRule="auto" w:before="8"/>
        <w:ind w:left="513" w:right="143" w:hanging="361"/>
        <w:jc w:val="left"/>
      </w:pPr>
      <w:r>
        <w:rPr/>
        <w:t>短期借款分类的说明： 公司子公司深圳市实益达技术股份有限公司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月向浦发银行借入</w:t>
      </w:r>
      <w:r>
        <w:rPr>
          <w:rFonts w:ascii="Times New Roman" w:hAnsi="Times New Roman" w:cs="Times New Roman" w:eastAsia="Times New Roman" w:hint="default"/>
        </w:rPr>
        <w:t>600</w:t>
      </w:r>
      <w:r>
        <w:rPr/>
        <w:t>万元一年期借款，用于采购原材料和补充流</w:t>
      </w:r>
    </w:p>
    <w:p>
      <w:pPr>
        <w:pStyle w:val="BodyText"/>
        <w:spacing w:line="207" w:lineRule="exact"/>
        <w:ind w:right="153"/>
        <w:jc w:val="left"/>
      </w:pPr>
      <w:r>
        <w:rPr/>
        <w:t>动资金等日常经营周转，由陈亚妹、乔昕提供担保。</w:t>
      </w:r>
    </w:p>
    <w:p>
      <w:pPr>
        <w:pStyle w:val="BodyText"/>
        <w:spacing w:line="338" w:lineRule="auto" w:before="115"/>
        <w:ind w:right="149" w:firstLine="360"/>
        <w:jc w:val="both"/>
      </w:pPr>
      <w:r>
        <w:rPr/>
        <w:t>公司子公司深圳市实益达技术股份有限公司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月向其下属公司无锡市益明光电有限公司开出</w:t>
      </w:r>
      <w:r>
        <w:rPr>
          <w:rFonts w:ascii="Times New Roman" w:hAnsi="Times New Roman" w:cs="Times New Roman" w:eastAsia="Times New Roman" w:hint="default"/>
        </w:rPr>
        <w:t>200</w:t>
      </w:r>
      <w:r>
        <w:rPr/>
        <w:t>万元六个月国内 </w:t>
      </w:r>
      <w:r>
        <w:rPr>
          <w:spacing w:val="-2"/>
        </w:rPr>
        <w:t>信用证，由陈亚妹、乔昕提供担保。无锡市益明光电有限公司于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月向浦发银行贴现入账，公司将其纳入短期借款核</w:t>
      </w:r>
      <w:r>
        <w:rPr>
          <w:spacing w:val="-60"/>
        </w:rPr>
        <w:t> </w:t>
      </w:r>
      <w:r>
        <w:rPr>
          <w:spacing w:val="-60"/>
        </w:rPr>
      </w:r>
      <w:r>
        <w:rPr/>
        <w:t>算。</w:t>
      </w:r>
    </w:p>
    <w:p>
      <w:pPr>
        <w:spacing w:line="240" w:lineRule="auto" w:before="12"/>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3"/>
        <w:rPr>
          <w:rFonts w:ascii="宋体" w:hAnsi="宋体" w:cs="宋体" w:eastAsia="宋体" w:hint="default"/>
          <w:b/>
          <w:bCs/>
          <w:sz w:val="31"/>
          <w:szCs w:val="31"/>
        </w:rPr>
      </w:pPr>
    </w:p>
    <w:p>
      <w:pPr>
        <w:pStyle w:val="BodyText"/>
        <w:spacing w:line="240" w:lineRule="auto"/>
        <w:ind w:right="153"/>
        <w:jc w:val="left"/>
      </w:pPr>
      <w:r>
        <w:rPr/>
        <w:t>本期末已逾期未偿还的短期借款总额为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Heading3"/>
        <w:spacing w:line="240" w:lineRule="auto"/>
        <w:ind w:right="153"/>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3"/>
        </w:rPr>
        <w:t> </w:t>
      </w:r>
      <w:r>
        <w:rPr/>
        <w:t>期末短期借款无其他需要说明的情况。</w:t>
      </w:r>
      <w:r>
        <w:rPr>
          <w:b w:val="0"/>
          <w:bCs w:val="0"/>
        </w:rPr>
      </w:r>
    </w:p>
    <w:p>
      <w:pPr>
        <w:spacing w:line="240" w:lineRule="auto" w:before="12"/>
        <w:rPr>
          <w:rFonts w:ascii="宋体" w:hAnsi="宋体" w:cs="宋体" w:eastAsia="宋体" w:hint="default"/>
          <w:b/>
          <w:bCs/>
          <w:sz w:val="31"/>
          <w:szCs w:val="31"/>
        </w:rPr>
      </w:pPr>
    </w:p>
    <w:p>
      <w:pPr>
        <w:pStyle w:val="Heading3"/>
        <w:spacing w:line="240" w:lineRule="auto"/>
        <w:ind w:right="153"/>
        <w:jc w:val="left"/>
        <w:rPr>
          <w:b w:val="0"/>
          <w:bCs w:val="0"/>
        </w:rPr>
      </w:pPr>
      <w:r>
        <w:rPr>
          <w:rFonts w:ascii="Times New Roman" w:hAnsi="Times New Roman" w:cs="Times New Roman" w:eastAsia="Times New Roman" w:hint="default"/>
        </w:rPr>
        <w:t>22</w:t>
      </w:r>
      <w:r>
        <w:rPr/>
        <w:t>、应付票据</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7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15,312,597.83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6,292,925.88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15,312,597.83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6,292,925.88</w:t>
            </w:r>
          </w:p>
        </w:tc>
      </w:tr>
    </w:tbl>
    <w:p>
      <w:pPr>
        <w:pStyle w:val="BodyText"/>
        <w:spacing w:line="240" w:lineRule="auto" w:before="49"/>
        <w:ind w:right="153"/>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23</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99,140,385.27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74,522,067.21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4,597,207.24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9,830,280.69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应付服务款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96,400,909.95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92,353,768.36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200,138,502.46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176,706,116.26</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期末无账龄超过</w:t>
      </w:r>
      <w:r>
        <w:rPr>
          <w:rFonts w:ascii="宋体" w:hAnsi="宋体" w:cs="宋体" w:eastAsia="宋体" w:hint="default"/>
        </w:rPr>
        <w:t>1</w:t>
      </w:r>
      <w:r>
        <w:rPr/>
        <w:t>年的重要应付账款。</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3</w:t>
      </w:r>
      <w:r>
        <w:rPr/>
        <w:t>）应付账款无其他需要说明的情况。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24</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预收销售货款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3,879,105.98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2,129,882.97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预收服务款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9,627,346.58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7,367,657.94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13,506,452.56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9,497,540.91</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25</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17,878,834.94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120,865,098.61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117,937,308.46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20,806,625.09</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181,812.10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9,035,519.58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8,706,793.51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510,538.17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45,908.12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45,908.12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18,060,647.04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129,946,526.31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126,690,010.09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21,317,163.26</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9" w:right="0"/>
              <w:jc w:val="left"/>
              <w:rPr>
                <w:rFonts w:ascii="Times New Roman" w:hAnsi="Times New Roman" w:cs="Times New Roman" w:eastAsia="Times New Roman" w:hint="default"/>
                <w:sz w:val="18"/>
                <w:szCs w:val="18"/>
              </w:rPr>
            </w:pPr>
            <w:r>
              <w:rPr>
                <w:rFonts w:ascii="Times New Roman"/>
                <w:sz w:val="18"/>
              </w:rPr>
              <w:t>16,756,038.30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105,476,740.97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102,540,144.98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19,692,634.29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6,360,988.02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6,328,988.02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82,106.10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4,699,634.44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4,525,950.70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255,789.84</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1,984.10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231,572.69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225,861.81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7,694.98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6,165.40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379,868.87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366,328.87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19,705.40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73,956.60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4,086,075.87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3,931,643.01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228,389.46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补充医疗保险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2,117.00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122,526.45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4,327,735.18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4,285,404.18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164,857.45</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918,164.09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256,820.58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661,343.51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17,878,834.94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120,865,098.61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117,937,308.46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20,806,625.09</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172,564.90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8,659,427.47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8,338,764.36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493,228.01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9,247.20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376,092.11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368,029.15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17,310.16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181,812.10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9,035,519.58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8,706,793.51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510,538.17</w:t>
            </w:r>
          </w:p>
        </w:tc>
      </w:tr>
    </w:tbl>
    <w:p>
      <w:pPr>
        <w:spacing w:line="240" w:lineRule="auto" w:before="3"/>
        <w:rPr>
          <w:rFonts w:ascii="宋体" w:hAnsi="宋体" w:cs="宋体" w:eastAsia="宋体" w:hint="default"/>
          <w:sz w:val="19"/>
          <w:szCs w:val="19"/>
        </w:rPr>
      </w:pPr>
    </w:p>
    <w:p>
      <w:pPr>
        <w:pStyle w:val="Heading3"/>
        <w:spacing w:line="240" w:lineRule="auto" w:before="36"/>
        <w:ind w:left="258" w:right="153"/>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1"/>
        </w:rPr>
        <w:t> </w:t>
      </w:r>
      <w:r>
        <w:rPr/>
        <w:t>应付职工薪酬其他说明：应付职工薪酬中无属于拖欠性质的金额。</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7"/>
          <w:szCs w:val="27"/>
        </w:rPr>
      </w:pPr>
    </w:p>
    <w:p>
      <w:pPr>
        <w:pStyle w:val="Heading3"/>
        <w:spacing w:line="240" w:lineRule="auto"/>
        <w:ind w:right="153"/>
        <w:jc w:val="left"/>
        <w:rPr>
          <w:b w:val="0"/>
          <w:bCs w:val="0"/>
        </w:rPr>
      </w:pPr>
      <w:r>
        <w:rPr>
          <w:rFonts w:ascii="Times New Roman" w:hAnsi="Times New Roman" w:cs="Times New Roman" w:eastAsia="Times New Roman" w:hint="default"/>
        </w:rPr>
        <w:t>26</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14,416,884.33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11,123,629.61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24,984,843.19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22,966,600.06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1,254,216.67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686,136.06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924,361.56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211,749.35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781,163.73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252,167.98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402,676.78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95,286.72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19,767.41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112,693.66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147,627.65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17,386.53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3,824,009.80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2,892,312.17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8,277.15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7,516.60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46,747,413.64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38,402,793.61</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27</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10,367.50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10,367.50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重要的已逾期未支付的利息情况：</w:t>
      </w:r>
    </w:p>
    <w:p>
      <w:pPr>
        <w:pStyle w:val="BodyText"/>
        <w:spacing w:line="340" w:lineRule="auto" w:before="115"/>
        <w:ind w:right="5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其他说明：期末公司无重要的已逾期未支付的利息情况。</w:t>
      </w:r>
    </w:p>
    <w:p>
      <w:pPr>
        <w:spacing w:line="240" w:lineRule="auto" w:before="5"/>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28</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2,295,137.44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5,345,137.44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预提费用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8,023,997.75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6,624,369.68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股权激励款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19,394,776.25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1,204,700.00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非金融机构借款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8,067,920.00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1,996,472.87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4,348,187.08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39,778,304.31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17,522,394.20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九阳股份有限公司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业务持续中，未结算保证金</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1,150,000.00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其他说明</w:t>
      </w:r>
    </w:p>
    <w:p>
      <w:pPr>
        <w:pStyle w:val="BodyText"/>
        <w:spacing w:line="336" w:lineRule="auto" w:before="76"/>
        <w:ind w:right="153" w:firstLine="360"/>
        <w:jc w:val="left"/>
      </w:pPr>
      <w:r>
        <w:rPr/>
        <w:t>期末公司对非金融机构借款为公司控股子公司深圳市实益达技术股份有限公司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月向关联方深圳市元通孵化有 </w:t>
      </w:r>
      <w:r>
        <w:rPr>
          <w:spacing w:val="-2"/>
        </w:rPr>
        <w:t>限公司借入</w:t>
      </w:r>
      <w:r>
        <w:rPr>
          <w:rFonts w:ascii="Times New Roman" w:hAnsi="Times New Roman" w:cs="Times New Roman" w:eastAsia="Times New Roman" w:hint="default"/>
          <w:spacing w:val="-2"/>
        </w:rPr>
        <w:t>800</w:t>
      </w:r>
      <w:r>
        <w:rPr>
          <w:spacing w:val="-2"/>
        </w:rPr>
        <w:t>万元，借款期限不超过</w:t>
      </w:r>
      <w:r>
        <w:rPr>
          <w:rFonts w:ascii="Times New Roman" w:hAnsi="Times New Roman" w:cs="Times New Roman" w:eastAsia="Times New Roman" w:hint="default"/>
          <w:spacing w:val="-2"/>
        </w:rPr>
        <w:t>6</w:t>
      </w:r>
      <w:r>
        <w:rPr>
          <w:spacing w:val="-2"/>
        </w:rPr>
        <w:t>个月，年利率与公司同时期向金融机构类似借款基本一致。截至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w:t>
      </w:r>
      <w:r>
        <w:rPr>
          <w:spacing w:val="-56"/>
        </w:rPr>
        <w:t> </w:t>
      </w:r>
      <w:r>
        <w:rPr>
          <w:spacing w:val="-56"/>
        </w:rPr>
      </w:r>
      <w:r>
        <w:rPr/>
        <w:t>司对该笔借款计提相应利息支出</w:t>
      </w:r>
      <w:r>
        <w:rPr>
          <w:rFonts w:ascii="Times New Roman" w:hAnsi="Times New Roman" w:cs="Times New Roman" w:eastAsia="Times New Roman" w:hint="default"/>
        </w:rPr>
        <w:t>67,920.00</w:t>
      </w:r>
      <w:r>
        <w:rPr/>
        <w:t>元。</w:t>
      </w:r>
    </w:p>
    <w:p>
      <w:pPr>
        <w:spacing w:after="0" w:line="336"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29</w:t>
      </w:r>
      <w:r>
        <w:rPr/>
        <w:t>、预计负债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17"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1,814,957.34</w:t>
            </w:r>
          </w:p>
        </w:tc>
        <w:tc>
          <w:tcPr>
            <w:tcW w:w="2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3" w:right="0"/>
              <w:jc w:val="left"/>
              <w:rPr>
                <w:rFonts w:ascii="Times New Roman" w:hAnsi="Times New Roman" w:cs="Times New Roman" w:eastAsia="Times New Roman" w:hint="default"/>
                <w:sz w:val="18"/>
                <w:szCs w:val="18"/>
              </w:rPr>
            </w:pPr>
            <w:r>
              <w:rPr>
                <w:rFonts w:ascii="Times New Roman"/>
                <w:sz w:val="18"/>
              </w:rPr>
              <w:t>1,261,564.30</w:t>
            </w:r>
          </w:p>
        </w:tc>
        <w:tc>
          <w:tcPr>
            <w:tcW w:w="2393"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公司与客户因产品质量产生 纠纷，基于协议约定和最佳估 计值，计提预计负债。</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未决诉讼</w:t>
            </w:r>
          </w:p>
        </w:tc>
        <w:tc>
          <w:tcPr>
            <w:tcW w:w="2396" w:type="dxa"/>
            <w:vMerge/>
            <w:tcBorders>
              <w:left w:val="single" w:sz="10" w:space="0" w:color="D2D2D2"/>
              <w:right w:val="single" w:sz="4" w:space="0" w:color="000000"/>
            </w:tcBorders>
          </w:tcPr>
          <w:p>
            <w:pPr/>
          </w:p>
        </w:tc>
        <w:tc>
          <w:tcPr>
            <w:tcW w:w="2393"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r>
      <w:tr>
        <w:trPr>
          <w:trHeight w:val="317"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vMerge/>
            <w:tcBorders>
              <w:left w:val="single" w:sz="10" w:space="0" w:color="D2D2D2"/>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r>
      <w:tr>
        <w:trPr>
          <w:trHeight w:val="317"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48" w:right="0"/>
              <w:jc w:val="left"/>
              <w:rPr>
                <w:rFonts w:ascii="Times New Roman" w:hAnsi="Times New Roman" w:cs="Times New Roman" w:eastAsia="Times New Roman" w:hint="default"/>
                <w:sz w:val="18"/>
                <w:szCs w:val="18"/>
              </w:rPr>
            </w:pPr>
            <w:r>
              <w:rPr>
                <w:rFonts w:ascii="Times New Roman"/>
                <w:sz w:val="18"/>
              </w:rPr>
              <w:t>330,780.90</w:t>
            </w:r>
          </w:p>
        </w:tc>
        <w:tc>
          <w:tcPr>
            <w:tcW w:w="2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48" w:right="0"/>
              <w:jc w:val="left"/>
              <w:rPr>
                <w:rFonts w:ascii="Times New Roman" w:hAnsi="Times New Roman" w:cs="Times New Roman" w:eastAsia="Times New Roman" w:hint="default"/>
                <w:sz w:val="18"/>
                <w:szCs w:val="18"/>
              </w:rPr>
            </w:pPr>
            <w:r>
              <w:rPr>
                <w:rFonts w:ascii="Times New Roman"/>
                <w:sz w:val="18"/>
              </w:rPr>
              <w:t>393,777.52</w:t>
            </w:r>
          </w:p>
        </w:tc>
        <w:tc>
          <w:tcPr>
            <w:tcW w:w="2393"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公司与专利提供商因专利费 产生纠纷，基于协议约定和最 佳估计值，计提预计负债。</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396" w:type="dxa"/>
            <w:vMerge/>
            <w:tcBorders>
              <w:left w:val="single" w:sz="10" w:space="0" w:color="D2D2D2"/>
              <w:right w:val="single" w:sz="4" w:space="0" w:color="000000"/>
            </w:tcBorders>
          </w:tcPr>
          <w:p>
            <w:pPr/>
          </w:p>
        </w:tc>
        <w:tc>
          <w:tcPr>
            <w:tcW w:w="2393"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r>
      <w:tr>
        <w:trPr>
          <w:trHeight w:val="317"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vMerge/>
            <w:tcBorders>
              <w:left w:val="single" w:sz="10" w:space="0" w:color="D2D2D2"/>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2,145,738.24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1,655,341.82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03" w:lineRule="exact"/>
        <w:ind w:right="153"/>
        <w:jc w:val="left"/>
      </w:pPr>
      <w:r>
        <w:rPr/>
        <w:t>预计负债说明：</w:t>
      </w:r>
    </w:p>
    <w:p>
      <w:pPr>
        <w:pStyle w:val="BodyText"/>
        <w:spacing w:line="357" w:lineRule="auto" w:before="115"/>
        <w:ind w:right="152"/>
        <w:jc w:val="left"/>
      </w:pPr>
      <w:r>
        <w:rPr>
          <w:spacing w:val="-2"/>
        </w:rPr>
        <w:t>期末公司关于未决诉讼的预计负债金额发生变化，主要由于相关诉讼二审判决，公司对相关预计负债可能发生的金额进行重</w:t>
      </w:r>
      <w:r>
        <w:rPr>
          <w:spacing w:val="-64"/>
        </w:rPr>
        <w:t> </w:t>
      </w:r>
      <w:r>
        <w:rPr>
          <w:spacing w:val="-64"/>
        </w:rPr>
      </w:r>
      <w:r>
        <w:rPr/>
        <w:t>新评估和调整。详见附注十三</w:t>
      </w:r>
      <w:r>
        <w:rPr>
          <w:rFonts w:ascii="宋体" w:hAnsi="宋体" w:cs="宋体" w:eastAsia="宋体" w:hint="default"/>
        </w:rPr>
        <w:t>-</w:t>
      </w:r>
      <w:r>
        <w:rPr/>
        <w:t>注释</w:t>
      </w:r>
      <w:r>
        <w:rPr>
          <w:rFonts w:ascii="宋体" w:hAnsi="宋体" w:cs="宋体" w:eastAsia="宋体" w:hint="default"/>
        </w:rPr>
        <w:t>2</w:t>
      </w:r>
      <w:r>
        <w:rPr/>
        <w:t>。</w:t>
      </w:r>
    </w:p>
    <w:p>
      <w:pPr>
        <w:spacing w:line="240" w:lineRule="auto" w:before="7"/>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30</w:t>
      </w:r>
      <w:r>
        <w:rPr/>
        <w:t>、递延收益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1,224.88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140,775.12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详见下表</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1,224.88</w:t>
            </w:r>
          </w:p>
        </w:tc>
        <w:tc>
          <w:tcPr>
            <w:tcW w:w="15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140,775.12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涉及政府补助的项目：</w:t>
      </w:r>
    </w:p>
    <w:p>
      <w:pPr>
        <w:pStyle w:val="BodyText"/>
        <w:spacing w:line="240" w:lineRule="auto" w:before="115"/>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994"/>
        <w:gridCol w:w="1064"/>
        <w:gridCol w:w="1063"/>
        <w:gridCol w:w="1061"/>
        <w:gridCol w:w="1064"/>
        <w:gridCol w:w="1063"/>
        <w:gridCol w:w="1064"/>
        <w:gridCol w:w="1063"/>
      </w:tblGrid>
      <w:tr>
        <w:trPr>
          <w:trHeight w:val="1025"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5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龙岗区 企业技术改 造扶持资金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1,224.88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140,775.12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1,224.88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140,775.12</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right="153"/>
        <w:jc w:val="left"/>
        <w:rPr>
          <w:b w:val="0"/>
          <w:bCs w:val="0"/>
        </w:rPr>
      </w:pPr>
      <w:r>
        <w:rPr>
          <w:rFonts w:ascii="Times New Roman" w:hAnsi="Times New Roman" w:cs="Times New Roman" w:eastAsia="Times New Roman" w:hint="default"/>
        </w:rPr>
        <w:t>31</w:t>
      </w:r>
      <w:r>
        <w:rPr/>
        <w:t>、股本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34" w:right="0"/>
              <w:jc w:val="left"/>
              <w:rPr>
                <w:rFonts w:ascii="Times New Roman" w:hAnsi="Times New Roman" w:cs="Times New Roman" w:eastAsia="Times New Roman" w:hint="default"/>
                <w:sz w:val="18"/>
                <w:szCs w:val="18"/>
              </w:rPr>
            </w:pPr>
            <w:r>
              <w:rPr>
                <w:rFonts w:ascii="Times New Roman"/>
                <w:sz w:val="18"/>
              </w:rPr>
              <w:t>576,382,117.00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2,961,673.00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2,961,673.00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left"/>
              <w:rPr>
                <w:rFonts w:ascii="Times New Roman" w:hAnsi="Times New Roman" w:cs="Times New Roman" w:eastAsia="Times New Roman" w:hint="default"/>
                <w:sz w:val="18"/>
                <w:szCs w:val="18"/>
              </w:rPr>
            </w:pPr>
            <w:r>
              <w:rPr>
                <w:rFonts w:ascii="Times New Roman"/>
                <w:sz w:val="18"/>
              </w:rPr>
              <w:t>579,343,790.00</w:t>
            </w:r>
          </w:p>
        </w:tc>
      </w:tr>
    </w:tbl>
    <w:p>
      <w:pPr>
        <w:pStyle w:val="BodyText"/>
        <w:spacing w:line="240" w:lineRule="auto" w:before="49"/>
        <w:ind w:right="153"/>
        <w:jc w:val="left"/>
      </w:pPr>
      <w:r>
        <w:rPr/>
        <w:t>其他说明：</w:t>
      </w:r>
    </w:p>
    <w:p>
      <w:pPr>
        <w:spacing w:after="0" w:line="240" w:lineRule="auto"/>
        <w:jc w:val="left"/>
        <w:sectPr>
          <w:pgSz w:w="11910" w:h="16840"/>
          <w:pgMar w:header="745" w:footer="980" w:top="1060" w:bottom="1160" w:left="980" w:right="980"/>
        </w:sectPr>
      </w:pPr>
    </w:p>
    <w:p>
      <w:pPr>
        <w:spacing w:line="240" w:lineRule="auto" w:before="11"/>
        <w:rPr>
          <w:rFonts w:ascii="宋体" w:hAnsi="宋体" w:cs="宋体" w:eastAsia="宋体" w:hint="default"/>
          <w:sz w:val="28"/>
          <w:szCs w:val="28"/>
        </w:rPr>
      </w:pPr>
    </w:p>
    <w:tbl>
      <w:tblPr>
        <w:tblW w:w="0" w:type="auto"/>
        <w:jc w:val="left"/>
        <w:tblInd w:w="131" w:type="dxa"/>
        <w:tblLayout w:type="fixed"/>
        <w:tblCellMar>
          <w:top w:w="0" w:type="dxa"/>
          <w:left w:w="0" w:type="dxa"/>
          <w:bottom w:w="0" w:type="dxa"/>
          <w:right w:w="0" w:type="dxa"/>
        </w:tblCellMar>
        <w:tblLook w:val="01E0"/>
      </w:tblPr>
      <w:tblGrid>
        <w:gridCol w:w="1133"/>
        <w:gridCol w:w="1339"/>
        <w:gridCol w:w="1505"/>
        <w:gridCol w:w="631"/>
        <w:gridCol w:w="838"/>
        <w:gridCol w:w="1582"/>
        <w:gridCol w:w="1395"/>
        <w:gridCol w:w="1262"/>
      </w:tblGrid>
      <w:tr>
        <w:trPr>
          <w:trHeight w:val="341" w:hRule="exact"/>
        </w:trPr>
        <w:tc>
          <w:tcPr>
            <w:tcW w:w="1133" w:type="dxa"/>
            <w:tcBorders>
              <w:top w:val="single" w:sz="4" w:space="0" w:color="000000"/>
              <w:left w:val="single" w:sz="4" w:space="0" w:color="000000"/>
              <w:bottom w:val="nil" w:sz="6" w:space="0" w:color="auto"/>
              <w:right w:val="single" w:sz="4" w:space="0" w:color="000000"/>
            </w:tcBorders>
            <w:shd w:val="clear" w:color="auto" w:fill="D9D9D9"/>
          </w:tcPr>
          <w:p>
            <w:pPr/>
          </w:p>
        </w:tc>
        <w:tc>
          <w:tcPr>
            <w:tcW w:w="1339" w:type="dxa"/>
            <w:tcBorders>
              <w:top w:val="single" w:sz="4" w:space="0" w:color="000000"/>
              <w:left w:val="single" w:sz="4" w:space="0" w:color="000000"/>
              <w:bottom w:val="nil" w:sz="6" w:space="0" w:color="auto"/>
              <w:right w:val="single" w:sz="4" w:space="0" w:color="000000"/>
            </w:tcBorders>
            <w:shd w:val="clear" w:color="auto" w:fill="D9D9D9"/>
          </w:tcPr>
          <w:p>
            <w:pPr/>
          </w:p>
        </w:tc>
        <w:tc>
          <w:tcPr>
            <w:tcW w:w="5951"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1937" w:right="0"/>
              <w:jc w:val="left"/>
              <w:rPr>
                <w:rFonts w:ascii="宋体" w:hAnsi="宋体" w:cs="宋体" w:eastAsia="宋体" w:hint="default"/>
                <w:sz w:val="18"/>
                <w:szCs w:val="18"/>
              </w:rPr>
            </w:pPr>
            <w:r>
              <w:rPr>
                <w:rFonts w:ascii="宋体" w:hAnsi="宋体" w:cs="宋体" w:eastAsia="宋体" w:hint="default"/>
                <w:sz w:val="18"/>
                <w:szCs w:val="18"/>
              </w:rPr>
              <w:t>本年变动增（</w:t>
            </w:r>
            <w:r>
              <w:rPr>
                <w:rFonts w:ascii="Arial Narrow" w:hAnsi="Arial Narrow" w:cs="Arial Narrow" w:eastAsia="Arial Narrow" w:hint="default"/>
                <w:sz w:val="18"/>
                <w:szCs w:val="18"/>
              </w:rPr>
              <w:t>+</w:t>
            </w:r>
            <w:r>
              <w:rPr>
                <w:rFonts w:ascii="宋体" w:hAnsi="宋体" w:cs="宋体" w:eastAsia="宋体" w:hint="default"/>
                <w:sz w:val="18"/>
                <w:szCs w:val="18"/>
              </w:rPr>
              <w:t>）减（－）</w:t>
            </w:r>
          </w:p>
        </w:tc>
        <w:tc>
          <w:tcPr>
            <w:tcW w:w="1262" w:type="dxa"/>
            <w:tcBorders>
              <w:top w:val="single" w:sz="4" w:space="0" w:color="000000"/>
              <w:left w:val="single" w:sz="4" w:space="0" w:color="000000"/>
              <w:bottom w:val="nil" w:sz="6" w:space="0" w:color="auto"/>
              <w:right w:val="single" w:sz="4" w:space="0" w:color="000000"/>
            </w:tcBorders>
            <w:shd w:val="clear" w:color="auto" w:fill="D9D9D9"/>
          </w:tcPr>
          <w:p>
            <w:pPr/>
          </w:p>
        </w:tc>
      </w:tr>
      <w:tr>
        <w:trPr>
          <w:trHeight w:val="130" w:hRule="exact"/>
        </w:trPr>
        <w:tc>
          <w:tcPr>
            <w:tcW w:w="1133" w:type="dxa"/>
            <w:vMerge w:val="restart"/>
            <w:tcBorders>
              <w:top w:val="nil" w:sz="6" w:space="0" w:color="auto"/>
              <w:left w:val="single" w:sz="4" w:space="0" w:color="000000"/>
              <w:right w:val="single" w:sz="4" w:space="0" w:color="000000"/>
            </w:tcBorders>
            <w:shd w:val="clear" w:color="auto" w:fill="D9D9D9"/>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9" w:type="dxa"/>
            <w:vMerge w:val="restart"/>
            <w:tcBorders>
              <w:top w:val="nil" w:sz="6" w:space="0" w:color="auto"/>
              <w:left w:val="single" w:sz="4" w:space="0" w:color="000000"/>
              <w:right w:val="single" w:sz="4" w:space="0" w:color="000000"/>
            </w:tcBorders>
            <w:shd w:val="clear" w:color="auto" w:fill="D9D9D9"/>
          </w:tcPr>
          <w:p>
            <w:pPr>
              <w:pStyle w:val="TableParagraph"/>
              <w:spacing w:line="211" w:lineRule="exact"/>
              <w:ind w:left="31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05" w:type="dxa"/>
            <w:tcBorders>
              <w:top w:val="single" w:sz="4" w:space="0" w:color="000000"/>
              <w:left w:val="single" w:sz="4" w:space="0" w:color="000000"/>
              <w:bottom w:val="nil" w:sz="6" w:space="0" w:color="auto"/>
              <w:right w:val="single" w:sz="4" w:space="0" w:color="000000"/>
            </w:tcBorders>
            <w:shd w:val="clear" w:color="auto" w:fill="D9D9D9"/>
          </w:tcPr>
          <w:p>
            <w:pPr/>
          </w:p>
        </w:tc>
        <w:tc>
          <w:tcPr>
            <w:tcW w:w="631" w:type="dxa"/>
            <w:tcBorders>
              <w:top w:val="single" w:sz="4" w:space="0" w:color="000000"/>
              <w:left w:val="single" w:sz="4" w:space="0" w:color="000000"/>
              <w:bottom w:val="nil" w:sz="6" w:space="0" w:color="auto"/>
              <w:right w:val="single" w:sz="4" w:space="0" w:color="000000"/>
            </w:tcBorders>
            <w:shd w:val="clear" w:color="auto" w:fill="D9D9D9"/>
          </w:tcPr>
          <w:p>
            <w:pPr/>
          </w:p>
        </w:tc>
        <w:tc>
          <w:tcPr>
            <w:tcW w:w="838" w:type="dxa"/>
            <w:vMerge w:val="restart"/>
            <w:tcBorders>
              <w:top w:val="single" w:sz="4" w:space="0" w:color="000000"/>
              <w:left w:val="single" w:sz="4" w:space="0" w:color="000000"/>
              <w:right w:val="single" w:sz="4" w:space="0" w:color="000000"/>
            </w:tcBorders>
            <w:shd w:val="clear" w:color="auto" w:fill="D9D9D9"/>
          </w:tcPr>
          <w:p>
            <w:pPr>
              <w:pStyle w:val="TableParagraph"/>
              <w:spacing w:line="244" w:lineRule="auto" w:before="25"/>
              <w:ind w:left="323" w:right="53"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1582" w:type="dxa"/>
            <w:tcBorders>
              <w:top w:val="single" w:sz="4" w:space="0" w:color="000000"/>
              <w:left w:val="single" w:sz="4" w:space="0" w:color="000000"/>
              <w:bottom w:val="nil" w:sz="6" w:space="0" w:color="auto"/>
              <w:right w:val="single" w:sz="4" w:space="0" w:color="000000"/>
            </w:tcBorders>
            <w:shd w:val="clear" w:color="auto" w:fill="D9D9D9"/>
          </w:tcPr>
          <w:p>
            <w:pPr/>
          </w:p>
        </w:tc>
        <w:tc>
          <w:tcPr>
            <w:tcW w:w="1395" w:type="dxa"/>
            <w:tcBorders>
              <w:top w:val="single" w:sz="4" w:space="0" w:color="000000"/>
              <w:left w:val="single" w:sz="4" w:space="0" w:color="000000"/>
              <w:bottom w:val="nil" w:sz="6" w:space="0" w:color="auto"/>
              <w:right w:val="single" w:sz="4" w:space="0" w:color="000000"/>
            </w:tcBorders>
            <w:shd w:val="clear" w:color="auto" w:fill="D9D9D9"/>
          </w:tcPr>
          <w:p>
            <w:pPr/>
          </w:p>
        </w:tc>
        <w:tc>
          <w:tcPr>
            <w:tcW w:w="1262" w:type="dxa"/>
            <w:vMerge w:val="restart"/>
            <w:tcBorders>
              <w:top w:val="nil" w:sz="6" w:space="0" w:color="auto"/>
              <w:left w:val="single" w:sz="4" w:space="0" w:color="000000"/>
              <w:right w:val="single" w:sz="4" w:space="0" w:color="000000"/>
            </w:tcBorders>
            <w:shd w:val="clear" w:color="auto" w:fill="D9D9D9"/>
          </w:tcPr>
          <w:p>
            <w:pPr>
              <w:pStyle w:val="TableParagraph"/>
              <w:spacing w:line="211" w:lineRule="exact"/>
              <w:ind w:left="266"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144" w:hRule="exact"/>
        </w:trPr>
        <w:tc>
          <w:tcPr>
            <w:tcW w:w="1133" w:type="dxa"/>
            <w:vMerge/>
            <w:tcBorders>
              <w:left w:val="single" w:sz="4" w:space="0" w:color="000000"/>
              <w:bottom w:val="nil" w:sz="6" w:space="0" w:color="auto"/>
              <w:right w:val="single" w:sz="4" w:space="0" w:color="000000"/>
            </w:tcBorders>
            <w:shd w:val="clear" w:color="auto" w:fill="D9D9D9"/>
          </w:tcPr>
          <w:p>
            <w:pPr/>
          </w:p>
        </w:tc>
        <w:tc>
          <w:tcPr>
            <w:tcW w:w="1339" w:type="dxa"/>
            <w:vMerge/>
            <w:tcBorders>
              <w:left w:val="single" w:sz="4" w:space="0" w:color="000000"/>
              <w:bottom w:val="nil" w:sz="6" w:space="0" w:color="auto"/>
              <w:right w:val="single" w:sz="4" w:space="0" w:color="000000"/>
            </w:tcBorders>
            <w:shd w:val="clear" w:color="auto" w:fill="D9D9D9"/>
          </w:tcPr>
          <w:p>
            <w:pPr/>
          </w:p>
        </w:tc>
        <w:tc>
          <w:tcPr>
            <w:tcW w:w="1505"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20"/>
              <w:ind w:left="38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31"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20"/>
              <w:ind w:left="13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38" w:type="dxa"/>
            <w:vMerge/>
            <w:tcBorders>
              <w:left w:val="single" w:sz="4" w:space="0" w:color="000000"/>
              <w:right w:val="single" w:sz="4" w:space="0" w:color="000000"/>
            </w:tcBorders>
            <w:shd w:val="clear" w:color="auto" w:fill="D9D9D9"/>
          </w:tcPr>
          <w:p>
            <w:pPr/>
          </w:p>
        </w:tc>
        <w:tc>
          <w:tcPr>
            <w:tcW w:w="1582"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95"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62" w:type="dxa"/>
            <w:vMerge/>
            <w:tcBorders>
              <w:left w:val="single" w:sz="4" w:space="0" w:color="000000"/>
              <w:bottom w:val="nil" w:sz="6" w:space="0" w:color="auto"/>
              <w:right w:val="single" w:sz="4" w:space="0" w:color="000000"/>
            </w:tcBorders>
            <w:shd w:val="clear" w:color="auto" w:fill="D9D9D9"/>
          </w:tcPr>
          <w:p>
            <w:pPr/>
          </w:p>
        </w:tc>
      </w:tr>
      <w:tr>
        <w:trPr>
          <w:trHeight w:val="300" w:hRule="exact"/>
        </w:trPr>
        <w:tc>
          <w:tcPr>
            <w:tcW w:w="1133" w:type="dxa"/>
            <w:tcBorders>
              <w:top w:val="nil" w:sz="6" w:space="0" w:color="auto"/>
              <w:left w:val="single" w:sz="4" w:space="0" w:color="000000"/>
              <w:bottom w:val="single" w:sz="4" w:space="0" w:color="000000"/>
              <w:right w:val="single" w:sz="4" w:space="0" w:color="000000"/>
            </w:tcBorders>
            <w:shd w:val="clear" w:color="auto" w:fill="D9D9D9"/>
          </w:tcPr>
          <w:p>
            <w:pPr/>
          </w:p>
        </w:tc>
        <w:tc>
          <w:tcPr>
            <w:tcW w:w="1339" w:type="dxa"/>
            <w:tcBorders>
              <w:top w:val="nil" w:sz="6" w:space="0" w:color="auto"/>
              <w:left w:val="single" w:sz="4" w:space="0" w:color="000000"/>
              <w:bottom w:val="single" w:sz="4" w:space="0" w:color="000000"/>
              <w:right w:val="single" w:sz="4" w:space="0" w:color="000000"/>
            </w:tcBorders>
            <w:shd w:val="clear" w:color="auto" w:fill="D9D9D9"/>
          </w:tcPr>
          <w:p>
            <w:pPr/>
          </w:p>
        </w:tc>
        <w:tc>
          <w:tcPr>
            <w:tcW w:w="1505" w:type="dxa"/>
            <w:vMerge/>
            <w:tcBorders>
              <w:left w:val="single" w:sz="4" w:space="0" w:color="000000"/>
              <w:bottom w:val="single" w:sz="4" w:space="0" w:color="000000"/>
              <w:right w:val="single" w:sz="4" w:space="0" w:color="000000"/>
            </w:tcBorders>
            <w:shd w:val="clear" w:color="auto" w:fill="D9D9D9"/>
          </w:tcPr>
          <w:p>
            <w:pPr/>
          </w:p>
        </w:tc>
        <w:tc>
          <w:tcPr>
            <w:tcW w:w="631" w:type="dxa"/>
            <w:vMerge/>
            <w:tcBorders>
              <w:left w:val="single" w:sz="4" w:space="0" w:color="000000"/>
              <w:bottom w:val="single" w:sz="4" w:space="0" w:color="000000"/>
              <w:right w:val="single" w:sz="4" w:space="0" w:color="000000"/>
            </w:tcBorders>
            <w:shd w:val="clear" w:color="auto" w:fill="D9D9D9"/>
          </w:tcPr>
          <w:p>
            <w:pPr/>
          </w:p>
        </w:tc>
        <w:tc>
          <w:tcPr>
            <w:tcW w:w="838" w:type="dxa"/>
            <w:vMerge/>
            <w:tcBorders>
              <w:left w:val="single" w:sz="4" w:space="0" w:color="000000"/>
              <w:bottom w:val="single" w:sz="4" w:space="0" w:color="000000"/>
              <w:right w:val="single" w:sz="4" w:space="0" w:color="000000"/>
            </w:tcBorders>
            <w:shd w:val="clear" w:color="auto" w:fill="D9D9D9"/>
          </w:tcPr>
          <w:p>
            <w:pPr/>
          </w:p>
        </w:tc>
        <w:tc>
          <w:tcPr>
            <w:tcW w:w="1582" w:type="dxa"/>
            <w:vMerge/>
            <w:tcBorders>
              <w:left w:val="single" w:sz="4" w:space="0" w:color="000000"/>
              <w:bottom w:val="single" w:sz="4" w:space="0" w:color="000000"/>
              <w:right w:val="single" w:sz="4" w:space="0" w:color="000000"/>
            </w:tcBorders>
            <w:shd w:val="clear" w:color="auto" w:fill="D9D9D9"/>
          </w:tcPr>
          <w:p>
            <w:pPr/>
          </w:p>
        </w:tc>
        <w:tc>
          <w:tcPr>
            <w:tcW w:w="1395" w:type="dxa"/>
            <w:vMerge/>
            <w:tcBorders>
              <w:left w:val="single" w:sz="4" w:space="0" w:color="000000"/>
              <w:bottom w:val="single" w:sz="4" w:space="0" w:color="000000"/>
              <w:right w:val="single" w:sz="4" w:space="0" w:color="000000"/>
            </w:tcBorders>
            <w:shd w:val="clear" w:color="auto" w:fill="D9D9D9"/>
          </w:tcPr>
          <w:p>
            <w:pPr/>
          </w:p>
        </w:tc>
        <w:tc>
          <w:tcPr>
            <w:tcW w:w="1262" w:type="dxa"/>
            <w:tcBorders>
              <w:top w:val="nil" w:sz="6" w:space="0" w:color="auto"/>
              <w:left w:val="single" w:sz="4" w:space="0" w:color="000000"/>
              <w:bottom w:val="single" w:sz="4" w:space="0" w:color="000000"/>
              <w:right w:val="single" w:sz="4" w:space="0" w:color="000000"/>
            </w:tcBorders>
            <w:shd w:val="clear" w:color="auto" w:fill="D9D9D9"/>
          </w:tcPr>
          <w:p>
            <w:pPr/>
          </w:p>
        </w:tc>
      </w:tr>
      <w:tr>
        <w:trPr>
          <w:trHeight w:val="571" w:hRule="exact"/>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before="42"/>
              <w:ind w:left="40" w:right="27"/>
              <w:jc w:val="left"/>
              <w:rPr>
                <w:rFonts w:ascii="宋体" w:hAnsi="宋体" w:cs="宋体" w:eastAsia="宋体" w:hint="default"/>
                <w:sz w:val="18"/>
                <w:szCs w:val="18"/>
              </w:rPr>
            </w:pPr>
            <w:r>
              <w:rPr>
                <w:rFonts w:ascii="Arial Narrow" w:hAnsi="Arial Narrow" w:cs="Arial Narrow" w:eastAsia="Arial Narrow" w:hint="default"/>
                <w:spacing w:val="11"/>
                <w:sz w:val="18"/>
                <w:szCs w:val="18"/>
              </w:rPr>
              <w:t>1</w:t>
            </w:r>
            <w:r>
              <w:rPr>
                <w:rFonts w:ascii="宋体" w:hAnsi="宋体" w:cs="宋体" w:eastAsia="宋体" w:hint="default"/>
                <w:spacing w:val="11"/>
                <w:sz w:val="18"/>
                <w:szCs w:val="18"/>
              </w:rPr>
              <w:t>．有限售条</w:t>
            </w:r>
            <w:r>
              <w:rPr>
                <w:rFonts w:ascii="宋体" w:hAnsi="宋体" w:cs="宋体" w:eastAsia="宋体" w:hint="default"/>
                <w:spacing w:val="-86"/>
                <w:sz w:val="18"/>
                <w:szCs w:val="18"/>
              </w:rPr>
              <w:t> </w:t>
            </w:r>
            <w:r>
              <w:rPr>
                <w:rFonts w:ascii="宋体" w:hAnsi="宋体" w:cs="宋体" w:eastAsia="宋体" w:hint="default"/>
                <w:sz w:val="18"/>
                <w:szCs w:val="18"/>
              </w:rPr>
              <w:t>件股份</w:t>
            </w:r>
          </w:p>
        </w:tc>
        <w:tc>
          <w:tcPr>
            <w:tcW w:w="133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9" w:right="0"/>
              <w:jc w:val="left"/>
              <w:rPr>
                <w:rFonts w:ascii="Arial Narrow" w:hAnsi="Arial Narrow" w:cs="Arial Narrow" w:eastAsia="Arial Narrow" w:hint="default"/>
                <w:sz w:val="18"/>
                <w:szCs w:val="18"/>
              </w:rPr>
            </w:pPr>
            <w:r>
              <w:rPr>
                <w:rFonts w:ascii="Arial Narrow"/>
                <w:sz w:val="18"/>
              </w:rPr>
              <w:t>306,301,973.00</w:t>
            </w:r>
          </w:p>
        </w:tc>
        <w:tc>
          <w:tcPr>
            <w:tcW w:w="1505" w:type="dxa"/>
            <w:tcBorders>
              <w:top w:val="single" w:sz="52" w:space="0" w:color="D9D9D9"/>
              <w:left w:val="single" w:sz="4" w:space="0" w:color="000000"/>
              <w:bottom w:val="single" w:sz="4" w:space="0" w:color="000000"/>
              <w:right w:val="single" w:sz="4" w:space="0" w:color="000000"/>
            </w:tcBorders>
          </w:tcPr>
          <w:p>
            <w:pPr>
              <w:pStyle w:val="TableParagraph"/>
              <w:spacing w:line="240" w:lineRule="auto" w:before="82"/>
              <w:ind w:right="-40"/>
              <w:jc w:val="right"/>
              <w:rPr>
                <w:rFonts w:ascii="宋体" w:hAnsi="宋体" w:cs="宋体" w:eastAsia="宋体" w:hint="default"/>
                <w:sz w:val="18"/>
                <w:szCs w:val="18"/>
              </w:rPr>
            </w:pPr>
            <w:r>
              <w:rPr>
                <w:rFonts w:ascii="宋体"/>
                <w:sz w:val="18"/>
              </w:rPr>
              <w:t> </w:t>
            </w:r>
          </w:p>
        </w:tc>
        <w:tc>
          <w:tcPr>
            <w:tcW w:w="631" w:type="dxa"/>
            <w:tcBorders>
              <w:top w:val="single" w:sz="52" w:space="0" w:color="D9D9D9"/>
              <w:left w:val="single" w:sz="4" w:space="0" w:color="000000"/>
              <w:bottom w:val="single" w:sz="4" w:space="0" w:color="000000"/>
              <w:right w:val="single" w:sz="4" w:space="0" w:color="000000"/>
            </w:tcBorders>
          </w:tcPr>
          <w:p>
            <w:pPr>
              <w:pStyle w:val="TableParagraph"/>
              <w:spacing w:line="240" w:lineRule="auto" w:before="82"/>
              <w:ind w:right="-40"/>
              <w:jc w:val="right"/>
              <w:rPr>
                <w:rFonts w:ascii="宋体" w:hAnsi="宋体" w:cs="宋体" w:eastAsia="宋体" w:hint="default"/>
                <w:sz w:val="18"/>
                <w:szCs w:val="18"/>
              </w:rPr>
            </w:pPr>
            <w:r>
              <w:rPr>
                <w:rFonts w:ascii="宋体"/>
                <w:sz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38"/>
              <w:jc w:val="right"/>
              <w:rPr>
                <w:rFonts w:ascii="宋体" w:hAnsi="宋体" w:cs="宋体" w:eastAsia="宋体" w:hint="default"/>
                <w:sz w:val="18"/>
                <w:szCs w:val="18"/>
              </w:rPr>
            </w:pPr>
            <w:r>
              <w:rPr>
                <w:rFonts w:ascii="宋体"/>
                <w:sz w:val="18"/>
              </w:rPr>
              <w:t> </w:t>
            </w:r>
          </w:p>
        </w:tc>
        <w:tc>
          <w:tcPr>
            <w:tcW w:w="1582" w:type="dxa"/>
            <w:tcBorders>
              <w:top w:val="single" w:sz="52" w:space="0" w:color="D9D9D9"/>
              <w:left w:val="single" w:sz="4" w:space="0" w:color="000000"/>
              <w:bottom w:val="single" w:sz="4" w:space="0" w:color="000000"/>
              <w:right w:val="single" w:sz="4" w:space="0" w:color="000000"/>
            </w:tcBorders>
          </w:tcPr>
          <w:p>
            <w:pPr>
              <w:pStyle w:val="TableParagraph"/>
              <w:spacing w:line="240" w:lineRule="auto" w:before="124"/>
              <w:ind w:right="50"/>
              <w:jc w:val="right"/>
              <w:rPr>
                <w:rFonts w:ascii="Arial Narrow" w:hAnsi="Arial Narrow" w:cs="Arial Narrow" w:eastAsia="Arial Narrow" w:hint="default"/>
                <w:sz w:val="18"/>
                <w:szCs w:val="18"/>
              </w:rPr>
            </w:pPr>
            <w:r>
              <w:rPr>
                <w:rFonts w:ascii="Arial Narrow"/>
                <w:spacing w:val="-1"/>
                <w:sz w:val="18"/>
              </w:rPr>
              <w:t>-15,549,464.00</w:t>
            </w:r>
          </w:p>
        </w:tc>
        <w:tc>
          <w:tcPr>
            <w:tcW w:w="1395" w:type="dxa"/>
            <w:tcBorders>
              <w:top w:val="single" w:sz="52" w:space="0" w:color="D9D9D9"/>
              <w:left w:val="single" w:sz="4" w:space="0" w:color="000000"/>
              <w:bottom w:val="single" w:sz="4" w:space="0" w:color="000000"/>
              <w:right w:val="single" w:sz="4" w:space="0" w:color="000000"/>
            </w:tcBorders>
          </w:tcPr>
          <w:p>
            <w:pPr>
              <w:pStyle w:val="TableParagraph"/>
              <w:spacing w:line="240" w:lineRule="auto" w:before="124"/>
              <w:ind w:right="50"/>
              <w:jc w:val="right"/>
              <w:rPr>
                <w:rFonts w:ascii="Arial Narrow" w:hAnsi="Arial Narrow" w:cs="Arial Narrow" w:eastAsia="Arial Narrow" w:hint="default"/>
                <w:sz w:val="18"/>
                <w:szCs w:val="18"/>
              </w:rPr>
            </w:pPr>
            <w:r>
              <w:rPr>
                <w:rFonts w:ascii="Arial Narrow"/>
                <w:spacing w:val="-1"/>
                <w:sz w:val="18"/>
              </w:rPr>
              <w:t>-15,549,464.00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75" w:right="0"/>
              <w:jc w:val="left"/>
              <w:rPr>
                <w:rFonts w:ascii="Arial Narrow" w:hAnsi="Arial Narrow" w:cs="Arial Narrow" w:eastAsia="Arial Narrow" w:hint="default"/>
                <w:sz w:val="18"/>
                <w:szCs w:val="18"/>
              </w:rPr>
            </w:pPr>
            <w:r>
              <w:rPr>
                <w:rFonts w:ascii="Arial Narrow"/>
                <w:sz w:val="18"/>
              </w:rPr>
              <w:t>290,752,509.00</w:t>
            </w:r>
          </w:p>
        </w:tc>
      </w:tr>
      <w:tr>
        <w:trPr>
          <w:trHeight w:val="350" w:hRule="exact"/>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40"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国家持股</w:t>
            </w:r>
          </w:p>
        </w:tc>
        <w:tc>
          <w:tcPr>
            <w:tcW w:w="133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29"/>
              <w:ind w:right="-40"/>
              <w:jc w:val="right"/>
              <w:rPr>
                <w:rFonts w:ascii="宋体" w:hAnsi="宋体" w:cs="宋体" w:eastAsia="宋体" w:hint="default"/>
                <w:sz w:val="18"/>
                <w:szCs w:val="18"/>
              </w:rPr>
            </w:pPr>
            <w:r>
              <w:rPr>
                <w:rFonts w:ascii="宋体"/>
                <w:sz w:val="18"/>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0"/>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0"/>
              <w:jc w:val="right"/>
              <w:rPr>
                <w:rFonts w:ascii="宋体" w:hAnsi="宋体" w:cs="宋体" w:eastAsia="宋体" w:hint="default"/>
                <w:sz w:val="18"/>
                <w:szCs w:val="18"/>
              </w:rPr>
            </w:pPr>
            <w:r>
              <w:rPr>
                <w:rFonts w:ascii="宋体"/>
                <w:sz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8"/>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0"/>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0"/>
              <w:jc w:val="right"/>
              <w:rPr>
                <w:rFonts w:ascii="宋体" w:hAnsi="宋体" w:cs="宋体" w:eastAsia="宋体" w:hint="default"/>
                <w:sz w:val="18"/>
                <w:szCs w:val="18"/>
              </w:rPr>
            </w:pPr>
            <w:r>
              <w:rPr>
                <w:rFonts w:ascii="宋体"/>
                <w:sz w:val="18"/>
              </w:rPr>
              <w:t>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0"/>
              <w:jc w:val="right"/>
              <w:rPr>
                <w:rFonts w:ascii="宋体" w:hAnsi="宋体" w:cs="宋体" w:eastAsia="宋体" w:hint="default"/>
                <w:sz w:val="18"/>
                <w:szCs w:val="18"/>
              </w:rPr>
            </w:pPr>
            <w:r>
              <w:rPr>
                <w:rFonts w:ascii="宋体"/>
                <w:sz w:val="18"/>
              </w:rPr>
              <w:t> </w:t>
            </w:r>
          </w:p>
        </w:tc>
      </w:tr>
      <w:tr>
        <w:trPr>
          <w:trHeight w:val="569" w:hRule="exact"/>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before="38"/>
              <w:ind w:left="40" w:right="2"/>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8"/>
                <w:sz w:val="18"/>
                <w:szCs w:val="18"/>
              </w:rPr>
              <w:t> </w:t>
            </w:r>
            <w:r>
              <w:rPr>
                <w:rFonts w:ascii="宋体" w:hAnsi="宋体" w:cs="宋体" w:eastAsia="宋体" w:hint="default"/>
                <w:spacing w:val="27"/>
                <w:sz w:val="18"/>
                <w:szCs w:val="18"/>
              </w:rPr>
              <w:t>国有法人</w:t>
            </w:r>
            <w:r>
              <w:rPr>
                <w:rFonts w:ascii="宋体" w:hAnsi="宋体" w:cs="宋体" w:eastAsia="宋体" w:hint="default"/>
                <w:spacing w:val="-54"/>
                <w:sz w:val="18"/>
                <w:szCs w:val="18"/>
              </w:rPr>
              <w:t> </w:t>
            </w:r>
            <w:r>
              <w:rPr>
                <w:rFonts w:ascii="宋体" w:hAnsi="宋体" w:cs="宋体" w:eastAsia="宋体" w:hint="default"/>
                <w:sz w:val="18"/>
                <w:szCs w:val="18"/>
              </w:rPr>
              <w:t>持股</w:t>
            </w:r>
          </w:p>
        </w:tc>
        <w:tc>
          <w:tcPr>
            <w:tcW w:w="133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8"/>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r>
      <w:tr>
        <w:trPr>
          <w:trHeight w:val="571" w:hRule="exact"/>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before="38"/>
              <w:ind w:left="40" w:right="2"/>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8"/>
                <w:sz w:val="18"/>
                <w:szCs w:val="18"/>
              </w:rPr>
              <w:t> </w:t>
            </w:r>
            <w:r>
              <w:rPr>
                <w:rFonts w:ascii="宋体" w:hAnsi="宋体" w:cs="宋体" w:eastAsia="宋体" w:hint="default"/>
                <w:spacing w:val="27"/>
                <w:sz w:val="18"/>
                <w:szCs w:val="18"/>
              </w:rPr>
              <w:t>其他内资</w:t>
            </w:r>
            <w:r>
              <w:rPr>
                <w:rFonts w:ascii="宋体" w:hAnsi="宋体" w:cs="宋体" w:eastAsia="宋体" w:hint="default"/>
                <w:spacing w:val="-54"/>
                <w:sz w:val="18"/>
                <w:szCs w:val="18"/>
              </w:rPr>
              <w:t> </w:t>
            </w:r>
            <w:r>
              <w:rPr>
                <w:rFonts w:ascii="宋体" w:hAnsi="宋体" w:cs="宋体" w:eastAsia="宋体" w:hint="default"/>
                <w:sz w:val="18"/>
                <w:szCs w:val="18"/>
              </w:rPr>
              <w:t>持股</w:t>
            </w:r>
          </w:p>
        </w:tc>
        <w:tc>
          <w:tcPr>
            <w:tcW w:w="133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9" w:right="0"/>
              <w:jc w:val="left"/>
              <w:rPr>
                <w:rFonts w:ascii="Arial Narrow" w:hAnsi="Arial Narrow" w:cs="Arial Narrow" w:eastAsia="Arial Narrow" w:hint="default"/>
                <w:sz w:val="18"/>
                <w:szCs w:val="18"/>
              </w:rPr>
            </w:pPr>
            <w:r>
              <w:rPr>
                <w:rFonts w:ascii="Arial Narrow"/>
                <w:sz w:val="18"/>
              </w:rPr>
              <w:t>306,301,973.00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8"/>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1"/>
                <w:sz w:val="18"/>
              </w:rPr>
              <w:t>-15,549,464.00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1"/>
                <w:sz w:val="18"/>
              </w:rPr>
              <w:t>-15,549,464.00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75" w:right="0"/>
              <w:jc w:val="left"/>
              <w:rPr>
                <w:rFonts w:ascii="Arial Narrow" w:hAnsi="Arial Narrow" w:cs="Arial Narrow" w:eastAsia="Arial Narrow" w:hint="default"/>
                <w:sz w:val="18"/>
                <w:szCs w:val="18"/>
              </w:rPr>
            </w:pPr>
            <w:r>
              <w:rPr>
                <w:rFonts w:ascii="Arial Narrow"/>
                <w:sz w:val="18"/>
              </w:rPr>
              <w:t>290,752,509.00</w:t>
            </w:r>
          </w:p>
        </w:tc>
      </w:tr>
      <w:tr>
        <w:trPr>
          <w:trHeight w:val="350" w:hRule="exact"/>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40"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29"/>
              <w:ind w:right="-40"/>
              <w:jc w:val="right"/>
              <w:rPr>
                <w:rFonts w:ascii="宋体" w:hAnsi="宋体" w:cs="宋体" w:eastAsia="宋体" w:hint="default"/>
                <w:sz w:val="18"/>
                <w:szCs w:val="18"/>
              </w:rPr>
            </w:pPr>
            <w:r>
              <w:rPr>
                <w:rFonts w:ascii="宋体"/>
                <w:sz w:val="18"/>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0"/>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0"/>
              <w:jc w:val="right"/>
              <w:rPr>
                <w:rFonts w:ascii="宋体" w:hAnsi="宋体" w:cs="宋体" w:eastAsia="宋体" w:hint="default"/>
                <w:sz w:val="18"/>
                <w:szCs w:val="18"/>
              </w:rPr>
            </w:pPr>
            <w:r>
              <w:rPr>
                <w:rFonts w:ascii="宋体"/>
                <w:sz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8"/>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0"/>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0"/>
              <w:jc w:val="right"/>
              <w:rPr>
                <w:rFonts w:ascii="宋体" w:hAnsi="宋体" w:cs="宋体" w:eastAsia="宋体" w:hint="default"/>
                <w:sz w:val="18"/>
                <w:szCs w:val="18"/>
              </w:rPr>
            </w:pPr>
            <w:r>
              <w:rPr>
                <w:rFonts w:ascii="宋体"/>
                <w:sz w:val="18"/>
              </w:rPr>
              <w:t>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0"/>
              <w:jc w:val="right"/>
              <w:rPr>
                <w:rFonts w:ascii="宋体" w:hAnsi="宋体" w:cs="宋体" w:eastAsia="宋体" w:hint="default"/>
                <w:sz w:val="18"/>
                <w:szCs w:val="18"/>
              </w:rPr>
            </w:pPr>
            <w:r>
              <w:rPr>
                <w:rFonts w:ascii="宋体"/>
                <w:sz w:val="18"/>
              </w:rPr>
              <w:t> </w:t>
            </w:r>
          </w:p>
        </w:tc>
      </w:tr>
      <w:tr>
        <w:trPr>
          <w:trHeight w:val="569" w:hRule="exact"/>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auto" w:before="20"/>
              <w:ind w:left="40" w:right="0"/>
              <w:jc w:val="left"/>
              <w:rPr>
                <w:rFonts w:ascii="宋体" w:hAnsi="宋体" w:cs="宋体" w:eastAsia="宋体" w:hint="default"/>
                <w:sz w:val="18"/>
                <w:szCs w:val="18"/>
              </w:rPr>
            </w:pPr>
            <w:r>
              <w:rPr>
                <w:rFonts w:ascii="宋体" w:hAnsi="宋体" w:cs="宋体" w:eastAsia="宋体" w:hint="default"/>
                <w:spacing w:val="28"/>
                <w:sz w:val="18"/>
                <w:szCs w:val="18"/>
              </w:rPr>
              <w:t>境内法人持</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133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23" w:right="0"/>
              <w:jc w:val="left"/>
              <w:rPr>
                <w:rFonts w:ascii="Arial Narrow" w:hAnsi="Arial Narrow" w:cs="Arial Narrow" w:eastAsia="Arial Narrow" w:hint="default"/>
                <w:sz w:val="18"/>
                <w:szCs w:val="18"/>
              </w:rPr>
            </w:pPr>
            <w:r>
              <w:rPr>
                <w:rFonts w:ascii="Arial Narrow"/>
                <w:sz w:val="18"/>
              </w:rPr>
              <w:t>37,684,882.00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8"/>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9"/>
              <w:jc w:val="right"/>
              <w:rPr>
                <w:rFonts w:ascii="Arial Narrow" w:hAnsi="Arial Narrow" w:cs="Arial Narrow" w:eastAsia="Arial Narrow" w:hint="default"/>
                <w:sz w:val="18"/>
                <w:szCs w:val="18"/>
              </w:rPr>
            </w:pPr>
            <w:r>
              <w:rPr>
                <w:rFonts w:ascii="Arial Narrow"/>
                <w:spacing w:val="-1"/>
                <w:sz w:val="18"/>
              </w:rPr>
              <w:t>5,813,953.00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1"/>
                <w:sz w:val="18"/>
              </w:rPr>
              <w:t>5,813,953.00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59" w:right="0"/>
              <w:jc w:val="left"/>
              <w:rPr>
                <w:rFonts w:ascii="Arial Narrow" w:hAnsi="Arial Narrow" w:cs="Arial Narrow" w:eastAsia="Arial Narrow" w:hint="default"/>
                <w:sz w:val="18"/>
                <w:szCs w:val="18"/>
              </w:rPr>
            </w:pPr>
            <w:r>
              <w:rPr>
                <w:rFonts w:ascii="Arial Narrow"/>
                <w:sz w:val="18"/>
              </w:rPr>
              <w:t>43,498,835.00</w:t>
            </w:r>
          </w:p>
        </w:tc>
      </w:tr>
      <w:tr>
        <w:trPr>
          <w:trHeight w:val="572" w:hRule="exact"/>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20"/>
              <w:ind w:left="40" w:right="0"/>
              <w:jc w:val="left"/>
              <w:rPr>
                <w:rFonts w:ascii="宋体" w:hAnsi="宋体" w:cs="宋体" w:eastAsia="宋体" w:hint="default"/>
                <w:sz w:val="18"/>
                <w:szCs w:val="18"/>
              </w:rPr>
            </w:pPr>
            <w:r>
              <w:rPr>
                <w:rFonts w:ascii="宋体" w:hAnsi="宋体" w:cs="宋体" w:eastAsia="宋体" w:hint="default"/>
                <w:spacing w:val="28"/>
                <w:sz w:val="18"/>
                <w:szCs w:val="18"/>
              </w:rPr>
              <w:t>境内自然人</w:t>
            </w:r>
            <w:r>
              <w:rPr>
                <w:rFonts w:ascii="宋体" w:hAnsi="宋体" w:cs="宋体" w:eastAsia="宋体" w:hint="default"/>
                <w:spacing w:val="-86"/>
                <w:sz w:val="18"/>
                <w:szCs w:val="18"/>
              </w:rPr>
              <w:t> </w:t>
            </w:r>
            <w:r>
              <w:rPr>
                <w:rFonts w:ascii="宋体" w:hAnsi="宋体" w:cs="宋体" w:eastAsia="宋体" w:hint="default"/>
                <w:sz w:val="18"/>
                <w:szCs w:val="18"/>
              </w:rPr>
              <w:t>持股</w:t>
            </w:r>
          </w:p>
        </w:tc>
        <w:tc>
          <w:tcPr>
            <w:tcW w:w="133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9" w:right="0"/>
              <w:jc w:val="left"/>
              <w:rPr>
                <w:rFonts w:ascii="Arial Narrow" w:hAnsi="Arial Narrow" w:cs="Arial Narrow" w:eastAsia="Arial Narrow" w:hint="default"/>
                <w:sz w:val="18"/>
                <w:szCs w:val="18"/>
              </w:rPr>
            </w:pPr>
            <w:r>
              <w:rPr>
                <w:rFonts w:ascii="Arial Narrow"/>
                <w:sz w:val="18"/>
              </w:rPr>
              <w:t>268,617,091.00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8"/>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1"/>
                <w:sz w:val="18"/>
              </w:rPr>
              <w:t>-21,363,417.00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1"/>
                <w:sz w:val="18"/>
              </w:rPr>
              <w:t>-21,363,417.00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75" w:right="0"/>
              <w:jc w:val="left"/>
              <w:rPr>
                <w:rFonts w:ascii="Arial Narrow" w:hAnsi="Arial Narrow" w:cs="Arial Narrow" w:eastAsia="Arial Narrow" w:hint="default"/>
                <w:sz w:val="18"/>
                <w:szCs w:val="18"/>
              </w:rPr>
            </w:pPr>
            <w:r>
              <w:rPr>
                <w:rFonts w:ascii="Arial Narrow"/>
                <w:sz w:val="18"/>
              </w:rPr>
              <w:t>247,253,674.00</w:t>
            </w:r>
          </w:p>
        </w:tc>
      </w:tr>
      <w:tr>
        <w:trPr>
          <w:trHeight w:val="348" w:hRule="exact"/>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40"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外资持股</w:t>
            </w:r>
          </w:p>
        </w:tc>
        <w:tc>
          <w:tcPr>
            <w:tcW w:w="133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29"/>
              <w:ind w:right="-40"/>
              <w:jc w:val="right"/>
              <w:rPr>
                <w:rFonts w:ascii="宋体" w:hAnsi="宋体" w:cs="宋体" w:eastAsia="宋体" w:hint="default"/>
                <w:sz w:val="18"/>
                <w:szCs w:val="18"/>
              </w:rPr>
            </w:pPr>
            <w:r>
              <w:rPr>
                <w:rFonts w:ascii="宋体"/>
                <w:sz w:val="18"/>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0"/>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0"/>
              <w:jc w:val="right"/>
              <w:rPr>
                <w:rFonts w:ascii="宋体" w:hAnsi="宋体" w:cs="宋体" w:eastAsia="宋体" w:hint="default"/>
                <w:sz w:val="18"/>
                <w:szCs w:val="18"/>
              </w:rPr>
            </w:pPr>
            <w:r>
              <w:rPr>
                <w:rFonts w:ascii="宋体"/>
                <w:sz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8"/>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0"/>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0"/>
              <w:jc w:val="right"/>
              <w:rPr>
                <w:rFonts w:ascii="宋体" w:hAnsi="宋体" w:cs="宋体" w:eastAsia="宋体" w:hint="default"/>
                <w:sz w:val="18"/>
                <w:szCs w:val="18"/>
              </w:rPr>
            </w:pPr>
            <w:r>
              <w:rPr>
                <w:rFonts w:ascii="宋体"/>
                <w:sz w:val="18"/>
              </w:rPr>
              <w:t>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0"/>
              <w:jc w:val="right"/>
              <w:rPr>
                <w:rFonts w:ascii="宋体" w:hAnsi="宋体" w:cs="宋体" w:eastAsia="宋体" w:hint="default"/>
                <w:sz w:val="18"/>
                <w:szCs w:val="18"/>
              </w:rPr>
            </w:pPr>
            <w:r>
              <w:rPr>
                <w:rFonts w:ascii="宋体"/>
                <w:sz w:val="18"/>
              </w:rPr>
              <w:t> </w:t>
            </w:r>
          </w:p>
        </w:tc>
      </w:tr>
      <w:tr>
        <w:trPr>
          <w:trHeight w:val="350" w:hRule="exact"/>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2"/>
              <w:ind w:left="40"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32"/>
              <w:ind w:right="-40"/>
              <w:jc w:val="right"/>
              <w:rPr>
                <w:rFonts w:ascii="宋体" w:hAnsi="宋体" w:cs="宋体" w:eastAsia="宋体" w:hint="default"/>
                <w:sz w:val="18"/>
                <w:szCs w:val="18"/>
              </w:rPr>
            </w:pPr>
            <w:r>
              <w:rPr>
                <w:rFonts w:ascii="宋体"/>
                <w:sz w:val="18"/>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0"/>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0"/>
              <w:jc w:val="right"/>
              <w:rPr>
                <w:rFonts w:ascii="宋体" w:hAnsi="宋体" w:cs="宋体" w:eastAsia="宋体" w:hint="default"/>
                <w:sz w:val="18"/>
                <w:szCs w:val="18"/>
              </w:rPr>
            </w:pPr>
            <w:r>
              <w:rPr>
                <w:rFonts w:ascii="宋体"/>
                <w:sz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8"/>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0"/>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0"/>
              <w:jc w:val="right"/>
              <w:rPr>
                <w:rFonts w:ascii="宋体" w:hAnsi="宋体" w:cs="宋体" w:eastAsia="宋体" w:hint="default"/>
                <w:sz w:val="18"/>
                <w:szCs w:val="18"/>
              </w:rPr>
            </w:pPr>
            <w:r>
              <w:rPr>
                <w:rFonts w:ascii="宋体"/>
                <w:sz w:val="18"/>
              </w:rPr>
              <w:t>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0"/>
              <w:jc w:val="right"/>
              <w:rPr>
                <w:rFonts w:ascii="宋体" w:hAnsi="宋体" w:cs="宋体" w:eastAsia="宋体" w:hint="default"/>
                <w:sz w:val="18"/>
                <w:szCs w:val="18"/>
              </w:rPr>
            </w:pPr>
            <w:r>
              <w:rPr>
                <w:rFonts w:ascii="宋体"/>
                <w:sz w:val="18"/>
              </w:rPr>
              <w:t> </w:t>
            </w:r>
          </w:p>
        </w:tc>
      </w:tr>
      <w:tr>
        <w:trPr>
          <w:trHeight w:val="571" w:hRule="exact"/>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20"/>
              <w:ind w:left="40" w:right="0"/>
              <w:jc w:val="left"/>
              <w:rPr>
                <w:rFonts w:ascii="宋体" w:hAnsi="宋体" w:cs="宋体" w:eastAsia="宋体" w:hint="default"/>
                <w:sz w:val="18"/>
                <w:szCs w:val="18"/>
              </w:rPr>
            </w:pPr>
            <w:r>
              <w:rPr>
                <w:rFonts w:ascii="宋体" w:hAnsi="宋体" w:cs="宋体" w:eastAsia="宋体" w:hint="default"/>
                <w:spacing w:val="28"/>
                <w:sz w:val="18"/>
                <w:szCs w:val="18"/>
              </w:rPr>
              <w:t>境外法人持</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133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8"/>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r>
      <w:tr>
        <w:trPr>
          <w:trHeight w:val="569" w:hRule="exact"/>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20"/>
              <w:ind w:left="40" w:right="0"/>
              <w:jc w:val="left"/>
              <w:rPr>
                <w:rFonts w:ascii="宋体" w:hAnsi="宋体" w:cs="宋体" w:eastAsia="宋体" w:hint="default"/>
                <w:sz w:val="18"/>
                <w:szCs w:val="18"/>
              </w:rPr>
            </w:pPr>
            <w:r>
              <w:rPr>
                <w:rFonts w:ascii="宋体" w:hAnsi="宋体" w:cs="宋体" w:eastAsia="宋体" w:hint="default"/>
                <w:spacing w:val="28"/>
                <w:sz w:val="18"/>
                <w:szCs w:val="18"/>
              </w:rPr>
              <w:t>境外自然人</w:t>
            </w:r>
            <w:r>
              <w:rPr>
                <w:rFonts w:ascii="宋体" w:hAnsi="宋体" w:cs="宋体" w:eastAsia="宋体" w:hint="default"/>
                <w:spacing w:val="-86"/>
                <w:sz w:val="18"/>
                <w:szCs w:val="18"/>
              </w:rPr>
              <w:t> </w:t>
            </w:r>
            <w:r>
              <w:rPr>
                <w:rFonts w:ascii="宋体" w:hAnsi="宋体" w:cs="宋体" w:eastAsia="宋体" w:hint="default"/>
                <w:sz w:val="18"/>
                <w:szCs w:val="18"/>
              </w:rPr>
              <w:t>持股</w:t>
            </w:r>
          </w:p>
        </w:tc>
        <w:tc>
          <w:tcPr>
            <w:tcW w:w="133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8"/>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r>
      <w:tr>
        <w:trPr>
          <w:trHeight w:val="571" w:hRule="exact"/>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20"/>
              <w:ind w:left="40" w:right="0"/>
              <w:jc w:val="left"/>
              <w:rPr>
                <w:rFonts w:ascii="宋体" w:hAnsi="宋体" w:cs="宋体" w:eastAsia="宋体" w:hint="default"/>
                <w:sz w:val="18"/>
                <w:szCs w:val="18"/>
              </w:rPr>
            </w:pPr>
            <w:r>
              <w:rPr>
                <w:rFonts w:ascii="宋体" w:hAnsi="宋体" w:cs="宋体" w:eastAsia="宋体" w:hint="default"/>
                <w:spacing w:val="28"/>
                <w:sz w:val="18"/>
                <w:szCs w:val="18"/>
              </w:rPr>
              <w:t>有限售条件</w:t>
            </w:r>
            <w:r>
              <w:rPr>
                <w:rFonts w:ascii="宋体" w:hAnsi="宋体" w:cs="宋体" w:eastAsia="宋体" w:hint="default"/>
                <w:spacing w:val="-86"/>
                <w:sz w:val="18"/>
                <w:szCs w:val="18"/>
              </w:rPr>
              <w:t> </w:t>
            </w:r>
            <w:r>
              <w:rPr>
                <w:rFonts w:ascii="宋体" w:hAnsi="宋体" w:cs="宋体" w:eastAsia="宋体" w:hint="default"/>
                <w:sz w:val="18"/>
                <w:szCs w:val="18"/>
              </w:rPr>
              <w:t>股份合计</w:t>
            </w:r>
          </w:p>
        </w:tc>
        <w:tc>
          <w:tcPr>
            <w:tcW w:w="133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8"/>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r>
      <w:tr>
        <w:trPr>
          <w:trHeight w:val="569" w:hRule="exact"/>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before="38"/>
              <w:ind w:left="40" w:right="27"/>
              <w:jc w:val="left"/>
              <w:rPr>
                <w:rFonts w:ascii="宋体" w:hAnsi="宋体" w:cs="宋体" w:eastAsia="宋体" w:hint="default"/>
                <w:sz w:val="18"/>
                <w:szCs w:val="18"/>
              </w:rPr>
            </w:pPr>
            <w:r>
              <w:rPr>
                <w:rFonts w:ascii="Arial Narrow" w:hAnsi="Arial Narrow" w:cs="Arial Narrow" w:eastAsia="Arial Narrow" w:hint="default"/>
                <w:spacing w:val="11"/>
                <w:sz w:val="18"/>
                <w:szCs w:val="18"/>
              </w:rPr>
              <w:t>2</w:t>
            </w:r>
            <w:r>
              <w:rPr>
                <w:rFonts w:ascii="宋体" w:hAnsi="宋体" w:cs="宋体" w:eastAsia="宋体" w:hint="default"/>
                <w:spacing w:val="11"/>
                <w:sz w:val="18"/>
                <w:szCs w:val="18"/>
              </w:rPr>
              <w:t>．无限售条</w:t>
            </w:r>
            <w:r>
              <w:rPr>
                <w:rFonts w:ascii="宋体" w:hAnsi="宋体" w:cs="宋体" w:eastAsia="宋体" w:hint="default"/>
                <w:spacing w:val="-86"/>
                <w:sz w:val="18"/>
                <w:szCs w:val="18"/>
              </w:rPr>
              <w:t> </w:t>
            </w:r>
            <w:r>
              <w:rPr>
                <w:rFonts w:ascii="宋体" w:hAnsi="宋体" w:cs="宋体" w:eastAsia="宋体" w:hint="default"/>
                <w:sz w:val="18"/>
                <w:szCs w:val="18"/>
              </w:rPr>
              <w:t>件流通股份</w:t>
            </w:r>
          </w:p>
        </w:tc>
        <w:tc>
          <w:tcPr>
            <w:tcW w:w="133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9" w:right="0"/>
              <w:jc w:val="left"/>
              <w:rPr>
                <w:rFonts w:ascii="Arial Narrow" w:hAnsi="Arial Narrow" w:cs="Arial Narrow" w:eastAsia="Arial Narrow" w:hint="default"/>
                <w:sz w:val="18"/>
                <w:szCs w:val="18"/>
              </w:rPr>
            </w:pPr>
            <w:r>
              <w:rPr>
                <w:rFonts w:ascii="Arial Narrow"/>
                <w:sz w:val="18"/>
              </w:rPr>
              <w:t>270,080,144.00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8"/>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9"/>
              <w:jc w:val="right"/>
              <w:rPr>
                <w:rFonts w:ascii="Arial Narrow" w:hAnsi="Arial Narrow" w:cs="Arial Narrow" w:eastAsia="Arial Narrow" w:hint="default"/>
                <w:sz w:val="18"/>
                <w:szCs w:val="18"/>
              </w:rPr>
            </w:pPr>
            <w:r>
              <w:rPr>
                <w:rFonts w:ascii="Arial Narrow"/>
                <w:spacing w:val="-2"/>
                <w:sz w:val="18"/>
              </w:rPr>
              <w:t>18,511,137.00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2"/>
                <w:sz w:val="18"/>
              </w:rPr>
              <w:t>18,511,137.00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75" w:right="0"/>
              <w:jc w:val="left"/>
              <w:rPr>
                <w:rFonts w:ascii="Arial Narrow" w:hAnsi="Arial Narrow" w:cs="Arial Narrow" w:eastAsia="Arial Narrow" w:hint="default"/>
                <w:sz w:val="18"/>
                <w:szCs w:val="18"/>
              </w:rPr>
            </w:pPr>
            <w:r>
              <w:rPr>
                <w:rFonts w:ascii="Arial Narrow"/>
                <w:sz w:val="18"/>
              </w:rPr>
              <w:t>288,591,281.00</w:t>
            </w:r>
          </w:p>
        </w:tc>
      </w:tr>
      <w:tr>
        <w:trPr>
          <w:trHeight w:val="572" w:hRule="exact"/>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before="38"/>
              <w:ind w:left="40" w:right="2"/>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pacing w:val="27"/>
                <w:sz w:val="18"/>
                <w:szCs w:val="18"/>
              </w:rPr>
              <w:t>人民币普</w:t>
            </w:r>
            <w:r>
              <w:rPr>
                <w:rFonts w:ascii="宋体" w:hAnsi="宋体" w:cs="宋体" w:eastAsia="宋体" w:hint="default"/>
                <w:spacing w:val="-54"/>
                <w:sz w:val="18"/>
                <w:szCs w:val="18"/>
              </w:rPr>
              <w:t> </w:t>
            </w:r>
            <w:r>
              <w:rPr>
                <w:rFonts w:ascii="宋体" w:hAnsi="宋体" w:cs="宋体" w:eastAsia="宋体" w:hint="default"/>
                <w:sz w:val="18"/>
                <w:szCs w:val="18"/>
              </w:rPr>
              <w:t>通股</w:t>
            </w:r>
          </w:p>
        </w:tc>
        <w:tc>
          <w:tcPr>
            <w:tcW w:w="133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9" w:right="0"/>
              <w:jc w:val="left"/>
              <w:rPr>
                <w:rFonts w:ascii="Arial Narrow" w:hAnsi="Arial Narrow" w:cs="Arial Narrow" w:eastAsia="Arial Narrow" w:hint="default"/>
                <w:sz w:val="18"/>
                <w:szCs w:val="18"/>
              </w:rPr>
            </w:pPr>
            <w:r>
              <w:rPr>
                <w:rFonts w:ascii="Arial Narrow"/>
                <w:sz w:val="18"/>
              </w:rPr>
              <w:t>270,080,144.00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8"/>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9"/>
              <w:jc w:val="right"/>
              <w:rPr>
                <w:rFonts w:ascii="Arial Narrow" w:hAnsi="Arial Narrow" w:cs="Arial Narrow" w:eastAsia="Arial Narrow" w:hint="default"/>
                <w:sz w:val="18"/>
                <w:szCs w:val="18"/>
              </w:rPr>
            </w:pPr>
            <w:r>
              <w:rPr>
                <w:rFonts w:ascii="Arial Narrow"/>
                <w:spacing w:val="-2"/>
                <w:sz w:val="18"/>
              </w:rPr>
              <w:t>18,511,137.00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2"/>
                <w:sz w:val="18"/>
              </w:rPr>
              <w:t>18,511,137.00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75" w:right="0"/>
              <w:jc w:val="left"/>
              <w:rPr>
                <w:rFonts w:ascii="Arial Narrow" w:hAnsi="Arial Narrow" w:cs="Arial Narrow" w:eastAsia="Arial Narrow" w:hint="default"/>
                <w:sz w:val="18"/>
                <w:szCs w:val="18"/>
              </w:rPr>
            </w:pPr>
            <w:r>
              <w:rPr>
                <w:rFonts w:ascii="Arial Narrow"/>
                <w:sz w:val="18"/>
              </w:rPr>
              <w:t>288,591,281.00</w:t>
            </w:r>
          </w:p>
        </w:tc>
      </w:tr>
      <w:tr>
        <w:trPr>
          <w:trHeight w:val="569" w:hRule="exact"/>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before="38"/>
              <w:ind w:left="40" w:right="2"/>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8"/>
                <w:sz w:val="18"/>
                <w:szCs w:val="18"/>
              </w:rPr>
              <w:t> </w:t>
            </w:r>
            <w:r>
              <w:rPr>
                <w:rFonts w:ascii="宋体" w:hAnsi="宋体" w:cs="宋体" w:eastAsia="宋体" w:hint="default"/>
                <w:spacing w:val="27"/>
                <w:sz w:val="18"/>
                <w:szCs w:val="18"/>
              </w:rPr>
              <w:t>境内上市</w:t>
            </w:r>
            <w:r>
              <w:rPr>
                <w:rFonts w:ascii="宋体" w:hAnsi="宋体" w:cs="宋体" w:eastAsia="宋体" w:hint="default"/>
                <w:spacing w:val="-54"/>
                <w:sz w:val="18"/>
                <w:szCs w:val="18"/>
              </w:rPr>
              <w:t> </w:t>
            </w:r>
            <w:r>
              <w:rPr>
                <w:rFonts w:ascii="宋体" w:hAnsi="宋体" w:cs="宋体" w:eastAsia="宋体" w:hint="default"/>
                <w:sz w:val="18"/>
                <w:szCs w:val="18"/>
              </w:rPr>
              <w:t>的外资股</w:t>
            </w:r>
          </w:p>
        </w:tc>
        <w:tc>
          <w:tcPr>
            <w:tcW w:w="133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8"/>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r>
      <w:tr>
        <w:trPr>
          <w:trHeight w:val="571" w:hRule="exact"/>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before="38"/>
              <w:ind w:left="40" w:right="2"/>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8"/>
                <w:sz w:val="18"/>
                <w:szCs w:val="18"/>
              </w:rPr>
              <w:t> </w:t>
            </w:r>
            <w:r>
              <w:rPr>
                <w:rFonts w:ascii="宋体" w:hAnsi="宋体" w:cs="宋体" w:eastAsia="宋体" w:hint="default"/>
                <w:spacing w:val="27"/>
                <w:sz w:val="18"/>
                <w:szCs w:val="18"/>
              </w:rPr>
              <w:t>境外上市</w:t>
            </w:r>
            <w:r>
              <w:rPr>
                <w:rFonts w:ascii="宋体" w:hAnsi="宋体" w:cs="宋体" w:eastAsia="宋体" w:hint="default"/>
                <w:spacing w:val="-54"/>
                <w:sz w:val="18"/>
                <w:szCs w:val="18"/>
              </w:rPr>
              <w:t> </w:t>
            </w:r>
            <w:r>
              <w:rPr>
                <w:rFonts w:ascii="宋体" w:hAnsi="宋体" w:cs="宋体" w:eastAsia="宋体" w:hint="default"/>
                <w:sz w:val="18"/>
                <w:szCs w:val="18"/>
              </w:rPr>
              <w:t>的外资股</w:t>
            </w:r>
          </w:p>
        </w:tc>
        <w:tc>
          <w:tcPr>
            <w:tcW w:w="133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8"/>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0"/>
              <w:jc w:val="right"/>
              <w:rPr>
                <w:rFonts w:ascii="宋体" w:hAnsi="宋体" w:cs="宋体" w:eastAsia="宋体" w:hint="default"/>
                <w:sz w:val="18"/>
                <w:szCs w:val="18"/>
              </w:rPr>
            </w:pPr>
            <w:r>
              <w:rPr>
                <w:rFonts w:ascii="宋体"/>
                <w:sz w:val="18"/>
              </w:rPr>
              <w:t> </w:t>
            </w:r>
          </w:p>
        </w:tc>
      </w:tr>
      <w:tr>
        <w:trPr>
          <w:trHeight w:val="350" w:hRule="exact"/>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40"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其他</w:t>
            </w:r>
          </w:p>
        </w:tc>
        <w:tc>
          <w:tcPr>
            <w:tcW w:w="133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29"/>
              <w:ind w:right="-40"/>
              <w:jc w:val="right"/>
              <w:rPr>
                <w:rFonts w:ascii="宋体" w:hAnsi="宋体" w:cs="宋体" w:eastAsia="宋体" w:hint="default"/>
                <w:sz w:val="18"/>
                <w:szCs w:val="18"/>
              </w:rPr>
            </w:pPr>
            <w:r>
              <w:rPr>
                <w:rFonts w:ascii="宋体"/>
                <w:sz w:val="18"/>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0"/>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0"/>
              <w:jc w:val="right"/>
              <w:rPr>
                <w:rFonts w:ascii="宋体" w:hAnsi="宋体" w:cs="宋体" w:eastAsia="宋体" w:hint="default"/>
                <w:sz w:val="18"/>
                <w:szCs w:val="18"/>
              </w:rPr>
            </w:pPr>
            <w:r>
              <w:rPr>
                <w:rFonts w:ascii="宋体"/>
                <w:sz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8"/>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0"/>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0"/>
              <w:jc w:val="right"/>
              <w:rPr>
                <w:rFonts w:ascii="宋体" w:hAnsi="宋体" w:cs="宋体" w:eastAsia="宋体" w:hint="default"/>
                <w:sz w:val="18"/>
                <w:szCs w:val="18"/>
              </w:rPr>
            </w:pPr>
            <w:r>
              <w:rPr>
                <w:rFonts w:ascii="宋体"/>
                <w:sz w:val="18"/>
              </w:rPr>
              <w:t>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0"/>
              <w:jc w:val="right"/>
              <w:rPr>
                <w:rFonts w:ascii="宋体" w:hAnsi="宋体" w:cs="宋体" w:eastAsia="宋体" w:hint="default"/>
                <w:sz w:val="18"/>
                <w:szCs w:val="18"/>
              </w:rPr>
            </w:pPr>
            <w:r>
              <w:rPr>
                <w:rFonts w:ascii="宋体"/>
                <w:sz w:val="18"/>
              </w:rPr>
              <w:t> </w:t>
            </w:r>
          </w:p>
        </w:tc>
      </w:tr>
      <w:tr>
        <w:trPr>
          <w:trHeight w:val="809" w:hRule="exact"/>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auto" w:before="20"/>
              <w:ind w:left="40" w:right="0"/>
              <w:jc w:val="both"/>
              <w:rPr>
                <w:rFonts w:ascii="宋体" w:hAnsi="宋体" w:cs="宋体" w:eastAsia="宋体" w:hint="default"/>
                <w:sz w:val="18"/>
                <w:szCs w:val="18"/>
              </w:rPr>
            </w:pPr>
            <w:r>
              <w:rPr>
                <w:rFonts w:ascii="宋体" w:hAnsi="宋体" w:cs="宋体" w:eastAsia="宋体" w:hint="default"/>
                <w:spacing w:val="28"/>
                <w:sz w:val="18"/>
                <w:szCs w:val="18"/>
              </w:rPr>
              <w:t>无限售条件</w:t>
            </w:r>
            <w:r>
              <w:rPr>
                <w:rFonts w:ascii="宋体" w:hAnsi="宋体" w:cs="宋体" w:eastAsia="宋体" w:hint="default"/>
                <w:spacing w:val="-86"/>
                <w:sz w:val="18"/>
                <w:szCs w:val="18"/>
              </w:rPr>
              <w:t> </w:t>
            </w:r>
            <w:r>
              <w:rPr>
                <w:rFonts w:ascii="宋体" w:hAnsi="宋体" w:cs="宋体" w:eastAsia="宋体" w:hint="default"/>
                <w:spacing w:val="28"/>
                <w:sz w:val="18"/>
                <w:szCs w:val="18"/>
              </w:rPr>
              <w:t>流通股份合</w:t>
            </w:r>
            <w:r>
              <w:rPr>
                <w:rFonts w:ascii="宋体" w:hAnsi="宋体" w:cs="宋体" w:eastAsia="宋体" w:hint="default"/>
                <w:spacing w:val="-86"/>
                <w:sz w:val="18"/>
                <w:szCs w:val="18"/>
              </w:rPr>
              <w:t> </w:t>
            </w:r>
            <w:r>
              <w:rPr>
                <w:rFonts w:ascii="宋体" w:hAnsi="宋体" w:cs="宋体" w:eastAsia="宋体" w:hint="default"/>
                <w:sz w:val="18"/>
                <w:szCs w:val="18"/>
              </w:rPr>
              <w:t>计</w:t>
            </w:r>
          </w:p>
        </w:tc>
        <w:tc>
          <w:tcPr>
            <w:tcW w:w="133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0"/>
              <w:jc w:val="right"/>
              <w:rPr>
                <w:rFonts w:ascii="宋体" w:hAnsi="宋体" w:cs="宋体" w:eastAsia="宋体" w:hint="default"/>
                <w:sz w:val="18"/>
                <w:szCs w:val="18"/>
              </w:rPr>
            </w:pPr>
            <w:r>
              <w:rPr>
                <w:rFonts w:ascii="宋体"/>
                <w:sz w:val="18"/>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0"/>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0"/>
              <w:jc w:val="right"/>
              <w:rPr>
                <w:rFonts w:ascii="宋体" w:hAnsi="宋体" w:cs="宋体" w:eastAsia="宋体" w:hint="default"/>
                <w:sz w:val="18"/>
                <w:szCs w:val="18"/>
              </w:rPr>
            </w:pPr>
            <w:r>
              <w:rPr>
                <w:rFonts w:ascii="宋体"/>
                <w:sz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8"/>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0"/>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0"/>
              <w:jc w:val="right"/>
              <w:rPr>
                <w:rFonts w:ascii="宋体" w:hAnsi="宋体" w:cs="宋体" w:eastAsia="宋体" w:hint="default"/>
                <w:sz w:val="18"/>
                <w:szCs w:val="18"/>
              </w:rPr>
            </w:pPr>
            <w:r>
              <w:rPr>
                <w:rFonts w:ascii="宋体"/>
                <w:sz w:val="18"/>
              </w:rPr>
              <w:t>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0"/>
              <w:jc w:val="right"/>
              <w:rPr>
                <w:rFonts w:ascii="宋体" w:hAnsi="宋体" w:cs="宋体" w:eastAsia="宋体" w:hint="default"/>
                <w:sz w:val="18"/>
                <w:szCs w:val="18"/>
              </w:rPr>
            </w:pPr>
            <w:r>
              <w:rPr>
                <w:rFonts w:ascii="宋体"/>
                <w:sz w:val="18"/>
              </w:rPr>
              <w:t> </w:t>
            </w:r>
          </w:p>
        </w:tc>
      </w:tr>
      <w:tr>
        <w:trPr>
          <w:trHeight w:val="350" w:hRule="exact"/>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1"/>
              <w:ind w:left="251" w:right="0"/>
              <w:jc w:val="left"/>
              <w:rPr>
                <w:rFonts w:ascii="Arial Narrow" w:hAnsi="Arial Narrow" w:cs="Arial Narrow" w:eastAsia="Arial Narrow" w:hint="default"/>
                <w:sz w:val="18"/>
                <w:szCs w:val="18"/>
              </w:rPr>
            </w:pPr>
            <w:r>
              <w:rPr>
                <w:rFonts w:ascii="Arial Narrow"/>
                <w:sz w:val="18"/>
              </w:rPr>
              <w:t>576,382,117.00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0"/>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0"/>
              <w:jc w:val="right"/>
              <w:rPr>
                <w:rFonts w:ascii="宋体" w:hAnsi="宋体" w:cs="宋体" w:eastAsia="宋体" w:hint="default"/>
                <w:sz w:val="18"/>
                <w:szCs w:val="18"/>
              </w:rPr>
            </w:pPr>
            <w:r>
              <w:rPr>
                <w:rFonts w:ascii="宋体"/>
                <w:sz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8"/>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9"/>
              <w:jc w:val="right"/>
              <w:rPr>
                <w:rFonts w:ascii="Arial Narrow" w:hAnsi="Arial Narrow" w:cs="Arial Narrow" w:eastAsia="Arial Narrow" w:hint="default"/>
                <w:sz w:val="18"/>
                <w:szCs w:val="18"/>
              </w:rPr>
            </w:pPr>
            <w:r>
              <w:rPr>
                <w:rFonts w:ascii="Arial Narrow"/>
                <w:spacing w:val="-1"/>
                <w:sz w:val="18"/>
              </w:rPr>
              <w:t>2,961,673.00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0"/>
              <w:jc w:val="right"/>
              <w:rPr>
                <w:rFonts w:ascii="Arial Narrow" w:hAnsi="Arial Narrow" w:cs="Arial Narrow" w:eastAsia="Arial Narrow" w:hint="default"/>
                <w:sz w:val="18"/>
                <w:szCs w:val="18"/>
              </w:rPr>
            </w:pPr>
            <w:r>
              <w:rPr>
                <w:rFonts w:ascii="Arial Narrow"/>
                <w:spacing w:val="-1"/>
                <w:sz w:val="18"/>
              </w:rPr>
              <w:t>2,961,673.00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75" w:right="0"/>
              <w:jc w:val="left"/>
              <w:rPr>
                <w:rFonts w:ascii="Arial Narrow" w:hAnsi="Arial Narrow" w:cs="Arial Narrow" w:eastAsia="Arial Narrow" w:hint="default"/>
                <w:sz w:val="18"/>
                <w:szCs w:val="18"/>
              </w:rPr>
            </w:pPr>
            <w:r>
              <w:rPr>
                <w:rFonts w:ascii="Arial Narrow"/>
                <w:sz w:val="18"/>
              </w:rPr>
              <w:t>579,343,790.00</w:t>
            </w:r>
          </w:p>
        </w:tc>
      </w:tr>
    </w:tbl>
    <w:p>
      <w:pPr>
        <w:spacing w:line="240" w:lineRule="auto" w:before="12"/>
        <w:rPr>
          <w:rFonts w:ascii="宋体" w:hAnsi="宋体" w:cs="宋体" w:eastAsia="宋体" w:hint="default"/>
          <w:sz w:val="17"/>
          <w:szCs w:val="17"/>
        </w:rPr>
      </w:pPr>
    </w:p>
    <w:p>
      <w:pPr>
        <w:pStyle w:val="BodyText"/>
        <w:spacing w:line="240" w:lineRule="auto" w:before="44"/>
        <w:ind w:right="153"/>
        <w:jc w:val="left"/>
      </w:pPr>
      <w:r>
        <w:rPr/>
        <w:t>股本变动情况说明：</w:t>
      </w:r>
    </w:p>
    <w:p>
      <w:pPr>
        <w:pStyle w:val="BodyText"/>
        <w:spacing w:line="338" w:lineRule="auto" w:before="115"/>
        <w:ind w:right="144"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月公司注销回购限制性股票，减少股本</w:t>
      </w:r>
      <w:r>
        <w:rPr>
          <w:rFonts w:ascii="Times New Roman" w:hAnsi="Times New Roman" w:cs="Times New Roman" w:eastAsia="Times New Roman" w:hint="default"/>
        </w:rPr>
        <w:t>597,000.00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月，公司股权激励限制性股票首次授予登记，增 加股本</w:t>
      </w:r>
      <w:r>
        <w:rPr>
          <w:rFonts w:ascii="Times New Roman" w:hAnsi="Times New Roman" w:cs="Times New Roman" w:eastAsia="Times New Roman" w:hint="default"/>
        </w:rPr>
        <w:t>3,631,207.00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月，员工离职退回股权激励，减少股本</w:t>
      </w:r>
      <w:r>
        <w:rPr>
          <w:rFonts w:ascii="Times New Roman" w:hAnsi="Times New Roman" w:cs="Times New Roman" w:eastAsia="Times New Roman" w:hint="default"/>
        </w:rPr>
        <w:t>72,534.00</w:t>
      </w:r>
      <w:r>
        <w:rPr/>
        <w:t>元。</w:t>
      </w:r>
    </w:p>
    <w:p>
      <w:pPr>
        <w:pStyle w:val="BodyText"/>
        <w:spacing w:line="240" w:lineRule="auto" w:before="19"/>
        <w:ind w:left="513" w:right="153"/>
        <w:jc w:val="left"/>
      </w:pPr>
      <w:r>
        <w:rPr/>
        <w:t>以上股本业经大华会计师事务所出具的大华验字</w:t>
      </w:r>
      <w:r>
        <w:rPr>
          <w:rFonts w:ascii="Times New Roman" w:hAnsi="Times New Roman" w:cs="Times New Roman" w:eastAsia="Times New Roman" w:hint="default"/>
        </w:rPr>
        <w:t>[2017]000921</w:t>
      </w:r>
      <w:r>
        <w:rPr/>
        <w:t>号验资报告审验。</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Heading3"/>
        <w:spacing w:line="240" w:lineRule="auto"/>
        <w:ind w:right="153"/>
        <w:jc w:val="left"/>
        <w:rPr>
          <w:b w:val="0"/>
          <w:bCs w:val="0"/>
        </w:rPr>
      </w:pPr>
      <w:r>
        <w:rPr>
          <w:rFonts w:ascii="Times New Roman" w:hAnsi="Times New Roman" w:cs="Times New Roman" w:eastAsia="Times New Roman" w:hint="default"/>
        </w:rPr>
        <w:t>32</w:t>
      </w:r>
      <w:r>
        <w:rPr/>
        <w:t>、资本公积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931,370,017.59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16,158,879.55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930,476.30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946,598,420.84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261,219.98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12,937,833.26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13,199,053.24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931,631,237.57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29,096,712.81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930,476.30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959,797,474.08</w:t>
            </w:r>
          </w:p>
        </w:tc>
      </w:tr>
    </w:tbl>
    <w:p>
      <w:pPr>
        <w:pStyle w:val="BodyText"/>
        <w:spacing w:line="203" w:lineRule="exact"/>
        <w:ind w:right="0"/>
        <w:jc w:val="both"/>
      </w:pPr>
      <w:r>
        <w:rPr/>
        <w:t>资本公积的说明：</w:t>
      </w:r>
    </w:p>
    <w:p>
      <w:pPr>
        <w:pStyle w:val="BodyText"/>
        <w:spacing w:line="240" w:lineRule="auto" w:before="115"/>
        <w:ind w:right="0"/>
        <w:jc w:val="both"/>
      </w:pPr>
      <w:r>
        <w:rPr>
          <w:rFonts w:ascii="Times New Roman" w:hAnsi="Times New Roman" w:cs="Times New Roman" w:eastAsia="Times New Roman" w:hint="default"/>
        </w:rPr>
        <w:t>1</w:t>
      </w:r>
      <w:r>
        <w:rPr/>
        <w:t>．资本溢价的变化</w:t>
      </w:r>
    </w:p>
    <w:p>
      <w:pPr>
        <w:pStyle w:val="BodyText"/>
        <w:spacing w:line="338" w:lineRule="auto" w:before="101"/>
        <w:ind w:right="14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月公司注销回购限制性股票，减少资本公积</w:t>
      </w:r>
      <w:r>
        <w:rPr>
          <w:rFonts w:ascii="Times New Roman" w:hAnsi="Times New Roman" w:cs="Times New Roman" w:eastAsia="Times New Roman" w:hint="default"/>
        </w:rPr>
        <w:t>607,700.00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月，公司股权激励限制性股票首次授予登记，增 加资本公积</w:t>
      </w:r>
      <w:r>
        <w:rPr>
          <w:rFonts w:ascii="Times New Roman" w:hAnsi="Times New Roman" w:cs="Times New Roman" w:eastAsia="Times New Roman" w:hint="default"/>
        </w:rPr>
        <w:t>16,158,879.55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月，员工离职退回股权激励，减少资本公积</w:t>
      </w:r>
      <w:r>
        <w:rPr>
          <w:rFonts w:ascii="Times New Roman" w:hAnsi="Times New Roman" w:cs="Times New Roman" w:eastAsia="Times New Roman" w:hint="default"/>
        </w:rPr>
        <w:t>322,776.30</w:t>
      </w:r>
      <w:r>
        <w:rPr/>
        <w:t>元。</w:t>
      </w:r>
    </w:p>
    <w:p>
      <w:pPr>
        <w:pStyle w:val="BodyText"/>
        <w:spacing w:line="240" w:lineRule="auto" w:before="19"/>
        <w:ind w:right="0"/>
        <w:jc w:val="both"/>
      </w:pPr>
      <w:r>
        <w:rPr>
          <w:rFonts w:ascii="Times New Roman" w:hAnsi="Times New Roman" w:cs="Times New Roman" w:eastAsia="Times New Roman" w:hint="default"/>
        </w:rPr>
        <w:t>2</w:t>
      </w:r>
      <w:r>
        <w:rPr/>
        <w:t>．其他资本公积的变化</w:t>
      </w:r>
    </w:p>
    <w:p>
      <w:pPr>
        <w:pStyle w:val="BodyText"/>
        <w:spacing w:line="336" w:lineRule="auto" w:before="101"/>
        <w:ind w:right="152"/>
        <w:jc w:val="both"/>
      </w:pPr>
      <w:r>
        <w:rPr>
          <w:rFonts w:ascii="Times New Roman" w:hAnsi="Times New Roman" w:cs="Times New Roman" w:eastAsia="Times New Roman" w:hint="default"/>
        </w:rPr>
        <w:t>2017</w:t>
      </w:r>
      <w:r>
        <w:rPr/>
        <w:t>年公司股权激励成本分摊计入资本公积</w:t>
      </w:r>
      <w:r>
        <w:rPr>
          <w:rFonts w:ascii="Times New Roman" w:hAnsi="Times New Roman" w:cs="Times New Roman" w:eastAsia="Times New Roman" w:hint="default"/>
        </w:rPr>
        <w:t>2,440,088.92</w:t>
      </w:r>
      <w:r>
        <w:rPr/>
        <w:t>元；</w:t>
      </w:r>
      <w:r>
        <w:rPr>
          <w:rFonts w:ascii="Times New Roman" w:hAnsi="Times New Roman" w:cs="Times New Roman" w:eastAsia="Times New Roman" w:hint="default"/>
        </w:rPr>
        <w:t>2017</w:t>
      </w:r>
      <w:r>
        <w:rPr/>
        <w:t>年公司收到前期并购广告公司的原股东支付的补偿款计入 </w:t>
      </w:r>
      <w:r>
        <w:rPr>
          <w:spacing w:val="-1"/>
        </w:rPr>
        <w:t>资本公积</w:t>
      </w:r>
      <w:r>
        <w:rPr>
          <w:rFonts w:ascii="Times New Roman" w:hAnsi="Times New Roman" w:cs="Times New Roman" w:eastAsia="Times New Roman" w:hint="default"/>
          <w:spacing w:val="-1"/>
        </w:rPr>
        <w:t>10,315,630.95</w:t>
      </w:r>
      <w:r>
        <w:rPr>
          <w:spacing w:val="-1"/>
        </w:rPr>
        <w:t>元；公司子公司深圳市实益达技术股份有限公司对本期新成立的子公司深圳市实益达智能技术有限公</w:t>
      </w:r>
      <w:r>
        <w:rPr>
          <w:spacing w:val="-71"/>
        </w:rPr>
        <w:t> </w:t>
      </w:r>
      <w:r>
        <w:rPr>
          <w:spacing w:val="-71"/>
        </w:rPr>
      </w:r>
      <w:r>
        <w:rPr/>
        <w:t>司持股比例变化增加资本公积本公司享有的部分增加资本公积</w:t>
      </w:r>
      <w:r>
        <w:rPr>
          <w:rFonts w:ascii="Times New Roman" w:hAnsi="Times New Roman" w:cs="Times New Roman" w:eastAsia="Times New Roman" w:hint="default"/>
        </w:rPr>
        <w:t>182,113.39</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33</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减少注册资本回购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实行股权激励回购</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1,204,700.00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19,790,086.55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1,600,010.30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19,394,776.25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限制性股份支付</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1,204,700.00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19,790,086.55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1,600,010.30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19,394,776.25</w:t>
            </w:r>
          </w:p>
        </w:tc>
      </w:tr>
    </w:tbl>
    <w:p>
      <w:pPr>
        <w:pStyle w:val="BodyText"/>
        <w:spacing w:line="240" w:lineRule="auto" w:before="8"/>
        <w:ind w:right="153"/>
        <w:jc w:val="left"/>
      </w:pPr>
      <w:r>
        <w:rPr/>
        <w:t>其他说明，包括本期增减变动情况、变动原因说明：</w:t>
      </w:r>
    </w:p>
    <w:p>
      <w:pPr>
        <w:pStyle w:val="BodyText"/>
        <w:spacing w:line="240" w:lineRule="auto" w:before="153"/>
        <w:ind w:right="153"/>
        <w:jc w:val="left"/>
      </w:pPr>
      <w:r>
        <w:rPr>
          <w:rFonts w:ascii="Times New Roman" w:hAnsi="Times New Roman" w:cs="Times New Roman" w:eastAsia="Times New Roman" w:hint="default"/>
        </w:rPr>
        <w:t>1.</w:t>
      </w:r>
      <w:r>
        <w:rPr/>
        <w:t>本期公司实施股权激励计划，限制性股票首次授予登记增加库存股</w:t>
      </w:r>
      <w:r>
        <w:rPr>
          <w:rFonts w:ascii="Times New Roman" w:hAnsi="Times New Roman" w:cs="Times New Roman" w:eastAsia="Times New Roman" w:hint="default"/>
        </w:rPr>
        <w:t>19,790,086.55</w:t>
      </w:r>
      <w:r>
        <w:rPr/>
        <w:t>；</w:t>
      </w:r>
    </w:p>
    <w:p>
      <w:pPr>
        <w:pStyle w:val="BodyText"/>
        <w:spacing w:line="240" w:lineRule="auto" w:before="101"/>
        <w:ind w:right="153"/>
        <w:jc w:val="left"/>
      </w:pPr>
      <w:r>
        <w:rPr>
          <w:rFonts w:ascii="Times New Roman" w:hAnsi="Times New Roman" w:cs="Times New Roman" w:eastAsia="Times New Roman" w:hint="default"/>
        </w:rPr>
        <w:t>2.</w:t>
      </w:r>
      <w:r>
        <w:rPr/>
        <w:t>本期注销回购前期限制性股票减少库存股</w:t>
      </w:r>
      <w:r>
        <w:rPr>
          <w:rFonts w:ascii="Times New Roman" w:hAnsi="Times New Roman" w:cs="Times New Roman" w:eastAsia="Times New Roman" w:hint="default"/>
        </w:rPr>
        <w:t>1,204,700.00</w:t>
      </w:r>
      <w:r>
        <w:rPr/>
        <w:t>元，冲减原计入资本公积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607,700.00</w:t>
      </w:r>
      <w:r>
        <w:rPr/>
        <w:t>元；</w:t>
      </w:r>
    </w:p>
    <w:p>
      <w:pPr>
        <w:pStyle w:val="BodyText"/>
        <w:spacing w:line="240" w:lineRule="auto" w:before="101"/>
        <w:ind w:right="153"/>
        <w:jc w:val="left"/>
      </w:pPr>
      <w:r>
        <w:rPr>
          <w:rFonts w:ascii="Times New Roman" w:hAnsi="Times New Roman" w:cs="Times New Roman" w:eastAsia="Times New Roman" w:hint="default"/>
        </w:rPr>
        <w:t>3.</w:t>
      </w:r>
      <w:r>
        <w:rPr/>
        <w:t>本期员工离职退回股权激励款减少库存股</w:t>
      </w:r>
      <w:r>
        <w:rPr>
          <w:rFonts w:ascii="Times New Roman" w:hAnsi="Times New Roman" w:cs="Times New Roman" w:eastAsia="Times New Roman" w:hint="default"/>
        </w:rPr>
        <w:t>395,310.30</w:t>
      </w:r>
      <w:r>
        <w:rPr/>
        <w:t>元，冲减原计入资本公积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322,776.30</w:t>
      </w:r>
      <w:r>
        <w:rPr/>
        <w:t>元。</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Heading3"/>
        <w:spacing w:line="240" w:lineRule="auto"/>
        <w:ind w:right="153"/>
        <w:jc w:val="left"/>
        <w:rPr>
          <w:b w:val="0"/>
          <w:bCs w:val="0"/>
        </w:rPr>
      </w:pPr>
      <w:r>
        <w:rPr>
          <w:rFonts w:ascii="Times New Roman" w:hAnsi="Times New Roman" w:cs="Times New Roman" w:eastAsia="Times New Roman" w:hint="default"/>
        </w:rPr>
        <w:t>34</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69"/>
        <w:gridCol w:w="936"/>
        <w:gridCol w:w="1152"/>
        <w:gridCol w:w="934"/>
        <w:gridCol w:w="936"/>
        <w:gridCol w:w="937"/>
        <w:gridCol w:w="797"/>
      </w:tblGrid>
      <w:tr>
        <w:trPr>
          <w:trHeight w:val="398"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69"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69"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05" w:right="9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7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1"/>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1"/>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7"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69"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34,315.24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-12,423.81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-14,699.15</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2,275.34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19,616.09</w:t>
            </w:r>
          </w:p>
        </w:tc>
      </w:tr>
      <w:tr>
        <w:trPr>
          <w:trHeight w:val="401"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外币财务报表折算差额</w:t>
            </w:r>
          </w:p>
        </w:tc>
        <w:tc>
          <w:tcPr>
            <w:tcW w:w="1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34,315.24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-12,423.81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-14,699.15</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2,275.34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19,616.09</w:t>
            </w:r>
          </w:p>
        </w:tc>
      </w:tr>
      <w:tr>
        <w:trPr>
          <w:trHeight w:val="403"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34,315.24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-12,423.81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-14,699.15</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2,275.34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19,616.09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35</w:t>
      </w:r>
      <w:r>
        <w:rPr/>
        <w:t>、专项储备</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36</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18,174,142.20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18,174,142.20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18,174,142.20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18,174,142.20</w:t>
            </w:r>
          </w:p>
        </w:tc>
      </w:tr>
    </w:tbl>
    <w:p>
      <w:pPr>
        <w:pStyle w:val="BodyText"/>
        <w:spacing w:line="240" w:lineRule="auto" w:before="49"/>
        <w:ind w:right="153"/>
        <w:jc w:val="left"/>
      </w:pPr>
      <w:r>
        <w:rPr/>
        <w:t>盈余公积说明，包括本期增减变动情况、变动原因说明：本期盈余公积无变动。</w:t>
      </w:r>
    </w:p>
    <w:p>
      <w:pPr>
        <w:spacing w:line="240" w:lineRule="auto" w:before="0"/>
        <w:rPr>
          <w:rFonts w:ascii="宋体" w:hAnsi="宋体" w:cs="宋体" w:eastAsia="宋体" w:hint="default"/>
          <w:sz w:val="18"/>
          <w:szCs w:val="18"/>
        </w:rPr>
      </w:pPr>
    </w:p>
    <w:p>
      <w:pPr>
        <w:pStyle w:val="Heading3"/>
        <w:spacing w:line="240" w:lineRule="auto" w:before="121"/>
        <w:ind w:right="153"/>
        <w:jc w:val="left"/>
        <w:rPr>
          <w:b w:val="0"/>
          <w:bCs w:val="0"/>
        </w:rPr>
      </w:pPr>
      <w:r>
        <w:rPr>
          <w:rFonts w:ascii="Times New Roman" w:hAnsi="Times New Roman" w:cs="Times New Roman" w:eastAsia="Times New Roman" w:hint="default"/>
        </w:rPr>
        <w:t>37</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84,223,785.38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-62,788,666.22</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84,223,785.38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-62,788,666.22</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75,327,297.44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149,987,651.76</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2,985,200.16</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159,551,082.82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84,223,785.38</w:t>
            </w:r>
          </w:p>
        </w:tc>
      </w:tr>
    </w:tbl>
    <w:p>
      <w:pPr>
        <w:pStyle w:val="BodyText"/>
        <w:spacing w:line="240" w:lineRule="auto" w:before="49"/>
        <w:ind w:right="153"/>
        <w:jc w:val="left"/>
      </w:pPr>
      <w:r>
        <w:rPr/>
        <w:t>调整期初未分配利润明细：</w:t>
      </w:r>
    </w:p>
    <w:p>
      <w:pPr>
        <w:pStyle w:val="BodyText"/>
        <w:spacing w:line="240" w:lineRule="auto" w:before="117"/>
        <w:ind w:right="153"/>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53"/>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53"/>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53"/>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53"/>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38</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915,275,864.08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690,139,149.22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785,705,447.98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590,805,653.61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20,689,495.44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18,078,436.35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13,201,032.93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11,252,350.08</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935,965,359.52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708,217,585.57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798,906,480.91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602,058,003.69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39</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2,612,905.60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1,090,325.50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1,955,095.17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913,590.56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1,066,471.93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544,892.67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519,551.82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371,880.50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392,663.57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1,106,420.46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308,531.96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文化事业建设费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1,122,474.16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708,361.95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河道管理费用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5,737.17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58,378.16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7,689,419.42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5,102,381.76</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40</w:t>
      </w:r>
      <w:r>
        <w:rPr/>
        <w:t>、销售费用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员工薪酬保险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21,236,574.50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23,560,979.09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办公通讯费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221,937.50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349,616.24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快递及运杂费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1,591,418.12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1,415,273.40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1,260,565.95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1,403,242.39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水电及租赁费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114,705.60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100,815.45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663,059.23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663,736.43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909,290.85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300,005.38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24,622.66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44,783.27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338,681.77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112,082.50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1,086,659.13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604,253.39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27,447,515.31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28,554,787.54</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41</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员工薪酬保险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34,648,068.21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23,968,300.21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4,743,471.90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2,985,613.38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18,005,720.29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9,987,015.07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差旅费及汽车支出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3,443,484.12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2,592,785.46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1,029,676.85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1,232,734.48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6,221,486.45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7,763,868.74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物料消耗及维修费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579,795.93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1,329,860.43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保险及招聘费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286,819.47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443,601.01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水电及租赁费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12,729,334.84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9,677,185.49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1,525,502.71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中介及审核服务费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7,218,796.31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16,421,596.51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1,907,474.70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2,031,551.59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90,814,129.07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79,959,615.08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53"/>
        <w:jc w:val="left"/>
        <w:rPr>
          <w:b w:val="0"/>
          <w:bCs w:val="0"/>
        </w:rPr>
      </w:pPr>
      <w:r>
        <w:rPr>
          <w:rFonts w:ascii="Times New Roman" w:hAnsi="Times New Roman" w:cs="Times New Roman" w:eastAsia="Times New Roman" w:hint="default"/>
        </w:rPr>
        <w:t>42</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193,824.17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4,052,902.86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20,957,373.32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15,831,211.00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6,080,260.44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-3,491,592.46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银行手续费及其他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262,303.35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147,936.11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-14,420,985.36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-15,121,964.49</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43</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-3,401,963.15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22,281,553.15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4,205,153.64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4,460,725.26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7,442,983.91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803,190.49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34,185,262.32</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44</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7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73,740.00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其中：衍生金融工具产生的公允价 值变动收益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73,740.00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73,740.00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0"/>
          <w:szCs w:val="20"/>
        </w:rPr>
      </w:pPr>
    </w:p>
    <w:p>
      <w:pPr>
        <w:pStyle w:val="BodyText"/>
        <w:spacing w:line="316" w:lineRule="auto" w:before="44"/>
        <w:ind w:right="0"/>
        <w:jc w:val="left"/>
      </w:pPr>
      <w:r>
        <w:rPr>
          <w:spacing w:val="-2"/>
        </w:rPr>
        <w:t>公允价值变动收益的说明：本期公允价值变动损益为公司子公司深圳市实益达技术股份有限公司的子公司无锡市益明光电有</w:t>
      </w:r>
      <w:r>
        <w:rPr>
          <w:spacing w:val="-64"/>
        </w:rPr>
        <w:t> </w:t>
      </w:r>
      <w:r>
        <w:rPr>
          <w:spacing w:val="-64"/>
        </w:rPr>
      </w:r>
      <w:r>
        <w:rPr/>
        <w:t>限公司购买远期外汇合约公允价值变动产生。</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45</w:t>
      </w:r>
      <w:r>
        <w:rPr/>
        <w:t>、投资收益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-7,441,639.88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-4,629,619.92</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117,343,742.04</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-7,441,639.88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113,164,122.12</w:t>
            </w:r>
          </w:p>
        </w:tc>
      </w:tr>
    </w:tbl>
    <w:p>
      <w:pPr>
        <w:pStyle w:val="BodyText"/>
        <w:spacing w:line="357" w:lineRule="auto" w:before="49"/>
        <w:ind w:right="5094"/>
        <w:jc w:val="left"/>
      </w:pPr>
      <w:r>
        <w:rPr/>
        <w:t>其他说明： 本期投资收益为对联营企业按权益法核算产生的投资收益。</w:t>
      </w:r>
    </w:p>
    <w:p>
      <w:pPr>
        <w:pStyle w:val="BodyText"/>
        <w:spacing w:line="224" w:lineRule="exact"/>
        <w:ind w:right="153"/>
        <w:jc w:val="left"/>
      </w:pPr>
      <w:r>
        <w:rPr/>
        <w:t>本期公司将对联营企业奇异果的股权转让给子公司无锡实益达电子有限公司，仍然采用权益法核算。</w:t>
      </w:r>
    </w:p>
    <w:p>
      <w:pPr>
        <w:pStyle w:val="BodyText"/>
        <w:spacing w:line="240" w:lineRule="auto" w:before="76"/>
        <w:ind w:right="153"/>
        <w:jc w:val="left"/>
      </w:pPr>
      <w:r>
        <w:rPr/>
        <w:t>本期注销子公司深圳市哇塞宝贝网络科技有限公司和深圳市昇泰物业有限公司，未发生处置损益。</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46</w:t>
      </w:r>
      <w:r>
        <w:rPr/>
        <w:t>、资产处置收益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45,085.20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1,519,876.28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无形资产处置利得或损失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-5,248,535.34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-5,203,450.14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1,519,876.28</w:t>
            </w:r>
          </w:p>
        </w:tc>
      </w:tr>
    </w:tbl>
    <w:p>
      <w:pPr>
        <w:pStyle w:val="BodyText"/>
        <w:spacing w:line="203" w:lineRule="exact"/>
        <w:ind w:right="0"/>
        <w:jc w:val="left"/>
      </w:pPr>
      <w:r>
        <w:rPr/>
        <w:t>说明：本期无形资产处置损失为公司子公司无锡实益达电子有限公司因所属的部分地块尚未开工建设造成闲置用地，与无锡</w:t>
      </w:r>
    </w:p>
    <w:p>
      <w:pPr>
        <w:pStyle w:val="BodyText"/>
        <w:spacing w:line="357" w:lineRule="auto" w:before="115"/>
        <w:ind w:right="153"/>
        <w:jc w:val="left"/>
      </w:pPr>
      <w:r>
        <w:rPr/>
        <w:t>市新吴区鸿山街道办事处协商决定由其收购无锡实益达电子有限公司原出让方式取得的土地使用权并归还前期未返还的土</w:t>
      </w:r>
      <w:r>
        <w:rPr>
          <w:spacing w:val="-11"/>
        </w:rPr>
        <w:t> </w:t>
      </w:r>
      <w:r>
        <w:rPr>
          <w:spacing w:val="-11"/>
        </w:rPr>
      </w:r>
      <w:r>
        <w:rPr/>
        <w:t>地保证金。公司已于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月办妥相关权属变更，并于</w:t>
      </w:r>
      <w:r>
        <w:rPr>
          <w:spacing w:val="-45"/>
        </w:rPr>
        <w:t> </w:t>
      </w:r>
      <w:r>
        <w:rPr>
          <w:rFonts w:ascii="Times New Roman" w:hAnsi="Times New Roman" w:cs="Times New Roman" w:eastAsia="Times New Roman" w:hint="default"/>
        </w:rPr>
        <w:t>2018 </w:t>
      </w:r>
      <w:r>
        <w:rPr/>
        <w:t>年</w:t>
      </w:r>
      <w:r>
        <w:rPr>
          <w:spacing w:val="-48"/>
        </w:rPr>
        <w:t> </w:t>
      </w:r>
      <w:r>
        <w:rPr>
          <w:rFonts w:ascii="Times New Roman" w:hAnsi="Times New Roman" w:cs="Times New Roman" w:eastAsia="Times New Roman" w:hint="default"/>
        </w:rPr>
        <w:t>1 </w:t>
      </w:r>
      <w:r>
        <w:rPr/>
        <w:t>月收到相关土地转让款。</w:t>
      </w:r>
    </w:p>
    <w:p>
      <w:pPr>
        <w:spacing w:line="240" w:lineRule="auto" w:before="10"/>
        <w:rPr>
          <w:rFonts w:ascii="宋体" w:hAnsi="宋体" w:cs="宋体" w:eastAsia="宋体" w:hint="default"/>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47</w:t>
      </w:r>
      <w:r>
        <w:rPr/>
        <w:t>、其他收益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84,961.77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租金补贴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龙腾计划入库资助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中小微培育专项资助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319,724.00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残疾人就业补贴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3,780.00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上海崇明区政府扶持资金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出口信用保险扶持资金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24,041.91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龙岗区企业技术改造扶持资金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1,224.88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5,392,632.56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48</w:t>
      </w:r>
      <w:r>
        <w:rPr/>
        <w:t>、政府补助</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332" w:right="153"/>
        <w:jc w:val="left"/>
        <w:rPr>
          <w:rFonts w:ascii="宋体" w:hAnsi="宋体" w:cs="宋体" w:eastAsia="宋体" w:hint="default"/>
        </w:rPr>
      </w:pPr>
      <w:r>
        <w:rPr/>
        <w:t>（</w:t>
      </w:r>
      <w:r>
        <w:rPr>
          <w:rFonts w:ascii="宋体" w:hAnsi="宋体" w:cs="宋体" w:eastAsia="宋体" w:hint="default"/>
        </w:rPr>
        <w:t>1</w:t>
      </w:r>
      <w:r>
        <w:rPr/>
        <w:t>）按列报项目分类的政府补助</w:t>
      </w:r>
      <w:r>
        <w:rPr>
          <w:rFonts w:ascii="宋体" w:hAnsi="宋体" w:cs="宋体" w:eastAsia="宋体" w:hint="default"/>
        </w:rPr>
        <w:t> </w:t>
      </w:r>
    </w:p>
    <w:p>
      <w:pPr>
        <w:spacing w:line="240" w:lineRule="auto" w:before="8"/>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3644"/>
        <w:gridCol w:w="1978"/>
        <w:gridCol w:w="1978"/>
        <w:gridCol w:w="2098"/>
      </w:tblGrid>
      <w:tr>
        <w:trPr>
          <w:trHeight w:val="341" w:hRule="exact"/>
        </w:trPr>
        <w:tc>
          <w:tcPr>
            <w:tcW w:w="3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1097" w:right="0"/>
              <w:jc w:val="left"/>
              <w:rPr>
                <w:rFonts w:ascii="宋体" w:hAnsi="宋体" w:cs="宋体" w:eastAsia="宋体" w:hint="default"/>
                <w:sz w:val="18"/>
                <w:szCs w:val="18"/>
              </w:rPr>
            </w:pPr>
            <w:r>
              <w:rPr>
                <w:rFonts w:ascii="宋体" w:hAnsi="宋体" w:cs="宋体" w:eastAsia="宋体" w:hint="default"/>
                <w:sz w:val="18"/>
                <w:szCs w:val="18"/>
              </w:rPr>
              <w:t>政府补助列报项目</w:t>
            </w:r>
          </w:p>
        </w:tc>
        <w:tc>
          <w:tcPr>
            <w:tcW w:w="1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53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5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7" w:hRule="exact"/>
        </w:trPr>
        <w:tc>
          <w:tcPr>
            <w:tcW w:w="3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52"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1978" w:type="dxa"/>
            <w:tcBorders>
              <w:top w:val="single" w:sz="8" w:space="0" w:color="000000"/>
              <w:left w:val="single" w:sz="9"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140,775.12</w:t>
            </w:r>
          </w:p>
        </w:tc>
        <w:tc>
          <w:tcPr>
            <w:tcW w:w="1978" w:type="dxa"/>
            <w:tcBorders>
              <w:top w:val="single" w:sz="8" w:space="0" w:color="000000"/>
              <w:left w:val="single" w:sz="4" w:space="0" w:color="000000"/>
              <w:bottom w:val="single" w:sz="4" w:space="0" w:color="000000"/>
              <w:right w:val="single" w:sz="4" w:space="0" w:color="000000"/>
            </w:tcBorders>
          </w:tcPr>
          <w:p>
            <w:pPr/>
          </w:p>
        </w:tc>
        <w:tc>
          <w:tcPr>
            <w:tcW w:w="209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6"/>
              <w:ind w:right="287"/>
              <w:jc w:val="right"/>
              <w:rPr>
                <w:rFonts w:ascii="Arial Narrow" w:hAnsi="Arial Narrow" w:cs="Arial Narrow" w:eastAsia="Arial Narrow" w:hint="default"/>
                <w:sz w:val="18"/>
                <w:szCs w:val="18"/>
              </w:rPr>
            </w:pPr>
            <w:r>
              <w:rPr>
                <w:rFonts w:ascii="宋体" w:hAnsi="宋体" w:cs="宋体" w:eastAsia="宋体" w:hint="default"/>
                <w:sz w:val="18"/>
                <w:szCs w:val="18"/>
              </w:rPr>
              <w:t>详见附注七</w:t>
            </w:r>
            <w:r>
              <w:rPr>
                <w:rFonts w:ascii="Arial Narrow" w:hAnsi="Arial Narrow" w:cs="Arial Narrow" w:eastAsia="Arial Narrow" w:hint="default"/>
                <w:sz w:val="18"/>
                <w:szCs w:val="18"/>
              </w:rPr>
              <w:t>-</w:t>
            </w:r>
            <w:r>
              <w:rPr>
                <w:rFonts w:ascii="宋体" w:hAnsi="宋体" w:cs="宋体" w:eastAsia="宋体" w:hint="default"/>
                <w:sz w:val="18"/>
                <w:szCs w:val="18"/>
              </w:rPr>
              <w:t>注释</w:t>
            </w:r>
            <w:r>
              <w:rPr>
                <w:rFonts w:ascii="宋体" w:hAnsi="宋体" w:cs="宋体" w:eastAsia="宋体" w:hint="default"/>
                <w:spacing w:val="-49"/>
                <w:sz w:val="18"/>
                <w:szCs w:val="18"/>
              </w:rPr>
              <w:t> </w:t>
            </w:r>
            <w:r>
              <w:rPr>
                <w:rFonts w:ascii="Arial Narrow" w:hAnsi="Arial Narrow" w:cs="Arial Narrow" w:eastAsia="Arial Narrow" w:hint="default"/>
                <w:sz w:val="18"/>
                <w:szCs w:val="18"/>
              </w:rPr>
              <w:t>30</w:t>
            </w:r>
          </w:p>
        </w:tc>
      </w:tr>
      <w:tr>
        <w:trPr>
          <w:trHeight w:val="402" w:hRule="exact"/>
        </w:trPr>
        <w:tc>
          <w:tcPr>
            <w:tcW w:w="3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1978"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5,392,632.56</w:t>
            </w:r>
          </w:p>
        </w:tc>
        <w:tc>
          <w:tcPr>
            <w:tcW w:w="197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87"/>
              <w:jc w:val="right"/>
              <w:rPr>
                <w:rFonts w:ascii="Arial Narrow" w:hAnsi="Arial Narrow" w:cs="Arial Narrow" w:eastAsia="Arial Narrow" w:hint="default"/>
                <w:sz w:val="18"/>
                <w:szCs w:val="18"/>
              </w:rPr>
            </w:pPr>
            <w:r>
              <w:rPr>
                <w:rFonts w:ascii="宋体" w:hAnsi="宋体" w:cs="宋体" w:eastAsia="宋体" w:hint="default"/>
                <w:sz w:val="18"/>
                <w:szCs w:val="18"/>
              </w:rPr>
              <w:t>详见附注七</w:t>
            </w:r>
            <w:r>
              <w:rPr>
                <w:rFonts w:ascii="Arial Narrow" w:hAnsi="Arial Narrow" w:cs="Arial Narrow" w:eastAsia="Arial Narrow" w:hint="default"/>
                <w:sz w:val="18"/>
                <w:szCs w:val="18"/>
              </w:rPr>
              <w:t>-</w:t>
            </w:r>
            <w:r>
              <w:rPr>
                <w:rFonts w:ascii="宋体" w:hAnsi="宋体" w:cs="宋体" w:eastAsia="宋体" w:hint="default"/>
                <w:sz w:val="18"/>
                <w:szCs w:val="18"/>
              </w:rPr>
              <w:t>注释</w:t>
            </w:r>
            <w:r>
              <w:rPr>
                <w:rFonts w:ascii="宋体" w:hAnsi="宋体" w:cs="宋体" w:eastAsia="宋体" w:hint="default"/>
                <w:spacing w:val="-49"/>
                <w:sz w:val="18"/>
                <w:szCs w:val="18"/>
              </w:rPr>
              <w:t> </w:t>
            </w:r>
            <w:r>
              <w:rPr>
                <w:rFonts w:ascii="Arial Narrow" w:hAnsi="Arial Narrow" w:cs="Arial Narrow" w:eastAsia="Arial Narrow" w:hint="default"/>
                <w:sz w:val="18"/>
                <w:szCs w:val="18"/>
              </w:rPr>
              <w:t>47</w:t>
            </w:r>
          </w:p>
        </w:tc>
      </w:tr>
      <w:tr>
        <w:trPr>
          <w:trHeight w:val="402" w:hRule="exact"/>
        </w:trPr>
        <w:tc>
          <w:tcPr>
            <w:tcW w:w="3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52" w:right="0"/>
              <w:jc w:val="left"/>
              <w:rPr>
                <w:rFonts w:ascii="宋体" w:hAnsi="宋体" w:cs="宋体" w:eastAsia="宋体" w:hint="default"/>
                <w:sz w:val="18"/>
                <w:szCs w:val="18"/>
              </w:rPr>
            </w:pPr>
            <w:r>
              <w:rPr>
                <w:rFonts w:ascii="宋体" w:hAnsi="宋体" w:cs="宋体" w:eastAsia="宋体" w:hint="default"/>
                <w:sz w:val="18"/>
                <w:szCs w:val="18"/>
              </w:rPr>
              <w:t>计入营业外收入的政府补助</w:t>
            </w:r>
          </w:p>
        </w:tc>
        <w:tc>
          <w:tcPr>
            <w:tcW w:w="1978"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3,497,492.04</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7"/>
              <w:jc w:val="right"/>
              <w:rPr>
                <w:rFonts w:ascii="Arial Narrow" w:hAnsi="Arial Narrow" w:cs="Arial Narrow" w:eastAsia="Arial Narrow" w:hint="default"/>
                <w:sz w:val="18"/>
                <w:szCs w:val="18"/>
              </w:rPr>
            </w:pPr>
            <w:r>
              <w:rPr>
                <w:rFonts w:ascii="宋体" w:hAnsi="宋体" w:cs="宋体" w:eastAsia="宋体" w:hint="default"/>
                <w:sz w:val="18"/>
                <w:szCs w:val="18"/>
              </w:rPr>
              <w:t>详见附注七</w:t>
            </w:r>
            <w:r>
              <w:rPr>
                <w:rFonts w:ascii="Arial Narrow" w:hAnsi="Arial Narrow" w:cs="Arial Narrow" w:eastAsia="Arial Narrow" w:hint="default"/>
                <w:sz w:val="18"/>
                <w:szCs w:val="18"/>
              </w:rPr>
              <w:t>-</w:t>
            </w:r>
            <w:r>
              <w:rPr>
                <w:rFonts w:ascii="宋体" w:hAnsi="宋体" w:cs="宋体" w:eastAsia="宋体" w:hint="default"/>
                <w:sz w:val="18"/>
                <w:szCs w:val="18"/>
              </w:rPr>
              <w:t>注释</w:t>
            </w:r>
            <w:r>
              <w:rPr>
                <w:rFonts w:ascii="宋体" w:hAnsi="宋体" w:cs="宋体" w:eastAsia="宋体" w:hint="default"/>
                <w:spacing w:val="-49"/>
                <w:sz w:val="18"/>
                <w:szCs w:val="18"/>
              </w:rPr>
              <w:t> </w:t>
            </w:r>
            <w:r>
              <w:rPr>
                <w:rFonts w:ascii="Arial Narrow" w:hAnsi="Arial Narrow" w:cs="Arial Narrow" w:eastAsia="Arial Narrow" w:hint="default"/>
                <w:sz w:val="18"/>
                <w:szCs w:val="18"/>
              </w:rPr>
              <w:t>49</w:t>
            </w:r>
          </w:p>
        </w:tc>
      </w:tr>
      <w:tr>
        <w:trPr>
          <w:trHeight w:val="402" w:hRule="exact"/>
        </w:trPr>
        <w:tc>
          <w:tcPr>
            <w:tcW w:w="3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冲减相关资产账面价值的政府补助</w:t>
            </w:r>
          </w:p>
        </w:tc>
        <w:tc>
          <w:tcPr>
            <w:tcW w:w="1978" w:type="dxa"/>
            <w:tcBorders>
              <w:top w:val="single" w:sz="4" w:space="0" w:color="000000"/>
              <w:left w:val="single" w:sz="9" w:space="0" w:color="D9D9D9"/>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2" w:right="0"/>
              <w:jc w:val="left"/>
              <w:rPr>
                <w:rFonts w:ascii="宋体" w:hAnsi="宋体" w:cs="宋体" w:eastAsia="宋体" w:hint="default"/>
                <w:sz w:val="18"/>
                <w:szCs w:val="18"/>
              </w:rPr>
            </w:pPr>
            <w:r>
              <w:rPr>
                <w:rFonts w:ascii="宋体"/>
                <w:sz w:val="18"/>
              </w:rPr>
              <w:t> </w:t>
            </w:r>
          </w:p>
        </w:tc>
      </w:tr>
      <w:tr>
        <w:trPr>
          <w:trHeight w:val="402" w:hRule="exact"/>
        </w:trPr>
        <w:tc>
          <w:tcPr>
            <w:tcW w:w="3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52" w:right="0"/>
              <w:jc w:val="left"/>
              <w:rPr>
                <w:rFonts w:ascii="宋体" w:hAnsi="宋体" w:cs="宋体" w:eastAsia="宋体" w:hint="default"/>
                <w:sz w:val="18"/>
                <w:szCs w:val="18"/>
              </w:rPr>
            </w:pPr>
            <w:r>
              <w:rPr>
                <w:rFonts w:ascii="宋体" w:hAnsi="宋体" w:cs="宋体" w:eastAsia="宋体" w:hint="default"/>
                <w:sz w:val="18"/>
                <w:szCs w:val="18"/>
              </w:rPr>
              <w:t>冲减成本费用的政府补助</w:t>
            </w:r>
          </w:p>
        </w:tc>
        <w:tc>
          <w:tcPr>
            <w:tcW w:w="1978" w:type="dxa"/>
            <w:tcBorders>
              <w:top w:val="single" w:sz="4" w:space="0" w:color="000000"/>
              <w:left w:val="single" w:sz="9" w:space="0" w:color="D9D9D9"/>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2" w:right="0"/>
              <w:jc w:val="left"/>
              <w:rPr>
                <w:rFonts w:ascii="宋体" w:hAnsi="宋体" w:cs="宋体" w:eastAsia="宋体" w:hint="default"/>
                <w:sz w:val="18"/>
                <w:szCs w:val="18"/>
              </w:rPr>
            </w:pPr>
            <w:r>
              <w:rPr>
                <w:rFonts w:ascii="宋体"/>
                <w:sz w:val="18"/>
              </w:rPr>
              <w:t> </w:t>
            </w:r>
          </w:p>
        </w:tc>
      </w:tr>
      <w:tr>
        <w:trPr>
          <w:trHeight w:val="402" w:hRule="exact"/>
        </w:trPr>
        <w:tc>
          <w:tcPr>
            <w:tcW w:w="3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减：退回的政府补助</w:t>
            </w:r>
          </w:p>
        </w:tc>
        <w:tc>
          <w:tcPr>
            <w:tcW w:w="1978" w:type="dxa"/>
            <w:tcBorders>
              <w:top w:val="single" w:sz="4" w:space="0" w:color="000000"/>
              <w:left w:val="single" w:sz="9" w:space="0" w:color="D9D9D9"/>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2" w:right="0"/>
              <w:jc w:val="left"/>
              <w:rPr>
                <w:rFonts w:ascii="宋体" w:hAnsi="宋体" w:cs="宋体" w:eastAsia="宋体" w:hint="default"/>
                <w:sz w:val="18"/>
                <w:szCs w:val="18"/>
              </w:rPr>
            </w:pPr>
            <w:r>
              <w:rPr>
                <w:rFonts w:ascii="宋体"/>
                <w:sz w:val="18"/>
              </w:rPr>
              <w:t> </w:t>
            </w:r>
          </w:p>
        </w:tc>
      </w:tr>
      <w:tr>
        <w:trPr>
          <w:trHeight w:val="384" w:hRule="exact"/>
        </w:trPr>
        <w:tc>
          <w:tcPr>
            <w:tcW w:w="3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8"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8,533,407.68</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3,497,492.04</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90" w:right="0"/>
              <w:jc w:val="center"/>
              <w:rPr>
                <w:rFonts w:ascii="宋体" w:hAnsi="宋体" w:cs="宋体" w:eastAsia="宋体" w:hint="default"/>
                <w:sz w:val="18"/>
                <w:szCs w:val="18"/>
              </w:rPr>
            </w:pPr>
            <w:r>
              <w:rPr>
                <w:rFonts w:ascii="宋体"/>
                <w:sz w:val="18"/>
              </w:rPr>
              <w:t> </w:t>
            </w:r>
          </w:p>
        </w:tc>
      </w:tr>
    </w:tbl>
    <w:p>
      <w:pPr>
        <w:spacing w:line="240" w:lineRule="auto" w:before="7"/>
        <w:rPr>
          <w:rFonts w:ascii="宋体" w:hAnsi="宋体" w:cs="宋体" w:eastAsia="宋体" w:hint="default"/>
          <w:sz w:val="7"/>
          <w:szCs w:val="7"/>
        </w:rPr>
      </w:pPr>
    </w:p>
    <w:p>
      <w:pPr>
        <w:pStyle w:val="BodyText"/>
        <w:spacing w:line="240" w:lineRule="auto" w:before="44"/>
        <w:ind w:left="332" w:right="153"/>
        <w:jc w:val="left"/>
        <w:rPr>
          <w:rFonts w:ascii="宋体" w:hAnsi="宋体" w:cs="宋体" w:eastAsia="宋体" w:hint="default"/>
        </w:rPr>
      </w:pPr>
      <w:r>
        <w:rPr/>
        <w:t>（</w:t>
      </w:r>
      <w:r>
        <w:rPr>
          <w:rFonts w:ascii="宋体" w:hAnsi="宋体" w:cs="宋体" w:eastAsia="宋体" w:hint="default"/>
        </w:rPr>
        <w:t>2</w:t>
      </w:r>
      <w:r>
        <w:rPr/>
        <w:t>）本期无冲减相关资产账面价值的政府补助。</w:t>
      </w:r>
      <w:r>
        <w:rPr>
          <w:rFonts w:ascii="宋体" w:hAnsi="宋体" w:cs="宋体" w:eastAsia="宋体" w:hint="default"/>
        </w:rPr>
        <w:t> </w:t>
      </w:r>
    </w:p>
    <w:p>
      <w:pPr>
        <w:pStyle w:val="BodyText"/>
        <w:spacing w:line="240" w:lineRule="auto" w:before="112"/>
        <w:ind w:left="332" w:right="153"/>
        <w:jc w:val="left"/>
        <w:rPr>
          <w:rFonts w:ascii="宋体" w:hAnsi="宋体" w:cs="宋体" w:eastAsia="宋体" w:hint="default"/>
        </w:rPr>
      </w:pPr>
      <w:r>
        <w:rPr/>
        <w:t>（</w:t>
      </w:r>
      <w:r>
        <w:rPr>
          <w:rFonts w:ascii="宋体" w:hAnsi="宋体" w:cs="宋体" w:eastAsia="宋体" w:hint="default"/>
        </w:rPr>
        <w:t>3</w:t>
      </w:r>
      <w:r>
        <w:rPr/>
        <w:t>）本期无冲减成本费用的政府补助。</w:t>
      </w:r>
      <w:r>
        <w:rPr>
          <w:rFonts w:ascii="宋体" w:hAnsi="宋体" w:cs="宋体" w:eastAsia="宋体" w:hint="default"/>
        </w:rPr>
        <w:t> </w:t>
      </w:r>
    </w:p>
    <w:p>
      <w:pPr>
        <w:pStyle w:val="BodyText"/>
        <w:spacing w:line="240" w:lineRule="auto" w:before="115"/>
        <w:ind w:left="332" w:right="153"/>
        <w:jc w:val="left"/>
        <w:rPr>
          <w:rFonts w:ascii="宋体" w:hAnsi="宋体" w:cs="宋体" w:eastAsia="宋体" w:hint="default"/>
        </w:rPr>
      </w:pPr>
      <w:r>
        <w:rPr/>
        <w:t>（</w:t>
      </w:r>
      <w:r>
        <w:rPr>
          <w:rFonts w:ascii="宋体" w:hAnsi="宋体" w:cs="宋体" w:eastAsia="宋体" w:hint="default"/>
        </w:rPr>
        <w:t>4</w:t>
      </w:r>
      <w:r>
        <w:rPr/>
        <w:t>）本期无退回的政府补助。</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Heading3"/>
        <w:spacing w:line="240" w:lineRule="auto"/>
        <w:ind w:right="153"/>
        <w:jc w:val="left"/>
        <w:rPr>
          <w:b w:val="0"/>
          <w:bCs w:val="0"/>
        </w:rPr>
      </w:pPr>
      <w:r>
        <w:rPr>
          <w:rFonts w:ascii="Times New Roman" w:hAnsi="Times New Roman" w:cs="Times New Roman" w:eastAsia="Times New Roman" w:hint="default"/>
        </w:rPr>
        <w:t>49</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3,497,492.04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盘盈利得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违约赔偿收入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13,032.08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13,032.08</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久悬未决收入</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无法支付的款项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2,420,286.31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1,175,975.22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2,420,286.31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325,336.68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143,914.13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325,336.68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5,758,655.07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4,817,381.39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5,758,655.07</w:t>
            </w:r>
          </w:p>
        </w:tc>
      </w:tr>
    </w:tbl>
    <w:p>
      <w:pPr>
        <w:pStyle w:val="BodyText"/>
        <w:spacing w:line="240" w:lineRule="auto" w:before="49"/>
        <w:ind w:right="153"/>
        <w:jc w:val="left"/>
      </w:pPr>
      <w:r>
        <w:rPr/>
        <w:t>计入当期损益的政府补助：</w:t>
      </w:r>
    </w:p>
    <w:p>
      <w:pPr>
        <w:pStyle w:val="BodyText"/>
        <w:spacing w:line="240" w:lineRule="auto" w:before="115"/>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60"/>
        <w:gridCol w:w="850"/>
        <w:gridCol w:w="994"/>
        <w:gridCol w:w="852"/>
        <w:gridCol w:w="1061"/>
        <w:gridCol w:w="1064"/>
        <w:gridCol w:w="1063"/>
        <w:gridCol w:w="1064"/>
        <w:gridCol w:w="1063"/>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发放原因</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9" w:right="72" w:hanging="361"/>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递延收益摊销</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558,333.41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新三板挂牌补助</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出口信用保险资助</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172,259.00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中小企业服务署企 业信息化补助</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龙岗区出口信用保 险保费资助</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社保局稳岗补贴</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183,892.91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上海崇明区政府扶 持资金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2,237,334.20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3,472.52</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0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3,497,492.04</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50</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502,000.00</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违约赔偿金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40,845.61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2,465,543.09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40,845.61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罚款及滞纳金支出</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284,689.87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284,689.87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827,535.48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2,665,543.09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827,535.48</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51</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34,452,972.81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29,136,055.90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420,427.87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-872,644.21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34,873,400.68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28,263,411.69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left="212"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4779"/>
        <w:gridCol w:w="4791"/>
      </w:tblGrid>
      <w:tr>
        <w:trPr>
          <w:trHeight w:val="398" w:hRule="exact"/>
        </w:trPr>
        <w:tc>
          <w:tcPr>
            <w:tcW w:w="4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113,166,907.15</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28,291,726.79</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-1,713,827.40</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-324,866.33</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2,450,233.91</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4,147,980.12</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-2,446,677.50</w:t>
            </w:r>
          </w:p>
        </w:tc>
      </w:tr>
      <w:tr>
        <w:trPr>
          <w:trHeight w:val="716" w:hRule="exact"/>
        </w:trPr>
        <w:tc>
          <w:tcPr>
            <w:tcW w:w="4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03" w:right="1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4,769,629.17</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加计扣除影响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-300,798.08</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34,873,400.68</w:t>
            </w:r>
          </w:p>
        </w:tc>
      </w:tr>
    </w:tbl>
    <w:p>
      <w:pPr>
        <w:spacing w:line="240" w:lineRule="auto" w:before="3"/>
        <w:rPr>
          <w:rFonts w:ascii="宋体" w:hAnsi="宋体" w:cs="宋体" w:eastAsia="宋体" w:hint="default"/>
          <w:sz w:val="19"/>
          <w:szCs w:val="19"/>
        </w:rPr>
      </w:pPr>
    </w:p>
    <w:p>
      <w:pPr>
        <w:spacing w:line="544" w:lineRule="auto" w:before="36"/>
        <w:ind w:left="212" w:right="78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34</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left="212"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银行存款利息收入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990,756.57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2,244,246.47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政府补助款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8,391,407.68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701,824.43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1,444,649.46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19,848,709.54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162,021.34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10,826,813.71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22,956,801.78</w:t>
            </w:r>
          </w:p>
        </w:tc>
      </w:tr>
    </w:tbl>
    <w:p>
      <w:pPr>
        <w:spacing w:line="240" w:lineRule="auto" w:before="3"/>
        <w:rPr>
          <w:rFonts w:ascii="宋体" w:hAnsi="宋体" w:cs="宋体" w:eastAsia="宋体" w:hint="default"/>
          <w:sz w:val="19"/>
          <w:szCs w:val="19"/>
        </w:rPr>
      </w:pPr>
    </w:p>
    <w:p>
      <w:pPr>
        <w:pStyle w:val="Heading3"/>
        <w:spacing w:line="240" w:lineRule="auto" w:before="36"/>
        <w:ind w:left="212"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付现费用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42,790,834.48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34,371,292.47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11,556,487.87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20,682,606.26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2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78,732.93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54,347,322.35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55,132,631.66</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赎回银行理财产品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4,800,816,874.96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5,395,406,634.01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收到被投资单位创始人补偿款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10,315,630.95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取得子公司取得的现金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224,578.82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4,811,499,084.73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5,395,406,634.01</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购买银行理财产品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4,754,836,874.96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5,839,816,634.01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4,754,836,874.96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5,839,816,634.01</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往来借款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股权激励退款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1,600,010.30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1,529,700.00</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退还定增保证金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支付的保证金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13,801,982.94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2,831,816.66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融资租赁费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83,244,444.44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偿还往来借款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20,401,993.24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102,605,961.10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r>
        <w:rPr/>
        <w:pict>
          <v:group style="position:absolute;margin-left:223.369995pt;margin-top:423.349976pt;width:151.25pt;height:40.8pt;mso-position-horizontal-relative:page;mso-position-vertical-relative:page;z-index:-1101448" coordorigin="4467,8467" coordsize="3025,816">
            <v:group style="position:absolute;left:4478;top:8478;width:2;height:392" coordorigin="4478,8478" coordsize="2,392">
              <v:shape style="position:absolute;left:4478;top:8478;width:2;height:392" coordorigin="4478,8478" coordsize="0,392" path="m4478,8478l4478,8869e" filled="false" stroked="true" strokeweight="1.08pt" strokecolor="#ffffff">
                <v:path arrowok="t"/>
              </v:shape>
            </v:group>
            <v:group style="position:absolute;left:4489;top:8478;width:3003;height:392" coordorigin="4489,8478" coordsize="3003,392">
              <v:shape style="position:absolute;left:4489;top:8478;width:3003;height:392" coordorigin="4489,8478" coordsize="3003,392" path="m4489,8869l7492,8869,7492,8478,4489,8478,4489,8869xe" filled="true" fillcolor="#ffffff" stroked="false">
                <v:path arrowok="t"/>
                <v:fill type="solid"/>
              </v:shape>
            </v:group>
            <v:group style="position:absolute;left:4478;top:8879;width:2;height:394" coordorigin="4478,8879" coordsize="2,394">
              <v:shape style="position:absolute;left:4478;top:8879;width:2;height:394" coordorigin="4478,8879" coordsize="0,394" path="m4478,8879l4478,9272e" filled="false" stroked="true" strokeweight="1.08pt" strokecolor="#ffffff">
                <v:path arrowok="t"/>
              </v:shape>
            </v:group>
            <v:group style="position:absolute;left:4489;top:8879;width:3003;height:394" coordorigin="4489,8879" coordsize="3003,394">
              <v:shape style="position:absolute;left:4489;top:8879;width:3003;height:394" coordorigin="4489,8879" coordsize="3003,394" path="m4489,9272l7492,9272,7492,8879,4489,8879,4489,9272xe" filled="true" fillcolor="#ffffff" stroked="false">
                <v:path arrowok="t"/>
                <v:fill type="solid"/>
              </v:shape>
            </v:group>
            <w10:wrap type="none"/>
          </v:group>
        </w:pict>
      </w:r>
    </w:p>
    <w:p>
      <w:pPr>
        <w:pStyle w:val="Heading3"/>
        <w:spacing w:line="240" w:lineRule="auto" w:before="36"/>
        <w:ind w:right="153"/>
        <w:jc w:val="left"/>
        <w:rPr>
          <w:b w:val="0"/>
          <w:bCs w:val="0"/>
        </w:rPr>
      </w:pPr>
      <w:r>
        <w:rPr>
          <w:rFonts w:ascii="Times New Roman" w:hAnsi="Times New Roman" w:cs="Times New Roman" w:eastAsia="Times New Roman" w:hint="default"/>
        </w:rPr>
        <w:t>54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124"/>
        <w:gridCol w:w="1945"/>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78,293,506.47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152,740,820.02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803,190.49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34,185,262.32</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9,970,536.66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11,053,584.99</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2,656,247.12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2,905,460.79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1,082,995.27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1,458,755.03</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5,203,450.14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-1,519,876.28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26,835.61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2,338,487.26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-73,740.00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-14,779,120.37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-12,985,704.36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7,441,639.88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-113,164,122.12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9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538,729.90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-735,907.19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9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-118,302.03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-136,737.02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-8,866,098.56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-10,178,036.80</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-23,915,715.70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-15,176,660.76</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47,047,431.17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-15,948,799.87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9" w:right="0"/>
              <w:jc w:val="left"/>
              <w:rPr>
                <w:rFonts w:ascii="Times New Roman" w:hAnsi="Times New Roman" w:cs="Times New Roman" w:eastAsia="Times New Roman" w:hint="default"/>
                <w:sz w:val="18"/>
                <w:szCs w:val="18"/>
              </w:rPr>
            </w:pPr>
            <w:r>
              <w:rPr>
                <w:rFonts w:ascii="Times New Roman"/>
                <w:sz w:val="18"/>
              </w:rPr>
              <w:t>105,311,586.05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34,836,526.01</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246,446,514.36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120,897,311.87</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9" w:right="0"/>
              <w:jc w:val="left"/>
              <w:rPr>
                <w:rFonts w:ascii="Times New Roman" w:hAnsi="Times New Roman" w:cs="Times New Roman" w:eastAsia="Times New Roman" w:hint="default"/>
                <w:sz w:val="18"/>
                <w:szCs w:val="18"/>
              </w:rPr>
            </w:pPr>
            <w:r>
              <w:rPr>
                <w:rFonts w:ascii="Times New Roman"/>
                <w:sz w:val="18"/>
              </w:rPr>
              <w:t>120,897,311.87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52,845,933.53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125,549,202.49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68,051,378.34</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246,446,514.36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120,897,311.87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156,805.09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61,981.92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246,289,709.27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120,835,329.95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246,446,514.36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120,897,311.87</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55</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2498"/>
        <w:gridCol w:w="3757"/>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4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18,202,007.60</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银票保证金、远期结售汇保证金、冻结款项</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98"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18,202,007.60</w:t>
            </w:r>
          </w:p>
        </w:tc>
        <w:tc>
          <w:tcPr>
            <w:tcW w:w="3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56</w:t>
      </w:r>
      <w:r>
        <w:rPr/>
        <w:t>、外币货币性项目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53"/>
        <w:jc w:val="left"/>
      </w:pPr>
      <w:r>
        <w:rPr/>
        <w:t>（</w:t>
      </w:r>
      <w:r>
        <w:rPr>
          <w:rFonts w:ascii="Times New Roman" w:hAnsi="Times New Roman" w:cs="Times New Roman" w:eastAsia="Times New Roman" w:hint="default"/>
        </w:rPr>
        <w:t>1</w:t>
      </w:r>
      <w:r>
        <w:rPr/>
        <w:t>）外币货币性项目</w:t>
      </w:r>
    </w:p>
    <w:p>
      <w:pPr>
        <w:spacing w:line="240" w:lineRule="auto" w:before="2"/>
        <w:rPr>
          <w:rFonts w:ascii="宋体" w:hAnsi="宋体" w:cs="宋体" w:eastAsia="宋体" w:hint="default"/>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18,935,413.71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123,727,780.72</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57,353.53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47,942.39</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9,145,520.75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59,758,661.63</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5" w:type="dxa"/>
            <w:tcBorders>
              <w:top w:val="single" w:sz="4" w:space="0" w:color="000000"/>
              <w:left w:val="single" w:sz="10"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752,319.00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5" w:type="dxa"/>
            <w:tcBorders>
              <w:top w:val="single" w:sz="4" w:space="0" w:color="000000"/>
              <w:left w:val="single" w:sz="10"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2,775,671.29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18,136,791.34</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260"/>
              <w:jc w:val="center"/>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3,673.50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28,661.75</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260"/>
              <w:jc w:val="center"/>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28,556.30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23,870.50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05" w:type="dxa"/>
            <w:tcBorders>
              <w:top w:val="single" w:sz="4" w:space="0" w:color="000000"/>
              <w:left w:val="single" w:sz="10"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84,944.60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2"/>
        <w:rPr>
          <w:rFonts w:ascii="宋体" w:hAnsi="宋体" w:cs="宋体" w:eastAsia="宋体" w:hint="default"/>
          <w:sz w:val="25"/>
          <w:szCs w:val="25"/>
        </w:rPr>
      </w:pPr>
    </w:p>
    <w:p>
      <w:pPr>
        <w:pStyle w:val="BodyText"/>
        <w:spacing w:line="302" w:lineRule="auto" w:before="44"/>
        <w:ind w:left="172" w:right="164"/>
        <w:jc w:val="left"/>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）境外经营实体说明，包括对于重要的境外经营实体，应披露其境外主要经营地、记账本位币及选择依据，记账本位币</w:t>
      </w:r>
      <w:r>
        <w:rPr>
          <w:spacing w:val="-84"/>
        </w:rPr>
        <w:t> </w:t>
      </w:r>
      <w:r>
        <w:rPr>
          <w:spacing w:val="-84"/>
        </w:rPr>
      </w:r>
      <w:r>
        <w:rPr/>
        <w:t>发生变化的还应披露原因。</w:t>
      </w:r>
    </w:p>
    <w:p>
      <w:pPr>
        <w:spacing w:line="240" w:lineRule="auto" w:before="0"/>
        <w:rPr>
          <w:rFonts w:ascii="宋体" w:hAnsi="宋体" w:cs="宋体" w:eastAsia="宋体" w:hint="default"/>
          <w:sz w:val="25"/>
          <w:szCs w:val="25"/>
        </w:rPr>
      </w:pPr>
    </w:p>
    <w:p>
      <w:pPr>
        <w:pStyle w:val="BodyText"/>
        <w:spacing w:line="240" w:lineRule="auto"/>
        <w:ind w:left="172" w:right="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172" w:right="254"/>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72" w:right="254"/>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72" w:right="254"/>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7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064"/>
        <w:gridCol w:w="1205"/>
        <w:gridCol w:w="925"/>
        <w:gridCol w:w="1063"/>
        <w:gridCol w:w="1063"/>
        <w:gridCol w:w="1066"/>
        <w:gridCol w:w="1061"/>
        <w:gridCol w:w="1064"/>
        <w:gridCol w:w="1061"/>
      </w:tblGrid>
      <w:tr>
        <w:trPr>
          <w:trHeight w:val="102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7" w:right="0"/>
              <w:jc w:val="left"/>
              <w:rPr>
                <w:rFonts w:ascii="宋体" w:hAnsi="宋体" w:cs="宋体" w:eastAsia="宋体" w:hint="default"/>
                <w:sz w:val="18"/>
                <w:szCs w:val="18"/>
              </w:rPr>
            </w:pPr>
            <w:r>
              <w:rPr>
                <w:rFonts w:ascii="宋体" w:hAnsi="宋体" w:cs="宋体" w:eastAsia="宋体" w:hint="default"/>
                <w:sz w:val="18"/>
                <w:szCs w:val="18"/>
              </w:rPr>
              <w:t>股权取得时点</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75" w:right="98"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北京麦达数 字技术服务 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5"/>
              <w:jc w:val="left"/>
              <w:rPr>
                <w:rFonts w:ascii="宋体" w:hAnsi="宋体" w:cs="宋体" w:eastAsia="宋体" w:hint="default"/>
                <w:sz w:val="18"/>
                <w:szCs w:val="18"/>
              </w:rPr>
            </w:pPr>
            <w:r>
              <w:rPr>
                <w:rFonts w:ascii="宋体" w:hAnsi="宋体" w:cs="宋体" w:eastAsia="宋体" w:hint="default"/>
                <w:sz w:val="18"/>
                <w:szCs w:val="18"/>
              </w:rPr>
              <w:t>达到控制条 件</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1,332,734.87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-2,133,134.90</w:t>
            </w:r>
          </w:p>
        </w:tc>
      </w:tr>
    </w:tbl>
    <w:p>
      <w:pPr>
        <w:spacing w:line="240" w:lineRule="auto" w:before="3"/>
        <w:rPr>
          <w:rFonts w:ascii="宋体" w:hAnsi="宋体" w:cs="宋体" w:eastAsia="宋体" w:hint="default"/>
          <w:sz w:val="19"/>
          <w:szCs w:val="19"/>
        </w:rPr>
      </w:pPr>
    </w:p>
    <w:p>
      <w:pPr>
        <w:pStyle w:val="Heading3"/>
        <w:spacing w:line="240" w:lineRule="auto" w:before="36"/>
        <w:ind w:left="172" w:right="254"/>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7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97"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97"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2,749.10</w:t>
            </w:r>
          </w:p>
        </w:tc>
      </w:tr>
      <w:tr>
        <w:trPr>
          <w:trHeight w:val="713" w:hRule="exact"/>
        </w:trPr>
        <w:tc>
          <w:tcPr>
            <w:tcW w:w="47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12" w:right="186"/>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97"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-2,749.10</w:t>
            </w:r>
          </w:p>
        </w:tc>
      </w:tr>
    </w:tbl>
    <w:p>
      <w:pPr>
        <w:pStyle w:val="BodyText"/>
        <w:spacing w:line="398" w:lineRule="auto" w:before="8"/>
        <w:ind w:left="172" w:right="94"/>
        <w:jc w:val="left"/>
      </w:pPr>
      <w:r>
        <w:rPr/>
        <w:t>合并成本公允价值的确定方法、或有对价及其变动的说明： </w:t>
      </w:r>
      <w:r>
        <w:rPr>
          <w:spacing w:val="-2"/>
        </w:rPr>
        <w:t>合并日前被合并单位实际经营较少，原股东尚未实际出资，本公司全资子公司深圳市前海麦达数字有限公司与原股东签订增</w:t>
      </w:r>
    </w:p>
    <w:p>
      <w:pPr>
        <w:pStyle w:val="BodyText"/>
        <w:spacing w:line="336" w:lineRule="auto"/>
        <w:ind w:left="172" w:right="161"/>
        <w:jc w:val="left"/>
      </w:pPr>
      <w:r>
        <w:rPr>
          <w:spacing w:val="-1"/>
        </w:rPr>
        <w:t>资协议，向北京麦达数字技术服务有限公司增资</w:t>
      </w:r>
      <w:r>
        <w:rPr>
          <w:rFonts w:ascii="Times New Roman" w:hAnsi="Times New Roman" w:cs="Times New Roman" w:eastAsia="Times New Roman" w:hint="default"/>
          <w:spacing w:val="-1"/>
        </w:rPr>
        <w:t>1500</w:t>
      </w:r>
      <w:r>
        <w:rPr>
          <w:spacing w:val="-1"/>
        </w:rPr>
        <w:t>万，获取北京麦达数字技术服务有限公司</w:t>
      </w:r>
      <w:r>
        <w:rPr>
          <w:rFonts w:ascii="Times New Roman" w:hAnsi="Times New Roman" w:cs="Times New Roman" w:eastAsia="Times New Roman" w:hint="default"/>
          <w:spacing w:val="-1"/>
        </w:rPr>
        <w:t>60%</w:t>
      </w:r>
      <w:r>
        <w:rPr>
          <w:spacing w:val="-1"/>
        </w:rPr>
        <w:t>的股权，将其纳入合并范</w:t>
      </w:r>
      <w:r>
        <w:rPr/>
        <w:t> 围，约定少数股东在未来期间同比例出资。</w:t>
      </w:r>
    </w:p>
    <w:p>
      <w:pPr>
        <w:spacing w:line="240" w:lineRule="auto" w:before="0"/>
        <w:rPr>
          <w:rFonts w:ascii="宋体" w:hAnsi="宋体" w:cs="宋体" w:eastAsia="宋体" w:hint="default"/>
          <w:sz w:val="18"/>
          <w:szCs w:val="18"/>
        </w:rPr>
      </w:pPr>
    </w:p>
    <w:p>
      <w:pPr>
        <w:pStyle w:val="BodyText"/>
        <w:spacing w:line="240" w:lineRule="auto" w:before="160"/>
        <w:ind w:left="172" w:right="254"/>
        <w:jc w:val="left"/>
      </w:pPr>
      <w:r>
        <w:rPr/>
        <w:t>大额商誉形成的主要原因：</w:t>
      </w:r>
    </w:p>
    <w:p>
      <w:pPr>
        <w:pStyle w:val="BodyText"/>
        <w:spacing w:line="240" w:lineRule="auto" w:before="153"/>
        <w:ind w:left="172" w:right="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62"/>
        <w:ind w:left="172" w:right="254"/>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74"/>
        <w:ind w:left="0" w:right="17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627"/>
        <w:gridCol w:w="2996"/>
        <w:gridCol w:w="3089"/>
      </w:tblGrid>
      <w:tr>
        <w:trPr>
          <w:trHeight w:val="360" w:hRule="exact"/>
        </w:trPr>
        <w:tc>
          <w:tcPr>
            <w:tcW w:w="3627" w:type="dxa"/>
            <w:vMerge w:val="restart"/>
            <w:tcBorders>
              <w:top w:val="single" w:sz="12" w:space="0" w:color="000000"/>
              <w:left w:val="nil" w:sz="6" w:space="0" w:color="auto"/>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85"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29"/>
              <w:ind w:left="1778" w:right="0"/>
              <w:jc w:val="left"/>
              <w:rPr>
                <w:rFonts w:ascii="宋体" w:hAnsi="宋体" w:cs="宋体" w:eastAsia="宋体" w:hint="default"/>
                <w:sz w:val="18"/>
                <w:szCs w:val="18"/>
              </w:rPr>
            </w:pPr>
            <w:r>
              <w:rPr>
                <w:rFonts w:ascii="宋体" w:hAnsi="宋体" w:cs="宋体" w:eastAsia="宋体" w:hint="default"/>
                <w:sz w:val="18"/>
                <w:szCs w:val="18"/>
              </w:rPr>
              <w:t>北京麦达数字技术服务有限公司</w:t>
            </w:r>
          </w:p>
        </w:tc>
      </w:tr>
      <w:tr>
        <w:trPr>
          <w:trHeight w:val="350" w:hRule="exact"/>
        </w:trPr>
        <w:tc>
          <w:tcPr>
            <w:tcW w:w="3627" w:type="dxa"/>
            <w:vMerge/>
            <w:tcBorders>
              <w:left w:val="nil" w:sz="6" w:space="0" w:color="auto"/>
              <w:bottom w:val="dotted" w:sz="4" w:space="0" w:color="000000"/>
              <w:right w:val="dotted" w:sz="4" w:space="0" w:color="000000"/>
            </w:tcBorders>
          </w:tcPr>
          <w:p>
            <w:pPr/>
          </w:p>
        </w:tc>
        <w:tc>
          <w:tcPr>
            <w:tcW w:w="29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9"/>
              <w:ind w:left="864"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0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9"/>
              <w:ind w:left="90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60" w:hRule="exact"/>
        </w:trPr>
        <w:tc>
          <w:tcPr>
            <w:tcW w:w="362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9"/>
              <w:ind w:left="7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99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1"/>
              <w:ind w:right="47"/>
              <w:jc w:val="right"/>
              <w:rPr>
                <w:rFonts w:ascii="Arial Narrow" w:hAnsi="Arial Narrow" w:cs="Arial Narrow" w:eastAsia="Arial Narrow" w:hint="default"/>
                <w:sz w:val="18"/>
                <w:szCs w:val="18"/>
              </w:rPr>
            </w:pPr>
            <w:r>
              <w:rPr>
                <w:rFonts w:ascii="Arial Narrow"/>
                <w:spacing w:val="-1"/>
                <w:sz w:val="18"/>
              </w:rPr>
              <w:t>329,973.83</w:t>
            </w:r>
          </w:p>
        </w:tc>
        <w:tc>
          <w:tcPr>
            <w:tcW w:w="308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1"/>
              <w:ind w:right="57"/>
              <w:jc w:val="right"/>
              <w:rPr>
                <w:rFonts w:ascii="Arial Narrow" w:hAnsi="Arial Narrow" w:cs="Arial Narrow" w:eastAsia="Arial Narrow" w:hint="default"/>
                <w:sz w:val="18"/>
                <w:szCs w:val="18"/>
              </w:rPr>
            </w:pPr>
            <w:r>
              <w:rPr>
                <w:rFonts w:ascii="Arial Narrow"/>
                <w:spacing w:val="-1"/>
                <w:sz w:val="18"/>
              </w:rPr>
              <w:t>329,973.83</w:t>
            </w:r>
          </w:p>
        </w:tc>
      </w:tr>
    </w:tbl>
    <w:p>
      <w:pPr>
        <w:spacing w:after="0" w:line="240" w:lineRule="auto"/>
        <w:jc w:val="right"/>
        <w:rPr>
          <w:rFonts w:ascii="Arial Narrow" w:hAnsi="Arial Narrow" w:cs="Arial Narrow" w:eastAsia="Arial Narrow" w:hint="default"/>
          <w:sz w:val="18"/>
          <w:szCs w:val="18"/>
        </w:rPr>
        <w:sectPr>
          <w:pgSz w:w="11910" w:h="16840"/>
          <w:pgMar w:header="745" w:footer="980" w:top="1060" w:bottom="1160" w:left="960" w:right="96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3627"/>
        <w:gridCol w:w="2996"/>
        <w:gridCol w:w="3089"/>
      </w:tblGrid>
      <w:tr>
        <w:trPr>
          <w:trHeight w:val="360" w:hRule="exact"/>
        </w:trPr>
        <w:tc>
          <w:tcPr>
            <w:tcW w:w="3627" w:type="dxa"/>
            <w:vMerge w:val="restart"/>
            <w:tcBorders>
              <w:top w:val="single" w:sz="12" w:space="0" w:color="000000"/>
              <w:left w:val="nil" w:sz="6" w:space="0" w:color="auto"/>
              <w:right w:val="dotted"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85"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32"/>
              <w:ind w:left="1778" w:right="0"/>
              <w:jc w:val="left"/>
              <w:rPr>
                <w:rFonts w:ascii="宋体" w:hAnsi="宋体" w:cs="宋体" w:eastAsia="宋体" w:hint="default"/>
                <w:sz w:val="18"/>
                <w:szCs w:val="18"/>
              </w:rPr>
            </w:pPr>
            <w:r>
              <w:rPr>
                <w:rFonts w:ascii="宋体" w:hAnsi="宋体" w:cs="宋体" w:eastAsia="宋体" w:hint="default"/>
                <w:sz w:val="18"/>
                <w:szCs w:val="18"/>
              </w:rPr>
              <w:t>北京麦达数字技术服务有限公司</w:t>
            </w:r>
          </w:p>
        </w:tc>
      </w:tr>
      <w:tr>
        <w:trPr>
          <w:trHeight w:val="351" w:hRule="exact"/>
        </w:trPr>
        <w:tc>
          <w:tcPr>
            <w:tcW w:w="3627" w:type="dxa"/>
            <w:vMerge/>
            <w:tcBorders>
              <w:left w:val="nil" w:sz="6" w:space="0" w:color="auto"/>
              <w:bottom w:val="dotted" w:sz="4" w:space="0" w:color="000000"/>
              <w:right w:val="dotted" w:sz="4" w:space="0" w:color="000000"/>
            </w:tcBorders>
          </w:tcPr>
          <w:p>
            <w:pPr/>
          </w:p>
        </w:tc>
        <w:tc>
          <w:tcPr>
            <w:tcW w:w="29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2"/>
              <w:ind w:left="864"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0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2"/>
              <w:ind w:left="90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50" w:hRule="exact"/>
        </w:trPr>
        <w:tc>
          <w:tcPr>
            <w:tcW w:w="36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9"/>
              <w:ind w:left="7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9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44"/>
              <w:jc w:val="right"/>
              <w:rPr>
                <w:rFonts w:ascii="Arial Narrow" w:hAnsi="Arial Narrow" w:cs="Arial Narrow" w:eastAsia="Arial Narrow" w:hint="default"/>
                <w:sz w:val="18"/>
                <w:szCs w:val="18"/>
              </w:rPr>
            </w:pPr>
            <w:r>
              <w:rPr>
                <w:rFonts w:ascii="Arial Narrow"/>
                <w:sz w:val="18"/>
              </w:rPr>
              <w:t>-</w:t>
            </w:r>
          </w:p>
        </w:tc>
        <w:tc>
          <w:tcPr>
            <w:tcW w:w="3089"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36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9"/>
              <w:ind w:left="7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9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47"/>
              <w:jc w:val="right"/>
              <w:rPr>
                <w:rFonts w:ascii="Arial Narrow" w:hAnsi="Arial Narrow" w:cs="Arial Narrow" w:eastAsia="Arial Narrow" w:hint="default"/>
                <w:sz w:val="18"/>
                <w:szCs w:val="18"/>
              </w:rPr>
            </w:pPr>
            <w:r>
              <w:rPr>
                <w:rFonts w:ascii="Arial Narrow"/>
                <w:spacing w:val="-1"/>
                <w:sz w:val="18"/>
              </w:rPr>
              <w:t>329,973.83</w:t>
            </w:r>
          </w:p>
        </w:tc>
        <w:tc>
          <w:tcPr>
            <w:tcW w:w="30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1"/>
              <w:ind w:right="57"/>
              <w:jc w:val="right"/>
              <w:rPr>
                <w:rFonts w:ascii="Arial Narrow" w:hAnsi="Arial Narrow" w:cs="Arial Narrow" w:eastAsia="Arial Narrow" w:hint="default"/>
                <w:sz w:val="18"/>
                <w:szCs w:val="18"/>
              </w:rPr>
            </w:pPr>
            <w:r>
              <w:rPr>
                <w:rFonts w:ascii="Arial Narrow"/>
                <w:spacing w:val="-1"/>
                <w:sz w:val="18"/>
              </w:rPr>
              <w:t>329,973.83</w:t>
            </w:r>
          </w:p>
        </w:tc>
      </w:tr>
      <w:tr>
        <w:trPr>
          <w:trHeight w:val="350" w:hRule="exact"/>
        </w:trPr>
        <w:tc>
          <w:tcPr>
            <w:tcW w:w="36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9"/>
              <w:ind w:left="7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9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47"/>
              <w:jc w:val="right"/>
              <w:rPr>
                <w:rFonts w:ascii="Arial Narrow" w:hAnsi="Arial Narrow" w:cs="Arial Narrow" w:eastAsia="Arial Narrow" w:hint="default"/>
                <w:sz w:val="18"/>
                <w:szCs w:val="18"/>
              </w:rPr>
            </w:pPr>
            <w:r>
              <w:rPr>
                <w:rFonts w:ascii="Arial Narrow"/>
                <w:spacing w:val="-1"/>
                <w:sz w:val="18"/>
              </w:rPr>
              <w:t>325,391.99</w:t>
            </w:r>
          </w:p>
        </w:tc>
        <w:tc>
          <w:tcPr>
            <w:tcW w:w="30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1"/>
              <w:ind w:right="57"/>
              <w:jc w:val="right"/>
              <w:rPr>
                <w:rFonts w:ascii="Arial Narrow" w:hAnsi="Arial Narrow" w:cs="Arial Narrow" w:eastAsia="Arial Narrow" w:hint="default"/>
                <w:sz w:val="18"/>
                <w:szCs w:val="18"/>
              </w:rPr>
            </w:pPr>
            <w:r>
              <w:rPr>
                <w:rFonts w:ascii="Arial Narrow"/>
                <w:spacing w:val="-1"/>
                <w:sz w:val="18"/>
              </w:rPr>
              <w:t>325,391.99</w:t>
            </w:r>
          </w:p>
        </w:tc>
      </w:tr>
      <w:tr>
        <w:trPr>
          <w:trHeight w:val="348" w:hRule="exact"/>
        </w:trPr>
        <w:tc>
          <w:tcPr>
            <w:tcW w:w="36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9"/>
              <w:ind w:left="7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9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44"/>
              <w:jc w:val="right"/>
              <w:rPr>
                <w:rFonts w:ascii="Arial Narrow" w:hAnsi="Arial Narrow" w:cs="Arial Narrow" w:eastAsia="Arial Narrow" w:hint="default"/>
                <w:sz w:val="18"/>
                <w:szCs w:val="18"/>
              </w:rPr>
            </w:pPr>
            <w:r>
              <w:rPr>
                <w:rFonts w:ascii="Arial Narrow"/>
                <w:sz w:val="18"/>
              </w:rPr>
              <w:t>-</w:t>
            </w:r>
          </w:p>
        </w:tc>
        <w:tc>
          <w:tcPr>
            <w:tcW w:w="3089"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36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2"/>
              <w:ind w:left="7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9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3"/>
              <w:ind w:right="47"/>
              <w:jc w:val="right"/>
              <w:rPr>
                <w:rFonts w:ascii="Arial Narrow" w:hAnsi="Arial Narrow" w:cs="Arial Narrow" w:eastAsia="Arial Narrow" w:hint="default"/>
                <w:sz w:val="18"/>
                <w:szCs w:val="18"/>
              </w:rPr>
            </w:pPr>
            <w:r>
              <w:rPr>
                <w:rFonts w:ascii="Arial Narrow"/>
                <w:spacing w:val="-1"/>
                <w:sz w:val="18"/>
              </w:rPr>
              <w:t>325,391.99</w:t>
            </w:r>
          </w:p>
        </w:tc>
        <w:tc>
          <w:tcPr>
            <w:tcW w:w="30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3"/>
              <w:ind w:right="57"/>
              <w:jc w:val="right"/>
              <w:rPr>
                <w:rFonts w:ascii="Arial Narrow" w:hAnsi="Arial Narrow" w:cs="Arial Narrow" w:eastAsia="Arial Narrow" w:hint="default"/>
                <w:sz w:val="18"/>
                <w:szCs w:val="18"/>
              </w:rPr>
            </w:pPr>
            <w:r>
              <w:rPr>
                <w:rFonts w:ascii="Arial Narrow"/>
                <w:spacing w:val="-1"/>
                <w:sz w:val="18"/>
              </w:rPr>
              <w:t>325,391.99</w:t>
            </w:r>
          </w:p>
        </w:tc>
      </w:tr>
      <w:tr>
        <w:trPr>
          <w:trHeight w:val="350" w:hRule="exact"/>
        </w:trPr>
        <w:tc>
          <w:tcPr>
            <w:tcW w:w="36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2"/>
              <w:ind w:left="7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9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3"/>
              <w:ind w:right="47"/>
              <w:jc w:val="right"/>
              <w:rPr>
                <w:rFonts w:ascii="Arial Narrow" w:hAnsi="Arial Narrow" w:cs="Arial Narrow" w:eastAsia="Arial Narrow" w:hint="default"/>
                <w:sz w:val="18"/>
                <w:szCs w:val="18"/>
              </w:rPr>
            </w:pPr>
            <w:r>
              <w:rPr>
                <w:rFonts w:ascii="Arial Narrow"/>
                <w:spacing w:val="-1"/>
                <w:sz w:val="18"/>
              </w:rPr>
              <w:t>4,581.84</w:t>
            </w:r>
          </w:p>
        </w:tc>
        <w:tc>
          <w:tcPr>
            <w:tcW w:w="30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3"/>
              <w:ind w:right="56"/>
              <w:jc w:val="right"/>
              <w:rPr>
                <w:rFonts w:ascii="Arial Narrow" w:hAnsi="Arial Narrow" w:cs="Arial Narrow" w:eastAsia="Arial Narrow" w:hint="default"/>
                <w:sz w:val="18"/>
                <w:szCs w:val="18"/>
              </w:rPr>
            </w:pPr>
            <w:r>
              <w:rPr>
                <w:rFonts w:ascii="Arial Narrow"/>
                <w:spacing w:val="-1"/>
                <w:sz w:val="18"/>
              </w:rPr>
              <w:t>4,581.84</w:t>
            </w:r>
          </w:p>
        </w:tc>
      </w:tr>
      <w:tr>
        <w:trPr>
          <w:trHeight w:val="350" w:hRule="exact"/>
        </w:trPr>
        <w:tc>
          <w:tcPr>
            <w:tcW w:w="36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9"/>
              <w:ind w:left="7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29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47"/>
              <w:jc w:val="right"/>
              <w:rPr>
                <w:rFonts w:ascii="Arial Narrow" w:hAnsi="Arial Narrow" w:cs="Arial Narrow" w:eastAsia="Arial Narrow" w:hint="default"/>
                <w:sz w:val="18"/>
                <w:szCs w:val="18"/>
              </w:rPr>
            </w:pPr>
            <w:r>
              <w:rPr>
                <w:rFonts w:ascii="Arial Narrow"/>
                <w:spacing w:val="-1"/>
                <w:sz w:val="18"/>
              </w:rPr>
              <w:t>1,832.74</w:t>
            </w:r>
          </w:p>
        </w:tc>
        <w:tc>
          <w:tcPr>
            <w:tcW w:w="30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1"/>
              <w:ind w:right="56"/>
              <w:jc w:val="right"/>
              <w:rPr>
                <w:rFonts w:ascii="Arial Narrow" w:hAnsi="Arial Narrow" w:cs="Arial Narrow" w:eastAsia="Arial Narrow" w:hint="default"/>
                <w:sz w:val="18"/>
                <w:szCs w:val="18"/>
              </w:rPr>
            </w:pPr>
            <w:r>
              <w:rPr>
                <w:rFonts w:ascii="Arial Narrow"/>
                <w:spacing w:val="-1"/>
                <w:sz w:val="18"/>
              </w:rPr>
              <w:t>1,832.74</w:t>
            </w:r>
          </w:p>
        </w:tc>
      </w:tr>
      <w:tr>
        <w:trPr>
          <w:trHeight w:val="360" w:hRule="exact"/>
        </w:trPr>
        <w:tc>
          <w:tcPr>
            <w:tcW w:w="362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9"/>
              <w:ind w:left="7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299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1"/>
              <w:ind w:right="47"/>
              <w:jc w:val="right"/>
              <w:rPr>
                <w:rFonts w:ascii="Arial Narrow" w:hAnsi="Arial Narrow" w:cs="Arial Narrow" w:eastAsia="Arial Narrow" w:hint="default"/>
                <w:sz w:val="18"/>
                <w:szCs w:val="18"/>
              </w:rPr>
            </w:pPr>
            <w:r>
              <w:rPr>
                <w:rFonts w:ascii="Arial Narrow"/>
                <w:spacing w:val="-1"/>
                <w:sz w:val="18"/>
              </w:rPr>
              <w:t>2,749.10</w:t>
            </w:r>
          </w:p>
        </w:tc>
        <w:tc>
          <w:tcPr>
            <w:tcW w:w="308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1"/>
              <w:ind w:right="56"/>
              <w:jc w:val="right"/>
              <w:rPr>
                <w:rFonts w:ascii="Arial Narrow" w:hAnsi="Arial Narrow" w:cs="Arial Narrow" w:eastAsia="Arial Narrow" w:hint="default"/>
                <w:sz w:val="18"/>
                <w:szCs w:val="18"/>
              </w:rPr>
            </w:pPr>
            <w:r>
              <w:rPr>
                <w:rFonts w:ascii="Arial Narrow"/>
                <w:spacing w:val="-1"/>
                <w:sz w:val="18"/>
              </w:rPr>
              <w:t>2,749.10</w:t>
            </w:r>
          </w:p>
        </w:tc>
      </w:tr>
    </w:tbl>
    <w:p>
      <w:pPr>
        <w:spacing w:line="240" w:lineRule="auto" w:before="2"/>
        <w:rPr>
          <w:rFonts w:ascii="宋体" w:hAnsi="宋体" w:cs="宋体" w:eastAsia="宋体" w:hint="default"/>
          <w:sz w:val="27"/>
          <w:szCs w:val="27"/>
        </w:rPr>
      </w:pPr>
    </w:p>
    <w:p>
      <w:pPr>
        <w:pStyle w:val="BodyText"/>
        <w:spacing w:line="240" w:lineRule="auto" w:before="44"/>
        <w:ind w:left="172" w:right="254"/>
        <w:jc w:val="left"/>
      </w:pPr>
      <w:r>
        <w:rPr/>
        <w:t>可辨认资产、负债公允价值的确定方法：</w:t>
      </w:r>
    </w:p>
    <w:p>
      <w:pPr>
        <w:pStyle w:val="BodyText"/>
        <w:spacing w:line="340" w:lineRule="auto" w:before="118"/>
        <w:ind w:left="172" w:right="6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企业合并中承担的被购买方的或有负债：</w:t>
      </w:r>
    </w:p>
    <w:p>
      <w:pPr>
        <w:pStyle w:val="BodyText"/>
        <w:spacing w:line="240" w:lineRule="auto" w:before="39"/>
        <w:ind w:left="172" w:right="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172" w:right="254"/>
        <w:jc w:val="left"/>
        <w:rPr>
          <w:b w:val="0"/>
          <w:bCs w:val="0"/>
        </w:rPr>
      </w:pPr>
      <w:r>
        <w:rPr>
          <w:rFonts w:ascii="Times New Roman" w:hAnsi="Times New Roman" w:cs="Times New Roman" w:eastAsia="Times New Roman" w:hint="default"/>
        </w:rPr>
        <w:t>2</w:t>
      </w:r>
      <w:r>
        <w:rPr/>
        <w:t>、处置子公司</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60" w:right="960"/>
        </w:sectPr>
      </w:pPr>
    </w:p>
    <w:p>
      <w:pPr>
        <w:pStyle w:val="BodyText"/>
        <w:spacing w:line="240" w:lineRule="auto" w:before="44"/>
        <w:ind w:left="172" w:right="-20"/>
        <w:jc w:val="left"/>
      </w:pPr>
      <w:r>
        <w:rPr/>
        <w:t>是否存在单次处置对子公司投资即丧失控制权的情形</w:t>
      </w:r>
    </w:p>
    <w:p>
      <w:pPr>
        <w:pStyle w:val="BodyText"/>
        <w:spacing w:line="240" w:lineRule="auto" w:before="117"/>
        <w:ind w:left="172"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72" w:right="0"/>
        <w:jc w:val="left"/>
      </w:pPr>
      <w:r>
        <w:rPr/>
        <w:t>单位：</w:t>
      </w:r>
      <w:r>
        <w:rPr>
          <w:spacing w:val="1"/>
        </w:rPr>
        <w:t> </w:t>
      </w:r>
      <w:r>
        <w:rPr/>
        <w:t>元</w:t>
      </w:r>
    </w:p>
    <w:p>
      <w:pPr>
        <w:spacing w:after="0" w:line="240" w:lineRule="auto"/>
        <w:jc w:val="left"/>
        <w:sectPr>
          <w:type w:val="continuous"/>
          <w:pgSz w:w="11910" w:h="16840"/>
          <w:pgMar w:top="1060" w:bottom="1160" w:left="960" w:right="960"/>
          <w:cols w:num="2" w:equalWidth="0">
            <w:col w:w="4313" w:space="4516"/>
            <w:col w:w="1161"/>
          </w:cols>
        </w:sectPr>
      </w:pP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737"/>
        <w:gridCol w:w="734"/>
        <w:gridCol w:w="737"/>
        <w:gridCol w:w="735"/>
        <w:gridCol w:w="737"/>
        <w:gridCol w:w="734"/>
        <w:gridCol w:w="734"/>
        <w:gridCol w:w="735"/>
        <w:gridCol w:w="737"/>
        <w:gridCol w:w="737"/>
        <w:gridCol w:w="737"/>
        <w:gridCol w:w="735"/>
        <w:gridCol w:w="737"/>
      </w:tblGrid>
      <w:tr>
        <w:trPr>
          <w:trHeight w:val="3836"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182" w:right="92"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深圳市 哇塞宝 贝网络 科技有 限公司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根据企 业会计 准则等 的相关 规定</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70"/>
              <w:ind w:left="24" w:right="161"/>
              <w:jc w:val="both"/>
              <w:rPr>
                <w:rFonts w:ascii="宋体" w:hAnsi="宋体" w:cs="宋体" w:eastAsia="宋体" w:hint="default"/>
                <w:sz w:val="18"/>
                <w:szCs w:val="18"/>
              </w:rPr>
            </w:pPr>
            <w:r>
              <w:rPr>
                <w:rFonts w:ascii="宋体" w:hAnsi="宋体" w:cs="宋体" w:eastAsia="宋体" w:hint="default"/>
                <w:sz w:val="18"/>
                <w:szCs w:val="18"/>
              </w:rPr>
              <w:t>深圳市 昇泰物 业有限</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158"/>
              <w:jc w:val="both"/>
              <w:rPr>
                <w:rFonts w:ascii="宋体" w:hAnsi="宋体" w:cs="宋体" w:eastAsia="宋体" w:hint="default"/>
                <w:sz w:val="18"/>
                <w:szCs w:val="18"/>
              </w:rPr>
            </w:pPr>
            <w:r>
              <w:rPr>
                <w:rFonts w:ascii="宋体" w:hAnsi="宋体" w:cs="宋体" w:eastAsia="宋体" w:hint="default"/>
                <w:sz w:val="18"/>
                <w:szCs w:val="18"/>
              </w:rPr>
              <w:t>根据企 业会计 准则等</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60" w:right="96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39"/>
        <w:gridCol w:w="734"/>
        <w:gridCol w:w="737"/>
        <w:gridCol w:w="735"/>
        <w:gridCol w:w="737"/>
        <w:gridCol w:w="734"/>
        <w:gridCol w:w="734"/>
        <w:gridCol w:w="735"/>
        <w:gridCol w:w="737"/>
        <w:gridCol w:w="737"/>
        <w:gridCol w:w="737"/>
        <w:gridCol w:w="735"/>
        <w:gridCol w:w="737"/>
      </w:tblGrid>
      <w:tr>
        <w:trPr>
          <w:trHeight w:val="675" w:hRule="exact"/>
        </w:trPr>
        <w:tc>
          <w:tcPr>
            <w:tcW w:w="7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58"/>
              <w:jc w:val="left"/>
              <w:rPr>
                <w:rFonts w:ascii="宋体" w:hAnsi="宋体" w:cs="宋体" w:eastAsia="宋体" w:hint="default"/>
                <w:sz w:val="18"/>
                <w:szCs w:val="18"/>
              </w:rPr>
            </w:pPr>
            <w:r>
              <w:rPr>
                <w:rFonts w:ascii="宋体" w:hAnsi="宋体" w:cs="宋体" w:eastAsia="宋体" w:hint="default"/>
                <w:sz w:val="18"/>
                <w:szCs w:val="18"/>
              </w:rPr>
              <w:t>的相关 规定</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是否存在通过多次交易分步处置对子公司投资且在本期丧失控制权的情形</w:t>
      </w:r>
    </w:p>
    <w:p>
      <w:pPr>
        <w:pStyle w:val="BodyText"/>
        <w:spacing w:line="240" w:lineRule="auto" w:before="115"/>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2934"/>
        <w:jc w:val="left"/>
      </w:pPr>
      <w:r>
        <w:rPr/>
        <w:t>说明其他原因导致的合并范围变动（如，新设子公司、清算子公司等）及其相关情况： 本期新设子公司的情况：</w:t>
      </w:r>
    </w:p>
    <w:tbl>
      <w:tblPr>
        <w:tblW w:w="0" w:type="auto"/>
        <w:jc w:val="left"/>
        <w:tblInd w:w="131" w:type="dxa"/>
        <w:tblLayout w:type="fixed"/>
        <w:tblCellMar>
          <w:top w:w="0" w:type="dxa"/>
          <w:left w:w="0" w:type="dxa"/>
          <w:bottom w:w="0" w:type="dxa"/>
          <w:right w:w="0" w:type="dxa"/>
        </w:tblCellMar>
        <w:tblLook w:val="01E0"/>
      </w:tblPr>
      <w:tblGrid>
        <w:gridCol w:w="1794"/>
        <w:gridCol w:w="1514"/>
        <w:gridCol w:w="1644"/>
        <w:gridCol w:w="1505"/>
        <w:gridCol w:w="1726"/>
        <w:gridCol w:w="1503"/>
      </w:tblGrid>
      <w:tr>
        <w:trPr>
          <w:trHeight w:val="340" w:hRule="exact"/>
        </w:trPr>
        <w:tc>
          <w:tcPr>
            <w:tcW w:w="17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533" w:right="0"/>
              <w:jc w:val="left"/>
              <w:rPr>
                <w:rFonts w:ascii="宋体" w:hAnsi="宋体" w:cs="宋体" w:eastAsia="宋体" w:hint="default"/>
                <w:sz w:val="18"/>
                <w:szCs w:val="18"/>
              </w:rPr>
            </w:pPr>
            <w:r>
              <w:rPr>
                <w:rFonts w:ascii="宋体" w:hAnsi="宋体" w:cs="宋体" w:eastAsia="宋体" w:hint="default"/>
                <w:sz w:val="18"/>
                <w:szCs w:val="18"/>
              </w:rPr>
              <w:t>公司名称</w:t>
            </w:r>
            <w:r>
              <w:rPr>
                <w:rFonts w:ascii="宋体" w:hAnsi="宋体" w:cs="宋体" w:eastAsia="宋体" w:hint="default"/>
                <w:sz w:val="18"/>
                <w:szCs w:val="18"/>
              </w:rPr>
              <w:t> </w:t>
            </w:r>
          </w:p>
        </w:tc>
        <w:tc>
          <w:tcPr>
            <w:tcW w:w="15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17" w:right="0"/>
              <w:jc w:val="left"/>
              <w:rPr>
                <w:rFonts w:ascii="宋体" w:hAnsi="宋体" w:cs="宋体" w:eastAsia="宋体" w:hint="default"/>
                <w:sz w:val="18"/>
                <w:szCs w:val="18"/>
              </w:rPr>
            </w:pPr>
            <w:r>
              <w:rPr>
                <w:rFonts w:ascii="宋体" w:hAnsi="宋体" w:cs="宋体" w:eastAsia="宋体" w:hint="default"/>
                <w:sz w:val="18"/>
                <w:szCs w:val="18"/>
              </w:rPr>
              <w:t>公司设立时点</w:t>
            </w:r>
            <w:r>
              <w:rPr>
                <w:rFonts w:ascii="宋体" w:hAnsi="宋体" w:cs="宋体" w:eastAsia="宋体" w:hint="default"/>
                <w:sz w:val="18"/>
                <w:szCs w:val="18"/>
              </w:rPr>
              <w:t> </w:t>
            </w:r>
          </w:p>
        </w:tc>
        <w:tc>
          <w:tcPr>
            <w:tcW w:w="1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458" w:right="0"/>
              <w:jc w:val="lef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z w:val="18"/>
                <w:szCs w:val="18"/>
              </w:rPr>
              <w:t> </w:t>
            </w:r>
          </w:p>
        </w:tc>
        <w:tc>
          <w:tcPr>
            <w:tcW w:w="15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p>
        </w:tc>
        <w:tc>
          <w:tcPr>
            <w:tcW w:w="17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股权比例</w:t>
            </w:r>
            <w:r>
              <w:rPr>
                <w:rFonts w:ascii="宋体" w:hAnsi="宋体" w:cs="宋体" w:eastAsia="宋体" w:hint="default"/>
                <w:sz w:val="18"/>
                <w:szCs w:val="18"/>
              </w:rPr>
              <w:t>(%) </w:t>
            </w:r>
          </w:p>
        </w:tc>
        <w:tc>
          <w:tcPr>
            <w:tcW w:w="15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53" w:right="0"/>
              <w:jc w:val="lef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 </w:t>
            </w:r>
          </w:p>
        </w:tc>
      </w:tr>
      <w:tr>
        <w:trPr>
          <w:trHeight w:val="575" w:hRule="exact"/>
        </w:trPr>
        <w:tc>
          <w:tcPr>
            <w:tcW w:w="17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auto" w:before="9"/>
              <w:ind w:left="40" w:right="123"/>
              <w:jc w:val="left"/>
              <w:rPr>
                <w:rFonts w:ascii="宋体" w:hAnsi="宋体" w:cs="宋体" w:eastAsia="宋体" w:hint="default"/>
                <w:sz w:val="18"/>
                <w:szCs w:val="18"/>
              </w:rPr>
            </w:pPr>
            <w:r>
              <w:rPr>
                <w:rFonts w:ascii="宋体" w:hAnsi="宋体" w:cs="宋体" w:eastAsia="宋体" w:hint="default"/>
                <w:sz w:val="18"/>
                <w:szCs w:val="18"/>
              </w:rPr>
              <w:t>深圳市前海麦达数字 有限公司</w:t>
            </w:r>
            <w:r>
              <w:rPr>
                <w:rFonts w:ascii="宋体" w:hAnsi="宋体" w:cs="宋体" w:eastAsia="宋体" w:hint="default"/>
                <w:sz w:val="18"/>
                <w:szCs w:val="18"/>
              </w:rPr>
              <w:t> </w:t>
            </w:r>
          </w:p>
        </w:tc>
        <w:tc>
          <w:tcPr>
            <w:tcW w:w="1514"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29"/>
              <w:ind w:right="-40"/>
              <w:jc w:val="right"/>
              <w:rPr>
                <w:rFonts w:ascii="宋体" w:hAnsi="宋体" w:cs="宋体" w:eastAsia="宋体" w:hint="default"/>
                <w:sz w:val="18"/>
                <w:szCs w:val="18"/>
              </w:rPr>
            </w:pPr>
            <w:r>
              <w:rPr>
                <w:rFonts w:ascii="宋体"/>
                <w:spacing w:val="-1"/>
                <w:sz w:val="18"/>
              </w:rPr>
              <w:t>2017/6/22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万人民币</w:t>
            </w:r>
            <w:r>
              <w:rPr>
                <w:rFonts w:ascii="宋体" w:hAnsi="宋体" w:cs="宋体" w:eastAsia="宋体" w:hint="default"/>
                <w:sz w:val="18"/>
                <w:szCs w:val="18"/>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8"/>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万人民币</w:t>
            </w:r>
            <w:r>
              <w:rPr>
                <w:rFonts w:ascii="宋体" w:hAnsi="宋体" w:cs="宋体" w:eastAsia="宋体" w:hint="default"/>
                <w:sz w:val="18"/>
                <w:szCs w:val="18"/>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3"/>
              <w:jc w:val="right"/>
              <w:rPr>
                <w:rFonts w:ascii="宋体" w:hAnsi="宋体" w:cs="宋体" w:eastAsia="宋体" w:hint="default"/>
                <w:sz w:val="18"/>
                <w:szCs w:val="18"/>
              </w:rPr>
            </w:pPr>
            <w:r>
              <w:rPr>
                <w:rFonts w:ascii="宋体"/>
                <w:spacing w:val="-1"/>
                <w:sz w:val="18"/>
              </w:rPr>
              <w:t>100.00</w:t>
            </w:r>
            <w:r>
              <w:rPr>
                <w:rFonts w:ascii="宋体"/>
                <w:sz w:val="18"/>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9"/>
              <w:ind w:left="53" w:right="179"/>
              <w:jc w:val="left"/>
              <w:rPr>
                <w:rFonts w:ascii="宋体" w:hAnsi="宋体" w:cs="宋体" w:eastAsia="宋体" w:hint="default"/>
                <w:sz w:val="18"/>
                <w:szCs w:val="18"/>
              </w:rPr>
            </w:pPr>
            <w:r>
              <w:rPr>
                <w:rFonts w:ascii="宋体" w:hAnsi="宋体" w:cs="宋体" w:eastAsia="宋体" w:hint="default"/>
                <w:sz w:val="18"/>
                <w:szCs w:val="18"/>
              </w:rPr>
              <w:t>前述北京麦达的 子公司</w:t>
            </w:r>
            <w:r>
              <w:rPr>
                <w:rFonts w:ascii="宋体" w:hAnsi="宋体" w:cs="宋体" w:eastAsia="宋体" w:hint="default"/>
                <w:sz w:val="18"/>
                <w:szCs w:val="18"/>
              </w:rPr>
              <w:t> </w:t>
            </w:r>
          </w:p>
        </w:tc>
      </w:tr>
      <w:tr>
        <w:trPr>
          <w:trHeight w:val="569" w:hRule="exact"/>
        </w:trPr>
        <w:tc>
          <w:tcPr>
            <w:tcW w:w="17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3"/>
              <w:ind w:left="40" w:right="123"/>
              <w:jc w:val="left"/>
              <w:rPr>
                <w:rFonts w:ascii="宋体" w:hAnsi="宋体" w:cs="宋体" w:eastAsia="宋体" w:hint="default"/>
                <w:sz w:val="18"/>
                <w:szCs w:val="18"/>
              </w:rPr>
            </w:pPr>
            <w:r>
              <w:rPr>
                <w:rFonts w:ascii="宋体" w:hAnsi="宋体" w:cs="宋体" w:eastAsia="宋体" w:hint="default"/>
                <w:sz w:val="18"/>
                <w:szCs w:val="18"/>
              </w:rPr>
              <w:t>实益达技术（香港） 有限公司</w:t>
            </w:r>
            <w:r>
              <w:rPr>
                <w:rFonts w:ascii="宋体" w:hAnsi="宋体" w:cs="宋体" w:eastAsia="宋体" w:hint="default"/>
                <w:sz w:val="18"/>
                <w:szCs w:val="18"/>
              </w:rPr>
              <w:t> </w:t>
            </w:r>
          </w:p>
        </w:tc>
        <w:tc>
          <w:tcPr>
            <w:tcW w:w="1514"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24"/>
              <w:ind w:right="-40"/>
              <w:jc w:val="right"/>
              <w:rPr>
                <w:rFonts w:ascii="宋体" w:hAnsi="宋体" w:cs="宋体" w:eastAsia="宋体" w:hint="default"/>
                <w:sz w:val="18"/>
                <w:szCs w:val="18"/>
              </w:rPr>
            </w:pPr>
            <w:r>
              <w:rPr>
                <w:rFonts w:ascii="宋体"/>
                <w:spacing w:val="-1"/>
                <w:sz w:val="18"/>
              </w:rPr>
              <w:t>2017/5/16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0"/>
              <w:jc w:val="right"/>
              <w:rPr>
                <w:rFonts w:ascii="宋体" w:hAnsi="宋体" w:cs="宋体" w:eastAsia="宋体" w:hint="default"/>
                <w:sz w:val="18"/>
                <w:szCs w:val="18"/>
              </w:rPr>
            </w:pPr>
            <w:r>
              <w:rPr>
                <w:rFonts w:ascii="宋体"/>
                <w:spacing w:val="-1"/>
                <w:sz w:val="18"/>
              </w:rPr>
              <w:t>HKD10000</w:t>
            </w:r>
            <w:r>
              <w:rPr>
                <w:rFonts w:ascii="宋体"/>
                <w:sz w:val="18"/>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
              <w:jc w:val="right"/>
              <w:rPr>
                <w:rFonts w:ascii="宋体" w:hAnsi="宋体" w:cs="宋体" w:eastAsia="宋体" w:hint="default"/>
                <w:sz w:val="18"/>
                <w:szCs w:val="18"/>
              </w:rPr>
            </w:pPr>
            <w:r>
              <w:rPr>
                <w:rFonts w:ascii="宋体"/>
                <w:sz w:val="18"/>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3"/>
              <w:jc w:val="right"/>
              <w:rPr>
                <w:rFonts w:ascii="宋体" w:hAnsi="宋体" w:cs="宋体" w:eastAsia="宋体" w:hint="default"/>
                <w:sz w:val="18"/>
                <w:szCs w:val="18"/>
              </w:rPr>
            </w:pPr>
            <w:r>
              <w:rPr>
                <w:rFonts w:ascii="宋体"/>
                <w:sz w:val="18"/>
              </w:rPr>
              <w:t>76.54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
              <w:ind w:left="53" w:right="179"/>
              <w:jc w:val="left"/>
              <w:rPr>
                <w:rFonts w:ascii="宋体" w:hAnsi="宋体" w:cs="宋体" w:eastAsia="宋体" w:hint="default"/>
                <w:sz w:val="18"/>
                <w:szCs w:val="18"/>
              </w:rPr>
            </w:pPr>
            <w:r>
              <w:rPr>
                <w:rFonts w:ascii="宋体" w:hAnsi="宋体" w:cs="宋体" w:eastAsia="宋体" w:hint="default"/>
                <w:sz w:val="18"/>
                <w:szCs w:val="18"/>
              </w:rPr>
              <w:t>实益达技术下属 公司</w:t>
            </w:r>
            <w:r>
              <w:rPr>
                <w:rFonts w:ascii="宋体" w:hAnsi="宋体" w:cs="宋体" w:eastAsia="宋体" w:hint="default"/>
                <w:sz w:val="18"/>
                <w:szCs w:val="18"/>
              </w:rPr>
              <w:t> </w:t>
            </w:r>
          </w:p>
        </w:tc>
      </w:tr>
      <w:tr>
        <w:trPr>
          <w:trHeight w:val="571" w:hRule="exact"/>
        </w:trPr>
        <w:tc>
          <w:tcPr>
            <w:tcW w:w="17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auto" w:before="5"/>
              <w:ind w:left="40" w:right="123"/>
              <w:jc w:val="left"/>
              <w:rPr>
                <w:rFonts w:ascii="宋体" w:hAnsi="宋体" w:cs="宋体" w:eastAsia="宋体" w:hint="default"/>
                <w:sz w:val="18"/>
                <w:szCs w:val="18"/>
              </w:rPr>
            </w:pPr>
            <w:r>
              <w:rPr>
                <w:rFonts w:ascii="宋体" w:hAnsi="宋体" w:cs="宋体" w:eastAsia="宋体" w:hint="default"/>
                <w:sz w:val="18"/>
                <w:szCs w:val="18"/>
              </w:rPr>
              <w:t>实益达智能（香港） 有限公司</w:t>
            </w:r>
            <w:r>
              <w:rPr>
                <w:rFonts w:ascii="宋体" w:hAnsi="宋体" w:cs="宋体" w:eastAsia="宋体" w:hint="default"/>
                <w:sz w:val="18"/>
                <w:szCs w:val="18"/>
              </w:rPr>
              <w:t> </w:t>
            </w:r>
          </w:p>
        </w:tc>
        <w:tc>
          <w:tcPr>
            <w:tcW w:w="1514"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25"/>
              <w:ind w:right="-40"/>
              <w:jc w:val="right"/>
              <w:rPr>
                <w:rFonts w:ascii="宋体" w:hAnsi="宋体" w:cs="宋体" w:eastAsia="宋体" w:hint="default"/>
                <w:sz w:val="18"/>
                <w:szCs w:val="18"/>
              </w:rPr>
            </w:pPr>
            <w:r>
              <w:rPr>
                <w:rFonts w:ascii="宋体"/>
                <w:spacing w:val="-1"/>
                <w:sz w:val="18"/>
              </w:rPr>
              <w:t>2017/3/29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0"/>
              <w:jc w:val="right"/>
              <w:rPr>
                <w:rFonts w:ascii="宋体" w:hAnsi="宋体" w:cs="宋体" w:eastAsia="宋体" w:hint="default"/>
                <w:sz w:val="18"/>
                <w:szCs w:val="18"/>
              </w:rPr>
            </w:pPr>
            <w:r>
              <w:rPr>
                <w:rFonts w:ascii="宋体"/>
                <w:spacing w:val="-1"/>
                <w:sz w:val="18"/>
              </w:rPr>
              <w:t>HKD10000</w:t>
            </w:r>
            <w:r>
              <w:rPr>
                <w:rFonts w:ascii="宋体"/>
                <w:sz w:val="18"/>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8"/>
              <w:jc w:val="right"/>
              <w:rPr>
                <w:rFonts w:ascii="宋体" w:hAnsi="宋体" w:cs="宋体" w:eastAsia="宋体" w:hint="default"/>
                <w:sz w:val="18"/>
                <w:szCs w:val="18"/>
              </w:rPr>
            </w:pPr>
            <w:r>
              <w:rPr>
                <w:rFonts w:ascii="宋体"/>
                <w:sz w:val="18"/>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3"/>
              <w:jc w:val="right"/>
              <w:rPr>
                <w:rFonts w:ascii="宋体" w:hAnsi="宋体" w:cs="宋体" w:eastAsia="宋体" w:hint="default"/>
                <w:sz w:val="18"/>
                <w:szCs w:val="18"/>
              </w:rPr>
            </w:pPr>
            <w:r>
              <w:rPr>
                <w:rFonts w:ascii="宋体"/>
                <w:sz w:val="18"/>
              </w:rPr>
              <w:t>61.23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5"/>
              <w:ind w:left="53" w:right="179"/>
              <w:jc w:val="left"/>
              <w:rPr>
                <w:rFonts w:ascii="宋体" w:hAnsi="宋体" w:cs="宋体" w:eastAsia="宋体" w:hint="default"/>
                <w:sz w:val="18"/>
                <w:szCs w:val="18"/>
              </w:rPr>
            </w:pPr>
            <w:r>
              <w:rPr>
                <w:rFonts w:ascii="宋体" w:hAnsi="宋体" w:cs="宋体" w:eastAsia="宋体" w:hint="default"/>
                <w:sz w:val="18"/>
                <w:szCs w:val="18"/>
              </w:rPr>
              <w:t>实益达技术下属 公司</w:t>
            </w:r>
            <w:r>
              <w:rPr>
                <w:rFonts w:ascii="宋体" w:hAnsi="宋体" w:cs="宋体" w:eastAsia="宋体" w:hint="default"/>
                <w:sz w:val="18"/>
                <w:szCs w:val="18"/>
              </w:rPr>
              <w:t> </w:t>
            </w:r>
          </w:p>
        </w:tc>
      </w:tr>
      <w:tr>
        <w:trPr>
          <w:trHeight w:val="569" w:hRule="exact"/>
        </w:trPr>
        <w:tc>
          <w:tcPr>
            <w:tcW w:w="17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3"/>
              <w:ind w:left="40" w:right="123"/>
              <w:jc w:val="left"/>
              <w:rPr>
                <w:rFonts w:ascii="宋体" w:hAnsi="宋体" w:cs="宋体" w:eastAsia="宋体" w:hint="default"/>
                <w:sz w:val="18"/>
                <w:szCs w:val="18"/>
              </w:rPr>
            </w:pPr>
            <w:r>
              <w:rPr>
                <w:rFonts w:ascii="宋体" w:hAnsi="宋体" w:cs="宋体" w:eastAsia="宋体" w:hint="default"/>
                <w:sz w:val="18"/>
                <w:szCs w:val="18"/>
              </w:rPr>
              <w:t>无锡益锡电子有限公 司</w:t>
            </w:r>
            <w:r>
              <w:rPr>
                <w:rFonts w:ascii="宋体" w:hAnsi="宋体" w:cs="宋体" w:eastAsia="宋体" w:hint="default"/>
                <w:sz w:val="18"/>
                <w:szCs w:val="18"/>
              </w:rPr>
              <w:t> </w:t>
            </w:r>
          </w:p>
        </w:tc>
        <w:tc>
          <w:tcPr>
            <w:tcW w:w="1514"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23"/>
              <w:ind w:right="-40"/>
              <w:jc w:val="right"/>
              <w:rPr>
                <w:rFonts w:ascii="宋体" w:hAnsi="宋体" w:cs="宋体" w:eastAsia="宋体" w:hint="default"/>
                <w:sz w:val="18"/>
                <w:szCs w:val="18"/>
              </w:rPr>
            </w:pPr>
            <w:r>
              <w:rPr>
                <w:rFonts w:ascii="宋体"/>
                <w:spacing w:val="-1"/>
                <w:sz w:val="18"/>
              </w:rPr>
              <w:t>2017/9/26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40"/>
              <w:jc w:val="right"/>
              <w:rPr>
                <w:rFonts w:ascii="宋体" w:hAnsi="宋体" w:cs="宋体" w:eastAsia="宋体" w:hint="default"/>
                <w:sz w:val="18"/>
                <w:szCs w:val="18"/>
              </w:rPr>
            </w:pPr>
            <w:r>
              <w:rPr>
                <w:rFonts w:ascii="宋体" w:hAnsi="宋体" w:cs="宋体" w:eastAsia="宋体" w:hint="default"/>
                <w:sz w:val="18"/>
                <w:szCs w:val="18"/>
              </w:rPr>
              <w:t>3600</w:t>
            </w:r>
            <w:r>
              <w:rPr>
                <w:rFonts w:ascii="宋体" w:hAnsi="宋体" w:cs="宋体" w:eastAsia="宋体" w:hint="default"/>
                <w:spacing w:val="-46"/>
                <w:sz w:val="18"/>
                <w:szCs w:val="18"/>
              </w:rPr>
              <w:t> </w:t>
            </w:r>
            <w:r>
              <w:rPr>
                <w:rFonts w:ascii="宋体" w:hAnsi="宋体" w:cs="宋体" w:eastAsia="宋体" w:hint="default"/>
                <w:sz w:val="18"/>
                <w:szCs w:val="18"/>
              </w:rPr>
              <w:t>万人民币</w:t>
            </w:r>
            <w:r>
              <w:rPr>
                <w:rFonts w:ascii="宋体" w:hAnsi="宋体" w:cs="宋体" w:eastAsia="宋体" w:hint="default"/>
                <w:sz w:val="18"/>
                <w:szCs w:val="18"/>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38"/>
              <w:jc w:val="right"/>
              <w:rPr>
                <w:rFonts w:ascii="宋体" w:hAnsi="宋体" w:cs="宋体" w:eastAsia="宋体" w:hint="default"/>
                <w:sz w:val="18"/>
                <w:szCs w:val="18"/>
              </w:rPr>
            </w:pPr>
            <w:r>
              <w:rPr>
                <w:rFonts w:ascii="宋体" w:hAnsi="宋体" w:cs="宋体" w:eastAsia="宋体" w:hint="default"/>
                <w:sz w:val="18"/>
                <w:szCs w:val="18"/>
              </w:rPr>
              <w:t>3600</w:t>
            </w:r>
            <w:r>
              <w:rPr>
                <w:rFonts w:ascii="宋体" w:hAnsi="宋体" w:cs="宋体" w:eastAsia="宋体" w:hint="default"/>
                <w:spacing w:val="-46"/>
                <w:sz w:val="18"/>
                <w:szCs w:val="18"/>
              </w:rPr>
              <w:t> </w:t>
            </w:r>
            <w:r>
              <w:rPr>
                <w:rFonts w:ascii="宋体" w:hAnsi="宋体" w:cs="宋体" w:eastAsia="宋体" w:hint="default"/>
                <w:sz w:val="18"/>
                <w:szCs w:val="18"/>
              </w:rPr>
              <w:t>万人民币</w:t>
            </w:r>
            <w:r>
              <w:rPr>
                <w:rFonts w:ascii="宋体" w:hAnsi="宋体" w:cs="宋体" w:eastAsia="宋体" w:hint="default"/>
                <w:sz w:val="18"/>
                <w:szCs w:val="18"/>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43"/>
              <w:jc w:val="right"/>
              <w:rPr>
                <w:rFonts w:ascii="宋体" w:hAnsi="宋体" w:cs="宋体" w:eastAsia="宋体" w:hint="default"/>
                <w:sz w:val="18"/>
                <w:szCs w:val="18"/>
              </w:rPr>
            </w:pPr>
            <w:r>
              <w:rPr>
                <w:rFonts w:ascii="宋体"/>
                <w:spacing w:val="-1"/>
                <w:sz w:val="18"/>
              </w:rPr>
              <w:t>100.00</w:t>
            </w:r>
            <w:r>
              <w:rPr>
                <w:rFonts w:ascii="宋体"/>
                <w:sz w:val="18"/>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
              <w:ind w:left="53" w:right="179"/>
              <w:jc w:val="left"/>
              <w:rPr>
                <w:rFonts w:ascii="宋体" w:hAnsi="宋体" w:cs="宋体" w:eastAsia="宋体" w:hint="default"/>
                <w:sz w:val="18"/>
                <w:szCs w:val="18"/>
              </w:rPr>
            </w:pPr>
            <w:r>
              <w:rPr>
                <w:rFonts w:ascii="宋体" w:hAnsi="宋体" w:cs="宋体" w:eastAsia="宋体" w:hint="default"/>
                <w:sz w:val="18"/>
                <w:szCs w:val="18"/>
              </w:rPr>
              <w:t>从无锡实益达电 子分立出来</w:t>
            </w:r>
            <w:r>
              <w:rPr>
                <w:rFonts w:ascii="宋体" w:hAnsi="宋体" w:cs="宋体" w:eastAsia="宋体" w:hint="default"/>
                <w:sz w:val="18"/>
                <w:szCs w:val="18"/>
              </w:rPr>
              <w:t> </w:t>
            </w:r>
          </w:p>
        </w:tc>
      </w:tr>
      <w:tr>
        <w:trPr>
          <w:trHeight w:val="571" w:hRule="exact"/>
        </w:trPr>
        <w:tc>
          <w:tcPr>
            <w:tcW w:w="17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auto" w:before="48"/>
              <w:ind w:left="40" w:right="505"/>
              <w:jc w:val="left"/>
              <w:rPr>
                <w:rFonts w:ascii="宋体" w:hAnsi="宋体" w:cs="宋体" w:eastAsia="宋体" w:hint="default"/>
                <w:sz w:val="18"/>
                <w:szCs w:val="18"/>
              </w:rPr>
            </w:pPr>
            <w:r>
              <w:rPr>
                <w:rFonts w:ascii="Times New Roman"/>
                <w:sz w:val="18"/>
              </w:rPr>
              <w:t>Mindata</w:t>
            </w:r>
            <w:r>
              <w:rPr>
                <w:rFonts w:ascii="Times New Roman"/>
                <w:spacing w:val="-1"/>
                <w:sz w:val="18"/>
              </w:rPr>
              <w:t> </w:t>
            </w:r>
            <w:r>
              <w:rPr>
                <w:rFonts w:ascii="Times New Roman"/>
                <w:sz w:val="18"/>
              </w:rPr>
              <w:t>Holding</w:t>
            </w:r>
            <w:r>
              <w:rPr>
                <w:rFonts w:ascii="Times New Roman"/>
                <w:sz w:val="18"/>
              </w:rPr>
              <w:t> Co.Ltd</w:t>
            </w:r>
            <w:r>
              <w:rPr>
                <w:rFonts w:ascii="宋体"/>
                <w:sz w:val="18"/>
              </w:rPr>
              <w:t> </w:t>
            </w:r>
          </w:p>
        </w:tc>
        <w:tc>
          <w:tcPr>
            <w:tcW w:w="1514"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25"/>
              <w:ind w:right="-40"/>
              <w:jc w:val="right"/>
              <w:rPr>
                <w:rFonts w:ascii="宋体" w:hAnsi="宋体" w:cs="宋体" w:eastAsia="宋体" w:hint="default"/>
                <w:sz w:val="18"/>
                <w:szCs w:val="18"/>
              </w:rPr>
            </w:pPr>
            <w:r>
              <w:rPr>
                <w:rFonts w:ascii="宋体"/>
                <w:spacing w:val="-1"/>
                <w:sz w:val="18"/>
              </w:rPr>
              <w:t>2017/12/19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0"/>
              <w:jc w:val="right"/>
              <w:rPr>
                <w:rFonts w:ascii="宋体" w:hAnsi="宋体" w:cs="宋体" w:eastAsia="宋体" w:hint="default"/>
                <w:sz w:val="18"/>
                <w:szCs w:val="18"/>
              </w:rPr>
            </w:pPr>
            <w:r>
              <w:rPr>
                <w:rFonts w:ascii="宋体"/>
                <w:sz w:val="18"/>
              </w:rPr>
              <w:t>USD10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8"/>
              <w:jc w:val="right"/>
              <w:rPr>
                <w:rFonts w:ascii="宋体" w:hAnsi="宋体" w:cs="宋体" w:eastAsia="宋体" w:hint="default"/>
                <w:sz w:val="18"/>
                <w:szCs w:val="18"/>
              </w:rPr>
            </w:pPr>
            <w:r>
              <w:rPr>
                <w:rFonts w:ascii="宋体"/>
                <w:sz w:val="18"/>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3"/>
              <w:jc w:val="right"/>
              <w:rPr>
                <w:rFonts w:ascii="宋体" w:hAnsi="宋体" w:cs="宋体" w:eastAsia="宋体" w:hint="default"/>
                <w:sz w:val="18"/>
                <w:szCs w:val="18"/>
              </w:rPr>
            </w:pPr>
            <w:r>
              <w:rPr>
                <w:rFonts w:ascii="宋体"/>
                <w:spacing w:val="-1"/>
                <w:sz w:val="18"/>
              </w:rPr>
              <w:t>100.00</w:t>
            </w:r>
            <w:r>
              <w:rPr>
                <w:rFonts w:ascii="宋体"/>
                <w:sz w:val="18"/>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5"/>
              <w:ind w:left="53" w:right="179"/>
              <w:jc w:val="left"/>
              <w:rPr>
                <w:rFonts w:ascii="宋体" w:hAnsi="宋体" w:cs="宋体" w:eastAsia="宋体" w:hint="default"/>
                <w:sz w:val="18"/>
                <w:szCs w:val="18"/>
              </w:rPr>
            </w:pPr>
            <w:r>
              <w:rPr>
                <w:rFonts w:ascii="宋体" w:hAnsi="宋体" w:cs="宋体" w:eastAsia="宋体" w:hint="default"/>
                <w:sz w:val="18"/>
                <w:szCs w:val="18"/>
              </w:rPr>
              <w:t>凯扬商贸下属公 司</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2"/>
        <w:spacing w:line="240" w:lineRule="auto" w:before="26"/>
        <w:ind w:right="153"/>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403"/>
        <w:gridCol w:w="991"/>
        <w:gridCol w:w="850"/>
        <w:gridCol w:w="1277"/>
        <w:gridCol w:w="850"/>
        <w:gridCol w:w="835"/>
        <w:gridCol w:w="1366"/>
      </w:tblGrid>
      <w:tr>
        <w:trPr>
          <w:trHeight w:val="401" w:hRule="exact"/>
        </w:trPr>
        <w:tc>
          <w:tcPr>
            <w:tcW w:w="340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3403" w:type="dxa"/>
            <w:vMerge/>
            <w:tcBorders>
              <w:left w:val="single" w:sz="4" w:space="0" w:color="000000"/>
              <w:bottom w:val="single" w:sz="4" w:space="0" w:color="000000"/>
              <w:right w:val="single" w:sz="4" w:space="0" w:color="000000"/>
            </w:tcBorders>
            <w:shd w:val="clear" w:color="auto" w:fill="D9D9D9"/>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深圳前海实益达投资发展有限公司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深圳市前海麦达数字有限公司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投资软件服务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34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北京麦达数字技术服务有限公司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凯扬商贸（香港）有限公司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34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上海顺为广告传播有限公司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数字营销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5" w:hRule="exact"/>
        </w:trPr>
        <w:tc>
          <w:tcPr>
            <w:tcW w:w="34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上海地幔广告传播有限公司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数字营销</w:t>
            </w:r>
          </w:p>
        </w:tc>
        <w:tc>
          <w:tcPr>
            <w:tcW w:w="85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3" w:hRule="exact"/>
        </w:trPr>
        <w:tc>
          <w:tcPr>
            <w:tcW w:w="34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上海利宣广告有限公司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数字营销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奇思国际广告（北京）有限公司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数字营销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非同一控制下合</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403"/>
        <w:gridCol w:w="991"/>
        <w:gridCol w:w="850"/>
        <w:gridCol w:w="1277"/>
        <w:gridCol w:w="850"/>
        <w:gridCol w:w="835"/>
        <w:gridCol w:w="1366"/>
      </w:tblGrid>
      <w:tr>
        <w:trPr>
          <w:trHeight w:val="362" w:hRule="exact"/>
        </w:trPr>
        <w:tc>
          <w:tcPr>
            <w:tcW w:w="340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并</w:t>
            </w:r>
          </w:p>
        </w:tc>
      </w:tr>
      <w:tr>
        <w:trPr>
          <w:trHeight w:val="713" w:hRule="exact"/>
        </w:trPr>
        <w:tc>
          <w:tcPr>
            <w:tcW w:w="34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深圳市汇大光电科技股份有限公司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42.40%</w:t>
            </w:r>
          </w:p>
        </w:tc>
        <w:tc>
          <w:tcPr>
            <w:tcW w:w="8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深圳市实益达工业有限公司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6"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深圳市实益达技术股份有限公司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6"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76.54%</w:t>
            </w:r>
          </w:p>
        </w:tc>
        <w:tc>
          <w:tcPr>
            <w:tcW w:w="8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深圳市实益达智能技术有限公司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6"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85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无锡市益明光电有限公司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无锡市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无锡市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6"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85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76.54%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实益达技术（香港）有限公司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76.54%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实益达智能（香港）有限公司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无锡实益达电子有限公司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无锡市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无锡市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6"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无锡实益达照明科技有限公司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无锡市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无锡市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6"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无锡益锡电子有限公司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无锡市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无锡市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6"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7" w:hRule="exact"/>
        </w:trPr>
        <w:tc>
          <w:tcPr>
            <w:tcW w:w="34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Mindata Holding</w:t>
            </w:r>
            <w:r>
              <w:rPr>
                <w:rFonts w:ascii="Times New Roman"/>
                <w:spacing w:val="-5"/>
                <w:sz w:val="18"/>
              </w:rPr>
              <w:t> </w:t>
            </w:r>
            <w:r>
              <w:rPr>
                <w:rFonts w:ascii="Times New Roman"/>
                <w:sz w:val="18"/>
              </w:rPr>
              <w:t>Co.Ltd</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362" w:lineRule="auto"/>
              <w:ind w:left="83" w:right="81"/>
              <w:jc w:val="center"/>
              <w:rPr>
                <w:rFonts w:ascii="Times New Roman" w:hAnsi="Times New Roman" w:cs="Times New Roman" w:eastAsia="Times New Roman" w:hint="default"/>
                <w:sz w:val="18"/>
                <w:szCs w:val="18"/>
              </w:rPr>
            </w:pPr>
            <w:r>
              <w:rPr>
                <w:rFonts w:ascii="Times New Roman"/>
                <w:sz w:val="18"/>
              </w:rPr>
              <w:t>The</w:t>
            </w:r>
            <w:r>
              <w:rPr>
                <w:rFonts w:ascii="Times New Roman"/>
                <w:spacing w:val="-2"/>
                <w:sz w:val="18"/>
              </w:rPr>
              <w:t> </w:t>
            </w:r>
            <w:r>
              <w:rPr>
                <w:rFonts w:ascii="Times New Roman"/>
                <w:sz w:val="18"/>
              </w:rPr>
              <w:t>British</w:t>
            </w:r>
            <w:r>
              <w:rPr>
                <w:rFonts w:ascii="Times New Roman"/>
                <w:w w:val="99"/>
                <w:sz w:val="18"/>
              </w:rPr>
              <w:t> </w:t>
            </w:r>
            <w:r>
              <w:rPr>
                <w:rFonts w:ascii="Times New Roman"/>
                <w:spacing w:val="-3"/>
                <w:sz w:val="18"/>
              </w:rPr>
              <w:t>Virgin</w:t>
            </w:r>
            <w:r>
              <w:rPr>
                <w:rFonts w:ascii="Times New Roman"/>
                <w:w w:val="99"/>
                <w:sz w:val="18"/>
              </w:rPr>
              <w:t> </w:t>
            </w:r>
            <w:r>
              <w:rPr>
                <w:rFonts w:ascii="Times New Roman"/>
                <w:sz w:val="18"/>
              </w:rPr>
              <w:t>Islands</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65" w:right="161" w:hanging="2"/>
              <w:jc w:val="center"/>
              <w:rPr>
                <w:rFonts w:ascii="Times New Roman" w:hAnsi="Times New Roman" w:cs="Times New Roman" w:eastAsia="Times New Roman" w:hint="default"/>
                <w:sz w:val="18"/>
                <w:szCs w:val="18"/>
              </w:rPr>
            </w:pPr>
            <w:r>
              <w:rPr>
                <w:rFonts w:ascii="Times New Roman"/>
                <w:sz w:val="18"/>
              </w:rPr>
              <w:t>The British</w:t>
            </w:r>
            <w:r>
              <w:rPr>
                <w:rFonts w:ascii="Times New Roman"/>
                <w:w w:val="99"/>
                <w:sz w:val="18"/>
              </w:rPr>
              <w:t> </w:t>
            </w:r>
            <w:r>
              <w:rPr>
                <w:rFonts w:ascii="Times New Roman"/>
                <w:spacing w:val="-3"/>
                <w:sz w:val="18"/>
              </w:rPr>
              <w:t>Virgin</w:t>
            </w:r>
            <w:r>
              <w:rPr>
                <w:rFonts w:ascii="Times New Roman"/>
                <w:w w:val="99"/>
                <w:sz w:val="18"/>
              </w:rPr>
              <w:t> </w:t>
            </w:r>
            <w:r>
              <w:rPr>
                <w:rFonts w:ascii="Times New Roman"/>
                <w:sz w:val="18"/>
              </w:rPr>
              <w:t>Islands</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5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240" w:lineRule="auto" w:before="8"/>
        <w:ind w:right="254"/>
        <w:jc w:val="left"/>
      </w:pPr>
      <w:r>
        <w:rPr/>
        <w:t>在子公司的持股比例不同于表决权比例的说明：</w:t>
      </w:r>
    </w:p>
    <w:p>
      <w:pPr>
        <w:pStyle w:val="BodyText"/>
        <w:spacing w:line="336" w:lineRule="auto" w:before="155"/>
        <w:ind w:right="94" w:firstLine="360"/>
        <w:jc w:val="left"/>
        <w:rPr>
          <w:rFonts w:ascii="宋体" w:hAnsi="宋体" w:cs="宋体" w:eastAsia="宋体" w:hint="default"/>
        </w:rPr>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日，公司与深圳市汇大光电科技有限公司（以下简称</w:t>
      </w:r>
      <w:r>
        <w:rPr>
          <w:rFonts w:ascii="Times New Roman" w:hAnsi="Times New Roman" w:cs="Times New Roman" w:eastAsia="Times New Roman" w:hint="default"/>
        </w:rPr>
        <w:t>“</w:t>
      </w:r>
      <w:r>
        <w:rPr/>
        <w:t>汇大公司</w:t>
      </w:r>
      <w:r>
        <w:rPr>
          <w:rFonts w:ascii="Times New Roman" w:hAnsi="Times New Roman" w:cs="Times New Roman" w:eastAsia="Times New Roman" w:hint="default"/>
        </w:rPr>
        <w:t>”</w:t>
      </w:r>
      <w:r>
        <w:rPr/>
        <w:t>，系深圳市汇大光电科技股份有限公司的前 身）股东王诗畅、潘东平签订《关于深圳市汇大光电科技有限公司之股权转让协议》，公司以自有资金人民币</w:t>
      </w:r>
      <w:r>
        <w:rPr>
          <w:rFonts w:ascii="Times New Roman" w:hAnsi="Times New Roman" w:cs="Times New Roman" w:eastAsia="Times New Roman" w:hint="default"/>
        </w:rPr>
        <w:t>720</w:t>
      </w:r>
      <w:r>
        <w:rPr/>
        <w:t>万元收购 汇大公司</w:t>
      </w:r>
      <w:r>
        <w:rPr>
          <w:rFonts w:ascii="Times New Roman" w:hAnsi="Times New Roman" w:cs="Times New Roman" w:eastAsia="Times New Roman" w:hint="default"/>
        </w:rPr>
        <w:t>20%</w:t>
      </w:r>
      <w:r>
        <w:rPr/>
        <w:t>的股权，其中王诗畅出让其持有的汇大公司</w:t>
      </w:r>
      <w:r>
        <w:rPr>
          <w:rFonts w:ascii="Times New Roman" w:hAnsi="Times New Roman" w:cs="Times New Roman" w:eastAsia="Times New Roman" w:hint="default"/>
        </w:rPr>
        <w:t>10%</w:t>
      </w:r>
      <w:r>
        <w:rPr/>
        <w:t>股权，潘东平出让其持有的汇大公司</w:t>
      </w:r>
      <w:r>
        <w:rPr>
          <w:rFonts w:ascii="Times New Roman" w:hAnsi="Times New Roman" w:cs="Times New Roman" w:eastAsia="Times New Roman" w:hint="default"/>
        </w:rPr>
        <w:t>10%</w:t>
      </w:r>
      <w:r>
        <w:rPr/>
        <w:t>股权。股权转让完毕 后，公司以自有资金人民币</w:t>
      </w:r>
      <w:r>
        <w:rPr>
          <w:rFonts w:ascii="Times New Roman" w:hAnsi="Times New Roman" w:cs="Times New Roman" w:eastAsia="Times New Roman" w:hint="default"/>
        </w:rPr>
        <w:t>1,530</w:t>
      </w:r>
      <w:r>
        <w:rPr/>
        <w:t>万元的价款向汇大公司单方认购新增的</w:t>
      </w:r>
      <w:r>
        <w:rPr>
          <w:rFonts w:ascii="Times New Roman" w:hAnsi="Times New Roman" w:cs="Times New Roman" w:eastAsia="Times New Roman" w:hint="default"/>
        </w:rPr>
        <w:t>340</w:t>
      </w:r>
      <w:r>
        <w:rPr/>
        <w:t>万元实收资本，其中人民币</w:t>
      </w:r>
      <w:r>
        <w:rPr>
          <w:rFonts w:ascii="Times New Roman" w:hAnsi="Times New Roman" w:cs="Times New Roman" w:eastAsia="Times New Roman" w:hint="default"/>
        </w:rPr>
        <w:t>340</w:t>
      </w:r>
      <w:r>
        <w:rPr/>
        <w:t>万元为新增实收 资本，其余全部进入资本公积，汇大公司注册资本由人民币</w:t>
      </w:r>
      <w:r>
        <w:rPr>
          <w:rFonts w:ascii="Times New Roman" w:hAnsi="Times New Roman" w:cs="Times New Roman" w:eastAsia="Times New Roman" w:hint="default"/>
        </w:rPr>
        <w:t>800</w:t>
      </w:r>
      <w:r>
        <w:rPr/>
        <w:t>万元增加至人民币</w:t>
      </w:r>
      <w:r>
        <w:rPr>
          <w:rFonts w:ascii="Times New Roman" w:hAnsi="Times New Roman" w:cs="Times New Roman" w:eastAsia="Times New Roman" w:hint="default"/>
        </w:rPr>
        <w:t>1,140</w:t>
      </w:r>
      <w:r>
        <w:rPr/>
        <w:t>万元。本次收购并增资后，公司对汇 大公司的持股比例为</w:t>
      </w:r>
      <w:r>
        <w:rPr>
          <w:rFonts w:ascii="Times New Roman" w:hAnsi="Times New Roman" w:cs="Times New Roman" w:eastAsia="Times New Roman" w:hint="default"/>
        </w:rPr>
        <w:t>43.86%</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日，汇大公司股东潘东平、王诗畅与公司签订股份表决权转让确认书，自愿将其 分别持有的全部股份表决权的</w:t>
      </w:r>
      <w:r>
        <w:rPr>
          <w:rFonts w:ascii="Times New Roman" w:hAnsi="Times New Roman" w:cs="Times New Roman" w:eastAsia="Times New Roman" w:hint="default"/>
        </w:rPr>
        <w:t>10%</w:t>
      </w:r>
      <w:r>
        <w:rPr/>
        <w:t>转让给本公司（自公司实际拥有汇大公司股份超过</w:t>
      </w:r>
      <w:r>
        <w:rPr>
          <w:rFonts w:ascii="Times New Roman" w:hAnsi="Times New Roman" w:cs="Times New Roman" w:eastAsia="Times New Roman" w:hint="default"/>
        </w:rPr>
        <w:t>50%</w:t>
      </w:r>
      <w:r>
        <w:rPr/>
        <w:t>起失效），转让完成后公司对汇大 </w:t>
      </w:r>
      <w:r>
        <w:rPr>
          <w:spacing w:val="-2"/>
        </w:rPr>
        <w:t>公司表决权比例为</w:t>
      </w:r>
      <w:r>
        <w:rPr>
          <w:rFonts w:ascii="Times New Roman" w:hAnsi="Times New Roman" w:cs="Times New Roman" w:eastAsia="Times New Roman" w:hint="default"/>
          <w:spacing w:val="-2"/>
        </w:rPr>
        <w:t>63.86%</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10</w:t>
      </w:r>
      <w:r>
        <w:rPr>
          <w:spacing w:val="-2"/>
        </w:rPr>
        <w:t>日，公司、潘东平、王诗畅作为发起人召开了汇大光电创立大会暨第一次股东大会，</w:t>
      </w:r>
      <w:r>
        <w:rPr>
          <w:spacing w:val="-68"/>
        </w:rPr>
        <w:t> </w:t>
      </w:r>
      <w:r>
        <w:rPr>
          <w:spacing w:val="-68"/>
        </w:rPr>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18</w:t>
      </w:r>
      <w:r>
        <w:rPr>
          <w:spacing w:val="-2"/>
        </w:rPr>
        <w:t>日，汇大公司取得深圳市场监督管理局核发的统一社会信用代码为</w:t>
      </w:r>
      <w:r>
        <w:rPr>
          <w:rFonts w:ascii="Times New Roman" w:hAnsi="Times New Roman" w:cs="Times New Roman" w:eastAsia="Times New Roman" w:hint="default"/>
          <w:spacing w:val="-2"/>
        </w:rPr>
        <w:t>914403007504717927</w:t>
      </w:r>
      <w:r>
        <w:rPr>
          <w:spacing w:val="-2"/>
        </w:rPr>
        <w:t>的《企业法人营执照》，</w:t>
      </w:r>
      <w:r>
        <w:rPr>
          <w:spacing w:val="-48"/>
        </w:rPr>
        <w:t> </w:t>
      </w:r>
      <w:r>
        <w:rPr>
          <w:spacing w:val="-48"/>
        </w:rPr>
      </w:r>
      <w:r>
        <w:rPr/>
        <w:t>汇大公司整体变更设立为汇大光电。</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日，股东潘东平、王诗畅与本公司重新签订股份表决权委托协议，自愿将 其分别持有的</w:t>
      </w:r>
      <w:r>
        <w:rPr>
          <w:rFonts w:ascii="Times New Roman" w:hAnsi="Times New Roman" w:cs="Times New Roman" w:eastAsia="Times New Roman" w:hint="default"/>
        </w:rPr>
        <w:t>10%</w:t>
      </w:r>
      <w:r>
        <w:rPr/>
        <w:t>、</w:t>
      </w:r>
      <w:r>
        <w:rPr>
          <w:rFonts w:ascii="Times New Roman" w:hAnsi="Times New Roman" w:cs="Times New Roman" w:eastAsia="Times New Roman" w:hint="default"/>
        </w:rPr>
        <w:t>10%</w:t>
      </w:r>
      <w:r>
        <w:rPr/>
        <w:t>股份表决权无偿的委托给本公司（自公司实际拥有汇大公司股份超过</w:t>
      </w:r>
      <w:r>
        <w:rPr>
          <w:rFonts w:ascii="Times New Roman" w:hAnsi="Times New Roman" w:cs="Times New Roman" w:eastAsia="Times New Roman" w:hint="default"/>
        </w:rPr>
        <w:t>50%</w:t>
      </w:r>
      <w:r>
        <w:rPr/>
        <w:t>起失效），协议有效期限 </w:t>
      </w:r>
      <w:r>
        <w:rPr>
          <w:spacing w:val="-4"/>
        </w:rPr>
        <w:t>至</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w:t>
      </w:r>
      <w:r>
        <w:rPr>
          <w:rFonts w:ascii="Times New Roman" w:hAnsi="Times New Roman" w:cs="Times New Roman" w:eastAsia="Times New Roman" w:hint="default"/>
          <w:spacing w:val="-4"/>
        </w:rPr>
        <w:t>2015</w:t>
      </w:r>
      <w:r>
        <w:rPr>
          <w:spacing w:val="-4"/>
        </w:rPr>
        <w:t>年度汇大公司进行股改并吸收新股东，变更后公司持有汇大公司</w:t>
      </w:r>
      <w:r>
        <w:rPr>
          <w:rFonts w:ascii="Times New Roman" w:hAnsi="Times New Roman" w:cs="Times New Roman" w:eastAsia="Times New Roman" w:hint="default"/>
          <w:spacing w:val="-4"/>
        </w:rPr>
        <w:t>42.40%</w:t>
      </w:r>
      <w:r>
        <w:rPr>
          <w:spacing w:val="-4"/>
        </w:rPr>
        <w:t>股份，表决权比例为</w:t>
      </w:r>
      <w:r>
        <w:rPr>
          <w:rFonts w:ascii="Times New Roman" w:hAnsi="Times New Roman" w:cs="Times New Roman" w:eastAsia="Times New Roman" w:hint="default"/>
          <w:spacing w:val="-4"/>
        </w:rPr>
        <w:t>62.40%</w:t>
      </w:r>
      <w:r>
        <w:rPr>
          <w:spacing w:val="-4"/>
        </w:rPr>
        <w:t>。</w:t>
      </w:r>
      <w:r>
        <w:rPr>
          <w:spacing w:val="-34"/>
        </w:rPr>
        <w:t> </w:t>
      </w:r>
      <w:r>
        <w:rPr/>
        <w:t>汇大公司作为本公司控股子公司，纳入合并报表范围。</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BodyText"/>
        <w:spacing w:line="240" w:lineRule="auto" w:before="160"/>
        <w:ind w:right="254"/>
        <w:jc w:val="left"/>
      </w:pPr>
      <w:r>
        <w:rPr/>
        <w:t>持有半数或以下表决权但仍控制被投资单位、以及持有半数以上表决权但不控制被投资单位的依据：</w:t>
      </w:r>
    </w:p>
    <w:p>
      <w:pPr>
        <w:pStyle w:val="BodyText"/>
        <w:spacing w:line="338" w:lineRule="auto" w:before="154"/>
        <w:ind w:right="259"/>
        <w:jc w:val="left"/>
      </w:pPr>
      <w:r>
        <w:rPr/>
        <w:t>前述表决权委托协议于本期</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日到期，暂无续签计划。期满后公司对汇大公司的表决权为</w:t>
      </w:r>
      <w:r>
        <w:rPr>
          <w:rFonts w:ascii="Times New Roman" w:hAnsi="Times New Roman" w:cs="Times New Roman" w:eastAsia="Times New Roman" w:hint="default"/>
        </w:rPr>
        <w:t>42.40%</w:t>
      </w:r>
      <w:r>
        <w:rPr/>
        <w:t>。考虑公司在 汇大公司董事会的席位占一半以上，公司认为仍能控制汇大公司，故仍然纳入合并范围。</w:t>
      </w:r>
    </w:p>
    <w:p>
      <w:pPr>
        <w:spacing w:line="240" w:lineRule="auto" w:before="0"/>
        <w:rPr>
          <w:rFonts w:ascii="宋体" w:hAnsi="宋体" w:cs="宋体" w:eastAsia="宋体" w:hint="default"/>
          <w:sz w:val="18"/>
          <w:szCs w:val="18"/>
        </w:rPr>
      </w:pPr>
    </w:p>
    <w:p>
      <w:pPr>
        <w:pStyle w:val="Heading3"/>
        <w:spacing w:line="240" w:lineRule="auto" w:before="125"/>
        <w:ind w:right="254"/>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after="0" w:line="240" w:lineRule="auto"/>
        <w:jc w:val="right"/>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深圳市汇大光电科技股 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2,911,953.46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15,480,366.54</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深圳市实益达技术股份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907,509.53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17,527,152.36</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北京麦达数字技术服务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-853,253.96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-851,421.22</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5"/>
        <w:gridCol w:w="737"/>
      </w:tblGrid>
      <w:tr>
        <w:trPr>
          <w:trHeight w:val="404"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92"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深圳市 汇大光 电科技 股份有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30,897,5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21.05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7,310,01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38,207,5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11,331,8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95.01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11,331,8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95.01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24,894,6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29.93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7,353,60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32,248,2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10,428,0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70.90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10,428,0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70.90</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深圳市 实益达 技术股 份有限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153,983,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773.64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3,463,01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157,446,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786.42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90,727,2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18,435.0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90,745,6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57.79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97,912,9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42.82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3,260,94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101,173,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891.97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46,608,1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72.24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46,608,1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72.24</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北京麦 达数字 技术服 务有限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13,651,9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12.35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2,534.02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13,654,4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46.37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782,999.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782,999.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4"/>
        <w:gridCol w:w="1063"/>
        <w:gridCol w:w="1064"/>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深圳市汇大 光电科技股 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36,149,228.0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5,055,474.75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5,055,474.75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3,088,855.17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31,249,297.8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2,540,629.38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2,540,629.38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3,376,207.18</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深圳市实益 达技术股份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169,317,932.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8,131,107.31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8,133,258.10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24,827,742.0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105,042,885.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7,060,893.17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7,060,893.17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7,766,358.12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064"/>
        <w:gridCol w:w="1061"/>
        <w:gridCol w:w="1064"/>
        <w:gridCol w:w="1063"/>
        <w:gridCol w:w="1066"/>
        <w:gridCol w:w="1064"/>
        <w:gridCol w:w="1063"/>
        <w:gridCol w:w="1064"/>
        <w:gridCol w:w="1066"/>
      </w:tblGrid>
      <w:tr>
        <w:trPr>
          <w:trHeight w:val="10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北京麦达数 字技术服务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1,332,734.87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-2,133,134.90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-2,133,134.90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-2,453,153.79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新余久益投资管 理合伙企业（有 限合伙）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新余市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新余市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广州奇异果互动 科技股份有限公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深圳市六度人和 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8"/>
        <w:ind w:right="153"/>
        <w:jc w:val="left"/>
      </w:pPr>
      <w:r>
        <w:rPr/>
        <w:t>在合营企业或联营企业的持股比例不同于表决权比例的说明：</w:t>
      </w:r>
    </w:p>
    <w:p>
      <w:pPr>
        <w:pStyle w:val="BodyText"/>
        <w:spacing w:line="357" w:lineRule="auto" w:before="153"/>
        <w:ind w:right="144"/>
        <w:jc w:val="left"/>
      </w:pPr>
      <w:r>
        <w:rPr/>
        <w:t>持有</w:t>
      </w:r>
      <w:r>
        <w:rPr>
          <w:spacing w:val="-45"/>
        </w:rPr>
        <w:t> </w:t>
      </w:r>
      <w:r>
        <w:rPr>
          <w:rFonts w:ascii="Times New Roman" w:hAnsi="Times New Roman" w:cs="Times New Roman" w:eastAsia="Times New Roman" w:hint="default"/>
        </w:rPr>
        <w:t>20%</w:t>
      </w:r>
      <w:r>
        <w:rPr/>
        <w:t>以下表决权但具有重大影响，或者持有</w:t>
      </w:r>
      <w:r>
        <w:rPr>
          <w:spacing w:val="-45"/>
        </w:rPr>
        <w:t> </w:t>
      </w:r>
      <w:r>
        <w:rPr>
          <w:rFonts w:ascii="Times New Roman" w:hAnsi="Times New Roman" w:cs="Times New Roman" w:eastAsia="Times New Roman" w:hint="default"/>
        </w:rPr>
        <w:t>20%</w:t>
      </w:r>
      <w:r>
        <w:rPr/>
        <w:t>或以上表决权但不具有重大影响的依据： 公司持有广州奇异果互动科技股份有限公司</w:t>
      </w:r>
      <w:r>
        <w:rPr>
          <w:rFonts w:ascii="Times New Roman" w:hAnsi="Times New Roman" w:cs="Times New Roman" w:eastAsia="Times New Roman" w:hint="default"/>
        </w:rPr>
        <w:t>18%</w:t>
      </w:r>
      <w:r>
        <w:rPr/>
        <w:t>的股权，对其表决权比例亦为</w:t>
      </w:r>
      <w:r>
        <w:rPr>
          <w:rFonts w:ascii="Times New Roman" w:hAnsi="Times New Roman" w:cs="Times New Roman" w:eastAsia="Times New Roman" w:hint="default"/>
        </w:rPr>
        <w:t>18%</w:t>
      </w:r>
      <w:r>
        <w:rPr/>
        <w:t>。虽然该比例低于</w:t>
      </w:r>
      <w:r>
        <w:rPr>
          <w:rFonts w:ascii="Times New Roman" w:hAnsi="Times New Roman" w:cs="Times New Roman" w:eastAsia="Times New Roman" w:hint="default"/>
        </w:rPr>
        <w:t>20%</w:t>
      </w:r>
      <w:r>
        <w:rPr/>
        <w:t>，但由于本集团在 </w:t>
      </w:r>
      <w:r>
        <w:rPr>
          <w:spacing w:val="-2"/>
        </w:rPr>
        <w:t>广州奇异果互动科技股份有限公司董事会中派有代表并参与对该公司财务和经营政策的决策，所以本公司认为能够对该公司</w:t>
      </w:r>
      <w:r>
        <w:rPr>
          <w:spacing w:val="-64"/>
        </w:rPr>
        <w:t> </w:t>
      </w:r>
      <w:r>
        <w:rPr>
          <w:spacing w:val="-64"/>
        </w:rPr>
      </w:r>
      <w:r>
        <w:rPr/>
        <w:t>施加重大影响，采用权益法核算。</w:t>
      </w:r>
    </w:p>
    <w:p>
      <w:pPr>
        <w:pStyle w:val="BodyText"/>
        <w:spacing w:line="348" w:lineRule="auto" w:before="26"/>
        <w:ind w:right="153"/>
        <w:jc w:val="both"/>
      </w:pPr>
      <w:r>
        <w:rPr/>
        <w:t>本公司持有深圳市六度人和科技有限公司</w:t>
      </w:r>
      <w:r>
        <w:rPr>
          <w:rFonts w:ascii="Times New Roman" w:hAnsi="Times New Roman" w:cs="Times New Roman" w:eastAsia="Times New Roman" w:hint="default"/>
        </w:rPr>
        <w:t>15%</w:t>
      </w:r>
      <w:r>
        <w:rPr/>
        <w:t>的股权，对其表决权比例亦为</w:t>
      </w:r>
      <w:r>
        <w:rPr>
          <w:rFonts w:ascii="Times New Roman" w:hAnsi="Times New Roman" w:cs="Times New Roman" w:eastAsia="Times New Roman" w:hint="default"/>
        </w:rPr>
        <w:t>15%</w:t>
      </w:r>
      <w:r>
        <w:rPr/>
        <w:t>。虽然该比例低于</w:t>
      </w:r>
      <w:r>
        <w:rPr>
          <w:rFonts w:ascii="Times New Roman" w:hAnsi="Times New Roman" w:cs="Times New Roman" w:eastAsia="Times New Roman" w:hint="default"/>
        </w:rPr>
        <w:t>20%</w:t>
      </w:r>
      <w:r>
        <w:rPr/>
        <w:t>，但由于本集团在深 </w:t>
      </w:r>
      <w:r>
        <w:rPr>
          <w:spacing w:val="-2"/>
        </w:rPr>
        <w:t>圳市六度人和科技有限公司董事会中派有代表并参与对该公司财务和经营政策的决策，所以本公司认为能够对该公司施加重</w:t>
      </w:r>
      <w:r>
        <w:rPr>
          <w:spacing w:val="-64"/>
        </w:rPr>
        <w:t> </w:t>
      </w:r>
      <w:r>
        <w:rPr>
          <w:spacing w:val="-64"/>
        </w:rPr>
      </w:r>
      <w:r>
        <w:rPr/>
        <w:t>大影响，采用权益法核算。</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6"/>
        <w:gridCol w:w="1369"/>
        <w:gridCol w:w="1366"/>
        <w:gridCol w:w="1368"/>
        <w:gridCol w:w="1368"/>
        <w:gridCol w:w="1366"/>
      </w:tblGrid>
      <w:tr>
        <w:trPr>
          <w:trHeight w:val="408"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1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12"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vMerge w:val="restart"/>
            <w:tcBorders>
              <w:top w:val="single" w:sz="4" w:space="0" w:color="000000"/>
              <w:left w:val="single" w:sz="10" w:space="0" w:color="D2D2D2"/>
              <w:right w:val="single" w:sz="4" w:space="0" w:color="000000"/>
            </w:tcBorders>
            <w:shd w:val="clear" w:color="auto" w:fill="D9D9D9"/>
          </w:tcPr>
          <w:p>
            <w:pPr>
              <w:pStyle w:val="TableParagraph"/>
              <w:spacing w:line="319" w:lineRule="auto" w:before="44"/>
              <w:ind w:left="40" w:right="47"/>
              <w:jc w:val="center"/>
              <w:rPr>
                <w:rFonts w:ascii="宋体" w:hAnsi="宋体" w:cs="宋体" w:eastAsia="宋体" w:hint="default"/>
                <w:sz w:val="18"/>
                <w:szCs w:val="18"/>
              </w:rPr>
            </w:pPr>
            <w:r>
              <w:rPr>
                <w:rFonts w:ascii="宋体" w:hAnsi="宋体" w:cs="宋体" w:eastAsia="宋体" w:hint="default"/>
                <w:sz w:val="18"/>
                <w:szCs w:val="18"/>
              </w:rPr>
              <w:t>新余久益投资管 理合伙企业（有 限合伙）</w:t>
            </w:r>
          </w:p>
        </w:tc>
        <w:tc>
          <w:tcPr>
            <w:tcW w:w="1369" w:type="dxa"/>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44"/>
              <w:ind w:left="48" w:right="50"/>
              <w:jc w:val="center"/>
              <w:rPr>
                <w:rFonts w:ascii="宋体" w:hAnsi="宋体" w:cs="宋体" w:eastAsia="宋体" w:hint="default"/>
                <w:sz w:val="18"/>
                <w:szCs w:val="18"/>
              </w:rPr>
            </w:pPr>
            <w:r>
              <w:rPr>
                <w:rFonts w:ascii="宋体" w:hAnsi="宋体" w:cs="宋体" w:eastAsia="宋体" w:hint="default"/>
                <w:sz w:val="18"/>
                <w:szCs w:val="18"/>
              </w:rPr>
              <w:t>广州奇异果互动 科技股份有限公 司</w:t>
            </w:r>
          </w:p>
        </w:tc>
        <w:tc>
          <w:tcPr>
            <w:tcW w:w="136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139" w:right="47" w:hanging="92"/>
              <w:jc w:val="left"/>
              <w:rPr>
                <w:rFonts w:ascii="宋体" w:hAnsi="宋体" w:cs="宋体" w:eastAsia="宋体" w:hint="default"/>
                <w:sz w:val="18"/>
                <w:szCs w:val="18"/>
              </w:rPr>
            </w:pPr>
            <w:r>
              <w:rPr>
                <w:rFonts w:ascii="宋体" w:hAnsi="宋体" w:cs="宋体" w:eastAsia="宋体" w:hint="default"/>
                <w:sz w:val="18"/>
                <w:szCs w:val="18"/>
              </w:rPr>
              <w:t>深圳市六度人和 科技有限公司</w:t>
            </w:r>
          </w:p>
        </w:tc>
        <w:tc>
          <w:tcPr>
            <w:tcW w:w="1368" w:type="dxa"/>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44"/>
              <w:ind w:left="48" w:right="48"/>
              <w:jc w:val="center"/>
              <w:rPr>
                <w:rFonts w:ascii="宋体" w:hAnsi="宋体" w:cs="宋体" w:eastAsia="宋体" w:hint="default"/>
                <w:sz w:val="18"/>
                <w:szCs w:val="18"/>
              </w:rPr>
            </w:pPr>
            <w:r>
              <w:rPr>
                <w:rFonts w:ascii="宋体" w:hAnsi="宋体" w:cs="宋体" w:eastAsia="宋体" w:hint="default"/>
                <w:sz w:val="18"/>
                <w:szCs w:val="18"/>
              </w:rPr>
              <w:t>新余久益投资管 理合伙企业（有 限合伙）</w:t>
            </w:r>
          </w:p>
        </w:tc>
        <w:tc>
          <w:tcPr>
            <w:tcW w:w="1368" w:type="dxa"/>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44"/>
              <w:ind w:left="47" w:right="48"/>
              <w:jc w:val="center"/>
              <w:rPr>
                <w:rFonts w:ascii="宋体" w:hAnsi="宋体" w:cs="宋体" w:eastAsia="宋体" w:hint="default"/>
                <w:sz w:val="18"/>
                <w:szCs w:val="18"/>
              </w:rPr>
            </w:pPr>
            <w:r>
              <w:rPr>
                <w:rFonts w:ascii="宋体" w:hAnsi="宋体" w:cs="宋体" w:eastAsia="宋体" w:hint="default"/>
                <w:sz w:val="18"/>
                <w:szCs w:val="18"/>
              </w:rPr>
              <w:t>广州奇异果互动 科技股份有限公 司</w:t>
            </w:r>
          </w:p>
        </w:tc>
        <w:tc>
          <w:tcPr>
            <w:tcW w:w="136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139" w:right="47" w:hanging="92"/>
              <w:jc w:val="left"/>
              <w:rPr>
                <w:rFonts w:ascii="宋体" w:hAnsi="宋体" w:cs="宋体" w:eastAsia="宋体" w:hint="default"/>
                <w:sz w:val="18"/>
                <w:szCs w:val="18"/>
              </w:rPr>
            </w:pPr>
            <w:r>
              <w:rPr>
                <w:rFonts w:ascii="宋体" w:hAnsi="宋体" w:cs="宋体" w:eastAsia="宋体" w:hint="default"/>
                <w:sz w:val="18"/>
                <w:szCs w:val="18"/>
              </w:rPr>
              <w:t>深圳市六度人和 科技有限公司</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
        </w:tc>
        <w:tc>
          <w:tcPr>
            <w:tcW w:w="1366" w:type="dxa"/>
            <w:vMerge/>
            <w:tcBorders>
              <w:left w:val="single" w:sz="10" w:space="0" w:color="D2D2D2"/>
              <w:right w:val="single" w:sz="4" w:space="0" w:color="000000"/>
            </w:tcBorders>
            <w:shd w:val="clear" w:color="auto" w:fill="D9D9D9"/>
          </w:tcPr>
          <w:p>
            <w:pPr/>
          </w:p>
        </w:tc>
        <w:tc>
          <w:tcPr>
            <w:tcW w:w="1369" w:type="dxa"/>
            <w:vMerge/>
            <w:tcBorders>
              <w:left w:val="single" w:sz="4" w:space="0" w:color="000000"/>
              <w:right w:val="single" w:sz="4" w:space="0" w:color="000000"/>
            </w:tcBorders>
            <w:shd w:val="clear" w:color="auto" w:fill="D9D9D9"/>
          </w:tcPr>
          <w:p>
            <w:pPr/>
          </w:p>
        </w:tc>
        <w:tc>
          <w:tcPr>
            <w:tcW w:w="1366" w:type="dxa"/>
            <w:vMerge/>
            <w:tcBorders>
              <w:left w:val="single" w:sz="4" w:space="0" w:color="000000"/>
              <w:right w:val="single" w:sz="4" w:space="0" w:color="000000"/>
            </w:tcBorders>
            <w:shd w:val="clear" w:color="auto" w:fill="D9D9D9"/>
          </w:tcPr>
          <w:p>
            <w:pPr/>
          </w:p>
        </w:tc>
        <w:tc>
          <w:tcPr>
            <w:tcW w:w="1368" w:type="dxa"/>
            <w:vMerge/>
            <w:tcBorders>
              <w:left w:val="single" w:sz="4" w:space="0" w:color="000000"/>
              <w:right w:val="single" w:sz="4" w:space="0" w:color="000000"/>
            </w:tcBorders>
            <w:shd w:val="clear" w:color="auto" w:fill="D9D9D9"/>
          </w:tcPr>
          <w:p>
            <w:pPr/>
          </w:p>
        </w:tc>
        <w:tc>
          <w:tcPr>
            <w:tcW w:w="1368" w:type="dxa"/>
            <w:vMerge/>
            <w:tcBorders>
              <w:left w:val="single" w:sz="4" w:space="0" w:color="000000"/>
              <w:right w:val="single" w:sz="4" w:space="0" w:color="000000"/>
            </w:tcBorders>
            <w:shd w:val="clear" w:color="auto" w:fill="D9D9D9"/>
          </w:tcPr>
          <w:p>
            <w:pPr/>
          </w:p>
        </w:tc>
        <w:tc>
          <w:tcPr>
            <w:tcW w:w="1366" w:type="dxa"/>
            <w:vMerge/>
            <w:tcBorders>
              <w:left w:val="single" w:sz="4" w:space="0" w:color="000000"/>
              <w:right w:val="single" w:sz="4" w:space="0" w:color="000000"/>
            </w:tcBorders>
            <w:shd w:val="clear" w:color="auto" w:fill="D9D9D9"/>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vMerge/>
            <w:tcBorders>
              <w:left w:val="single" w:sz="10" w:space="0" w:color="D2D2D2"/>
              <w:bottom w:val="single" w:sz="4" w:space="0" w:color="000000"/>
              <w:right w:val="single" w:sz="4" w:space="0" w:color="000000"/>
            </w:tcBorders>
            <w:shd w:val="clear" w:color="auto" w:fill="D9D9D9"/>
          </w:tcPr>
          <w:p>
            <w:pPr/>
          </w:p>
        </w:tc>
        <w:tc>
          <w:tcPr>
            <w:tcW w:w="1369" w:type="dxa"/>
            <w:vMerge/>
            <w:tcBorders>
              <w:left w:val="single" w:sz="4" w:space="0" w:color="000000"/>
              <w:bottom w:val="single" w:sz="4" w:space="0" w:color="000000"/>
              <w:right w:val="single" w:sz="4" w:space="0" w:color="000000"/>
            </w:tcBorders>
            <w:shd w:val="clear" w:color="auto" w:fill="D9D9D9"/>
          </w:tcPr>
          <w:p>
            <w:pPr/>
          </w:p>
        </w:tc>
        <w:tc>
          <w:tcPr>
            <w:tcW w:w="1366" w:type="dxa"/>
            <w:vMerge/>
            <w:tcBorders>
              <w:left w:val="single" w:sz="4" w:space="0" w:color="000000"/>
              <w:bottom w:val="single" w:sz="4" w:space="0" w:color="000000"/>
              <w:right w:val="single" w:sz="4" w:space="0" w:color="000000"/>
            </w:tcBorders>
            <w:shd w:val="clear" w:color="auto" w:fill="D9D9D9"/>
          </w:tcPr>
          <w:p>
            <w:pPr/>
          </w:p>
        </w:tc>
        <w:tc>
          <w:tcPr>
            <w:tcW w:w="1368" w:type="dxa"/>
            <w:vMerge/>
            <w:tcBorders>
              <w:left w:val="single" w:sz="4" w:space="0" w:color="000000"/>
              <w:bottom w:val="single" w:sz="4" w:space="0" w:color="000000"/>
              <w:right w:val="single" w:sz="4" w:space="0" w:color="000000"/>
            </w:tcBorders>
            <w:shd w:val="clear" w:color="auto" w:fill="D9D9D9"/>
          </w:tcPr>
          <w:p>
            <w:pPr/>
          </w:p>
        </w:tc>
        <w:tc>
          <w:tcPr>
            <w:tcW w:w="1368" w:type="dxa"/>
            <w:vMerge/>
            <w:tcBorders>
              <w:left w:val="single" w:sz="4" w:space="0" w:color="000000"/>
              <w:bottom w:val="single" w:sz="4" w:space="0" w:color="000000"/>
              <w:right w:val="single" w:sz="4" w:space="0" w:color="000000"/>
            </w:tcBorders>
            <w:shd w:val="clear" w:color="auto" w:fill="D9D9D9"/>
          </w:tcPr>
          <w:p>
            <w:pPr/>
          </w:p>
        </w:tc>
        <w:tc>
          <w:tcPr>
            <w:tcW w:w="1366" w:type="dxa"/>
            <w:vMerge/>
            <w:tcBorders>
              <w:left w:val="single" w:sz="4" w:space="0" w:color="000000"/>
              <w:bottom w:val="single" w:sz="4" w:space="0" w:color="000000"/>
              <w:right w:val="single" w:sz="4" w:space="0" w:color="000000"/>
            </w:tcBorders>
            <w:shd w:val="clear" w:color="auto" w:fill="D9D9D9"/>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1,612,158.01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177,350,670.36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53,972,762.73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1,572,742.89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85,323,231.01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127,356,685.78</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3,880,472.86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9,116,465.84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2,886,205.91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2,562,645.51</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1,612,158.01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181,231,143.22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63,089,228.57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1,572,742.89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88,209,436.92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129,919,331.29</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101,158,114.32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28,306,877.46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23,292,137.42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27,253,159.41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9"/>
        <w:gridCol w:w="1366"/>
        <w:gridCol w:w="1368"/>
        <w:gridCol w:w="1368"/>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101,158,114.32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28,306,877.46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23,292,137.42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27,253,159.41</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归属于母公司股 东权益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1,612,158.01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80,073,028.90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34,782,351.11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1,572,742.89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64,917,299.50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102,666,171.88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按持股比例计算 的净资产份额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644,863.19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14,413,145.20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5,217,352.66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629,097.14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11,685,113.91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15,399,925.78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6,524,716.45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149,416,346.61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6,524,716.45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149,416,346.61</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-3,156,085.74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-3,156,085.74</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对联营企业权益 投资的账面价值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644,863.19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17,781,775.91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154,633,699.27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629,097.14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15,053,744.62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164,816,272.39</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682,908,445.95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123,419,189.98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262,921,227.51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53,328,788.65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39,415.12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15,135,339.77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-67,883,820.77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16,047.81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2,721,586.48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-34,172,830.76</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39,415.12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15,135,339.77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-67,883,820.77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16,047.81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2,721,586.48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-34,172,830.76</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十、与金融工具相关的风险</w:t>
      </w:r>
      <w:r>
        <w:rPr>
          <w:b w:val="0"/>
          <w:bCs w:val="0"/>
        </w:rPr>
      </w:r>
    </w:p>
    <w:p>
      <w:pPr>
        <w:spacing w:line="240" w:lineRule="auto" w:before="2"/>
        <w:rPr>
          <w:rFonts w:ascii="宋体" w:hAnsi="宋体" w:cs="宋体" w:eastAsia="宋体" w:hint="default"/>
          <w:b/>
          <w:bCs/>
          <w:sz w:val="23"/>
          <w:szCs w:val="23"/>
        </w:rPr>
      </w:pPr>
    </w:p>
    <w:p>
      <w:pPr>
        <w:pStyle w:val="BodyText"/>
        <w:spacing w:line="357" w:lineRule="auto"/>
        <w:ind w:right="153" w:firstLine="360"/>
        <w:jc w:val="left"/>
      </w:pPr>
      <w:r>
        <w:rPr>
          <w:spacing w:val="-2"/>
        </w:rPr>
        <w:t>本公司的经营活动会面临各种金融风险：信用风险、流动风险和市场风险（主要为汇率风险和利率风险）。本公司整体</w:t>
      </w:r>
      <w:r>
        <w:rPr/>
        <w:t> 的风险管理计划针对金融市场的不可预见性，力求减少对本公司财务业绩的潜在不利影响。</w:t>
      </w:r>
    </w:p>
    <w:p>
      <w:pPr>
        <w:pStyle w:val="BodyText"/>
        <w:spacing w:line="338" w:lineRule="auto" w:before="26"/>
        <w:ind w:left="513" w:right="0" w:hanging="36"/>
        <w:jc w:val="left"/>
      </w:pPr>
      <w:r>
        <w:rPr>
          <w:rFonts w:ascii="Times New Roman" w:hAnsi="Times New Roman" w:cs="Times New Roman" w:eastAsia="Times New Roman" w:hint="default"/>
        </w:rPr>
        <w:t>(</w:t>
      </w:r>
      <w:r>
        <w:rPr/>
        <w:t>一）信用风险</w:t>
      </w:r>
      <w:r>
        <w:rPr>
          <w:w w:val="99"/>
        </w:rPr>
        <w:t> </w:t>
      </w:r>
      <w:r>
        <w:rPr>
          <w:spacing w:val="-2"/>
        </w:rPr>
        <w:t>本公司的信用风险主要来自货币资金、应收票据、应收账款、其他应收款和可供出售金融资产等。管理层已制定适当的</w:t>
      </w:r>
    </w:p>
    <w:p>
      <w:pPr>
        <w:pStyle w:val="BodyText"/>
        <w:spacing w:line="357" w:lineRule="auto" w:before="41"/>
        <w:ind w:left="513" w:right="0" w:hanging="361"/>
        <w:jc w:val="left"/>
      </w:pPr>
      <w:r>
        <w:rPr/>
        <w:t>信用政策，并且不断监察这些信用风险的敞口。 </w:t>
      </w:r>
      <w:r>
        <w:rPr>
          <w:spacing w:val="-2"/>
        </w:rPr>
        <w:t>本公司持有的货币资金，主要存放于国有控股银行和其他大中型商业银行等金融机构，管理层认为这些商业银行具备较</w:t>
      </w:r>
    </w:p>
    <w:p>
      <w:pPr>
        <w:pStyle w:val="BodyText"/>
        <w:spacing w:line="355" w:lineRule="auto" w:before="26"/>
        <w:ind w:left="513" w:right="0" w:hanging="361"/>
        <w:jc w:val="left"/>
      </w:pPr>
      <w:r>
        <w:rPr/>
        <w:t>高信誉和资产状况，不存在重大的信用风险，不会产生因对方单位违约而导致的任何重大损失。 </w:t>
      </w:r>
      <w:r>
        <w:rPr>
          <w:spacing w:val="-2"/>
        </w:rPr>
        <w:t>对于应收账款、其他应收款和应收票据，本公司设定相关政策以控制信用风险敞口。本公司基于对客户的财务状况、从</w:t>
      </w:r>
    </w:p>
    <w:p>
      <w:pPr>
        <w:pStyle w:val="BodyText"/>
        <w:spacing w:line="357" w:lineRule="auto" w:before="28"/>
        <w:ind w:right="151"/>
        <w:jc w:val="both"/>
      </w:pPr>
      <w:r>
        <w:rPr>
          <w:spacing w:val="-2"/>
        </w:rPr>
        <w:t>第三方获取担保的可能性、信用记录及其它因素诸如目前市场状况等评估客户的信用资质并设置相应信用期。本公司会定期</w:t>
      </w:r>
      <w:r>
        <w:rPr>
          <w:spacing w:val="-64"/>
        </w:rPr>
        <w:t> </w:t>
      </w:r>
      <w:r>
        <w:rPr>
          <w:spacing w:val="-64"/>
        </w:rPr>
      </w:r>
      <w:r>
        <w:rPr>
          <w:spacing w:val="-2"/>
        </w:rPr>
        <w:t>对客户信用记录进行监控，对于信用记录不良的客户，本公司会采用书面催款、缩短信用期或取消信用期等方式，以确保本</w:t>
      </w:r>
      <w:r>
        <w:rPr>
          <w:spacing w:val="-65"/>
        </w:rPr>
        <w:t> </w:t>
      </w:r>
      <w:r>
        <w:rPr>
          <w:spacing w:val="-65"/>
        </w:rPr>
      </w:r>
      <w:r>
        <w:rPr/>
        <w:t>公司的整体信用风险在可控的范围内。</w:t>
      </w:r>
    </w:p>
    <w:p>
      <w:pPr>
        <w:pStyle w:val="BodyText"/>
        <w:spacing w:line="338" w:lineRule="auto" w:before="26"/>
        <w:ind w:left="513" w:right="0"/>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日，本公司的前五大客户的应收账款占本公司应收账款总额</w:t>
      </w:r>
      <w:r>
        <w:rPr>
          <w:rFonts w:ascii="Times New Roman" w:hAnsi="Times New Roman" w:cs="Times New Roman" w:eastAsia="Times New Roman" w:hint="default"/>
        </w:rPr>
        <w:t>41.15%(2016</w:t>
      </w:r>
      <w:r>
        <w:rPr/>
        <w:t>年：</w:t>
      </w:r>
      <w:r>
        <w:rPr>
          <w:rFonts w:ascii="Times New Roman" w:hAnsi="Times New Roman" w:cs="Times New Roman" w:eastAsia="Times New Roman" w:hint="default"/>
        </w:rPr>
        <w:t>49%)</w:t>
      </w:r>
      <w:r>
        <w:rPr/>
        <w:t>。 </w:t>
      </w:r>
      <w:r>
        <w:rPr>
          <w:spacing w:val="-2"/>
        </w:rPr>
        <w:t>本公司投资的银行理财产品，交易对方的信用评级须高于或与本公司相同。鉴于交易对方的信用评级良好，本公司管理</w:t>
      </w:r>
    </w:p>
    <w:p>
      <w:pPr>
        <w:pStyle w:val="BodyText"/>
        <w:spacing w:line="357" w:lineRule="auto" w:before="41"/>
        <w:ind w:left="513" w:right="1733" w:hanging="361"/>
        <w:jc w:val="left"/>
      </w:pPr>
      <w:r>
        <w:rPr/>
        <w:t>层并不预期交易对方会无法履行义务。 本公司所承受的最大信用风险敞口为资产负债表中每项金融资产</w:t>
      </w:r>
      <w:r>
        <w:rPr>
          <w:rFonts w:ascii="Times New Roman" w:hAnsi="Times New Roman" w:cs="Times New Roman" w:eastAsia="Times New Roman" w:hint="default"/>
        </w:rPr>
        <w:t>(</w:t>
      </w:r>
      <w:r>
        <w:rPr/>
        <w:t>包括衍生金融工具</w:t>
      </w:r>
      <w:r>
        <w:rPr>
          <w:rFonts w:ascii="Times New Roman" w:hAnsi="Times New Roman" w:cs="Times New Roman" w:eastAsia="Times New Roman" w:hint="default"/>
        </w:rPr>
        <w:t>)</w:t>
      </w:r>
      <w:r>
        <w:rPr/>
        <w:t>的账面金额。</w:t>
      </w:r>
    </w:p>
    <w:p>
      <w:pPr>
        <w:pStyle w:val="BodyText"/>
        <w:spacing w:line="345" w:lineRule="auto" w:before="3"/>
        <w:ind w:left="513" w:right="0" w:hanging="108"/>
        <w:jc w:val="left"/>
      </w:pPr>
      <w:r>
        <w:rPr/>
        <w:t>（二）流动性风险 流动性风险是指本公司无法及时获得充足资金</w:t>
      </w:r>
      <w:r>
        <w:rPr>
          <w:rFonts w:ascii="Times New Roman" w:hAnsi="Times New Roman" w:cs="Times New Roman" w:eastAsia="Times New Roman" w:hint="default"/>
        </w:rPr>
        <w:t>,</w:t>
      </w:r>
      <w:r>
        <w:rPr/>
        <w:t>满足业务发展需要或偿付到期债务以及其他支付义务的风险。 </w:t>
      </w:r>
      <w:r>
        <w:rPr>
          <w:spacing w:val="-2"/>
        </w:rPr>
        <w:t>本公司财务部门持续监控公司短期和长期的资金需求，以确保维持充裕的现金储备；同时持续监控是否符合借款协议的</w:t>
      </w:r>
    </w:p>
    <w:p>
      <w:pPr>
        <w:pStyle w:val="BodyText"/>
        <w:spacing w:line="357" w:lineRule="auto" w:before="36"/>
        <w:ind w:left="573" w:right="2333" w:hanging="421"/>
        <w:jc w:val="left"/>
      </w:pPr>
      <w:r>
        <w:rPr/>
        <w:t>规定，从主要金融机构获得提供足够备用资金的承诺，以满足短期和长期的资金需求。 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日，本公司各项金融负债以未折现的合同现金流量按到期日列示如下：</w:t>
      </w:r>
    </w:p>
    <w:p>
      <w:pPr>
        <w:spacing w:line="240" w:lineRule="auto" w:before="13"/>
        <w:rPr>
          <w:rFonts w:ascii="宋体" w:hAnsi="宋体" w:cs="宋体" w:eastAsia="宋体" w:hint="default"/>
          <w:sz w:val="26"/>
          <w:szCs w:val="26"/>
        </w:rPr>
      </w:pPr>
    </w:p>
    <w:tbl>
      <w:tblPr>
        <w:tblW w:w="0" w:type="auto"/>
        <w:jc w:val="left"/>
        <w:tblInd w:w="575" w:type="dxa"/>
        <w:tblLayout w:type="fixed"/>
        <w:tblCellMar>
          <w:top w:w="0" w:type="dxa"/>
          <w:left w:w="0" w:type="dxa"/>
          <w:bottom w:w="0" w:type="dxa"/>
          <w:right w:w="0" w:type="dxa"/>
        </w:tblCellMar>
        <w:tblLook w:val="01E0"/>
      </w:tblPr>
      <w:tblGrid>
        <w:gridCol w:w="1241"/>
        <w:gridCol w:w="1417"/>
        <w:gridCol w:w="1274"/>
        <w:gridCol w:w="1277"/>
        <w:gridCol w:w="1133"/>
        <w:gridCol w:w="1135"/>
        <w:gridCol w:w="1049"/>
      </w:tblGrid>
      <w:tr>
        <w:trPr>
          <w:trHeight w:val="328" w:hRule="exact"/>
        </w:trPr>
        <w:tc>
          <w:tcPr>
            <w:tcW w:w="124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286"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2" w:hRule="exact"/>
        </w:trPr>
        <w:tc>
          <w:tcPr>
            <w:tcW w:w="1241" w:type="dxa"/>
            <w:vMerge/>
            <w:tcBorders>
              <w:left w:val="single" w:sz="4" w:space="0" w:color="000000"/>
              <w:bottom w:val="single" w:sz="4" w:space="0" w:color="000000"/>
              <w:right w:val="single" w:sz="4" w:space="0" w:color="000000"/>
            </w:tcBorders>
            <w:shd w:val="clear" w:color="auto" w:fill="D9D9D9"/>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343"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271"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3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3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3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年</w:t>
            </w:r>
          </w:p>
        </w:tc>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r>
      <w:tr>
        <w:trPr>
          <w:trHeight w:val="343" w:hRule="exact"/>
        </w:trPr>
        <w:tc>
          <w:tcPr>
            <w:tcW w:w="12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5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left="455" w:right="0"/>
              <w:jc w:val="left"/>
              <w:rPr>
                <w:rFonts w:ascii="Times New Roman" w:hAnsi="Times New Roman" w:cs="Times New Roman" w:eastAsia="Times New Roman" w:hint="default"/>
                <w:sz w:val="18"/>
                <w:szCs w:val="18"/>
              </w:rPr>
            </w:pPr>
            <w:r>
              <w:rPr>
                <w:rFonts w:ascii="Times New Roman"/>
                <w:sz w:val="18"/>
              </w:rPr>
              <w:t>8,000,000.00</w:t>
            </w:r>
          </w:p>
        </w:tc>
        <w:tc>
          <w:tcPr>
            <w:tcW w:w="127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left="314" w:right="0"/>
              <w:jc w:val="left"/>
              <w:rPr>
                <w:rFonts w:ascii="Times New Roman" w:hAnsi="Times New Roman" w:cs="Times New Roman" w:eastAsia="Times New Roman" w:hint="default"/>
                <w:sz w:val="18"/>
                <w:szCs w:val="18"/>
              </w:rPr>
            </w:pPr>
            <w:r>
              <w:rPr>
                <w:rFonts w:ascii="Times New Roman"/>
                <w:sz w:val="18"/>
              </w:rPr>
              <w:t>8,000,000.00</w:t>
            </w:r>
          </w:p>
        </w:tc>
        <w:tc>
          <w:tcPr>
            <w:tcW w:w="127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left="316" w:right="0"/>
              <w:jc w:val="left"/>
              <w:rPr>
                <w:rFonts w:ascii="Times New Roman" w:hAnsi="Times New Roman" w:cs="Times New Roman" w:eastAsia="Times New Roman" w:hint="default"/>
                <w:sz w:val="18"/>
                <w:szCs w:val="18"/>
              </w:rPr>
            </w:pPr>
            <w:r>
              <w:rPr>
                <w:rFonts w:ascii="Times New Roman"/>
                <w:sz w:val="18"/>
              </w:rPr>
              <w:t>8,000,000.00</w:t>
            </w:r>
          </w:p>
        </w:tc>
        <w:tc>
          <w:tcPr>
            <w:tcW w:w="1133" w:type="dxa"/>
            <w:tcBorders>
              <w:top w:val="single" w:sz="8" w:space="0" w:color="000000"/>
              <w:left w:val="single" w:sz="4" w:space="0" w:color="000000"/>
              <w:bottom w:val="single" w:sz="4" w:space="0" w:color="000000"/>
              <w:right w:val="single" w:sz="4" w:space="0" w:color="000000"/>
            </w:tcBorders>
          </w:tcPr>
          <w:p>
            <w:pPr/>
          </w:p>
        </w:tc>
        <w:tc>
          <w:tcPr>
            <w:tcW w:w="1135" w:type="dxa"/>
            <w:tcBorders>
              <w:top w:val="single" w:sz="8" w:space="0" w:color="000000"/>
              <w:left w:val="single" w:sz="4" w:space="0" w:color="000000"/>
              <w:bottom w:val="single" w:sz="4" w:space="0" w:color="000000"/>
              <w:right w:val="single" w:sz="4" w:space="0" w:color="000000"/>
            </w:tcBorders>
          </w:tcPr>
          <w:p>
            <w:pPr/>
          </w:p>
        </w:tc>
        <w:tc>
          <w:tcPr>
            <w:tcW w:w="1049" w:type="dxa"/>
            <w:tcBorders>
              <w:top w:val="single" w:sz="8"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575" w:type="dxa"/>
        <w:tblLayout w:type="fixed"/>
        <w:tblCellMar>
          <w:top w:w="0" w:type="dxa"/>
          <w:left w:w="0" w:type="dxa"/>
          <w:bottom w:w="0" w:type="dxa"/>
          <w:right w:w="0" w:type="dxa"/>
        </w:tblCellMar>
        <w:tblLook w:val="01E0"/>
      </w:tblPr>
      <w:tblGrid>
        <w:gridCol w:w="1241"/>
        <w:gridCol w:w="1417"/>
        <w:gridCol w:w="1274"/>
        <w:gridCol w:w="1277"/>
        <w:gridCol w:w="1133"/>
        <w:gridCol w:w="1135"/>
        <w:gridCol w:w="1052"/>
      </w:tblGrid>
      <w:tr>
        <w:trPr>
          <w:trHeight w:val="343" w:hRule="exact"/>
        </w:trPr>
        <w:tc>
          <w:tcPr>
            <w:tcW w:w="12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15,312,597.83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15,312,597.83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15,312,597.83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2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200,138,502.46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200,138,502.46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200,138,502.46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2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10,367.50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10,367.50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10,367.50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2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39,349,104.31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39,349,104.31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39,349,104.31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2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金融负债小计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262,810,572.10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262,810,572.10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262,810,572.10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8"/>
          <w:szCs w:val="8"/>
        </w:rPr>
      </w:pPr>
    </w:p>
    <w:p>
      <w:pPr>
        <w:pStyle w:val="Heading4"/>
        <w:spacing w:line="240" w:lineRule="auto" w:before="36"/>
        <w:ind w:left="573" w:right="153"/>
        <w:jc w:val="left"/>
      </w:pPr>
      <w:r>
        <w:rPr/>
        <w:t>续：</w:t>
      </w:r>
    </w:p>
    <w:p>
      <w:pPr>
        <w:spacing w:line="240" w:lineRule="auto" w:before="2"/>
        <w:rPr>
          <w:rFonts w:ascii="宋体" w:hAnsi="宋体" w:cs="宋体" w:eastAsia="宋体" w:hint="default"/>
          <w:sz w:val="4"/>
          <w:szCs w:val="4"/>
        </w:rPr>
      </w:pPr>
    </w:p>
    <w:tbl>
      <w:tblPr>
        <w:tblW w:w="0" w:type="auto"/>
        <w:jc w:val="left"/>
        <w:tblInd w:w="575" w:type="dxa"/>
        <w:tblLayout w:type="fixed"/>
        <w:tblCellMar>
          <w:top w:w="0" w:type="dxa"/>
          <w:left w:w="0" w:type="dxa"/>
          <w:bottom w:w="0" w:type="dxa"/>
          <w:right w:w="0" w:type="dxa"/>
        </w:tblCellMar>
        <w:tblLook w:val="01E0"/>
      </w:tblPr>
      <w:tblGrid>
        <w:gridCol w:w="1241"/>
        <w:gridCol w:w="1417"/>
        <w:gridCol w:w="1274"/>
        <w:gridCol w:w="1277"/>
        <w:gridCol w:w="1133"/>
        <w:gridCol w:w="1135"/>
        <w:gridCol w:w="1052"/>
      </w:tblGrid>
      <w:tr>
        <w:trPr>
          <w:trHeight w:val="326" w:hRule="exact"/>
        </w:trPr>
        <w:tc>
          <w:tcPr>
            <w:tcW w:w="124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288"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1241" w:type="dxa"/>
            <w:vMerge/>
            <w:tcBorders>
              <w:left w:val="single" w:sz="4" w:space="0" w:color="000000"/>
              <w:bottom w:val="single" w:sz="4" w:space="0" w:color="000000"/>
              <w:right w:val="single" w:sz="4" w:space="0" w:color="000000"/>
            </w:tcBorders>
            <w:shd w:val="clear" w:color="auto" w:fill="D9D9D9"/>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343"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271"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3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3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3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年</w:t>
            </w:r>
          </w:p>
        </w:tc>
        <w:tc>
          <w:tcPr>
            <w:tcW w:w="10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r>
      <w:tr>
        <w:trPr>
          <w:trHeight w:val="341" w:hRule="exact"/>
        </w:trPr>
        <w:tc>
          <w:tcPr>
            <w:tcW w:w="12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41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8" w:space="0" w:color="000000"/>
              <w:left w:val="single" w:sz="4" w:space="0" w:color="000000"/>
              <w:bottom w:val="single" w:sz="4" w:space="0" w:color="000000"/>
              <w:right w:val="single" w:sz="4" w:space="0" w:color="000000"/>
            </w:tcBorders>
          </w:tcPr>
          <w:p>
            <w:pPr/>
          </w:p>
        </w:tc>
        <w:tc>
          <w:tcPr>
            <w:tcW w:w="1135" w:type="dxa"/>
            <w:tcBorders>
              <w:top w:val="single" w:sz="8" w:space="0" w:color="000000"/>
              <w:left w:val="single" w:sz="4" w:space="0" w:color="000000"/>
              <w:bottom w:val="single" w:sz="4" w:space="0" w:color="000000"/>
              <w:right w:val="single" w:sz="4" w:space="0" w:color="000000"/>
            </w:tcBorders>
          </w:tcPr>
          <w:p>
            <w:pPr/>
          </w:p>
        </w:tc>
        <w:tc>
          <w:tcPr>
            <w:tcW w:w="1052" w:type="dxa"/>
            <w:tcBorders>
              <w:top w:val="single" w:sz="8" w:space="0" w:color="000000"/>
              <w:left w:val="single" w:sz="4" w:space="0" w:color="000000"/>
              <w:bottom w:val="single" w:sz="4" w:space="0" w:color="000000"/>
              <w:right w:val="single" w:sz="4" w:space="0" w:color="000000"/>
            </w:tcBorders>
          </w:tcPr>
          <w:p>
            <w:pPr/>
          </w:p>
        </w:tc>
      </w:tr>
      <w:tr>
        <w:trPr>
          <w:trHeight w:val="343" w:hRule="exact"/>
        </w:trPr>
        <w:tc>
          <w:tcPr>
            <w:tcW w:w="12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6,292,925.88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6,292,925.88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6,292,925.88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2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176,706,116.26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176,706,116.26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176,706,116.26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12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2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17,522,394.20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17,522,394.20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17,522,394.20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2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金融负债小计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200,521,436.34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200,521,436.34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200,521,436.34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3"/>
        <w:spacing w:line="240" w:lineRule="auto" w:before="36"/>
        <w:ind w:right="0"/>
        <w:jc w:val="both"/>
        <w:rPr>
          <w:b w:val="0"/>
          <w:bCs w:val="0"/>
        </w:rPr>
      </w:pPr>
      <w:r>
        <w:rPr/>
        <w:t>（三）市场风险</w:t>
      </w:r>
      <w:r>
        <w:rPr>
          <w:b w:val="0"/>
          <w:bCs w:val="0"/>
        </w:rPr>
      </w:r>
    </w:p>
    <w:p>
      <w:pPr>
        <w:spacing w:line="240" w:lineRule="auto" w:before="7"/>
        <w:rPr>
          <w:rFonts w:ascii="宋体" w:hAnsi="宋体" w:cs="宋体" w:eastAsia="宋体" w:hint="default"/>
          <w:b/>
          <w:bCs/>
          <w:sz w:val="16"/>
          <w:szCs w:val="16"/>
        </w:rPr>
      </w:pPr>
    </w:p>
    <w:p>
      <w:pPr>
        <w:pStyle w:val="BodyText"/>
        <w:spacing w:line="477" w:lineRule="auto"/>
        <w:ind w:left="513" w:right="0" w:hanging="94"/>
        <w:jc w:val="left"/>
      </w:pPr>
      <w:r>
        <w:rPr>
          <w:rFonts w:ascii="宋体" w:hAnsi="宋体" w:cs="宋体" w:eastAsia="宋体" w:hint="default"/>
          <w:spacing w:val="1"/>
        </w:rPr>
        <w:t> </w:t>
      </w:r>
      <w:r>
        <w:rPr>
          <w:rFonts w:ascii="宋体" w:hAnsi="宋体" w:cs="宋体" w:eastAsia="宋体" w:hint="default"/>
        </w:rPr>
        <w:t>1.</w:t>
      </w:r>
      <w:r>
        <w:rPr/>
        <w:t>汇率风险</w:t>
      </w:r>
      <w:r>
        <w:rPr>
          <w:rFonts w:ascii="宋体" w:hAnsi="宋体" w:cs="宋体" w:eastAsia="宋体" w:hint="default"/>
        </w:rPr>
        <w:t> </w:t>
      </w:r>
      <w:r>
        <w:rPr>
          <w:spacing w:val="-2"/>
        </w:rPr>
        <w:t>本公司的主要经营位于中国境内，主要业务以人民币结算。但本公司已确认的外币资产和负债及未来的外币交易（外币</w:t>
      </w:r>
    </w:p>
    <w:p>
      <w:pPr>
        <w:pStyle w:val="BodyText"/>
        <w:spacing w:line="477" w:lineRule="auto" w:before="54"/>
        <w:ind w:right="152"/>
        <w:jc w:val="both"/>
        <w:rPr>
          <w:rFonts w:ascii="宋体" w:hAnsi="宋体" w:cs="宋体" w:eastAsia="宋体" w:hint="default"/>
        </w:rPr>
      </w:pPr>
      <w:r>
        <w:rPr>
          <w:spacing w:val="-2"/>
        </w:rPr>
        <w:t>资产和负债及外币交易的计价货币主要为美元和港币）依然存在汇率风险。本公司财务部门负责监控公司外币交易和外币资</w:t>
      </w:r>
      <w:r>
        <w:rPr>
          <w:spacing w:val="-64"/>
        </w:rPr>
        <w:t> </w:t>
      </w:r>
      <w:r>
        <w:rPr>
          <w:spacing w:val="-64"/>
        </w:rPr>
      </w:r>
      <w:r>
        <w:rPr>
          <w:spacing w:val="-2"/>
        </w:rPr>
        <w:t>产及负债的规模，以最大程度降低面临的汇率风险；为此，本公司可能会以签署远期外汇合约或货币互换合约等方式来达到</w:t>
      </w:r>
      <w:r>
        <w:rPr>
          <w:spacing w:val="-65"/>
        </w:rPr>
        <w:t> </w:t>
      </w:r>
      <w:r>
        <w:rPr>
          <w:spacing w:val="-65"/>
        </w:rPr>
      </w:r>
      <w:r>
        <w:rPr/>
        <w:t>规避汇率风险的目的。</w:t>
      </w:r>
      <w:r>
        <w:rPr>
          <w:rFonts w:ascii="宋体" w:hAnsi="宋体" w:cs="宋体" w:eastAsia="宋体" w:hint="default"/>
        </w:rPr>
        <w:t> </w:t>
      </w:r>
    </w:p>
    <w:p>
      <w:pPr>
        <w:pStyle w:val="BodyText"/>
        <w:spacing w:line="240" w:lineRule="auto" w:before="54"/>
        <w:ind w:left="332" w:right="153"/>
        <w:jc w:val="left"/>
        <w:rPr>
          <w:rFonts w:ascii="宋体" w:hAnsi="宋体" w:cs="宋体" w:eastAsia="宋体" w:hint="default"/>
        </w:rPr>
      </w:pPr>
      <w:r>
        <w:rPr/>
        <w:t>（</w:t>
      </w:r>
      <w:r>
        <w:rPr>
          <w:rFonts w:ascii="宋体" w:hAnsi="宋体" w:cs="宋体" w:eastAsia="宋体" w:hint="default"/>
        </w:rPr>
        <w:t>1</w:t>
      </w:r>
      <w:r>
        <w:rPr/>
        <w:t>）本年度公司签署的远期外汇合约或货币互换合约情况如下：</w:t>
      </w:r>
      <w:r>
        <w:rPr>
          <w:rFonts w:ascii="宋体" w:hAnsi="宋体" w:cs="宋体" w:eastAsia="宋体" w:hint="default"/>
        </w:rPr>
        <w:t> </w:t>
      </w:r>
    </w:p>
    <w:p>
      <w:pPr>
        <w:spacing w:line="240" w:lineRule="auto" w:before="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136"/>
        <w:gridCol w:w="1277"/>
        <w:gridCol w:w="992"/>
        <w:gridCol w:w="2126"/>
        <w:gridCol w:w="1133"/>
        <w:gridCol w:w="1649"/>
      </w:tblGrid>
      <w:tr>
        <w:trPr>
          <w:trHeight w:val="34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业务类型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60" w:right="0"/>
              <w:jc w:val="left"/>
              <w:rPr>
                <w:rFonts w:ascii="宋体" w:hAnsi="宋体" w:cs="宋体" w:eastAsia="宋体" w:hint="default"/>
                <w:sz w:val="18"/>
                <w:szCs w:val="18"/>
              </w:rPr>
            </w:pPr>
            <w:r>
              <w:rPr>
                <w:rFonts w:ascii="宋体" w:hAnsi="宋体" w:cs="宋体" w:eastAsia="宋体" w:hint="default"/>
                <w:sz w:val="18"/>
                <w:szCs w:val="18"/>
              </w:rPr>
              <w:t>未履行的合约买卖金额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汇率</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60" w:right="0"/>
              <w:jc w:val="left"/>
              <w:rPr>
                <w:rFonts w:ascii="宋体" w:hAnsi="宋体" w:cs="宋体" w:eastAsia="宋体" w:hint="default"/>
                <w:sz w:val="18"/>
                <w:szCs w:val="18"/>
              </w:rPr>
            </w:pPr>
            <w:r>
              <w:rPr>
                <w:rFonts w:ascii="宋体" w:hAnsi="宋体" w:cs="宋体" w:eastAsia="宋体" w:hint="default"/>
                <w:sz w:val="18"/>
                <w:szCs w:val="18"/>
              </w:rPr>
              <w:t>交收日期</w:t>
            </w:r>
          </w:p>
        </w:tc>
      </w:tr>
      <w:tr>
        <w:trPr>
          <w:trHeight w:val="34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远期结汇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100,000.00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6.6621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z w:val="18"/>
              </w:rPr>
              <w:t>2018/2/7</w:t>
            </w:r>
          </w:p>
        </w:tc>
      </w:tr>
      <w:tr>
        <w:trPr>
          <w:trHeight w:val="34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双汇盈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8"/>
              <w:jc w:val="right"/>
              <w:rPr>
                <w:rFonts w:ascii="Times New Roman" w:hAnsi="Times New Roman" w:cs="Times New Roman" w:eastAsia="Times New Roman" w:hint="default"/>
                <w:sz w:val="18"/>
                <w:szCs w:val="18"/>
              </w:rPr>
            </w:pPr>
            <w:r>
              <w:rPr>
                <w:rFonts w:ascii="Times New Roman"/>
                <w:spacing w:val="-1"/>
                <w:sz w:val="18"/>
              </w:rPr>
              <w:t>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8"/>
              <w:jc w:val="right"/>
              <w:rPr>
                <w:rFonts w:ascii="Times New Roman" w:hAnsi="Times New Roman" w:cs="Times New Roman" w:eastAsia="Times New Roman" w:hint="default"/>
                <w:sz w:val="18"/>
                <w:szCs w:val="18"/>
              </w:rPr>
            </w:pPr>
            <w:r>
              <w:rPr>
                <w:rFonts w:ascii="Times New Roman"/>
                <w:spacing w:val="-1"/>
                <w:sz w:val="18"/>
              </w:rPr>
              <w:t>6.7000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9"/>
              <w:jc w:val="right"/>
              <w:rPr>
                <w:rFonts w:ascii="Times New Roman" w:hAnsi="Times New Roman" w:cs="Times New Roman" w:eastAsia="Times New Roman" w:hint="default"/>
                <w:sz w:val="18"/>
                <w:szCs w:val="18"/>
              </w:rPr>
            </w:pPr>
            <w:r>
              <w:rPr>
                <w:rFonts w:ascii="Times New Roman"/>
                <w:spacing w:val="-1"/>
                <w:sz w:val="18"/>
              </w:rPr>
              <w:t>2018/2/13</w:t>
            </w:r>
          </w:p>
        </w:tc>
      </w:tr>
      <w:tr>
        <w:trPr>
          <w:trHeight w:val="34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远期结汇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100,000.00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6.6637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2018/2/13</w:t>
            </w:r>
          </w:p>
        </w:tc>
      </w:tr>
      <w:tr>
        <w:trPr>
          <w:trHeight w:val="34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招商银行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远期结汇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8"/>
              <w:jc w:val="right"/>
              <w:rPr>
                <w:rFonts w:ascii="Times New Roman" w:hAnsi="Times New Roman" w:cs="Times New Roman" w:eastAsia="Times New Roman" w:hint="default"/>
                <w:sz w:val="18"/>
                <w:szCs w:val="18"/>
              </w:rPr>
            </w:pPr>
            <w:r>
              <w:rPr>
                <w:rFonts w:ascii="Times New Roman"/>
                <w:spacing w:val="-1"/>
                <w:sz w:val="18"/>
              </w:rPr>
              <w:t>100,000.00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8"/>
              <w:jc w:val="right"/>
              <w:rPr>
                <w:rFonts w:ascii="Times New Roman" w:hAnsi="Times New Roman" w:cs="Times New Roman" w:eastAsia="Times New Roman" w:hint="default"/>
                <w:sz w:val="18"/>
                <w:szCs w:val="18"/>
              </w:rPr>
            </w:pPr>
            <w:r>
              <w:rPr>
                <w:rFonts w:ascii="Times New Roman"/>
                <w:spacing w:val="-1"/>
                <w:sz w:val="18"/>
              </w:rPr>
              <w:t>6.6500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9"/>
              <w:jc w:val="right"/>
              <w:rPr>
                <w:rFonts w:ascii="Times New Roman" w:hAnsi="Times New Roman" w:cs="Times New Roman" w:eastAsia="Times New Roman" w:hint="default"/>
                <w:sz w:val="18"/>
                <w:szCs w:val="18"/>
              </w:rPr>
            </w:pPr>
            <w:r>
              <w:rPr>
                <w:rFonts w:ascii="Times New Roman"/>
                <w:spacing w:val="-1"/>
                <w:sz w:val="18"/>
              </w:rPr>
              <w:t>2018/2/13</w:t>
            </w:r>
          </w:p>
        </w:tc>
      </w:tr>
    </w:tbl>
    <w:p>
      <w:pPr>
        <w:spacing w:line="240" w:lineRule="auto" w:before="12"/>
        <w:rPr>
          <w:rFonts w:ascii="宋体" w:hAnsi="宋体" w:cs="宋体" w:eastAsia="宋体" w:hint="default"/>
          <w:sz w:val="17"/>
          <w:szCs w:val="17"/>
        </w:rPr>
      </w:pPr>
    </w:p>
    <w:p>
      <w:pPr>
        <w:pStyle w:val="BodyText"/>
        <w:spacing w:line="240" w:lineRule="auto" w:before="44"/>
        <w:ind w:left="332" w:right="153"/>
        <w:jc w:val="left"/>
      </w:pPr>
      <w:r>
        <w:rPr/>
        <w:t>（</w:t>
      </w:r>
      <w:r>
        <w:rPr>
          <w:rFonts w:ascii="Times New Roman" w:hAnsi="Times New Roman" w:cs="Times New Roman" w:eastAsia="Times New Roman" w:hint="default"/>
        </w:rPr>
        <w:t>2</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日，本公司持有的外币金融资产和外币金融负债折算成人民币的金额列示如下：</w:t>
      </w:r>
    </w:p>
    <w:p>
      <w:pPr>
        <w:spacing w:line="240" w:lineRule="auto" w:before="3"/>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704"/>
        <w:gridCol w:w="1707"/>
        <w:gridCol w:w="1706"/>
        <w:gridCol w:w="1707"/>
        <w:gridCol w:w="1705"/>
      </w:tblGrid>
      <w:tr>
        <w:trPr>
          <w:trHeight w:val="343" w:hRule="exact"/>
        </w:trPr>
        <w:tc>
          <w:tcPr>
            <w:tcW w:w="170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82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1" w:hRule="exact"/>
        </w:trPr>
        <w:tc>
          <w:tcPr>
            <w:tcW w:w="1704" w:type="dxa"/>
            <w:vMerge/>
            <w:tcBorders>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89" w:right="0"/>
              <w:jc w:val="left"/>
              <w:rPr>
                <w:rFonts w:ascii="宋体" w:hAnsi="宋体" w:cs="宋体" w:eastAsia="宋体" w:hint="default"/>
                <w:sz w:val="18"/>
                <w:szCs w:val="18"/>
              </w:rPr>
            </w:pPr>
            <w:r>
              <w:rPr>
                <w:rFonts w:ascii="宋体" w:hAnsi="宋体" w:cs="宋体" w:eastAsia="宋体" w:hint="default"/>
                <w:sz w:val="18"/>
                <w:szCs w:val="18"/>
              </w:rPr>
              <w:t>美元项目</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87" w:right="0"/>
              <w:jc w:val="left"/>
              <w:rPr>
                <w:rFonts w:ascii="宋体" w:hAnsi="宋体" w:cs="宋体" w:eastAsia="宋体" w:hint="default"/>
                <w:sz w:val="18"/>
                <w:szCs w:val="18"/>
              </w:rPr>
            </w:pPr>
            <w:r>
              <w:rPr>
                <w:rFonts w:ascii="宋体" w:hAnsi="宋体" w:cs="宋体" w:eastAsia="宋体" w:hint="default"/>
                <w:sz w:val="18"/>
                <w:szCs w:val="18"/>
              </w:rPr>
              <w:t>港币项目</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87" w:right="0"/>
              <w:jc w:val="left"/>
              <w:rPr>
                <w:rFonts w:ascii="宋体" w:hAnsi="宋体" w:cs="宋体" w:eastAsia="宋体" w:hint="default"/>
                <w:sz w:val="18"/>
                <w:szCs w:val="18"/>
              </w:rPr>
            </w:pPr>
            <w:r>
              <w:rPr>
                <w:rFonts w:ascii="宋体" w:hAnsi="宋体" w:cs="宋体" w:eastAsia="宋体" w:hint="default"/>
                <w:sz w:val="18"/>
                <w:szCs w:val="18"/>
              </w:rPr>
              <w:t>欧元项目</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外币金融资产：</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123,727,780.72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47,942.39</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123,775,723.11</w:t>
            </w:r>
          </w:p>
        </w:tc>
      </w:tr>
      <w:tr>
        <w:trPr>
          <w:trHeight w:val="34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59,758,661.63</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59,758,661.63</w:t>
            </w:r>
          </w:p>
        </w:tc>
      </w:tr>
      <w:tr>
        <w:trPr>
          <w:trHeight w:val="34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752,319.00</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752,319.00</w:t>
            </w:r>
          </w:p>
        </w:tc>
      </w:tr>
      <w:tr>
        <w:trPr>
          <w:trHeight w:val="34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183,486,442.35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800,261.39</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184,286,703.74</w:t>
            </w:r>
          </w:p>
        </w:tc>
      </w:tr>
      <w:tr>
        <w:trPr>
          <w:trHeight w:val="34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外币金融负债：</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4"/>
        <w:gridCol w:w="1707"/>
        <w:gridCol w:w="1706"/>
        <w:gridCol w:w="1707"/>
        <w:gridCol w:w="1705"/>
      </w:tblGrid>
      <w:tr>
        <w:trPr>
          <w:trHeight w:val="34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18,136,791.34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23,870.50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28,661.75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18,189,323.58</w:t>
            </w:r>
          </w:p>
        </w:tc>
      </w:tr>
      <w:tr>
        <w:trPr>
          <w:trHeight w:val="34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84,944.60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84,944.60</w:t>
            </w:r>
          </w:p>
        </w:tc>
      </w:tr>
      <w:tr>
        <w:trPr>
          <w:trHeight w:val="34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4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18,221,735.94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23,870.50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28,661.75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18,274,268.18</w:t>
            </w:r>
          </w:p>
        </w:tc>
      </w:tr>
    </w:tbl>
    <w:p>
      <w:pPr>
        <w:spacing w:line="240" w:lineRule="auto" w:before="3"/>
        <w:rPr>
          <w:rFonts w:ascii="宋体" w:hAnsi="宋体" w:cs="宋体" w:eastAsia="宋体" w:hint="default"/>
          <w:sz w:val="8"/>
          <w:szCs w:val="8"/>
        </w:rPr>
      </w:pPr>
    </w:p>
    <w:p>
      <w:pPr>
        <w:spacing w:before="36"/>
        <w:ind w:left="573" w:right="153" w:firstLine="0"/>
        <w:jc w:val="left"/>
        <w:rPr>
          <w:rFonts w:ascii="宋体" w:hAnsi="宋体" w:cs="宋体" w:eastAsia="宋体" w:hint="default"/>
          <w:sz w:val="21"/>
          <w:szCs w:val="21"/>
        </w:rPr>
      </w:pPr>
      <w:r>
        <w:rPr>
          <w:rFonts w:ascii="宋体" w:hAnsi="宋体" w:cs="宋体" w:eastAsia="宋体" w:hint="default"/>
          <w:sz w:val="18"/>
          <w:szCs w:val="18"/>
        </w:rPr>
        <w:t>续</w:t>
      </w:r>
      <w:r>
        <w:rPr>
          <w:rFonts w:ascii="宋体" w:hAnsi="宋体" w:cs="宋体" w:eastAsia="宋体" w:hint="default"/>
          <w:sz w:val="21"/>
          <w:szCs w:val="21"/>
        </w:rPr>
        <w:t>：</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704"/>
        <w:gridCol w:w="1707"/>
        <w:gridCol w:w="1706"/>
        <w:gridCol w:w="1707"/>
        <w:gridCol w:w="1705"/>
      </w:tblGrid>
      <w:tr>
        <w:trPr>
          <w:trHeight w:val="341" w:hRule="exact"/>
        </w:trPr>
        <w:tc>
          <w:tcPr>
            <w:tcW w:w="1704" w:type="dxa"/>
            <w:vMerge w:val="restart"/>
            <w:tcBorders>
              <w:top w:val="single" w:sz="4" w:space="0" w:color="000000"/>
              <w:left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82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3" w:hRule="exact"/>
        </w:trPr>
        <w:tc>
          <w:tcPr>
            <w:tcW w:w="1704" w:type="dxa"/>
            <w:vMerge/>
            <w:tcBorders>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9" w:right="0"/>
              <w:jc w:val="left"/>
              <w:rPr>
                <w:rFonts w:ascii="宋体" w:hAnsi="宋体" w:cs="宋体" w:eastAsia="宋体" w:hint="default"/>
                <w:sz w:val="18"/>
                <w:szCs w:val="18"/>
              </w:rPr>
            </w:pPr>
            <w:r>
              <w:rPr>
                <w:rFonts w:ascii="宋体" w:hAnsi="宋体" w:cs="宋体" w:eastAsia="宋体" w:hint="default"/>
                <w:sz w:val="18"/>
                <w:szCs w:val="18"/>
              </w:rPr>
              <w:t>美元项目</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7" w:right="0"/>
              <w:jc w:val="left"/>
              <w:rPr>
                <w:rFonts w:ascii="宋体" w:hAnsi="宋体" w:cs="宋体" w:eastAsia="宋体" w:hint="default"/>
                <w:sz w:val="18"/>
                <w:szCs w:val="18"/>
              </w:rPr>
            </w:pPr>
            <w:r>
              <w:rPr>
                <w:rFonts w:ascii="宋体" w:hAnsi="宋体" w:cs="宋体" w:eastAsia="宋体" w:hint="default"/>
                <w:sz w:val="18"/>
                <w:szCs w:val="18"/>
              </w:rPr>
              <w:t>港币项目</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7" w:right="0"/>
              <w:jc w:val="left"/>
              <w:rPr>
                <w:rFonts w:ascii="宋体" w:hAnsi="宋体" w:cs="宋体" w:eastAsia="宋体" w:hint="default"/>
                <w:sz w:val="18"/>
                <w:szCs w:val="18"/>
              </w:rPr>
            </w:pPr>
            <w:r>
              <w:rPr>
                <w:rFonts w:ascii="宋体" w:hAnsi="宋体" w:cs="宋体" w:eastAsia="宋体" w:hint="default"/>
                <w:sz w:val="18"/>
                <w:szCs w:val="18"/>
              </w:rPr>
              <w:t>欧元项目</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3"/>
              <w:jc w:val="right"/>
              <w:rPr>
                <w:rFonts w:ascii="宋体" w:hAnsi="宋体" w:cs="宋体" w:eastAsia="宋体" w:hint="default"/>
                <w:sz w:val="18"/>
                <w:szCs w:val="18"/>
              </w:rPr>
            </w:pPr>
            <w:r>
              <w:rPr>
                <w:rFonts w:ascii="宋体" w:hAnsi="宋体" w:cs="宋体" w:eastAsia="宋体" w:hint="default"/>
                <w:sz w:val="18"/>
                <w:szCs w:val="18"/>
              </w:rPr>
              <w:t>外币金融资产：</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51,136,439.02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97,075.72</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51,233,514.74</w:t>
            </w:r>
          </w:p>
        </w:tc>
      </w:tr>
      <w:tr>
        <w:trPr>
          <w:trHeight w:val="34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69,326,794.01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69,326,794.01</w:t>
            </w:r>
          </w:p>
        </w:tc>
      </w:tr>
      <w:tr>
        <w:trPr>
          <w:trHeight w:val="34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28,055,482.53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805,071.25</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28,860,553.78</w:t>
            </w:r>
          </w:p>
        </w:tc>
      </w:tr>
      <w:tr>
        <w:trPr>
          <w:trHeight w:val="34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148,518,715.56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902,146.97</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149,420,862.53</w:t>
            </w:r>
          </w:p>
        </w:tc>
      </w:tr>
      <w:tr>
        <w:trPr>
          <w:trHeight w:val="34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3"/>
              <w:jc w:val="right"/>
              <w:rPr>
                <w:rFonts w:ascii="宋体" w:hAnsi="宋体" w:cs="宋体" w:eastAsia="宋体" w:hint="default"/>
                <w:sz w:val="18"/>
                <w:szCs w:val="18"/>
              </w:rPr>
            </w:pPr>
            <w:r>
              <w:rPr>
                <w:rFonts w:ascii="宋体" w:hAnsi="宋体" w:cs="宋体" w:eastAsia="宋体" w:hint="default"/>
                <w:sz w:val="18"/>
                <w:szCs w:val="18"/>
              </w:rPr>
              <w:t>外币金融负债：</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23,374,096.77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73,550.38</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26,841.53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23,474,488.68</w:t>
            </w:r>
          </w:p>
        </w:tc>
      </w:tr>
      <w:tr>
        <w:trPr>
          <w:trHeight w:val="34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9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28,040,634.71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28,040,634.71</w:t>
            </w:r>
          </w:p>
        </w:tc>
      </w:tr>
      <w:tr>
        <w:trPr>
          <w:trHeight w:val="34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3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51,414,731.48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73,550.38</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26,841.53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51,515,123.39</w:t>
            </w:r>
          </w:p>
        </w:tc>
      </w:tr>
    </w:tbl>
    <w:p>
      <w:pPr>
        <w:spacing w:line="240" w:lineRule="auto" w:before="12"/>
        <w:rPr>
          <w:rFonts w:ascii="宋体" w:hAnsi="宋体" w:cs="宋体" w:eastAsia="宋体" w:hint="default"/>
          <w:sz w:val="17"/>
          <w:szCs w:val="17"/>
        </w:rPr>
      </w:pPr>
    </w:p>
    <w:p>
      <w:pPr>
        <w:pStyle w:val="BodyText"/>
        <w:spacing w:line="338" w:lineRule="auto" w:before="44"/>
        <w:ind w:left="513" w:right="140" w:hanging="181"/>
        <w:jc w:val="left"/>
      </w:pPr>
      <w:r>
        <w:rPr/>
        <w:t>（</w:t>
      </w:r>
      <w:r>
        <w:rPr>
          <w:rFonts w:ascii="Times New Roman" w:hAnsi="Times New Roman" w:cs="Times New Roman" w:eastAsia="Times New Roman" w:hint="default"/>
        </w:rPr>
        <w:t>3</w:t>
      </w:r>
      <w:r>
        <w:rPr/>
        <w:t>）敏感性分析： </w:t>
      </w:r>
      <w:r>
        <w:rPr>
          <w:spacing w:val="-1"/>
        </w:rPr>
        <w:t>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日，对于本公司各类美元金融资产和美元金融负债，如果人民币对美元升值或贬值</w:t>
      </w:r>
      <w:r>
        <w:rPr>
          <w:rFonts w:ascii="Times New Roman" w:hAnsi="Times New Roman" w:cs="Times New Roman" w:eastAsia="Times New Roman" w:hint="default"/>
          <w:spacing w:val="-1"/>
        </w:rPr>
        <w:t>10%</w:t>
      </w:r>
      <w:r>
        <w:rPr>
          <w:spacing w:val="-1"/>
        </w:rPr>
        <w:t>，其他因素保</w:t>
      </w:r>
    </w:p>
    <w:p>
      <w:pPr>
        <w:pStyle w:val="BodyText"/>
        <w:spacing w:line="240" w:lineRule="auto" w:before="19"/>
        <w:ind w:right="153"/>
        <w:jc w:val="left"/>
      </w:pPr>
      <w:r>
        <w:rPr/>
        <w:t>持不变，则本公司将增加或减少净利润约</w:t>
      </w:r>
      <w:r>
        <w:rPr>
          <w:rFonts w:ascii="Times New Roman" w:hAnsi="Times New Roman" w:cs="Times New Roman" w:eastAsia="Times New Roman" w:hint="default"/>
        </w:rPr>
        <w:t>1652.65</w:t>
      </w:r>
      <w:r>
        <w:rPr/>
        <w:t>万元（</w:t>
      </w:r>
      <w:r>
        <w:rPr>
          <w:rFonts w:ascii="Times New Roman" w:hAnsi="Times New Roman" w:cs="Times New Roman" w:eastAsia="Times New Roman" w:hint="default"/>
        </w:rPr>
        <w:t>2016</w:t>
      </w:r>
      <w:r>
        <w:rPr/>
        <w:t>年度约</w:t>
      </w:r>
      <w:r>
        <w:rPr>
          <w:rFonts w:ascii="Times New Roman" w:hAnsi="Times New Roman" w:cs="Times New Roman" w:eastAsia="Times New Roman" w:hint="default"/>
        </w:rPr>
        <w:t>971.04</w:t>
      </w:r>
      <w:r>
        <w:rPr/>
        <w:t>万元</w:t>
      </w:r>
      <w:r>
        <w:rPr>
          <w:rFonts w:ascii="Times New Roman" w:hAnsi="Times New Roman" w:cs="Times New Roman" w:eastAsia="Times New Roman" w:hint="default"/>
        </w:rPr>
        <w:t>)</w:t>
      </w:r>
      <w:r>
        <w:rPr/>
        <w:t>。</w:t>
      </w:r>
    </w:p>
    <w:p>
      <w:pPr>
        <w:pStyle w:val="BodyText"/>
        <w:spacing w:line="338" w:lineRule="auto" w:before="101"/>
        <w:ind w:left="513" w:right="0"/>
        <w:jc w:val="left"/>
      </w:pPr>
      <w:r>
        <w:rPr>
          <w:rFonts w:ascii="Times New Roman" w:hAnsi="Times New Roman" w:cs="Times New Roman" w:eastAsia="Times New Roman" w:hint="default"/>
        </w:rPr>
        <w:t>2.</w:t>
      </w:r>
      <w:r>
        <w:rPr/>
        <w:t>利率风险 </w:t>
      </w:r>
      <w:r>
        <w:rPr>
          <w:spacing w:val="-2"/>
        </w:rPr>
        <w:t>本公司的利率风险主要产生于银行借款等。浮动利率的金融负债使本公司面临现金流量利率风险，固定利率的金融负债</w:t>
      </w:r>
    </w:p>
    <w:p>
      <w:pPr>
        <w:pStyle w:val="BodyText"/>
        <w:spacing w:line="357" w:lineRule="auto" w:before="41"/>
        <w:ind w:left="513" w:right="0" w:hanging="361"/>
        <w:jc w:val="left"/>
      </w:pPr>
      <w:r>
        <w:rPr/>
        <w:t>使本公司面临公允价值利率风险。本公司根据当时的市场环境来决定固定利率及浮动利率合同的相对比例。 </w:t>
      </w:r>
      <w:r>
        <w:rPr>
          <w:spacing w:val="-2"/>
        </w:rPr>
        <w:t>本公司财务部门持续监控公司利率水平。利率上升会增加新增带息债务的成本以及本公司尚未付清的以浮动利率计息的</w:t>
      </w:r>
    </w:p>
    <w:p>
      <w:pPr>
        <w:pStyle w:val="BodyText"/>
        <w:spacing w:line="357" w:lineRule="auto" w:before="27"/>
        <w:ind w:right="0"/>
        <w:jc w:val="left"/>
      </w:pPr>
      <w:r>
        <w:rPr>
          <w:spacing w:val="-2"/>
        </w:rPr>
        <w:t>带息债务的利息支出，并对本公司的财务业绩产生重大的不利影响，管理层会依据最新的市场状况及时做出调整，这些调整</w:t>
      </w:r>
      <w:r>
        <w:rPr>
          <w:spacing w:val="-63"/>
        </w:rPr>
        <w:t> </w:t>
      </w:r>
      <w:r>
        <w:rPr>
          <w:spacing w:val="-63"/>
        </w:rPr>
      </w:r>
      <w:r>
        <w:rPr/>
        <w:t>可能是进行利率互换的安排来降低利率风险。</w:t>
      </w:r>
    </w:p>
    <w:p>
      <w:pPr>
        <w:pStyle w:val="BodyText"/>
        <w:spacing w:line="240" w:lineRule="auto" w:before="24"/>
        <w:ind w:left="332" w:right="153"/>
        <w:jc w:val="left"/>
      </w:pPr>
      <w:r>
        <w:rPr/>
        <w:t>（</w:t>
      </w:r>
      <w:r>
        <w:rPr>
          <w:rFonts w:ascii="Times New Roman" w:hAnsi="Times New Roman" w:cs="Times New Roman" w:eastAsia="Times New Roman" w:hint="default"/>
        </w:rPr>
        <w:t>1</w:t>
      </w:r>
      <w:r>
        <w:rPr/>
        <w:t>）本年度公司无利率互换安排。</w:t>
      </w:r>
    </w:p>
    <w:p>
      <w:pPr>
        <w:pStyle w:val="BodyText"/>
        <w:spacing w:line="338" w:lineRule="auto" w:before="101"/>
        <w:ind w:right="144" w:firstLine="180"/>
        <w:jc w:val="left"/>
      </w:pPr>
      <w:r>
        <w:rPr/>
        <w:t>（</w:t>
      </w:r>
      <w:r>
        <w:rPr>
          <w:rFonts w:ascii="Times New Roman" w:hAnsi="Times New Roman" w:cs="Times New Roman" w:eastAsia="Times New Roman" w:hint="default"/>
        </w:rPr>
        <w:t>2</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日，本公司无长期带息债务，期末带息债务为固定利率短期借款和其他应付款，金额为</w:t>
      </w:r>
      <w:r>
        <w:rPr>
          <w:rFonts w:ascii="Times New Roman" w:hAnsi="Times New Roman" w:cs="Times New Roman" w:eastAsia="Times New Roman" w:hint="default"/>
        </w:rPr>
        <w:t>1600</w:t>
      </w:r>
      <w:r>
        <w:rPr/>
        <w:t>万， 详见附注七相关注释。</w:t>
      </w:r>
    </w:p>
    <w:p>
      <w:pPr>
        <w:spacing w:line="240" w:lineRule="auto" w:before="9"/>
        <w:rPr>
          <w:rFonts w:ascii="宋体" w:hAnsi="宋体" w:cs="宋体" w:eastAsia="宋体" w:hint="default"/>
          <w:sz w:val="25"/>
          <w:szCs w:val="25"/>
        </w:rPr>
      </w:pPr>
    </w:p>
    <w:p>
      <w:pPr>
        <w:pStyle w:val="Heading2"/>
        <w:spacing w:line="240" w:lineRule="auto"/>
        <w:ind w:right="153"/>
        <w:jc w:val="left"/>
        <w:rPr>
          <w:b w:val="0"/>
          <w:bCs w:val="0"/>
        </w:rPr>
      </w:pPr>
      <w:r>
        <w:rPr/>
        <w:t>十一、关联方及关联交易</w:t>
      </w:r>
      <w:r>
        <w:rPr>
          <w:b w:val="0"/>
          <w:bCs w:val="0"/>
        </w:rPr>
      </w:r>
    </w:p>
    <w:p>
      <w:pPr>
        <w:spacing w:line="240" w:lineRule="auto" w:before="12"/>
        <w:rPr>
          <w:rFonts w:ascii="宋体" w:hAnsi="宋体" w:cs="宋体" w:eastAsia="宋体" w:hint="default"/>
          <w:b/>
          <w:bCs/>
          <w:sz w:val="24"/>
          <w:szCs w:val="24"/>
        </w:rPr>
      </w:pPr>
    </w:p>
    <w:p>
      <w:pPr>
        <w:spacing w:line="547" w:lineRule="auto" w:before="0"/>
        <w:ind w:left="152" w:right="345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100"/>
          <w:sz w:val="21"/>
          <w:szCs w:val="21"/>
        </w:rPr>
        <w:t> </w:t>
      </w:r>
      <w:r>
        <w:rPr>
          <w:rFonts w:ascii="宋体" w:hAnsi="宋体" w:cs="宋体" w:eastAsia="宋体" w:hint="default"/>
          <w:sz w:val="18"/>
          <w:szCs w:val="18"/>
        </w:rPr>
        <w:t>本企业最终控制方是乔昕与陈亚妹夫妇，截止报告日合计持有公司</w:t>
      </w:r>
      <w:r>
        <w:rPr>
          <w:rFonts w:ascii="Times New Roman" w:hAnsi="Times New Roman" w:cs="Times New Roman" w:eastAsia="Times New Roman" w:hint="default"/>
          <w:sz w:val="18"/>
          <w:szCs w:val="18"/>
        </w:rPr>
        <w:t>51.33%</w:t>
      </w:r>
      <w:r>
        <w:rPr>
          <w:rFonts w:ascii="宋体" w:hAnsi="宋体" w:cs="宋体" w:eastAsia="宋体" w:hint="default"/>
          <w:sz w:val="18"/>
          <w:szCs w:val="18"/>
        </w:rPr>
        <w:t>股份。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pStyle w:val="BodyText"/>
        <w:spacing w:line="240" w:lineRule="auto" w:before="46"/>
        <w:ind w:right="153"/>
        <w:jc w:val="left"/>
      </w:pPr>
      <w:r>
        <w:rPr/>
        <w:t>本企业子公司的情况详见附注九</w:t>
      </w:r>
      <w:r>
        <w:rPr>
          <w:rFonts w:ascii="Times New Roman" w:hAnsi="Times New Roman" w:cs="Times New Roman" w:eastAsia="Times New Roman" w:hint="default"/>
        </w:rPr>
        <w:t>-</w:t>
      </w:r>
      <w:r>
        <w:rPr/>
        <w:t>注释</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在子公司中的权益。</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left="212"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left="212" w:right="1314"/>
        <w:jc w:val="left"/>
      </w:pPr>
      <w:r>
        <w:rPr/>
        <w:t>本企业重要的合营或联营企业详见附注九</w:t>
      </w:r>
      <w:r>
        <w:rPr>
          <w:rFonts w:ascii="Times New Roman" w:hAnsi="Times New Roman" w:cs="Times New Roman" w:eastAsia="Times New Roman" w:hint="default"/>
        </w:rPr>
        <w:t>-</w:t>
      </w:r>
      <w:r>
        <w:rPr/>
        <w:t>注释</w:t>
      </w:r>
      <w:r>
        <w:rPr>
          <w:spacing w:val="-46"/>
        </w:rPr>
        <w:t> </w:t>
      </w:r>
      <w:r>
        <w:rPr>
          <w:rFonts w:ascii="Times New Roman" w:hAnsi="Times New Roman" w:cs="Times New Roman" w:eastAsia="Times New Roman" w:hint="default"/>
        </w:rPr>
        <w:t>2 </w:t>
      </w:r>
      <w:r>
        <w:rPr/>
        <w:t>在合营安排或联营企业中的权益。 本期与本公司发生关联方交易，或前期与本公司发生关联方交易形成余额的其他合营或联营企业情况如下：</w:t>
      </w:r>
    </w:p>
    <w:p>
      <w:pPr>
        <w:spacing w:line="240" w:lineRule="auto" w:before="9"/>
        <w:rPr>
          <w:rFonts w:ascii="宋体" w:hAnsi="宋体" w:cs="宋体" w:eastAsia="宋体" w:hint="default"/>
          <w:sz w:val="2"/>
          <w:szCs w:val="2"/>
        </w:rPr>
      </w:pPr>
    </w:p>
    <w:tbl>
      <w:tblPr>
        <w:tblW w:w="0" w:type="auto"/>
        <w:jc w:val="left"/>
        <w:tblInd w:w="207"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深圳市六度人和科技有限公司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3"/>
        <w:rPr>
          <w:rFonts w:ascii="宋体" w:hAnsi="宋体" w:cs="宋体" w:eastAsia="宋体" w:hint="default"/>
          <w:sz w:val="19"/>
          <w:szCs w:val="19"/>
        </w:rPr>
      </w:pPr>
    </w:p>
    <w:p>
      <w:pPr>
        <w:pStyle w:val="Heading3"/>
        <w:spacing w:line="240" w:lineRule="auto" w:before="36"/>
        <w:ind w:left="212"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4784"/>
        <w:gridCol w:w="4998"/>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深圳市真源生命科学有限公司</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同一控制人控制的企业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拉萨市冠德成科技发展有限公司</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同一控制人控制的企业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深圳市日升投资有限公司</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同一控制人控制的企业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新余元通投资管理有限公司</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同一控制人控制的企业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新余九派凯阳投资合伙企业（有限合伙）</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同一控制人控制的企业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深圳市晨杨投资合伙企业（有限合伙）</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同一控制人控制的企业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百华科技发展有限公司</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同一控制人控制的企业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深圳市元通孵化有限公司</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同一控制人控制的企业</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深圳旷烨企业服务合伙企业（有限合伙）</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14" w:right="120" w:hanging="2190"/>
              <w:jc w:val="left"/>
              <w:rPr>
                <w:rFonts w:ascii="宋体" w:hAnsi="宋体" w:cs="宋体" w:eastAsia="宋体" w:hint="default"/>
                <w:sz w:val="18"/>
                <w:szCs w:val="18"/>
              </w:rPr>
            </w:pPr>
            <w:r>
              <w:rPr>
                <w:rFonts w:ascii="宋体" w:hAnsi="宋体" w:cs="宋体" w:eastAsia="宋体" w:hint="default"/>
                <w:sz w:val="18"/>
                <w:szCs w:val="18"/>
              </w:rPr>
              <w:t>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79.97%</w:t>
            </w:r>
            <w:r>
              <w:rPr>
                <w:rFonts w:ascii="宋体" w:hAnsi="宋体" w:cs="宋体" w:eastAsia="宋体" w:hint="default"/>
                <w:sz w:val="18"/>
                <w:szCs w:val="18"/>
              </w:rPr>
              <w:t>的参股企业（暂无实质经营，期后正在注销 中）</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新余益瑞投资合伙企业（有限合伙）</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董事、高管等控制的企业</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深圳市电明科技股份有限公司</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佛山市国星光电股份有限公司</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独立董事任职企业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远光软件股份有限公司</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独立董事任职企业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浙江东晶电子股份有限公司</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独立董事任职企业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常州中英科技股份有限公司</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独立董事任职企业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珠海恒基达鑫国际化工仓储股份有限公司</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独立董事任职企业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新余海和投资管理中心（有限合伙）</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上海新文化传媒集团股份有限公司</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独立董事任职企业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湖南泰嘉新材料科技股份有限公司</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独立董事任职企业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宋思勤</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廖建中</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公司董事、财务总监</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XuanRichardGu</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洪兵</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梁华权</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陶向南</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r>
    </w:tbl>
    <w:p>
      <w:pPr>
        <w:spacing w:after="0" w:line="240" w:lineRule="auto"/>
        <w:jc w:val="center"/>
        <w:rPr>
          <w:rFonts w:ascii="宋体" w:hAnsi="宋体" w:cs="宋体" w:eastAsia="宋体" w:hint="default"/>
          <w:sz w:val="18"/>
          <w:szCs w:val="18"/>
        </w:rPr>
        <w:sectPr>
          <w:pgSz w:w="11910" w:h="16840"/>
          <w:pgMar w:header="745" w:footer="980" w:top="1060" w:bottom="1160" w:left="920" w:right="980"/>
        </w:sectPr>
      </w:pPr>
    </w:p>
    <w:p>
      <w:pPr>
        <w:spacing w:line="240" w:lineRule="auto" w:before="6"/>
        <w:rPr>
          <w:rFonts w:ascii="宋体" w:hAnsi="宋体" w:cs="宋体" w:eastAsia="宋体" w:hint="default"/>
          <w:b/>
          <w:bCs/>
          <w:sz w:val="28"/>
          <w:szCs w:val="28"/>
        </w:rPr>
      </w:pPr>
    </w:p>
    <w:tbl>
      <w:tblPr>
        <w:tblW w:w="0" w:type="auto"/>
        <w:jc w:val="left"/>
        <w:tblInd w:w="100" w:type="dxa"/>
        <w:tblLayout w:type="fixed"/>
        <w:tblCellMar>
          <w:top w:w="0" w:type="dxa"/>
          <w:left w:w="0" w:type="dxa"/>
          <w:bottom w:w="0" w:type="dxa"/>
          <w:right w:w="0" w:type="dxa"/>
        </w:tblCellMar>
        <w:tblLook w:val="01E0"/>
      </w:tblPr>
      <w:tblGrid>
        <w:gridCol w:w="4784"/>
        <w:gridCol w:w="4998"/>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马旗戟</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曹军波</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冯敏</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陈晓燕</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曾惠明</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朱蕾</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副总裁、董事会秘书</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吴建栋</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原财务总监（</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月离职）</w:t>
            </w:r>
          </w:p>
        </w:tc>
      </w:tr>
    </w:tbl>
    <w:p>
      <w:pPr>
        <w:spacing w:line="240" w:lineRule="auto" w:before="3"/>
        <w:rPr>
          <w:rFonts w:ascii="宋体" w:hAnsi="宋体" w:cs="宋体" w:eastAsia="宋体" w:hint="default"/>
          <w:b/>
          <w:bCs/>
          <w:sz w:val="19"/>
          <w:szCs w:val="19"/>
        </w:rPr>
      </w:pPr>
    </w:p>
    <w:p>
      <w:pPr>
        <w:pStyle w:val="Heading3"/>
        <w:spacing w:line="240" w:lineRule="auto" w:before="36"/>
        <w:ind w:left="212"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212"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212"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2696"/>
        <w:gridCol w:w="1275"/>
        <w:gridCol w:w="1133"/>
        <w:gridCol w:w="1419"/>
        <w:gridCol w:w="1702"/>
        <w:gridCol w:w="1347"/>
      </w:tblGrid>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佛山市国星光电股份有限公司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162,836.80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328,769.20</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深圳市六度人和科技有限公司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硬件、服务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399,912.18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562,748.98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328,769.20</w:t>
            </w:r>
          </w:p>
        </w:tc>
      </w:tr>
    </w:tbl>
    <w:p>
      <w:pPr>
        <w:pStyle w:val="BodyText"/>
        <w:spacing w:line="240" w:lineRule="auto" w:before="49"/>
        <w:ind w:left="212"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深圳市电明科技有限责任公司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2,053,673.52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1,812,687.59</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深圳市六度人和科技有限公司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1,104,008.02</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3,157,681.54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1,812,687.59</w:t>
            </w:r>
          </w:p>
        </w:tc>
      </w:tr>
    </w:tbl>
    <w:p>
      <w:pPr>
        <w:pStyle w:val="BodyText"/>
        <w:spacing w:line="240" w:lineRule="auto" w:before="49"/>
        <w:ind w:left="212" w:right="0"/>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20"/>
        <w:ind w:left="212" w:right="0"/>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212" w:right="0"/>
        <w:jc w:val="left"/>
      </w:pPr>
      <w:r>
        <w:rPr/>
        <w:t>本公司作为承租方：</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深圳市元通孵化有限公司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厂房、宿舍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48" w:right="0"/>
              <w:jc w:val="left"/>
              <w:rPr>
                <w:rFonts w:ascii="Times New Roman" w:hAnsi="Times New Roman" w:cs="Times New Roman" w:eastAsia="Times New Roman" w:hint="default"/>
                <w:sz w:val="18"/>
                <w:szCs w:val="18"/>
              </w:rPr>
            </w:pPr>
            <w:r>
              <w:rPr>
                <w:rFonts w:ascii="Times New Roman"/>
                <w:sz w:val="18"/>
              </w:rPr>
              <w:t>174,309.56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4" w:right="0"/>
              <w:jc w:val="left"/>
              <w:rPr>
                <w:rFonts w:ascii="Times New Roman" w:hAnsi="Times New Roman" w:cs="Times New Roman" w:eastAsia="Times New Roman" w:hint="default"/>
                <w:sz w:val="18"/>
                <w:szCs w:val="18"/>
              </w:rPr>
            </w:pPr>
            <w:r>
              <w:rPr>
                <w:rFonts w:ascii="Times New Roman"/>
                <w:sz w:val="18"/>
              </w:rPr>
              <w:t>1,758,307.73</w:t>
            </w:r>
          </w:p>
        </w:tc>
      </w:tr>
    </w:tbl>
    <w:p>
      <w:pPr>
        <w:spacing w:line="240" w:lineRule="auto" w:before="3"/>
        <w:rPr>
          <w:rFonts w:ascii="宋体" w:hAnsi="宋体" w:cs="宋体" w:eastAsia="宋体" w:hint="default"/>
          <w:sz w:val="19"/>
          <w:szCs w:val="19"/>
        </w:rPr>
      </w:pPr>
    </w:p>
    <w:p>
      <w:pPr>
        <w:pStyle w:val="Heading3"/>
        <w:spacing w:line="240" w:lineRule="auto" w:before="36"/>
        <w:ind w:left="212" w:right="0"/>
        <w:jc w:val="left"/>
        <w:rPr>
          <w:b w:val="0"/>
          <w:bCs w:val="0"/>
        </w:rPr>
      </w:pPr>
      <w:r>
        <w:rPr/>
        <w:t>（</w:t>
      </w:r>
      <w:r>
        <w:rPr>
          <w:rFonts w:ascii="Times New Roman" w:hAnsi="Times New Roman" w:cs="Times New Roman" w:eastAsia="Times New Roman" w:hint="default"/>
        </w:rPr>
        <w:t>3</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212" w:right="0"/>
        <w:jc w:val="left"/>
      </w:pPr>
      <w:r>
        <w:rPr/>
        <w:t>本公司作为被担保方：</w:t>
      </w:r>
    </w:p>
    <w:p>
      <w:pPr>
        <w:pStyle w:val="BodyText"/>
        <w:spacing w:line="240" w:lineRule="auto" w:before="115"/>
        <w:ind w:left="0" w:right="3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after="0" w:line="240" w:lineRule="auto"/>
        <w:jc w:val="left"/>
        <w:rPr>
          <w:rFonts w:ascii="宋体" w:hAnsi="宋体" w:cs="宋体" w:eastAsia="宋体" w:hint="default"/>
          <w:sz w:val="18"/>
          <w:szCs w:val="18"/>
        </w:rPr>
        <w:sectPr>
          <w:pgSz w:w="11910" w:h="16840"/>
          <w:pgMar w:header="745" w:footer="980" w:top="1060" w:bottom="1160" w:left="92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陈亚妹、乔昕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）关联方资金拆借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7"/>
        <w:gridCol w:w="1702"/>
        <w:gridCol w:w="1916"/>
        <w:gridCol w:w="1913"/>
        <w:gridCol w:w="1916"/>
      </w:tblGrid>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0"/>
              <w:jc w:val="right"/>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7"/>
              <w:jc w:val="center"/>
              <w:rPr>
                <w:rFonts w:ascii="宋体" w:hAnsi="宋体" w:cs="宋体" w:eastAsia="宋体" w:hint="default"/>
                <w:sz w:val="18"/>
                <w:szCs w:val="18"/>
              </w:rPr>
            </w:pPr>
            <w:r>
              <w:rPr>
                <w:rFonts w:ascii="宋体" w:hAnsi="宋体" w:cs="宋体" w:eastAsia="宋体" w:hint="default"/>
                <w:sz w:val="18"/>
                <w:szCs w:val="18"/>
              </w:rPr>
              <w:t>深圳市元通孵化有限公司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2" w:right="0"/>
              <w:jc w:val="left"/>
              <w:rPr>
                <w:rFonts w:ascii="Times New Roman" w:hAnsi="Times New Roman" w:cs="Times New Roman" w:eastAsia="Times New Roman" w:hint="default"/>
                <w:sz w:val="18"/>
                <w:szCs w:val="18"/>
              </w:rPr>
            </w:pPr>
            <w:r>
              <w:rPr>
                <w:rFonts w:ascii="Times New Roman"/>
                <w:sz w:val="18"/>
              </w:rPr>
              <w:t>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97"/>
              <w:jc w:val="righ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402"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pStyle w:val="BodyText"/>
        <w:spacing w:line="203" w:lineRule="exact"/>
        <w:ind w:right="153"/>
        <w:jc w:val="left"/>
        <w:rPr>
          <w:rFonts w:ascii="宋体" w:hAnsi="宋体" w:cs="宋体" w:eastAsia="宋体" w:hint="default"/>
        </w:rPr>
      </w:pPr>
      <w:r>
        <w:rPr/>
        <w:t>关联方拆入资金说明：</w:t>
      </w:r>
      <w:r>
        <w:rPr>
          <w:rFonts w:ascii="宋体" w:hAnsi="宋体" w:cs="宋体" w:eastAsia="宋体" w:hint="default"/>
        </w:rPr>
        <w:t> </w:t>
      </w:r>
    </w:p>
    <w:p>
      <w:pPr>
        <w:pStyle w:val="BodyText"/>
        <w:spacing w:line="240" w:lineRule="auto" w:before="115"/>
        <w:ind w:left="0" w:right="151"/>
        <w:jc w:val="right"/>
      </w:pPr>
      <w:r>
        <w:rPr/>
        <w:t>期末公司对非金融机构借款为公司控股子公司深圳市实益达技术股份有限公司</w:t>
      </w:r>
      <w:r>
        <w:rPr>
          <w:spacing w:val="-67"/>
        </w:rPr>
        <w:t> </w:t>
      </w:r>
      <w:r>
        <w:rPr>
          <w:rFonts w:ascii="宋体" w:hAnsi="宋体" w:cs="宋体" w:eastAsia="宋体" w:hint="default"/>
        </w:rPr>
        <w:t>2017</w:t>
      </w:r>
      <w:r>
        <w:rPr>
          <w:rFonts w:ascii="宋体" w:hAnsi="宋体" w:cs="宋体" w:eastAsia="宋体" w:hint="default"/>
          <w:spacing w:val="-66"/>
        </w:rPr>
        <w:t> </w:t>
      </w:r>
      <w:r>
        <w:rPr/>
        <w:t>年</w:t>
      </w:r>
      <w:r>
        <w:rPr>
          <w:spacing w:val="-67"/>
        </w:rPr>
        <w:t> </w:t>
      </w:r>
      <w:r>
        <w:rPr>
          <w:rFonts w:ascii="宋体" w:hAnsi="宋体" w:cs="宋体" w:eastAsia="宋体" w:hint="default"/>
        </w:rPr>
        <w:t>11</w:t>
      </w:r>
      <w:r>
        <w:rPr>
          <w:rFonts w:ascii="宋体" w:hAnsi="宋体" w:cs="宋体" w:eastAsia="宋体" w:hint="default"/>
          <w:spacing w:val="-66"/>
        </w:rPr>
        <w:t> </w:t>
      </w:r>
      <w:r>
        <w:rPr/>
        <w:t>月向关联方深圳市元通孵化有</w:t>
      </w:r>
    </w:p>
    <w:p>
      <w:pPr>
        <w:pStyle w:val="BodyText"/>
        <w:spacing w:line="240" w:lineRule="auto" w:before="115"/>
        <w:ind w:right="0"/>
        <w:jc w:val="left"/>
        <w:rPr>
          <w:rFonts w:ascii="宋体" w:hAnsi="宋体" w:cs="宋体" w:eastAsia="宋体" w:hint="default"/>
        </w:rPr>
      </w:pPr>
      <w:r>
        <w:rPr/>
        <w:t>限公司借入</w:t>
      </w:r>
      <w:r>
        <w:rPr>
          <w:spacing w:val="-40"/>
        </w:rPr>
        <w:t> </w:t>
      </w:r>
      <w:r>
        <w:rPr>
          <w:rFonts w:ascii="宋体" w:hAnsi="宋体" w:cs="宋体" w:eastAsia="宋体" w:hint="default"/>
        </w:rPr>
        <w:t>800</w:t>
      </w:r>
      <w:r>
        <w:rPr>
          <w:rFonts w:ascii="宋体" w:hAnsi="宋体" w:cs="宋体" w:eastAsia="宋体" w:hint="default"/>
          <w:spacing w:val="-39"/>
        </w:rPr>
        <w:t> </w:t>
      </w:r>
      <w:r>
        <w:rPr/>
        <w:t>万元，借款期限不超过</w:t>
      </w:r>
      <w:r>
        <w:rPr>
          <w:spacing w:val="-40"/>
        </w:rPr>
        <w:t> </w:t>
      </w:r>
      <w:r>
        <w:rPr>
          <w:rFonts w:ascii="宋体" w:hAnsi="宋体" w:cs="宋体" w:eastAsia="宋体" w:hint="default"/>
        </w:rPr>
        <w:t>6</w:t>
      </w:r>
      <w:r>
        <w:rPr>
          <w:rFonts w:ascii="宋体" w:hAnsi="宋体" w:cs="宋体" w:eastAsia="宋体" w:hint="default"/>
          <w:spacing w:val="-39"/>
        </w:rPr>
        <w:t> </w:t>
      </w:r>
      <w:r>
        <w:rPr/>
        <w:t>个月，年利率与公司同时期向金融机构类似借款基本一致。截至</w:t>
      </w:r>
      <w:r>
        <w:rPr>
          <w:spacing w:val="-39"/>
        </w:rPr>
        <w:t> </w:t>
      </w:r>
      <w:r>
        <w:rPr>
          <w:rFonts w:ascii="宋体" w:hAnsi="宋体" w:cs="宋体" w:eastAsia="宋体" w:hint="default"/>
        </w:rPr>
        <w:t>2017</w:t>
      </w:r>
      <w:r>
        <w:rPr>
          <w:rFonts w:ascii="宋体" w:hAnsi="宋体" w:cs="宋体" w:eastAsia="宋体" w:hint="default"/>
          <w:spacing w:val="-39"/>
        </w:rPr>
        <w:t> </w:t>
      </w:r>
      <w:r>
        <w:rPr/>
        <w:t>年</w:t>
      </w:r>
      <w:r>
        <w:rPr>
          <w:spacing w:val="-40"/>
        </w:rPr>
        <w:t> </w:t>
      </w:r>
      <w:r>
        <w:rPr>
          <w:rFonts w:ascii="宋体" w:hAnsi="宋体" w:cs="宋体" w:eastAsia="宋体" w:hint="default"/>
        </w:rPr>
        <w:t>12</w:t>
      </w:r>
      <w:r>
        <w:rPr>
          <w:rFonts w:ascii="宋体" w:hAnsi="宋体" w:cs="宋体" w:eastAsia="宋体" w:hint="default"/>
          <w:spacing w:val="-39"/>
        </w:rPr>
        <w:t> </w:t>
      </w:r>
      <w:r>
        <w:rPr/>
        <w:t>月</w:t>
      </w:r>
      <w:r>
        <w:rPr>
          <w:spacing w:val="-42"/>
        </w:rPr>
        <w:t> </w:t>
      </w:r>
      <w:r>
        <w:rPr>
          <w:rFonts w:ascii="宋体" w:hAnsi="宋体" w:cs="宋体" w:eastAsia="宋体" w:hint="default"/>
        </w:rPr>
        <w:t>31</w:t>
      </w:r>
    </w:p>
    <w:p>
      <w:pPr>
        <w:pStyle w:val="BodyText"/>
        <w:spacing w:line="240" w:lineRule="auto" w:before="115"/>
        <w:ind w:right="153"/>
        <w:jc w:val="left"/>
        <w:rPr>
          <w:rFonts w:ascii="宋体" w:hAnsi="宋体" w:cs="宋体" w:eastAsia="宋体" w:hint="default"/>
        </w:rPr>
      </w:pPr>
      <w:r>
        <w:rPr/>
        <w:t>日，公司对该笔借款计提相应利息支出</w:t>
      </w:r>
      <w:r>
        <w:rPr>
          <w:spacing w:val="-48"/>
        </w:rPr>
        <w:t> </w:t>
      </w:r>
      <w:r>
        <w:rPr>
          <w:rFonts w:ascii="宋体" w:hAnsi="宋体" w:cs="宋体" w:eastAsia="宋体" w:hint="default"/>
        </w:rPr>
        <w:t>67,920.00</w:t>
      </w:r>
      <w:r>
        <w:rPr>
          <w:rFonts w:ascii="宋体" w:hAnsi="宋体" w:cs="宋体" w:eastAsia="宋体" w:hint="default"/>
          <w:spacing w:val="-47"/>
        </w:rPr>
        <w:t> </w:t>
      </w:r>
      <w:r>
        <w:rPr/>
        <w:t>元。</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Heading3"/>
        <w:spacing w:line="240" w:lineRule="auto"/>
        <w:ind w:right="153"/>
        <w:jc w:val="left"/>
        <w:rPr>
          <w:b w:val="0"/>
          <w:bCs w:val="0"/>
        </w:rPr>
      </w:pPr>
      <w:r>
        <w:rPr/>
        <w:t>（</w:t>
      </w:r>
      <w:r>
        <w:rPr>
          <w:rFonts w:ascii="Times New Roman" w:hAnsi="Times New Roman" w:cs="Times New Roman" w:eastAsia="Times New Roman" w:hint="default"/>
        </w:rPr>
        <w:t>5</w:t>
      </w:r>
      <w:r>
        <w:rPr/>
        <w:t>）关联方资产转让、债务重组情况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深圳市日升投资有限公司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出售深圳市元通孵化有限公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4" w:right="0"/>
              <w:jc w:val="left"/>
              <w:rPr>
                <w:rFonts w:ascii="Times New Roman" w:hAnsi="Times New Roman" w:cs="Times New Roman" w:eastAsia="Times New Roman" w:hint="default"/>
                <w:sz w:val="18"/>
                <w:szCs w:val="18"/>
              </w:rPr>
            </w:pPr>
            <w:r>
              <w:rPr>
                <w:rFonts w:ascii="Times New Roman"/>
                <w:sz w:val="18"/>
              </w:rPr>
              <w:t>265,000,000.00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6</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6,400,300.00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2,802,900.00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深圳市电明科技股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2,246,492.99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2"/>
                <w:sz w:val="18"/>
              </w:rPr>
              <w:t>112,324.65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1,174,982.99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58,749.15</w:t>
            </w:r>
          </w:p>
        </w:tc>
      </w:tr>
      <w:tr>
        <w:trPr>
          <w:trHeight w:val="71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深圳市六度人和科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464,180.05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23,209.00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深圳市元通孵化有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8,785.92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39,549.07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1,977.46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2" w:hRule="exact"/>
        </w:trPr>
        <w:tc>
          <w:tcPr>
            <w:tcW w:w="1596"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深圳市六度人和科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深圳市六度人和科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202,082.94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3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2799"/>
        <w:gridCol w:w="2393"/>
        <w:gridCol w:w="2393"/>
      </w:tblGrid>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佛山市国星光电股份有限公司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25,899.86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62,925.65</w:t>
            </w: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深圳市元通孵化有限公司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8,067,920.00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262,886.02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本期无关联方承诺情况。</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十二、股份支付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31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before="44"/>
        <w:ind w:left="0" w:right="104"/>
        <w:jc w:val="right"/>
      </w:pPr>
      <w:r>
        <w:rPr/>
        <w:pict>
          <v:shape style="position:absolute;margin-left:56.459999pt;margin-top:-76.588257pt;width:489.8pt;height:96.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55"/>
                    <w:gridCol w:w="4326"/>
                  </w:tblGrid>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3,631,207.00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669,534.00</w:t>
                        </w:r>
                      </w:p>
                    </w:tc>
                  </w:tr>
                  <w:tr>
                    <w:trPr>
                      <w:trHeight w:val="715"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公司期末首次授予限制性股票的行权价格为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合同剩余期限为</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bl>
                <w:p>
                  <w:pPr/>
                </w:p>
              </w:txbxContent>
            </v:textbox>
            <w10:wrap type="none"/>
          </v:shape>
        </w:pict>
      </w:r>
      <w:r>
        <w:rPr/>
        <w:t>。</w:t>
      </w:r>
    </w:p>
    <w:p>
      <w:pPr>
        <w:spacing w:line="240" w:lineRule="auto" w:before="4"/>
        <w:rPr>
          <w:rFonts w:ascii="宋体" w:hAnsi="宋体" w:cs="宋体" w:eastAsia="宋体" w:hint="default"/>
          <w:sz w:val="28"/>
          <w:szCs w:val="28"/>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3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63"/>
        <w:gridCol w:w="4607"/>
      </w:tblGrid>
      <w:tr>
        <w:trPr>
          <w:trHeight w:val="1027"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公司采用授予日市价减去限制性股票授予价格的方法确定 </w:t>
            </w:r>
            <w:r>
              <w:rPr>
                <w:rFonts w:ascii="宋体" w:hAnsi="宋体" w:cs="宋体" w:eastAsia="宋体" w:hint="default"/>
                <w:spacing w:val="-6"/>
                <w:sz w:val="18"/>
                <w:szCs w:val="18"/>
              </w:rPr>
              <w:t>限制性股票的公允价值（即限制性股票成本）。限制性股票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公允价值经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模型估算确定。</w:t>
            </w:r>
          </w:p>
        </w:tc>
      </w:tr>
      <w:tr>
        <w:trPr>
          <w:trHeight w:val="1026"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0"/>
              <w:jc w:val="both"/>
              <w:rPr>
                <w:rFonts w:ascii="宋体" w:hAnsi="宋体" w:cs="宋体" w:eastAsia="宋体" w:hint="default"/>
                <w:sz w:val="18"/>
                <w:szCs w:val="18"/>
              </w:rPr>
            </w:pPr>
            <w:r>
              <w:rPr>
                <w:rFonts w:ascii="宋体" w:hAnsi="宋体" w:cs="宋体" w:eastAsia="宋体" w:hint="default"/>
                <w:sz w:val="18"/>
                <w:szCs w:val="18"/>
              </w:rPr>
              <w:t>公司根据《深圳市麦达数字股份有限公司限制性股票激励 </w:t>
            </w:r>
            <w:r>
              <w:rPr>
                <w:rFonts w:ascii="宋体" w:hAnsi="宋体" w:cs="宋体" w:eastAsia="宋体" w:hint="default"/>
                <w:spacing w:val="-12"/>
                <w:sz w:val="18"/>
                <w:szCs w:val="18"/>
              </w:rPr>
              <w:t>计划（草案）》、《深圳市麦达数字股份有限公司股权激励计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划实施考核管理办法》确定。</w:t>
            </w:r>
          </w:p>
        </w:tc>
      </w:tr>
      <w:tr>
        <w:trPr>
          <w:trHeight w:val="403"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8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63"/>
        <w:gridCol w:w="4607"/>
      </w:tblGrid>
      <w:tr>
        <w:trPr>
          <w:trHeight w:val="401"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2,440,088.92</w:t>
            </w:r>
          </w:p>
        </w:tc>
      </w:tr>
      <w:tr>
        <w:trPr>
          <w:trHeight w:val="404"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2,440,088.92</w:t>
            </w:r>
          </w:p>
        </w:tc>
      </w:tr>
    </w:tbl>
    <w:p>
      <w:pPr>
        <w:spacing w:line="240" w:lineRule="auto" w:before="3"/>
        <w:rPr>
          <w:rFonts w:ascii="宋体" w:hAnsi="宋体" w:cs="宋体" w:eastAsia="宋体" w:hint="default"/>
          <w:sz w:val="19"/>
          <w:szCs w:val="19"/>
        </w:rPr>
      </w:pPr>
    </w:p>
    <w:p>
      <w:pPr>
        <w:pStyle w:val="Heading3"/>
        <w:spacing w:line="240" w:lineRule="auto" w:before="36"/>
        <w:ind w:right="254"/>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6934"/>
        <w:jc w:val="left"/>
      </w:pPr>
      <w:r>
        <w:rPr/>
        <w:t>本期无以现金结算的股份支付情况。 本期无股份支付的修改、终止情况。</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spacing w:line="506" w:lineRule="auto" w:before="0"/>
        <w:ind w:left="152" w:right="6754" w:firstLine="0"/>
        <w:jc w:val="left"/>
        <w:rPr>
          <w:rFonts w:ascii="宋体" w:hAnsi="宋体" w:cs="宋体" w:eastAsia="宋体" w:hint="default"/>
          <w:sz w:val="18"/>
          <w:szCs w:val="18"/>
        </w:rPr>
      </w:pP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公司不存在需要披露的重要承诺事项。</w:t>
      </w:r>
    </w:p>
    <w:p>
      <w:pPr>
        <w:pStyle w:val="Heading3"/>
        <w:spacing w:line="240" w:lineRule="auto" w:before="156"/>
        <w:ind w:right="254"/>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254"/>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54"/>
        <w:jc w:val="left"/>
      </w:pPr>
      <w:r>
        <w:rPr/>
        <w:t>未决诉讼或仲裁形成的或有事项及其财务影响</w:t>
      </w:r>
    </w:p>
    <w:p>
      <w:pPr>
        <w:spacing w:line="240" w:lineRule="auto" w:before="3"/>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2724"/>
        <w:gridCol w:w="2125"/>
        <w:gridCol w:w="1277"/>
        <w:gridCol w:w="1274"/>
        <w:gridCol w:w="1035"/>
        <w:gridCol w:w="1262"/>
      </w:tblGrid>
      <w:tr>
        <w:trPr>
          <w:trHeight w:val="350"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13" w:right="0"/>
              <w:jc w:val="left"/>
              <w:rPr>
                <w:rFonts w:ascii="宋体" w:hAnsi="宋体" w:cs="宋体" w:eastAsia="宋体" w:hint="default"/>
                <w:sz w:val="18"/>
                <w:szCs w:val="18"/>
              </w:rPr>
            </w:pPr>
            <w:r>
              <w:rPr>
                <w:rFonts w:ascii="宋体" w:hAnsi="宋体" w:cs="宋体" w:eastAsia="宋体" w:hint="default"/>
                <w:sz w:val="18"/>
                <w:szCs w:val="18"/>
              </w:rPr>
              <w:t>原告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 w:right="0"/>
              <w:jc w:val="center"/>
              <w:rPr>
                <w:rFonts w:ascii="宋体" w:hAnsi="宋体" w:cs="宋体" w:eastAsia="宋体" w:hint="default"/>
                <w:sz w:val="18"/>
                <w:szCs w:val="18"/>
              </w:rPr>
            </w:pPr>
            <w:r>
              <w:rPr>
                <w:rFonts w:ascii="宋体" w:hAnsi="宋体" w:cs="宋体" w:eastAsia="宋体" w:hint="default"/>
                <w:sz w:val="18"/>
                <w:szCs w:val="18"/>
              </w:rPr>
              <w:t>被告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案由</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受理法院</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2" w:right="0"/>
              <w:jc w:val="left"/>
              <w:rPr>
                <w:rFonts w:ascii="宋体" w:hAnsi="宋体" w:cs="宋体" w:eastAsia="宋体" w:hint="default"/>
                <w:sz w:val="18"/>
                <w:szCs w:val="18"/>
              </w:rPr>
            </w:pPr>
            <w:r>
              <w:rPr>
                <w:rFonts w:ascii="宋体" w:hAnsi="宋体" w:cs="宋体" w:eastAsia="宋体" w:hint="default"/>
                <w:sz w:val="18"/>
                <w:szCs w:val="18"/>
              </w:rPr>
              <w:t>标的额</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6" w:right="0"/>
              <w:jc w:val="left"/>
              <w:rPr>
                <w:rFonts w:ascii="宋体" w:hAnsi="宋体" w:cs="宋体" w:eastAsia="宋体" w:hint="default"/>
                <w:sz w:val="18"/>
                <w:szCs w:val="18"/>
              </w:rPr>
            </w:pPr>
            <w:r>
              <w:rPr>
                <w:rFonts w:ascii="宋体" w:hAnsi="宋体" w:cs="宋体" w:eastAsia="宋体" w:hint="default"/>
                <w:sz w:val="18"/>
                <w:szCs w:val="18"/>
              </w:rPr>
              <w:t>案件进展情况</w:t>
            </w:r>
          </w:p>
        </w:tc>
      </w:tr>
      <w:tr>
        <w:trPr>
          <w:trHeight w:val="809"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深圳市麦达数字股份有限公司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61"/>
              <w:ind w:left="52" w:right="63"/>
              <w:jc w:val="both"/>
              <w:rPr>
                <w:rFonts w:ascii="Arial Narrow" w:hAnsi="Arial Narrow" w:cs="Arial Narrow" w:eastAsia="Arial Narrow" w:hint="default"/>
                <w:sz w:val="18"/>
                <w:szCs w:val="18"/>
              </w:rPr>
            </w:pPr>
            <w:r>
              <w:rPr>
                <w:rFonts w:ascii="Arial Narrow"/>
                <w:spacing w:val="-1"/>
                <w:sz w:val="18"/>
              </w:rPr>
              <w:t>PERCEPTIONDIGITALLIMITE</w:t>
            </w:r>
            <w:r>
              <w:rPr>
                <w:rFonts w:ascii="Arial Narrow"/>
                <w:spacing w:val="-35"/>
                <w:sz w:val="18"/>
              </w:rPr>
              <w:t> </w:t>
            </w:r>
            <w:r>
              <w:rPr>
                <w:rFonts w:ascii="Arial Narrow"/>
                <w:spacing w:val="-35"/>
                <w:sz w:val="18"/>
              </w:rPr>
            </w:r>
            <w:r>
              <w:rPr>
                <w:rFonts w:ascii="Arial Narrow"/>
                <w:sz w:val="18"/>
              </w:rPr>
              <w:t>D/PDTRADING(HONGKONG)</w:t>
            </w:r>
            <w:r>
              <w:rPr>
                <w:rFonts w:ascii="Arial Narrow"/>
                <w:spacing w:val="-1"/>
                <w:sz w:val="18"/>
              </w:rPr>
              <w:t> </w:t>
            </w:r>
            <w:r>
              <w:rPr>
                <w:rFonts w:ascii="Arial Narrow"/>
                <w:sz w:val="18"/>
              </w:rPr>
              <w:t>LIMITED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0"/>
              <w:jc w:val="center"/>
              <w:rPr>
                <w:rFonts w:ascii="宋体" w:hAnsi="宋体" w:cs="宋体" w:eastAsia="宋体" w:hint="default"/>
                <w:sz w:val="18"/>
                <w:szCs w:val="18"/>
              </w:rPr>
            </w:pPr>
            <w:r>
              <w:rPr>
                <w:rFonts w:ascii="宋体" w:hAnsi="宋体" w:cs="宋体" w:eastAsia="宋体" w:hint="default"/>
                <w:sz w:val="18"/>
                <w:szCs w:val="18"/>
              </w:rPr>
              <w:t>买卖合同纠纷</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香港高等法院</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2" w:lineRule="exact"/>
              <w:ind w:right="53"/>
              <w:jc w:val="right"/>
              <w:rPr>
                <w:rFonts w:ascii="Arial Narrow" w:hAnsi="Arial Narrow" w:cs="Arial Narrow" w:eastAsia="Arial Narrow" w:hint="default"/>
                <w:sz w:val="18"/>
                <w:szCs w:val="18"/>
              </w:rPr>
            </w:pPr>
            <w:r>
              <w:rPr>
                <w:rFonts w:ascii="Arial Narrow"/>
                <w:spacing w:val="-1"/>
                <w:sz w:val="18"/>
              </w:rPr>
              <w:t>USD292.31</w:t>
            </w:r>
          </w:p>
          <w:p>
            <w:pPr>
              <w:pStyle w:val="TableParagraph"/>
              <w:spacing w:line="231" w:lineRule="exact"/>
              <w:ind w:right="51"/>
              <w:jc w:val="right"/>
              <w:rPr>
                <w:rFonts w:ascii="宋体" w:hAnsi="宋体" w:cs="宋体" w:eastAsia="宋体" w:hint="default"/>
                <w:sz w:val="18"/>
                <w:szCs w:val="18"/>
              </w:rPr>
            </w:pPr>
            <w:r>
              <w:rPr>
                <w:rFonts w:ascii="宋体" w:hAnsi="宋体" w:cs="宋体" w:eastAsia="宋体" w:hint="default"/>
                <w:sz w:val="18"/>
                <w:szCs w:val="18"/>
              </w:rPr>
              <w:t>万</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正在审理中</w:t>
            </w:r>
          </w:p>
        </w:tc>
      </w:tr>
      <w:tr>
        <w:trPr>
          <w:trHeight w:val="572"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2" w:right="0"/>
              <w:jc w:val="left"/>
              <w:rPr>
                <w:rFonts w:ascii="宋体" w:hAnsi="宋体" w:cs="宋体" w:eastAsia="宋体" w:hint="default"/>
                <w:sz w:val="18"/>
                <w:szCs w:val="18"/>
              </w:rPr>
            </w:pPr>
            <w:r>
              <w:rPr>
                <w:rFonts w:ascii="宋体" w:hAnsi="宋体" w:cs="宋体" w:eastAsia="宋体" w:hint="default"/>
                <w:sz w:val="18"/>
                <w:szCs w:val="18"/>
              </w:rPr>
              <w:t>深圳市盟世奇商贸有限公司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52" w:right="51"/>
              <w:jc w:val="left"/>
              <w:rPr>
                <w:rFonts w:ascii="宋体" w:hAnsi="宋体" w:cs="宋体" w:eastAsia="宋体" w:hint="default"/>
                <w:sz w:val="18"/>
                <w:szCs w:val="18"/>
              </w:rPr>
            </w:pPr>
            <w:r>
              <w:rPr>
                <w:rFonts w:ascii="宋体" w:hAnsi="宋体" w:cs="宋体" w:eastAsia="宋体" w:hint="default"/>
                <w:spacing w:val="2"/>
                <w:sz w:val="18"/>
                <w:szCs w:val="18"/>
              </w:rPr>
              <w:t>深圳市麦达数字股份有限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80"/>
              <w:jc w:val="center"/>
              <w:rPr>
                <w:rFonts w:ascii="宋体" w:hAnsi="宋体" w:cs="宋体" w:eastAsia="宋体" w:hint="default"/>
                <w:sz w:val="18"/>
                <w:szCs w:val="18"/>
              </w:rPr>
            </w:pPr>
            <w:r>
              <w:rPr>
                <w:rFonts w:ascii="宋体" w:hAnsi="宋体" w:cs="宋体" w:eastAsia="宋体" w:hint="default"/>
                <w:sz w:val="18"/>
                <w:szCs w:val="18"/>
              </w:rPr>
              <w:t>买卖合同纠纷</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73" w:right="89" w:hanging="180"/>
              <w:jc w:val="left"/>
              <w:rPr>
                <w:rFonts w:ascii="宋体" w:hAnsi="宋体" w:cs="宋体" w:eastAsia="宋体" w:hint="default"/>
                <w:sz w:val="18"/>
                <w:szCs w:val="18"/>
              </w:rPr>
            </w:pPr>
            <w:r>
              <w:rPr>
                <w:rFonts w:ascii="宋体" w:hAnsi="宋体" w:cs="宋体" w:eastAsia="宋体" w:hint="default"/>
                <w:sz w:val="18"/>
                <w:szCs w:val="18"/>
              </w:rPr>
              <w:t>深圳市龙岗区 人民法院</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53"/>
              <w:jc w:val="right"/>
              <w:rPr>
                <w:rFonts w:ascii="宋体" w:hAnsi="宋体" w:cs="宋体" w:eastAsia="宋体" w:hint="default"/>
                <w:sz w:val="18"/>
                <w:szCs w:val="18"/>
              </w:rPr>
            </w:pPr>
            <w:r>
              <w:rPr>
                <w:rFonts w:ascii="Arial Narrow" w:hAnsi="Arial Narrow" w:cs="Arial Narrow" w:eastAsia="Arial Narrow" w:hint="default"/>
                <w:sz w:val="18"/>
                <w:szCs w:val="18"/>
              </w:rPr>
              <w:t>171.17</w:t>
            </w:r>
            <w:r>
              <w:rPr>
                <w:rFonts w:ascii="Arial Narrow" w:hAnsi="Arial Narrow" w:cs="Arial Narrow" w:eastAsia="Arial Narrow" w:hint="default"/>
                <w:spacing w:val="1"/>
                <w:sz w:val="18"/>
                <w:szCs w:val="18"/>
              </w:rPr>
              <w:t> </w:t>
            </w:r>
            <w:r>
              <w:rPr>
                <w:rFonts w:ascii="宋体" w:hAnsi="宋体" w:cs="宋体" w:eastAsia="宋体" w:hint="default"/>
                <w:sz w:val="18"/>
                <w:szCs w:val="18"/>
              </w:rPr>
              <w:t>万元</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2" w:right="0"/>
              <w:jc w:val="left"/>
              <w:rPr>
                <w:rFonts w:ascii="宋体" w:hAnsi="宋体" w:cs="宋体" w:eastAsia="宋体" w:hint="default"/>
                <w:sz w:val="18"/>
                <w:szCs w:val="18"/>
              </w:rPr>
            </w:pPr>
            <w:r>
              <w:rPr>
                <w:rFonts w:ascii="宋体" w:hAnsi="宋体" w:cs="宋体" w:eastAsia="宋体" w:hint="default"/>
                <w:sz w:val="18"/>
                <w:szCs w:val="18"/>
              </w:rPr>
              <w:t>二审判决</w:t>
            </w:r>
          </w:p>
        </w:tc>
      </w:tr>
      <w:tr>
        <w:trPr>
          <w:trHeight w:val="569"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2" w:right="0"/>
              <w:jc w:val="left"/>
              <w:rPr>
                <w:rFonts w:ascii="宋体" w:hAnsi="宋体" w:cs="宋体" w:eastAsia="宋体" w:hint="default"/>
                <w:sz w:val="18"/>
                <w:szCs w:val="18"/>
              </w:rPr>
            </w:pPr>
            <w:r>
              <w:rPr>
                <w:rFonts w:ascii="宋体" w:hAnsi="宋体" w:cs="宋体" w:eastAsia="宋体" w:hint="default"/>
                <w:sz w:val="18"/>
                <w:szCs w:val="18"/>
              </w:rPr>
              <w:t>深圳市实益达技术股份有限公司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7"/>
              <w:jc w:val="center"/>
              <w:rPr>
                <w:rFonts w:ascii="宋体" w:hAnsi="宋体" w:cs="宋体" w:eastAsia="宋体" w:hint="default"/>
                <w:sz w:val="18"/>
                <w:szCs w:val="18"/>
              </w:rPr>
            </w:pPr>
            <w:r>
              <w:rPr>
                <w:rFonts w:ascii="宋体" w:hAnsi="宋体" w:cs="宋体" w:eastAsia="宋体" w:hint="default"/>
                <w:sz w:val="18"/>
                <w:szCs w:val="18"/>
              </w:rPr>
              <w:t>深圳市威赛照明有限公司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80"/>
              <w:jc w:val="center"/>
              <w:rPr>
                <w:rFonts w:ascii="宋体" w:hAnsi="宋体" w:cs="宋体" w:eastAsia="宋体" w:hint="default"/>
                <w:sz w:val="18"/>
                <w:szCs w:val="18"/>
              </w:rPr>
            </w:pPr>
            <w:r>
              <w:rPr>
                <w:rFonts w:ascii="宋体" w:hAnsi="宋体" w:cs="宋体" w:eastAsia="宋体" w:hint="default"/>
                <w:sz w:val="18"/>
                <w:szCs w:val="18"/>
              </w:rPr>
              <w:t>买卖合同纠纷</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73" w:right="89" w:hanging="180"/>
              <w:jc w:val="left"/>
              <w:rPr>
                <w:rFonts w:ascii="宋体" w:hAnsi="宋体" w:cs="宋体" w:eastAsia="宋体" w:hint="default"/>
                <w:sz w:val="18"/>
                <w:szCs w:val="18"/>
              </w:rPr>
            </w:pPr>
            <w:r>
              <w:rPr>
                <w:rFonts w:ascii="宋体" w:hAnsi="宋体" w:cs="宋体" w:eastAsia="宋体" w:hint="default"/>
                <w:sz w:val="18"/>
                <w:szCs w:val="18"/>
              </w:rPr>
              <w:t>深圳市龙岗区 人民法院</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53"/>
              <w:jc w:val="right"/>
              <w:rPr>
                <w:rFonts w:ascii="宋体" w:hAnsi="宋体" w:cs="宋体" w:eastAsia="宋体" w:hint="default"/>
                <w:sz w:val="18"/>
                <w:szCs w:val="18"/>
              </w:rPr>
            </w:pPr>
            <w:r>
              <w:rPr>
                <w:rFonts w:ascii="Arial Narrow" w:hAnsi="Arial Narrow" w:cs="Arial Narrow" w:eastAsia="Arial Narrow" w:hint="default"/>
                <w:sz w:val="18"/>
                <w:szCs w:val="18"/>
              </w:rPr>
              <w:t>74.45</w:t>
            </w:r>
            <w:r>
              <w:rPr>
                <w:rFonts w:ascii="Arial Narrow" w:hAnsi="Arial Narrow" w:cs="Arial Narrow" w:eastAsia="Arial Narrow" w:hint="default"/>
                <w:spacing w:val="2"/>
                <w:sz w:val="18"/>
                <w:szCs w:val="18"/>
              </w:rPr>
              <w:t> </w:t>
            </w:r>
            <w:r>
              <w:rPr>
                <w:rFonts w:ascii="宋体" w:hAnsi="宋体" w:cs="宋体" w:eastAsia="宋体" w:hint="default"/>
                <w:sz w:val="18"/>
                <w:szCs w:val="18"/>
              </w:rPr>
              <w:t>万元</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2" w:right="0"/>
              <w:jc w:val="left"/>
              <w:rPr>
                <w:rFonts w:ascii="宋体" w:hAnsi="宋体" w:cs="宋体" w:eastAsia="宋体" w:hint="default"/>
                <w:sz w:val="18"/>
                <w:szCs w:val="18"/>
              </w:rPr>
            </w:pPr>
            <w:r>
              <w:rPr>
                <w:rFonts w:ascii="宋体" w:hAnsi="宋体" w:cs="宋体" w:eastAsia="宋体" w:hint="default"/>
                <w:sz w:val="18"/>
                <w:szCs w:val="18"/>
              </w:rPr>
              <w:t>强制执行中</w:t>
            </w:r>
          </w:p>
        </w:tc>
      </w:tr>
      <w:tr>
        <w:trPr>
          <w:trHeight w:val="1291"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无锡实益达电子有限公司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厦门市东林电子有限公司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4"/>
              <w:ind w:left="52" w:right="33"/>
              <w:jc w:val="left"/>
              <w:rPr>
                <w:rFonts w:ascii="宋体" w:hAnsi="宋体" w:cs="宋体" w:eastAsia="宋体" w:hint="default"/>
                <w:sz w:val="18"/>
                <w:szCs w:val="18"/>
              </w:rPr>
            </w:pPr>
            <w:r>
              <w:rPr>
                <w:rFonts w:ascii="宋体" w:hAnsi="宋体" w:cs="宋体" w:eastAsia="宋体" w:hint="default"/>
                <w:spacing w:val="13"/>
                <w:sz w:val="18"/>
                <w:szCs w:val="18"/>
              </w:rPr>
              <w:t>回购款项一直</w:t>
            </w:r>
            <w:r>
              <w:rPr>
                <w:rFonts w:ascii="宋体" w:hAnsi="宋体" w:cs="宋体" w:eastAsia="宋体" w:hint="default"/>
                <w:spacing w:val="-74"/>
                <w:sz w:val="18"/>
                <w:szCs w:val="18"/>
              </w:rPr>
              <w:t> </w:t>
            </w:r>
            <w:r>
              <w:rPr>
                <w:rFonts w:ascii="宋体" w:hAnsi="宋体" w:cs="宋体" w:eastAsia="宋体" w:hint="default"/>
                <w:sz w:val="18"/>
                <w:szCs w:val="18"/>
              </w:rPr>
              <w:t>无法支付</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exact" w:before="144"/>
              <w:ind w:right="53"/>
              <w:jc w:val="right"/>
              <w:rPr>
                <w:rFonts w:ascii="宋体" w:hAnsi="宋体" w:cs="宋体" w:eastAsia="宋体" w:hint="default"/>
                <w:sz w:val="18"/>
                <w:szCs w:val="18"/>
              </w:rPr>
            </w:pPr>
            <w:r>
              <w:rPr>
                <w:rFonts w:ascii="Arial Narrow" w:hAnsi="Arial Narrow" w:cs="Arial Narrow" w:eastAsia="Arial Narrow" w:hint="default"/>
                <w:sz w:val="18"/>
                <w:szCs w:val="18"/>
              </w:rPr>
              <w:t>1,115.42</w:t>
            </w:r>
            <w:r>
              <w:rPr>
                <w:rFonts w:ascii="Arial Narrow" w:hAnsi="Arial Narrow" w:cs="Arial Narrow" w:eastAsia="Arial Narrow" w:hint="default"/>
                <w:spacing w:val="-10"/>
                <w:sz w:val="18"/>
                <w:szCs w:val="18"/>
              </w:rPr>
              <w:t> </w:t>
            </w:r>
            <w:r>
              <w:rPr>
                <w:rFonts w:ascii="宋体" w:hAnsi="宋体" w:cs="宋体" w:eastAsia="宋体" w:hint="default"/>
                <w:sz w:val="18"/>
                <w:szCs w:val="18"/>
              </w:rPr>
              <w:t>万</w:t>
            </w:r>
          </w:p>
          <w:p>
            <w:pPr>
              <w:pStyle w:val="TableParagraph"/>
              <w:spacing w:line="231" w:lineRule="exact"/>
              <w:ind w:right="51"/>
              <w:jc w:val="right"/>
              <w:rPr>
                <w:rFonts w:ascii="宋体" w:hAnsi="宋体" w:cs="宋体" w:eastAsia="宋体" w:hint="default"/>
                <w:sz w:val="18"/>
                <w:szCs w:val="18"/>
              </w:rPr>
            </w:pPr>
            <w:r>
              <w:rPr>
                <w:rFonts w:ascii="宋体" w:hAnsi="宋体" w:cs="宋体" w:eastAsia="宋体" w:hint="default"/>
                <w:sz w:val="18"/>
                <w:szCs w:val="18"/>
              </w:rPr>
              <w:t>元</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52" w:right="-34"/>
              <w:jc w:val="left"/>
              <w:rPr>
                <w:rFonts w:ascii="宋体" w:hAnsi="宋体" w:cs="宋体" w:eastAsia="宋体" w:hint="default"/>
                <w:sz w:val="18"/>
                <w:szCs w:val="18"/>
              </w:rPr>
            </w:pPr>
            <w:r>
              <w:rPr>
                <w:rFonts w:ascii="宋体" w:hAnsi="宋体" w:cs="宋体" w:eastAsia="宋体" w:hint="default"/>
                <w:spacing w:val="14"/>
                <w:sz w:val="18"/>
                <w:szCs w:val="18"/>
              </w:rPr>
              <w:t>厦门市东林电 子有限公司处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于破产程序中，</w:t>
            </w:r>
            <w:r>
              <w:rPr>
                <w:rFonts w:ascii="宋体" w:hAnsi="宋体" w:cs="宋体" w:eastAsia="宋体" w:hint="default"/>
                <w:sz w:val="18"/>
                <w:szCs w:val="18"/>
              </w:rPr>
              <w:t> </w:t>
            </w:r>
            <w:r>
              <w:rPr>
                <w:rFonts w:ascii="宋体" w:hAnsi="宋体" w:cs="宋体" w:eastAsia="宋体" w:hint="default"/>
                <w:spacing w:val="11"/>
                <w:sz w:val="18"/>
                <w:szCs w:val="18"/>
              </w:rPr>
              <w:t>无锡实益达电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子已申报债权</w:t>
            </w:r>
          </w:p>
        </w:tc>
      </w:tr>
    </w:tbl>
    <w:p>
      <w:pPr>
        <w:spacing w:line="240" w:lineRule="auto" w:before="12"/>
        <w:rPr>
          <w:rFonts w:ascii="宋体" w:hAnsi="宋体" w:cs="宋体" w:eastAsia="宋体" w:hint="default"/>
          <w:sz w:val="17"/>
          <w:szCs w:val="17"/>
        </w:rPr>
      </w:pPr>
    </w:p>
    <w:p>
      <w:pPr>
        <w:pStyle w:val="BodyText"/>
        <w:spacing w:line="338" w:lineRule="auto" w:before="44"/>
        <w:ind w:right="100" w:firstLine="180"/>
        <w:jc w:val="both"/>
      </w:pPr>
      <w:r>
        <w:rPr>
          <w:spacing w:val="-1"/>
        </w:rPr>
        <w:t>（</w:t>
      </w:r>
      <w:r>
        <w:rPr>
          <w:rFonts w:ascii="Times New Roman" w:hAnsi="Times New Roman" w:cs="Times New Roman" w:eastAsia="Times New Roman" w:hint="default"/>
          <w:spacing w:val="-1"/>
        </w:rPr>
        <w:t>1</w:t>
      </w:r>
      <w:r>
        <w:rPr>
          <w:spacing w:val="-1"/>
        </w:rPr>
        <w:t>）因客户</w:t>
      </w:r>
      <w:r>
        <w:rPr>
          <w:rFonts w:ascii="Times New Roman" w:hAnsi="Times New Roman" w:cs="Times New Roman" w:eastAsia="Times New Roman" w:hint="default"/>
          <w:spacing w:val="-1"/>
        </w:rPr>
        <w:t>PERCEPTIONDIGITALLIMITED/PDTRADING(HONGKONG)LIMITED</w:t>
      </w:r>
      <w:r>
        <w:rPr>
          <w:spacing w:val="-1"/>
        </w:rPr>
        <w:t>逾期支付货款，经公司多次索要无果，</w:t>
      </w:r>
      <w:r>
        <w:rPr/>
        <w:t> </w:t>
      </w:r>
      <w:r>
        <w:rPr>
          <w:spacing w:val="-2"/>
        </w:rPr>
        <w:t>本公司于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14</w:t>
      </w:r>
      <w:r>
        <w:rPr>
          <w:spacing w:val="-2"/>
        </w:rPr>
        <w:t>日向香港高等法院提交《申索陈述书》，并于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30</w:t>
      </w:r>
      <w:r>
        <w:rPr>
          <w:spacing w:val="-2"/>
        </w:rPr>
        <w:t>日正式向香港高等法院提交简易程序申请，</w:t>
      </w:r>
      <w:r>
        <w:rPr>
          <w:spacing w:val="-55"/>
        </w:rPr>
        <w:t> </w:t>
      </w:r>
      <w:r>
        <w:rPr>
          <w:spacing w:val="-55"/>
        </w:rPr>
      </w:r>
      <w:r>
        <w:rPr/>
        <w:t>索偿货款及业务往来过程中的各项款项合计</w:t>
      </w:r>
      <w:r>
        <w:rPr>
          <w:rFonts w:ascii="Times New Roman" w:hAnsi="Times New Roman" w:cs="Times New Roman" w:eastAsia="Times New Roman" w:hint="default"/>
        </w:rPr>
        <w:t>USD292.31</w:t>
      </w:r>
      <w:r>
        <w:rPr/>
        <w:t>万元，截止本报告报出之日，本案件尚处于审理阶段。</w:t>
      </w:r>
    </w:p>
    <w:p>
      <w:pPr>
        <w:pStyle w:val="BodyText"/>
        <w:spacing w:line="338" w:lineRule="auto" w:before="19"/>
        <w:ind w:right="184" w:firstLine="180"/>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日，深圳市盟世奇商贸有限公司（以下简称</w:t>
      </w:r>
      <w:r>
        <w:rPr>
          <w:rFonts w:ascii="Times New Roman" w:hAnsi="Times New Roman" w:cs="Times New Roman" w:eastAsia="Times New Roman" w:hint="default"/>
          <w:spacing w:val="-2"/>
        </w:rPr>
        <w:t>“</w:t>
      </w:r>
      <w:r>
        <w:rPr>
          <w:spacing w:val="-2"/>
        </w:rPr>
        <w:t>盟世奇</w:t>
      </w:r>
      <w:r>
        <w:rPr>
          <w:rFonts w:ascii="Times New Roman" w:hAnsi="Times New Roman" w:cs="Times New Roman" w:eastAsia="Times New Roman" w:hint="default"/>
          <w:spacing w:val="-2"/>
        </w:rPr>
        <w:t>”</w:t>
      </w:r>
      <w:r>
        <w:rPr>
          <w:spacing w:val="-2"/>
        </w:rPr>
        <w:t>）以合同纠纷为案由，向深圳市龙岗区人民法院提</w:t>
      </w:r>
      <w:r>
        <w:rPr/>
        <w:t> 起针对本公司的诉讼，要求解除双方签署的《项目合作协议书》，并要求公司返还研发费、模具费及货款共计</w:t>
      </w:r>
      <w:r>
        <w:rPr>
          <w:rFonts w:ascii="Times New Roman" w:hAnsi="Times New Roman" w:cs="Times New Roman" w:eastAsia="Times New Roman" w:hint="default"/>
        </w:rPr>
        <w:t>99.29</w:t>
      </w:r>
      <w:r>
        <w:rPr/>
        <w:t>万元及 利息、双倍返还定金</w:t>
      </w:r>
      <w:r>
        <w:rPr>
          <w:rFonts w:ascii="Times New Roman" w:hAnsi="Times New Roman" w:cs="Times New Roman" w:eastAsia="Times New Roman" w:hint="default"/>
        </w:rPr>
        <w:t>67.56</w:t>
      </w:r>
      <w:r>
        <w:rPr/>
        <w:t>万元、赔偿各项认证费及改造费共计</w:t>
      </w:r>
      <w:r>
        <w:rPr>
          <w:rFonts w:ascii="Times New Roman" w:hAnsi="Times New Roman" w:cs="Times New Roman" w:eastAsia="Times New Roman" w:hint="default"/>
        </w:rPr>
        <w:t>4.33</w:t>
      </w:r>
      <w:r>
        <w:rPr/>
        <w:t>万元及利息。 </w:t>
      </w:r>
      <w:r>
        <w:rPr>
          <w:spacing w:val="-2"/>
        </w:rPr>
        <w:t>本公司在收到盟世奇起诉状后积极应诉，并于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日提起反诉，诉请继续履行《项目合作协议》，并要求盟世奇支</w:t>
      </w:r>
      <w:r>
        <w:rPr>
          <w:spacing w:val="-63"/>
        </w:rPr>
        <w:t> </w:t>
      </w:r>
      <w:r>
        <w:rPr>
          <w:spacing w:val="-63"/>
        </w:rPr>
      </w:r>
      <w:r>
        <w:rPr/>
        <w:t>付剩余货款</w:t>
      </w:r>
      <w:r>
        <w:rPr>
          <w:rFonts w:ascii="Times New Roman" w:hAnsi="Times New Roman" w:cs="Times New Roman" w:eastAsia="Times New Roman" w:hint="default"/>
        </w:rPr>
        <w:t>48.49</w:t>
      </w:r>
      <w:r>
        <w:rPr/>
        <w:t>万元、支付研发费用</w:t>
      </w:r>
      <w:r>
        <w:rPr>
          <w:rFonts w:ascii="Times New Roman" w:hAnsi="Times New Roman" w:cs="Times New Roman" w:eastAsia="Times New Roman" w:hint="default"/>
        </w:rPr>
        <w:t>1.05</w:t>
      </w:r>
      <w:r>
        <w:rPr/>
        <w:t>万美元及利息和支付货物保管费用</w:t>
      </w:r>
      <w:r>
        <w:rPr>
          <w:rFonts w:ascii="Times New Roman" w:hAnsi="Times New Roman" w:cs="Times New Roman" w:eastAsia="Times New Roman" w:hint="default"/>
        </w:rPr>
        <w:t>700.00</w:t>
      </w:r>
      <w:r>
        <w:rPr/>
        <w:t>元。 </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22</w:t>
      </w:r>
      <w:r>
        <w:rPr>
          <w:spacing w:val="-2"/>
        </w:rPr>
        <w:t>日，深圳市龙岗区人民法院作出一审判决，判决本公司返还盟世奇货款</w:t>
      </w:r>
      <w:r>
        <w:rPr>
          <w:rFonts w:ascii="Times New Roman" w:hAnsi="Times New Roman" w:cs="Times New Roman" w:eastAsia="Times New Roman" w:hint="default"/>
          <w:spacing w:val="-2"/>
        </w:rPr>
        <w:t>1,125,918.50</w:t>
      </w:r>
      <w:r>
        <w:rPr>
          <w:spacing w:val="-2"/>
        </w:rPr>
        <w:t>元并支付利息、定金</w:t>
      </w:r>
      <w:r>
        <w:rPr>
          <w:rFonts w:ascii="Times New Roman" w:hAnsi="Times New Roman" w:cs="Times New Roman" w:eastAsia="Times New Roman" w:hint="default"/>
          <w:spacing w:val="-2"/>
        </w:rPr>
        <w:t>122,672</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元、模具费</w:t>
      </w:r>
      <w:r>
        <w:rPr>
          <w:rFonts w:ascii="Times New Roman" w:hAnsi="Times New Roman" w:cs="Times New Roman" w:eastAsia="Times New Roman" w:hint="default"/>
        </w:rPr>
        <w:t>10</w:t>
      </w:r>
      <w:r>
        <w:rPr/>
        <w:t>万元、研发费</w:t>
      </w:r>
      <w:r>
        <w:rPr>
          <w:rFonts w:ascii="Times New Roman" w:hAnsi="Times New Roman" w:cs="Times New Roman" w:eastAsia="Times New Roman" w:hint="default"/>
        </w:rPr>
        <w:t>10,820</w:t>
      </w:r>
      <w:r>
        <w:rPr/>
        <w:t>美元、</w:t>
      </w:r>
      <w:r>
        <w:rPr>
          <w:rFonts w:ascii="Times New Roman" w:hAnsi="Times New Roman" w:cs="Times New Roman" w:eastAsia="Times New Roman" w:hint="default"/>
        </w:rPr>
        <w:t>CCC</w:t>
      </w:r>
      <w:r>
        <w:rPr/>
        <w:t>认证费</w:t>
      </w:r>
      <w:r>
        <w:rPr>
          <w:rFonts w:ascii="Times New Roman" w:hAnsi="Times New Roman" w:cs="Times New Roman" w:eastAsia="Times New Roman" w:hint="default"/>
        </w:rPr>
        <w:t>21,300</w:t>
      </w:r>
      <w:r>
        <w:rPr/>
        <w:t>元。本公司针对上述判决提起上诉，</w:t>
      </w:r>
      <w:r>
        <w:rPr>
          <w:rFonts w:ascii="Times New Roman" w:hAnsi="Times New Roman" w:cs="Times New Roman" w:eastAsia="Times New Roman" w:hint="default"/>
        </w:rPr>
        <w:t>2017</w:t>
      </w:r>
      <w:r>
        <w:rPr/>
        <w:t>年二审判决维持原判，</w:t>
      </w:r>
    </w:p>
    <w:p>
      <w:pPr>
        <w:spacing w:after="0" w:line="338" w:lineRule="auto"/>
        <w:jc w:val="left"/>
        <w:sectPr>
          <w:pgSz w:w="11910" w:h="16840"/>
          <w:pgMar w:header="745" w:footer="980" w:top="1060" w:bottom="1160" w:left="980" w:right="940"/>
        </w:sectPr>
      </w:pPr>
    </w:p>
    <w:p>
      <w:pPr>
        <w:spacing w:line="240" w:lineRule="auto" w:before="8"/>
        <w:rPr>
          <w:rFonts w:ascii="宋体" w:hAnsi="宋体" w:cs="宋体" w:eastAsia="宋体" w:hint="default"/>
          <w:sz w:val="22"/>
          <w:szCs w:val="22"/>
        </w:rPr>
      </w:pPr>
    </w:p>
    <w:p>
      <w:pPr>
        <w:pStyle w:val="BodyText"/>
        <w:spacing w:line="240" w:lineRule="auto" w:before="44"/>
        <w:ind w:right="254"/>
        <w:jc w:val="left"/>
      </w:pPr>
      <w:r>
        <w:rPr/>
        <w:t>公司申请暂缓执行，已向省高原院申请再审。公司在资产负债表日对相关预计负债重新评估调整。</w:t>
      </w:r>
    </w:p>
    <w:p>
      <w:pPr>
        <w:pStyle w:val="BodyText"/>
        <w:spacing w:line="340" w:lineRule="auto" w:before="115"/>
        <w:ind w:right="184" w:firstLine="180"/>
        <w:jc w:val="left"/>
      </w:pPr>
      <w:r>
        <w:rPr>
          <w:spacing w:val="-2"/>
        </w:rPr>
        <w:t>（</w:t>
      </w:r>
      <w:r>
        <w:rPr>
          <w:rFonts w:ascii="Times New Roman" w:hAnsi="Times New Roman" w:cs="Times New Roman" w:eastAsia="Times New Roman" w:hint="default"/>
          <w:spacing w:val="-2"/>
        </w:rPr>
        <w:t>3</w:t>
      </w:r>
      <w:r>
        <w:rPr>
          <w:spacing w:val="-2"/>
        </w:rPr>
        <w:t>）因供应商深圳市威赛照明有限公司延迟交货以及提供的产品出现品质问题，实益达技术于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27</w:t>
      </w:r>
      <w:r>
        <w:rPr>
          <w:spacing w:val="-2"/>
        </w:rPr>
        <w:t>日以买卖合同</w:t>
      </w:r>
      <w:r>
        <w:rPr/>
        <w:t> 纠纷为案由向深圳市龙岗区人民法院提起诉讼，要求深圳市威赛照明有限公司赔偿延期交货导致公司向客户赔偿的延误费 用、损失的货款、退货运费、违约金等合计</w:t>
      </w:r>
      <w:r>
        <w:rPr>
          <w:rFonts w:ascii="Times New Roman" w:hAnsi="Times New Roman" w:cs="Times New Roman" w:eastAsia="Times New Roman" w:hint="default"/>
        </w:rPr>
        <w:t>915,105.38</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日龙岗区人民法院判决深圳市威赛照明有限公司应赔 偿损失合计</w:t>
      </w:r>
      <w:r>
        <w:rPr>
          <w:rFonts w:ascii="Times New Roman" w:hAnsi="Times New Roman" w:cs="Times New Roman" w:eastAsia="Times New Roman" w:hint="default"/>
        </w:rPr>
        <w:t>744,505.38</w:t>
      </w:r>
      <w:r>
        <w:rPr/>
        <w:t>元（延迟交货损失</w:t>
      </w:r>
      <w:r>
        <w:rPr>
          <w:rFonts w:ascii="Times New Roman" w:hAnsi="Times New Roman" w:cs="Times New Roman" w:eastAsia="Times New Roman" w:hint="default"/>
        </w:rPr>
        <w:t>149,305.38</w:t>
      </w:r>
      <w:r>
        <w:rPr/>
        <w:t>元、维修费</w:t>
      </w:r>
      <w:r>
        <w:rPr>
          <w:rFonts w:ascii="Times New Roman" w:hAnsi="Times New Roman" w:cs="Times New Roman" w:eastAsia="Times New Roman" w:hint="default"/>
        </w:rPr>
        <w:t>58,500</w:t>
      </w:r>
      <w:r>
        <w:rPr/>
        <w:t>元、拆除费</w:t>
      </w:r>
      <w:r>
        <w:rPr>
          <w:rFonts w:ascii="Times New Roman" w:hAnsi="Times New Roman" w:cs="Times New Roman" w:eastAsia="Times New Roman" w:hint="default"/>
        </w:rPr>
        <w:t>35,100</w:t>
      </w:r>
      <w:r>
        <w:rPr/>
        <w:t>元、安装调试费</w:t>
      </w:r>
      <w:r>
        <w:rPr>
          <w:rFonts w:ascii="Times New Roman" w:hAnsi="Times New Roman" w:cs="Times New Roman" w:eastAsia="Times New Roman" w:hint="default"/>
        </w:rPr>
        <w:t>81,900</w:t>
      </w:r>
      <w:r>
        <w:rPr/>
        <w:t>元、货款损失 </w:t>
      </w:r>
      <w:r>
        <w:rPr>
          <w:rFonts w:ascii="Times New Roman" w:hAnsi="Times New Roman" w:cs="Times New Roman" w:eastAsia="Times New Roman" w:hint="default"/>
        </w:rPr>
        <w:t>419,700</w:t>
      </w:r>
      <w:r>
        <w:rPr/>
        <w:t>元）。截至本报告报出日，判决已生效，公司已申请强制执行，目前案件处于强制执行中。</w:t>
      </w:r>
    </w:p>
    <w:p>
      <w:pPr>
        <w:pStyle w:val="BodyText"/>
        <w:spacing w:line="340" w:lineRule="auto" w:before="17"/>
        <w:ind w:right="94" w:firstLine="180"/>
        <w:jc w:val="left"/>
      </w:pPr>
      <w:r>
        <w:rPr/>
        <w:t>（</w:t>
      </w:r>
      <w:r>
        <w:rPr>
          <w:rFonts w:ascii="Times New Roman" w:hAnsi="Times New Roman" w:cs="Times New Roman" w:eastAsia="Times New Roman" w:hint="default"/>
        </w:rPr>
        <w:t>4</w:t>
      </w:r>
      <w:r>
        <w:rPr/>
        <w:t>）因萤火虫节能未能完成</w:t>
      </w:r>
      <w:r>
        <w:rPr>
          <w:rFonts w:ascii="Times New Roman" w:hAnsi="Times New Roman" w:cs="Times New Roman" w:eastAsia="Times New Roman" w:hint="default"/>
        </w:rPr>
        <w:t>2014</w:t>
      </w:r>
      <w:r>
        <w:rPr/>
        <w:t>年度的承诺净利润且其未来的经营状况和盈利能力也存在不确定性，以及萤火虫节能不 </w:t>
      </w:r>
      <w:r>
        <w:rPr>
          <w:spacing w:val="-4"/>
        </w:rPr>
        <w:t>属于公司战略转型的方向产业，公司同意由东林电子履行业绩补偿义务，回购无锡实益达电子持有的萤火虫节能的全部股份。</w:t>
      </w:r>
      <w:r>
        <w:rPr>
          <w:spacing w:val="-44"/>
        </w:rPr>
        <w:t> </w:t>
      </w:r>
      <w:r>
        <w:rPr>
          <w:spacing w:val="-44"/>
        </w:rPr>
      </w:r>
      <w:r>
        <w:rPr>
          <w:spacing w:val="-2"/>
        </w:rPr>
        <w:t>因东林电子在支付</w:t>
      </w:r>
      <w:r>
        <w:rPr>
          <w:rFonts w:ascii="Times New Roman" w:hAnsi="Times New Roman" w:cs="Times New Roman" w:eastAsia="Times New Roman" w:hint="default"/>
          <w:spacing w:val="-2"/>
        </w:rPr>
        <w:t>227</w:t>
      </w:r>
      <w:r>
        <w:rPr>
          <w:spacing w:val="-2"/>
        </w:rPr>
        <w:t>万元回购款后，其余款项一直未支付，无锡实益达电子于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月提起仲裁，要求东林电子及连带责</w:t>
      </w:r>
      <w:r>
        <w:rPr>
          <w:spacing w:val="-57"/>
        </w:rPr>
        <w:t> </w:t>
      </w:r>
      <w:r>
        <w:rPr>
          <w:spacing w:val="-57"/>
        </w:rPr>
      </w:r>
      <w:r>
        <w:rPr/>
        <w:t>任人支付投资款本金、利息及违约金等合计</w:t>
      </w:r>
      <w:r>
        <w:rPr>
          <w:rFonts w:ascii="Times New Roman" w:hAnsi="Times New Roman" w:cs="Times New Roman" w:eastAsia="Times New Roman" w:hint="default"/>
        </w:rPr>
        <w:t>1115.42</w:t>
      </w:r>
      <w:r>
        <w:rPr/>
        <w:t>万元。深圳仲裁委员会作出《裁决书》裁决要求东林电子偿付借款本金 人民币</w:t>
      </w:r>
      <w:r>
        <w:rPr>
          <w:rFonts w:ascii="Times New Roman" w:hAnsi="Times New Roman" w:cs="Times New Roman" w:eastAsia="Times New Roman" w:hint="default"/>
        </w:rPr>
        <w:t>773</w:t>
      </w:r>
      <w:r>
        <w:rPr/>
        <w:t>万元及按年利率</w:t>
      </w:r>
      <w:r>
        <w:rPr>
          <w:rFonts w:ascii="Times New Roman" w:hAnsi="Times New Roman" w:cs="Times New Roman" w:eastAsia="Times New Roman" w:hint="default"/>
        </w:rPr>
        <w:t>15%</w:t>
      </w:r>
      <w:r>
        <w:rPr/>
        <w:t>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日起计至本案借款本息清偿之日止的利息，连带责任人承担连带清偿义务。因 </w:t>
      </w:r>
      <w:r>
        <w:rPr>
          <w:spacing w:val="-2"/>
        </w:rPr>
        <w:t>东林电子等未履行支付义务，公司已于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月申请强制执行，但因东林电子被申请破产，目前处于破产清算程序，无锡</w:t>
      </w:r>
      <w:r>
        <w:rPr>
          <w:spacing w:val="-61"/>
        </w:rPr>
        <w:t> </w:t>
      </w:r>
      <w:r>
        <w:rPr>
          <w:spacing w:val="-61"/>
        </w:rPr>
      </w:r>
      <w:r>
        <w:rPr/>
        <w:t>实益达电子已申报债权。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pStyle w:val="Heading3"/>
        <w:spacing w:line="240" w:lineRule="auto"/>
        <w:ind w:right="254"/>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54"/>
        <w:jc w:val="left"/>
      </w:pPr>
      <w:r>
        <w:rPr/>
        <w:t>公司不存在需要披露的重要或有事项。</w:t>
      </w:r>
    </w:p>
    <w:p>
      <w:pPr>
        <w:spacing w:line="240" w:lineRule="auto" w:before="3"/>
        <w:rPr>
          <w:rFonts w:ascii="宋体" w:hAnsi="宋体" w:cs="宋体" w:eastAsia="宋体" w:hint="default"/>
          <w:sz w:val="25"/>
          <w:szCs w:val="25"/>
        </w:rPr>
      </w:pPr>
    </w:p>
    <w:p>
      <w:pPr>
        <w:pStyle w:val="Heading2"/>
        <w:spacing w:line="240" w:lineRule="auto"/>
        <w:ind w:right="254"/>
        <w:jc w:val="left"/>
        <w:rPr>
          <w:b w:val="0"/>
          <w:bCs w:val="0"/>
        </w:rPr>
      </w:pPr>
      <w:r>
        <w:rPr/>
        <w:t>十四、资产负债表日后事项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54"/>
        <w:jc w:val="left"/>
        <w:rPr>
          <w:b w:val="0"/>
          <w:bCs w:val="0"/>
        </w:rPr>
      </w:pPr>
      <w:r>
        <w:rPr>
          <w:rFonts w:ascii="Times New Roman" w:hAnsi="Times New Roman" w:cs="Times New Roman" w:eastAsia="Times New Roman" w:hint="default"/>
        </w:rPr>
        <w:t>1</w:t>
      </w:r>
      <w:r>
        <w:rPr/>
        <w:t>、其他资产负债表日后事项说明</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513" w:right="25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对外重要投资</w:t>
      </w:r>
    </w:p>
    <w:p>
      <w:pPr>
        <w:pStyle w:val="BodyText"/>
        <w:spacing w:line="338" w:lineRule="auto" w:before="101"/>
        <w:ind w:right="199"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月，公司使用自有资金</w:t>
      </w:r>
      <w:r>
        <w:rPr>
          <w:rFonts w:ascii="Times New Roman" w:hAnsi="Times New Roman" w:cs="Times New Roman" w:eastAsia="Times New Roman" w:hint="default"/>
        </w:rPr>
        <w:t>1000</w:t>
      </w:r>
      <w:r>
        <w:rPr/>
        <w:t>万元，以增资方式参股上海富数科技有限公司，增资完成后公司持有富数科技的股 权比例为</w:t>
      </w:r>
      <w:r>
        <w:rPr>
          <w:rFonts w:ascii="Times New Roman" w:hAnsi="Times New Roman" w:cs="Times New Roman" w:eastAsia="Times New Roman" w:hint="default"/>
        </w:rPr>
        <w:t>3.125%</w:t>
      </w:r>
      <w:r>
        <w:rPr/>
        <w:t>，本次投资的工商变更于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日办理完成。</w:t>
      </w:r>
    </w:p>
    <w:p>
      <w:pPr>
        <w:pStyle w:val="BodyText"/>
        <w:spacing w:line="338" w:lineRule="auto" w:before="19"/>
        <w:ind w:right="199"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月，公司控股子公司深圳市实益达技术股份有限公司与王顺利女士共同投资设立深圳益明光电技术有限公司， 注册资本</w:t>
      </w:r>
      <w:r>
        <w:rPr>
          <w:rFonts w:ascii="Times New Roman" w:hAnsi="Times New Roman" w:cs="Times New Roman" w:eastAsia="Times New Roman" w:hint="default"/>
        </w:rPr>
        <w:t>1000</w:t>
      </w:r>
      <w:r>
        <w:rPr/>
        <w:t>万元，实益达持有</w:t>
      </w:r>
      <w:r>
        <w:rPr>
          <w:rFonts w:ascii="Times New Roman" w:hAnsi="Times New Roman" w:cs="Times New Roman" w:eastAsia="Times New Roman" w:hint="default"/>
        </w:rPr>
        <w:t>80%</w:t>
      </w:r>
      <w:r>
        <w:rPr/>
        <w:t>的出资比例。</w:t>
      </w:r>
    </w:p>
    <w:p>
      <w:pPr>
        <w:pStyle w:val="BodyText"/>
        <w:spacing w:line="338" w:lineRule="auto" w:before="19"/>
        <w:ind w:left="513" w:right="9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外汇汇率重要变动 </w:t>
      </w:r>
      <w:r>
        <w:rPr>
          <w:spacing w:val="-2"/>
        </w:rPr>
        <w:t>期后美元对人民币汇率继续下跌，对公司部分子公司出口业务业绩产生一定消极影响，公司此前和正在进行的远期结售</w:t>
      </w:r>
    </w:p>
    <w:p>
      <w:pPr>
        <w:pStyle w:val="BodyText"/>
        <w:spacing w:line="240" w:lineRule="auto" w:before="41"/>
        <w:ind w:right="254"/>
        <w:jc w:val="left"/>
      </w:pPr>
      <w:r>
        <w:rPr/>
        <w:t>汇业务会抵消一部分影响。</w:t>
      </w:r>
    </w:p>
    <w:p>
      <w:pPr>
        <w:pStyle w:val="BodyText"/>
        <w:spacing w:line="240" w:lineRule="auto" w:before="112"/>
        <w:ind w:left="513" w:right="25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企业合并或处置重要子公司、处置参股公司股权</w:t>
      </w:r>
    </w:p>
    <w:p>
      <w:pPr>
        <w:pStyle w:val="BodyText"/>
        <w:spacing w:line="338" w:lineRule="auto" w:before="101"/>
        <w:ind w:right="19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月，公司第五届董事会第七次会议审议通过了《关于转让参股公司股权的议案》，拟将持有的参股公司北京惠 </w:t>
      </w:r>
      <w:r>
        <w:rPr>
          <w:spacing w:val="-1"/>
        </w:rPr>
        <w:t>赢天下网络技术有限公司全部股权（即对应的</w:t>
      </w:r>
      <w:r>
        <w:rPr>
          <w:rFonts w:ascii="Times New Roman" w:hAnsi="Times New Roman" w:cs="Times New Roman" w:eastAsia="Times New Roman" w:hint="default"/>
          <w:spacing w:val="-1"/>
        </w:rPr>
        <w:t>134.92</w:t>
      </w:r>
      <w:r>
        <w:rPr>
          <w:spacing w:val="-1"/>
        </w:rPr>
        <w:t>万元人民币注册资本）转让给【原股东】崔震先生，经双方协商确定股</w:t>
      </w:r>
      <w:r>
        <w:rPr>
          <w:spacing w:val="-76"/>
        </w:rPr>
        <w:t> </w:t>
      </w:r>
      <w:r>
        <w:rPr>
          <w:spacing w:val="-76"/>
        </w:rPr>
      </w:r>
      <w:r>
        <w:rPr>
          <w:spacing w:val="-2"/>
        </w:rPr>
        <w:t>权转让价格为</w:t>
      </w:r>
      <w:r>
        <w:rPr>
          <w:rFonts w:ascii="Times New Roman" w:hAnsi="Times New Roman" w:cs="Times New Roman" w:eastAsia="Times New Roman" w:hint="default"/>
          <w:spacing w:val="-2"/>
        </w:rPr>
        <w:t>7100</w:t>
      </w:r>
      <w:r>
        <w:rPr>
          <w:spacing w:val="-2"/>
        </w:rPr>
        <w:t>万元人民币，上述股份转让完成后，公司不再持有惠赢天下的股份。就本次股权转让事项，公司与崔震先</w:t>
      </w:r>
      <w:r>
        <w:rPr>
          <w:spacing w:val="-62"/>
        </w:rPr>
        <w:t> </w:t>
      </w:r>
      <w:r>
        <w:rPr>
          <w:spacing w:val="-62"/>
        </w:rPr>
      </w:r>
      <w:r>
        <w:rPr/>
        <w:t>生于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月签署了《关于北京惠赢天下网路技术有限公司之股权转让协议》，截至目前公司已收到全部股权转让款。所 转让部分股权公司在可供出售金融资产核算，期末按成本计量，账面原值</w:t>
      </w:r>
      <w:r>
        <w:rPr>
          <w:rFonts w:ascii="Times New Roman" w:hAnsi="Times New Roman" w:cs="Times New Roman" w:eastAsia="Times New Roman" w:hint="default"/>
        </w:rPr>
        <w:t>4675.67</w:t>
      </w:r>
      <w:r>
        <w:rPr/>
        <w:t>万元，期后相关股权转让产生较大金额投 资收益。</w:t>
      </w:r>
    </w:p>
    <w:p>
      <w:pPr>
        <w:spacing w:after="0" w:line="338" w:lineRule="auto"/>
        <w:jc w:val="both"/>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254"/>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3"/>
        <w:rPr>
          <w:rFonts w:ascii="宋体" w:hAnsi="宋体" w:cs="宋体" w:eastAsia="宋体" w:hint="default"/>
          <w:b/>
          <w:bCs/>
          <w:sz w:val="23"/>
          <w:szCs w:val="23"/>
        </w:rPr>
      </w:pPr>
    </w:p>
    <w:p>
      <w:pPr>
        <w:pStyle w:val="BodyText"/>
        <w:spacing w:line="355" w:lineRule="auto"/>
        <w:ind w:right="94" w:firstLine="360"/>
        <w:jc w:val="left"/>
      </w:pPr>
      <w:r>
        <w:rPr>
          <w:spacing w:val="-2"/>
        </w:rPr>
        <w:t>除存在上述资产负债表日后事项外，截至财务报告批准报出日止，本公司无其他应披露未披露的重大资产负债表日后事</w:t>
      </w:r>
      <w:r>
        <w:rPr/>
        <w:t> 项的。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2"/>
        <w:spacing w:line="240" w:lineRule="auto"/>
        <w:ind w:right="254"/>
        <w:jc w:val="left"/>
        <w:rPr>
          <w:b w:val="0"/>
          <w:bCs w:val="0"/>
        </w:rPr>
      </w:pPr>
      <w:r>
        <w:rPr/>
        <w:t>十五、其他重要事项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54"/>
        <w:jc w:val="left"/>
        <w:rPr>
          <w:b w:val="0"/>
          <w:bCs w:val="0"/>
        </w:rPr>
      </w:pPr>
      <w:r>
        <w:rPr>
          <w:rFonts w:ascii="Times New Roman" w:hAnsi="Times New Roman" w:cs="Times New Roman" w:eastAsia="Times New Roman" w:hint="default"/>
        </w:rPr>
        <w:t>1</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332" w:right="254"/>
        <w:jc w:val="left"/>
      </w:pPr>
      <w:r>
        <w:rPr/>
        <w:t>（一）实际控制人及高管的股权质押情况</w:t>
      </w:r>
    </w:p>
    <w:p>
      <w:pPr>
        <w:spacing w:line="240" w:lineRule="auto" w:before="3"/>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983"/>
        <w:gridCol w:w="3145"/>
        <w:gridCol w:w="1426"/>
        <w:gridCol w:w="1699"/>
        <w:gridCol w:w="1445"/>
      </w:tblGrid>
      <w:tr>
        <w:trPr>
          <w:trHeight w:val="612"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质押权人</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22"/>
              <w:ind w:left="528" w:right="346" w:hanging="181"/>
              <w:jc w:val="left"/>
              <w:rPr>
                <w:rFonts w:ascii="宋体" w:hAnsi="宋体" w:cs="宋体" w:eastAsia="宋体" w:hint="default"/>
                <w:sz w:val="18"/>
                <w:szCs w:val="18"/>
              </w:rPr>
            </w:pPr>
            <w:r>
              <w:rPr>
                <w:rFonts w:ascii="宋体" w:hAnsi="宋体" w:cs="宋体" w:eastAsia="宋体" w:hint="default"/>
                <w:sz w:val="18"/>
                <w:szCs w:val="18"/>
              </w:rPr>
              <w:t>质押股份 数量</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质押日期</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201" w:right="84" w:hanging="113"/>
              <w:jc w:val="left"/>
              <w:rPr>
                <w:rFonts w:ascii="宋体" w:hAnsi="宋体" w:cs="宋体" w:eastAsia="宋体" w:hint="default"/>
                <w:sz w:val="18"/>
                <w:szCs w:val="18"/>
              </w:rPr>
            </w:pPr>
            <w:r>
              <w:rPr>
                <w:rFonts w:ascii="宋体" w:hAnsi="宋体" w:cs="宋体" w:eastAsia="宋体" w:hint="default"/>
                <w:sz w:val="18"/>
                <w:szCs w:val="18"/>
              </w:rPr>
              <w:t>占公司股份总额 的比例（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569"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乔昕</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1387" w:right="125" w:hanging="1261"/>
              <w:jc w:val="left"/>
              <w:rPr>
                <w:rFonts w:ascii="宋体" w:hAnsi="宋体" w:cs="宋体" w:eastAsia="宋体" w:hint="default"/>
                <w:sz w:val="18"/>
                <w:szCs w:val="18"/>
              </w:rPr>
            </w:pPr>
            <w:r>
              <w:rPr>
                <w:rFonts w:ascii="宋体" w:hAnsi="宋体" w:cs="宋体" w:eastAsia="宋体" w:hint="default"/>
                <w:sz w:val="18"/>
                <w:szCs w:val="18"/>
              </w:rPr>
              <w:t>上海浦东发展银行股份有限公司深圳 分行</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1"/>
                <w:sz w:val="18"/>
              </w:rPr>
              <w:t>33,317,368.00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Arial Narrow" w:hAnsi="Arial Narrow" w:cs="Arial Narrow" w:eastAsia="Arial Narrow" w:hint="default"/>
                <w:sz w:val="18"/>
                <w:szCs w:val="18"/>
              </w:rPr>
            </w:pPr>
            <w:r>
              <w:rPr>
                <w:rFonts w:ascii="Arial Narrow"/>
                <w:sz w:val="18"/>
              </w:rPr>
              <w:t>2017-12-19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9"/>
              <w:jc w:val="right"/>
              <w:rPr>
                <w:rFonts w:ascii="Arial Narrow" w:hAnsi="Arial Narrow" w:cs="Arial Narrow" w:eastAsia="Arial Narrow" w:hint="default"/>
                <w:sz w:val="18"/>
                <w:szCs w:val="18"/>
              </w:rPr>
            </w:pPr>
            <w:r>
              <w:rPr>
                <w:rFonts w:ascii="Arial Narrow"/>
                <w:spacing w:val="-1"/>
                <w:sz w:val="18"/>
              </w:rPr>
              <w:t>5.75</w:t>
            </w:r>
          </w:p>
        </w:tc>
      </w:tr>
      <w:tr>
        <w:trPr>
          <w:trHeight w:val="571"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乔昕</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387" w:right="125" w:hanging="1261"/>
              <w:jc w:val="left"/>
              <w:rPr>
                <w:rFonts w:ascii="宋体" w:hAnsi="宋体" w:cs="宋体" w:eastAsia="宋体" w:hint="default"/>
                <w:sz w:val="18"/>
                <w:szCs w:val="18"/>
              </w:rPr>
            </w:pPr>
            <w:r>
              <w:rPr>
                <w:rFonts w:ascii="宋体" w:hAnsi="宋体" w:cs="宋体" w:eastAsia="宋体" w:hint="default"/>
                <w:sz w:val="18"/>
                <w:szCs w:val="18"/>
              </w:rPr>
              <w:t>上海浦东发展银行股份有限公司深圳 分行</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9"/>
              <w:jc w:val="right"/>
              <w:rPr>
                <w:rFonts w:ascii="Arial Narrow" w:hAnsi="Arial Narrow" w:cs="Arial Narrow" w:eastAsia="Arial Narrow" w:hint="default"/>
                <w:sz w:val="18"/>
                <w:szCs w:val="18"/>
              </w:rPr>
            </w:pPr>
            <w:r>
              <w:rPr>
                <w:rFonts w:ascii="Arial Narrow"/>
                <w:spacing w:val="-1"/>
                <w:sz w:val="18"/>
              </w:rPr>
              <w:t>2,682,632.00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Arial Narrow" w:hAnsi="Arial Narrow" w:cs="Arial Narrow" w:eastAsia="Arial Narrow" w:hint="default"/>
                <w:sz w:val="18"/>
                <w:szCs w:val="18"/>
              </w:rPr>
            </w:pPr>
            <w:r>
              <w:rPr>
                <w:rFonts w:ascii="Arial Narrow"/>
                <w:sz w:val="18"/>
              </w:rPr>
              <w:t>2017-12-19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9"/>
              <w:jc w:val="right"/>
              <w:rPr>
                <w:rFonts w:ascii="Arial Narrow" w:hAnsi="Arial Narrow" w:cs="Arial Narrow" w:eastAsia="Arial Narrow" w:hint="default"/>
                <w:sz w:val="18"/>
                <w:szCs w:val="18"/>
              </w:rPr>
            </w:pPr>
            <w:r>
              <w:rPr>
                <w:rFonts w:ascii="Arial Narrow"/>
                <w:spacing w:val="-1"/>
                <w:sz w:val="18"/>
              </w:rPr>
              <w:t>0.46</w:t>
            </w:r>
          </w:p>
        </w:tc>
      </w:tr>
      <w:tr>
        <w:trPr>
          <w:trHeight w:val="569"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1387" w:right="125" w:hanging="1261"/>
              <w:jc w:val="left"/>
              <w:rPr>
                <w:rFonts w:ascii="宋体" w:hAnsi="宋体" w:cs="宋体" w:eastAsia="宋体" w:hint="default"/>
                <w:sz w:val="18"/>
                <w:szCs w:val="18"/>
              </w:rPr>
            </w:pPr>
            <w:r>
              <w:rPr>
                <w:rFonts w:ascii="宋体" w:hAnsi="宋体" w:cs="宋体" w:eastAsia="宋体" w:hint="default"/>
                <w:sz w:val="18"/>
                <w:szCs w:val="18"/>
              </w:rPr>
              <w:t>上海浦东发展银行股份有限公司深圳 分行</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1"/>
                <w:sz w:val="18"/>
              </w:rPr>
              <w:t>20,700,000.00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Arial Narrow" w:hAnsi="Arial Narrow" w:cs="Arial Narrow" w:eastAsia="Arial Narrow" w:hint="default"/>
                <w:sz w:val="18"/>
                <w:szCs w:val="18"/>
              </w:rPr>
            </w:pPr>
            <w:r>
              <w:rPr>
                <w:rFonts w:ascii="Arial Narrow"/>
                <w:sz w:val="18"/>
              </w:rPr>
              <w:t>2017-02-10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9"/>
              <w:jc w:val="right"/>
              <w:rPr>
                <w:rFonts w:ascii="Arial Narrow" w:hAnsi="Arial Narrow" w:cs="Arial Narrow" w:eastAsia="Arial Narrow" w:hint="default"/>
                <w:sz w:val="18"/>
                <w:szCs w:val="18"/>
              </w:rPr>
            </w:pPr>
            <w:r>
              <w:rPr>
                <w:rFonts w:ascii="Arial Narrow"/>
                <w:spacing w:val="-1"/>
                <w:sz w:val="18"/>
              </w:rPr>
              <w:t>3.57</w:t>
            </w:r>
          </w:p>
        </w:tc>
      </w:tr>
      <w:tr>
        <w:trPr>
          <w:trHeight w:val="571"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387" w:right="125" w:hanging="1261"/>
              <w:jc w:val="left"/>
              <w:rPr>
                <w:rFonts w:ascii="宋体" w:hAnsi="宋体" w:cs="宋体" w:eastAsia="宋体" w:hint="default"/>
                <w:sz w:val="18"/>
                <w:szCs w:val="18"/>
              </w:rPr>
            </w:pPr>
            <w:r>
              <w:rPr>
                <w:rFonts w:ascii="宋体" w:hAnsi="宋体" w:cs="宋体" w:eastAsia="宋体" w:hint="default"/>
                <w:sz w:val="18"/>
                <w:szCs w:val="18"/>
              </w:rPr>
              <w:t>上海浦东发展银行股份有限公司深圳 分行</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1"/>
                <w:sz w:val="18"/>
              </w:rPr>
              <w:t>19,200,000.00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Arial Narrow" w:hAnsi="Arial Narrow" w:cs="Arial Narrow" w:eastAsia="Arial Narrow" w:hint="default"/>
                <w:sz w:val="18"/>
                <w:szCs w:val="18"/>
              </w:rPr>
            </w:pPr>
            <w:r>
              <w:rPr>
                <w:rFonts w:ascii="Arial Narrow"/>
                <w:sz w:val="18"/>
              </w:rPr>
              <w:t>2017-01-05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9"/>
              <w:jc w:val="right"/>
              <w:rPr>
                <w:rFonts w:ascii="Arial Narrow" w:hAnsi="Arial Narrow" w:cs="Arial Narrow" w:eastAsia="Arial Narrow" w:hint="default"/>
                <w:sz w:val="18"/>
                <w:szCs w:val="18"/>
              </w:rPr>
            </w:pPr>
            <w:r>
              <w:rPr>
                <w:rFonts w:ascii="Arial Narrow"/>
                <w:spacing w:val="-1"/>
                <w:sz w:val="18"/>
              </w:rPr>
              <w:t>3.31</w:t>
            </w:r>
          </w:p>
        </w:tc>
      </w:tr>
      <w:tr>
        <w:trPr>
          <w:trHeight w:val="34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申万宏源证券有限公司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0"/>
              <w:jc w:val="right"/>
              <w:rPr>
                <w:rFonts w:ascii="Arial Narrow" w:hAnsi="Arial Narrow" w:cs="Arial Narrow" w:eastAsia="Arial Narrow" w:hint="default"/>
                <w:sz w:val="18"/>
                <w:szCs w:val="18"/>
              </w:rPr>
            </w:pPr>
            <w:r>
              <w:rPr>
                <w:rFonts w:ascii="Arial Narrow"/>
                <w:spacing w:val="-1"/>
                <w:sz w:val="18"/>
              </w:rPr>
              <w:t>27,500,000.00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 w:right="0"/>
              <w:jc w:val="center"/>
              <w:rPr>
                <w:rFonts w:ascii="Arial Narrow" w:hAnsi="Arial Narrow" w:cs="Arial Narrow" w:eastAsia="Arial Narrow" w:hint="default"/>
                <w:sz w:val="18"/>
                <w:szCs w:val="18"/>
              </w:rPr>
            </w:pPr>
            <w:r>
              <w:rPr>
                <w:rFonts w:ascii="Arial Narrow"/>
                <w:sz w:val="18"/>
              </w:rPr>
              <w:t>2017-02-15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9"/>
              <w:jc w:val="right"/>
              <w:rPr>
                <w:rFonts w:ascii="Arial Narrow" w:hAnsi="Arial Narrow" w:cs="Arial Narrow" w:eastAsia="Arial Narrow" w:hint="default"/>
                <w:sz w:val="18"/>
                <w:szCs w:val="18"/>
              </w:rPr>
            </w:pPr>
            <w:r>
              <w:rPr>
                <w:rFonts w:ascii="Arial Narrow"/>
                <w:spacing w:val="-1"/>
                <w:sz w:val="18"/>
              </w:rPr>
              <w:t>4.75</w:t>
            </w:r>
          </w:p>
        </w:tc>
      </w:tr>
      <w:tr>
        <w:trPr>
          <w:trHeight w:val="350"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申万宏源证券有限公司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Narrow" w:hAnsi="Arial Narrow" w:cs="Arial Narrow" w:eastAsia="Arial Narrow" w:hint="default"/>
                <w:sz w:val="18"/>
                <w:szCs w:val="18"/>
              </w:rPr>
            </w:pPr>
            <w:r>
              <w:rPr>
                <w:rFonts w:ascii="Arial Narrow"/>
                <w:spacing w:val="-1"/>
                <w:sz w:val="18"/>
              </w:rPr>
              <w:t>22,000,000.00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 w:right="0"/>
              <w:jc w:val="center"/>
              <w:rPr>
                <w:rFonts w:ascii="Arial Narrow" w:hAnsi="Arial Narrow" w:cs="Arial Narrow" w:eastAsia="Arial Narrow" w:hint="default"/>
                <w:sz w:val="18"/>
                <w:szCs w:val="18"/>
              </w:rPr>
            </w:pPr>
            <w:r>
              <w:rPr>
                <w:rFonts w:ascii="Arial Narrow"/>
                <w:sz w:val="18"/>
              </w:rPr>
              <w:t>2017-11-14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Narrow" w:hAnsi="Arial Narrow" w:cs="Arial Narrow" w:eastAsia="Arial Narrow" w:hint="default"/>
                <w:sz w:val="18"/>
                <w:szCs w:val="18"/>
              </w:rPr>
            </w:pPr>
            <w:r>
              <w:rPr>
                <w:rFonts w:ascii="Arial Narrow"/>
                <w:spacing w:val="-1"/>
                <w:sz w:val="18"/>
              </w:rPr>
              <w:t>3.8</w:t>
            </w:r>
          </w:p>
        </w:tc>
      </w:tr>
      <w:tr>
        <w:trPr>
          <w:trHeight w:val="350"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申万宏源证券有限公司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Narrow" w:hAnsi="Arial Narrow" w:cs="Arial Narrow" w:eastAsia="Arial Narrow" w:hint="default"/>
                <w:sz w:val="18"/>
                <w:szCs w:val="18"/>
              </w:rPr>
            </w:pPr>
            <w:r>
              <w:rPr>
                <w:rFonts w:ascii="Arial Narrow"/>
                <w:spacing w:val="-1"/>
                <w:sz w:val="18"/>
              </w:rPr>
              <w:t>16,610,000.00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 w:right="0"/>
              <w:jc w:val="center"/>
              <w:rPr>
                <w:rFonts w:ascii="Arial Narrow" w:hAnsi="Arial Narrow" w:cs="Arial Narrow" w:eastAsia="Arial Narrow" w:hint="default"/>
                <w:sz w:val="18"/>
                <w:szCs w:val="18"/>
              </w:rPr>
            </w:pPr>
            <w:r>
              <w:rPr>
                <w:rFonts w:ascii="Arial Narrow"/>
                <w:sz w:val="18"/>
              </w:rPr>
              <w:t>2017-11-22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9"/>
              <w:jc w:val="right"/>
              <w:rPr>
                <w:rFonts w:ascii="Arial Narrow" w:hAnsi="Arial Narrow" w:cs="Arial Narrow" w:eastAsia="Arial Narrow" w:hint="default"/>
                <w:sz w:val="18"/>
                <w:szCs w:val="18"/>
              </w:rPr>
            </w:pPr>
            <w:r>
              <w:rPr>
                <w:rFonts w:ascii="Arial Narrow"/>
                <w:spacing w:val="-1"/>
                <w:sz w:val="18"/>
              </w:rPr>
              <w:t>2.87</w:t>
            </w:r>
          </w:p>
        </w:tc>
      </w:tr>
      <w:tr>
        <w:trPr>
          <w:trHeight w:val="571"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387" w:right="125" w:hanging="1261"/>
              <w:jc w:val="left"/>
              <w:rPr>
                <w:rFonts w:ascii="宋体" w:hAnsi="宋体" w:cs="宋体" w:eastAsia="宋体" w:hint="default"/>
                <w:sz w:val="18"/>
                <w:szCs w:val="18"/>
              </w:rPr>
            </w:pPr>
            <w:r>
              <w:rPr>
                <w:rFonts w:ascii="宋体" w:hAnsi="宋体" w:cs="宋体" w:eastAsia="宋体" w:hint="default"/>
                <w:sz w:val="18"/>
                <w:szCs w:val="18"/>
              </w:rPr>
              <w:t>上海浦东发展银行股份有限公司深圳 分行</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9"/>
              <w:jc w:val="right"/>
              <w:rPr>
                <w:rFonts w:ascii="Arial Narrow" w:hAnsi="Arial Narrow" w:cs="Arial Narrow" w:eastAsia="Arial Narrow" w:hint="default"/>
                <w:sz w:val="18"/>
                <w:szCs w:val="18"/>
              </w:rPr>
            </w:pPr>
            <w:r>
              <w:rPr>
                <w:rFonts w:ascii="Arial Narrow"/>
                <w:spacing w:val="-1"/>
                <w:sz w:val="18"/>
              </w:rPr>
              <w:t>5,000,000.00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Arial Narrow" w:hAnsi="Arial Narrow" w:cs="Arial Narrow" w:eastAsia="Arial Narrow" w:hint="default"/>
                <w:sz w:val="18"/>
                <w:szCs w:val="18"/>
              </w:rPr>
            </w:pPr>
            <w:r>
              <w:rPr>
                <w:rFonts w:ascii="Arial Narrow"/>
                <w:sz w:val="18"/>
              </w:rPr>
              <w:t>2017-11-27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9"/>
              <w:jc w:val="right"/>
              <w:rPr>
                <w:rFonts w:ascii="Arial Narrow" w:hAnsi="Arial Narrow" w:cs="Arial Narrow" w:eastAsia="Arial Narrow" w:hint="default"/>
                <w:sz w:val="18"/>
                <w:szCs w:val="18"/>
              </w:rPr>
            </w:pPr>
            <w:r>
              <w:rPr>
                <w:rFonts w:ascii="Arial Narrow"/>
                <w:spacing w:val="-1"/>
                <w:sz w:val="18"/>
              </w:rPr>
              <w:t>0.86</w:t>
            </w:r>
          </w:p>
        </w:tc>
      </w:tr>
      <w:tr>
        <w:trPr>
          <w:trHeight w:val="569"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1387" w:right="125" w:hanging="1261"/>
              <w:jc w:val="left"/>
              <w:rPr>
                <w:rFonts w:ascii="宋体" w:hAnsi="宋体" w:cs="宋体" w:eastAsia="宋体" w:hint="default"/>
                <w:sz w:val="18"/>
                <w:szCs w:val="18"/>
              </w:rPr>
            </w:pPr>
            <w:r>
              <w:rPr>
                <w:rFonts w:ascii="宋体" w:hAnsi="宋体" w:cs="宋体" w:eastAsia="宋体" w:hint="default"/>
                <w:sz w:val="18"/>
                <w:szCs w:val="18"/>
              </w:rPr>
              <w:t>上海浦东发展银行股份有限公司深圳 分行</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9"/>
              <w:jc w:val="right"/>
              <w:rPr>
                <w:rFonts w:ascii="Arial Narrow" w:hAnsi="Arial Narrow" w:cs="Arial Narrow" w:eastAsia="Arial Narrow" w:hint="default"/>
                <w:sz w:val="18"/>
                <w:szCs w:val="18"/>
              </w:rPr>
            </w:pPr>
            <w:r>
              <w:rPr>
                <w:rFonts w:ascii="Arial Narrow"/>
                <w:spacing w:val="-1"/>
                <w:sz w:val="18"/>
              </w:rPr>
              <w:t>5,000,000.00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Arial Narrow" w:hAnsi="Arial Narrow" w:cs="Arial Narrow" w:eastAsia="Arial Narrow" w:hint="default"/>
                <w:sz w:val="18"/>
                <w:szCs w:val="18"/>
              </w:rPr>
            </w:pPr>
            <w:r>
              <w:rPr>
                <w:rFonts w:ascii="Arial Narrow"/>
                <w:sz w:val="18"/>
              </w:rPr>
              <w:t>2017-11-27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9"/>
              <w:jc w:val="right"/>
              <w:rPr>
                <w:rFonts w:ascii="Arial Narrow" w:hAnsi="Arial Narrow" w:cs="Arial Narrow" w:eastAsia="Arial Narrow" w:hint="default"/>
                <w:sz w:val="18"/>
                <w:szCs w:val="18"/>
              </w:rPr>
            </w:pPr>
            <w:r>
              <w:rPr>
                <w:rFonts w:ascii="Arial Narrow"/>
                <w:spacing w:val="-1"/>
                <w:sz w:val="18"/>
              </w:rPr>
              <w:t>0.86</w:t>
            </w:r>
          </w:p>
        </w:tc>
      </w:tr>
      <w:tr>
        <w:trPr>
          <w:trHeight w:val="571"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新余益瑞投资合伙企业</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（有限合伙）</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中国中投证券有限责任公司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9"/>
              <w:jc w:val="right"/>
              <w:rPr>
                <w:rFonts w:ascii="Arial Narrow" w:hAnsi="Arial Narrow" w:cs="Arial Narrow" w:eastAsia="Arial Narrow" w:hint="default"/>
                <w:sz w:val="18"/>
                <w:szCs w:val="18"/>
              </w:rPr>
            </w:pPr>
            <w:r>
              <w:rPr>
                <w:rFonts w:ascii="Arial Narrow"/>
                <w:spacing w:val="-1"/>
                <w:sz w:val="18"/>
              </w:rPr>
              <w:t>600,000.00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2016/12/6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1"/>
                <w:sz w:val="18"/>
              </w:rPr>
              <w:t>0.1</w:t>
            </w:r>
          </w:p>
        </w:tc>
      </w:tr>
      <w:tr>
        <w:trPr>
          <w:trHeight w:val="569"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新余益瑞投资合伙企业</w:t>
            </w:r>
          </w:p>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（有限合伙）</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中国中投证券有限责任公司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1"/>
                <w:sz w:val="18"/>
              </w:rPr>
              <w:t>50,000.00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2017/7/24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9"/>
              <w:jc w:val="right"/>
              <w:rPr>
                <w:rFonts w:ascii="Arial Narrow" w:hAnsi="Arial Narrow" w:cs="Arial Narrow" w:eastAsia="Arial Narrow" w:hint="default"/>
                <w:sz w:val="18"/>
                <w:szCs w:val="18"/>
              </w:rPr>
            </w:pPr>
            <w:r>
              <w:rPr>
                <w:rFonts w:ascii="Arial Narrow"/>
                <w:spacing w:val="-1"/>
                <w:sz w:val="18"/>
              </w:rPr>
              <w:t>0.01</w:t>
            </w:r>
          </w:p>
        </w:tc>
      </w:tr>
      <w:tr>
        <w:trPr>
          <w:trHeight w:val="571"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新余益瑞投资合伙企业</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（有限合伙）</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中国中投证券有限责任公司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9"/>
              <w:jc w:val="right"/>
              <w:rPr>
                <w:rFonts w:ascii="Arial Narrow" w:hAnsi="Arial Narrow" w:cs="Arial Narrow" w:eastAsia="Arial Narrow" w:hint="default"/>
                <w:sz w:val="18"/>
                <w:szCs w:val="18"/>
              </w:rPr>
            </w:pPr>
            <w:r>
              <w:rPr>
                <w:rFonts w:ascii="Arial Narrow"/>
                <w:spacing w:val="-1"/>
                <w:sz w:val="18"/>
              </w:rPr>
              <w:t>100,000.00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2017/11/24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9"/>
              <w:jc w:val="right"/>
              <w:rPr>
                <w:rFonts w:ascii="Arial Narrow" w:hAnsi="Arial Narrow" w:cs="Arial Narrow" w:eastAsia="Arial Narrow" w:hint="default"/>
                <w:sz w:val="18"/>
                <w:szCs w:val="18"/>
              </w:rPr>
            </w:pPr>
            <w:r>
              <w:rPr>
                <w:rFonts w:ascii="Arial Narrow"/>
                <w:spacing w:val="-1"/>
                <w:sz w:val="18"/>
              </w:rPr>
              <w:t>0.02</w:t>
            </w:r>
          </w:p>
        </w:tc>
      </w:tr>
      <w:tr>
        <w:trPr>
          <w:trHeight w:val="350"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4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0"/>
              <w:jc w:val="right"/>
              <w:rPr>
                <w:rFonts w:ascii="Arial Narrow" w:hAnsi="Arial Narrow" w:cs="Arial Narrow" w:eastAsia="Arial Narrow" w:hint="default"/>
                <w:sz w:val="18"/>
                <w:szCs w:val="18"/>
              </w:rPr>
            </w:pPr>
            <w:r>
              <w:rPr>
                <w:rFonts w:ascii="Arial Narrow"/>
                <w:spacing w:val="-1"/>
                <w:sz w:val="18"/>
              </w:rPr>
              <w:t>152,760,000.00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0"/>
              <w:jc w:val="right"/>
              <w:rPr>
                <w:rFonts w:ascii="Arial Narrow" w:hAnsi="Arial Narrow" w:cs="Arial Narrow" w:eastAsia="Arial Narrow" w:hint="default"/>
                <w:sz w:val="18"/>
                <w:szCs w:val="18"/>
              </w:rPr>
            </w:pPr>
            <w:r>
              <w:rPr>
                <w:rFonts w:ascii="Arial Narrow"/>
                <w:spacing w:val="-1"/>
                <w:sz w:val="18"/>
              </w:rPr>
              <w:t>26.23</w:t>
            </w:r>
          </w:p>
        </w:tc>
      </w:tr>
    </w:tbl>
    <w:p>
      <w:pPr>
        <w:spacing w:line="240" w:lineRule="auto" w:before="12"/>
        <w:rPr>
          <w:rFonts w:ascii="宋体" w:hAnsi="宋体" w:cs="宋体" w:eastAsia="宋体" w:hint="default"/>
          <w:sz w:val="17"/>
          <w:szCs w:val="17"/>
        </w:rPr>
      </w:pPr>
    </w:p>
    <w:p>
      <w:pPr>
        <w:pStyle w:val="BodyText"/>
        <w:spacing w:line="355" w:lineRule="auto" w:before="44"/>
        <w:ind w:left="513" w:right="93" w:hanging="181"/>
        <w:jc w:val="left"/>
      </w:pPr>
      <w:r>
        <w:rPr/>
        <w:t>（二）本期与重大资产重组相关承诺 根据公司与交易对方分别签订的《盈利预测补偿协议》，以及交易对方出具的承诺函，张伟承诺：顺为广告</w:t>
      </w:r>
      <w:r>
        <w:rPr>
          <w:rFonts w:ascii="Times New Roman" w:hAnsi="Times New Roman" w:cs="Times New Roman" w:eastAsia="Times New Roman" w:hint="default"/>
        </w:rPr>
        <w:t>2015</w:t>
      </w:r>
      <w:r>
        <w:rPr/>
        <w:t>年度、</w:t>
      </w:r>
    </w:p>
    <w:p>
      <w:pPr>
        <w:pStyle w:val="BodyText"/>
        <w:spacing w:line="343" w:lineRule="auto" w:before="6"/>
        <w:ind w:right="94"/>
        <w:jc w:val="left"/>
      </w:pP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年度实现的净利润分别不低于</w:t>
      </w:r>
      <w:r>
        <w:rPr>
          <w:rFonts w:ascii="Times New Roman" w:hAnsi="Times New Roman" w:cs="Times New Roman" w:eastAsia="Times New Roman" w:hint="default"/>
        </w:rPr>
        <w:t>2,500</w:t>
      </w:r>
      <w:r>
        <w:rPr/>
        <w:t>万元、</w:t>
      </w:r>
      <w:r>
        <w:rPr>
          <w:rFonts w:ascii="Times New Roman" w:hAnsi="Times New Roman" w:cs="Times New Roman" w:eastAsia="Times New Roman" w:hint="default"/>
        </w:rPr>
        <w:t>3,250</w:t>
      </w:r>
      <w:r>
        <w:rPr/>
        <w:t>万元和</w:t>
      </w:r>
      <w:r>
        <w:rPr>
          <w:rFonts w:ascii="Times New Roman" w:hAnsi="Times New Roman" w:cs="Times New Roman" w:eastAsia="Times New Roman" w:hint="default"/>
        </w:rPr>
        <w:t>4,225</w:t>
      </w:r>
      <w:r>
        <w:rPr/>
        <w:t>万元；姚俊承诺：如张伟未能依约履行包括及时 进行盈利预测补偿在内的义务和责任的，姚俊将就张伟在《盈利预测补偿协议》项下的所有义务和责任承担连带保证责任； </w:t>
      </w:r>
      <w:r>
        <w:rPr>
          <w:spacing w:val="-4"/>
        </w:rPr>
        <w:t>伏虎、逄淑涌、曹建华承诺：奇思广告</w:t>
      </w:r>
      <w:r>
        <w:rPr>
          <w:rFonts w:ascii="Times New Roman" w:hAnsi="Times New Roman" w:cs="Times New Roman" w:eastAsia="Times New Roman" w:hint="default"/>
          <w:spacing w:val="-4"/>
        </w:rPr>
        <w:t>2015</w:t>
      </w:r>
      <w:r>
        <w:rPr>
          <w:spacing w:val="-4"/>
        </w:rPr>
        <w:t>年度、</w:t>
      </w:r>
      <w:r>
        <w:rPr>
          <w:rFonts w:ascii="Times New Roman" w:hAnsi="Times New Roman" w:cs="Times New Roman" w:eastAsia="Times New Roman" w:hint="default"/>
          <w:spacing w:val="-4"/>
        </w:rPr>
        <w:t>2016</w:t>
      </w:r>
      <w:r>
        <w:rPr>
          <w:spacing w:val="-4"/>
        </w:rPr>
        <w:t>年度、</w:t>
      </w:r>
      <w:r>
        <w:rPr>
          <w:rFonts w:ascii="Times New Roman" w:hAnsi="Times New Roman" w:cs="Times New Roman" w:eastAsia="Times New Roman" w:hint="default"/>
          <w:spacing w:val="-4"/>
        </w:rPr>
        <w:t>2017</w:t>
      </w:r>
      <w:r>
        <w:rPr>
          <w:spacing w:val="-4"/>
        </w:rPr>
        <w:t>年度实现的净利润分别不低于</w:t>
      </w:r>
      <w:r>
        <w:rPr>
          <w:rFonts w:ascii="Times New Roman" w:hAnsi="Times New Roman" w:cs="Times New Roman" w:eastAsia="Times New Roman" w:hint="default"/>
          <w:spacing w:val="-4"/>
        </w:rPr>
        <w:t>1,800</w:t>
      </w:r>
      <w:r>
        <w:rPr>
          <w:spacing w:val="-4"/>
        </w:rPr>
        <w:t>万元、</w:t>
      </w:r>
      <w:r>
        <w:rPr>
          <w:rFonts w:ascii="Times New Roman" w:hAnsi="Times New Roman" w:cs="Times New Roman" w:eastAsia="Times New Roman" w:hint="default"/>
          <w:spacing w:val="-4"/>
        </w:rPr>
        <w:t>2,340</w:t>
      </w:r>
      <w:r>
        <w:rPr>
          <w:spacing w:val="-4"/>
        </w:rPr>
        <w:t>万元和</w:t>
      </w:r>
      <w:r>
        <w:rPr>
          <w:rFonts w:ascii="Times New Roman" w:hAnsi="Times New Roman" w:cs="Times New Roman" w:eastAsia="Times New Roman" w:hint="default"/>
          <w:spacing w:val="-4"/>
        </w:rPr>
        <w:t>3,042</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万元；袁琪、张晓艳承诺：利宣广告</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年度实现的净利润分别不低于</w:t>
      </w:r>
      <w:r>
        <w:rPr>
          <w:rFonts w:ascii="Times New Roman" w:hAnsi="Times New Roman" w:cs="Times New Roman" w:eastAsia="Times New Roman" w:hint="default"/>
        </w:rPr>
        <w:t>1,000</w:t>
      </w:r>
      <w:r>
        <w:rPr/>
        <w:t>万元、</w:t>
      </w:r>
      <w:r>
        <w:rPr>
          <w:rFonts w:ascii="Times New Roman" w:hAnsi="Times New Roman" w:cs="Times New Roman" w:eastAsia="Times New Roman" w:hint="default"/>
        </w:rPr>
        <w:t>1,300</w:t>
      </w:r>
      <w:r>
        <w:rPr/>
        <w:t>万元和</w:t>
      </w:r>
      <w:r>
        <w:rPr>
          <w:rFonts w:ascii="Times New Roman" w:hAnsi="Times New Roman" w:cs="Times New Roman" w:eastAsia="Times New Roman" w:hint="default"/>
        </w:rPr>
        <w:t>1,690 </w:t>
      </w:r>
      <w:r>
        <w:rPr/>
        <w:t>万元。</w:t>
      </w:r>
    </w:p>
    <w:p>
      <w:pPr>
        <w:spacing w:after="0" w:line="343" w:lineRule="auto"/>
        <w:jc w:val="left"/>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十六、母公司财务报表主要项目注释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23,599,8</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84.11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96.14%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23,599,8</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84.11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25,054,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696.22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96.58%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25,054,69</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6.22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946,872.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494,508.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52.23%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452,364.0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888,322</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.48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207,593.1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23.37%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680,729.37</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24,546,7</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56.74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24,094,3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92.66</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98.16%</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452,364.0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25,943,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018.70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25,262,28</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9.33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97.38%</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680,729.37</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240" w:lineRule="auto" w:before="49"/>
        <w:ind w:right="-19"/>
        <w:jc w:val="left"/>
      </w:pPr>
      <w:r>
        <w:rPr/>
        <w:t>期末单项金额重大并单项计提坏账准备的应收账款：</w:t>
      </w:r>
    </w:p>
    <w:p>
      <w:pPr>
        <w:pStyle w:val="BodyText"/>
        <w:spacing w:line="240" w:lineRule="auto" w:before="117"/>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4" w:space="4535"/>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3"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PerceptionDigitalLimited</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23,599,884.11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23,599,884.11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5"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7"/>
              <w:jc w:val="left"/>
              <w:rPr>
                <w:rFonts w:ascii="宋体" w:hAnsi="宋体" w:cs="宋体" w:eastAsia="宋体" w:hint="default"/>
                <w:sz w:val="18"/>
                <w:szCs w:val="18"/>
              </w:rPr>
            </w:pPr>
            <w:r>
              <w:rPr>
                <w:rFonts w:ascii="宋体" w:hAnsi="宋体" w:cs="宋体" w:eastAsia="宋体" w:hint="default"/>
                <w:sz w:val="18"/>
                <w:szCs w:val="18"/>
              </w:rPr>
              <w:t>客户出现财务困难，且 账龄超过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23,599,884.11</w:t>
            </w:r>
          </w:p>
        </w:tc>
        <w:tc>
          <w:tcPr>
            <w:tcW w:w="191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23,599,884.11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49"/>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206"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70,856.18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3,542.81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770,101.40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385,050.69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105,915.05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105,915.05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946,872.63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494,508.55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52.23%</w:t>
            </w:r>
          </w:p>
        </w:tc>
      </w:tr>
    </w:tbl>
    <w:p>
      <w:pPr>
        <w:pStyle w:val="BodyText"/>
        <w:spacing w:line="240" w:lineRule="auto" w:before="49"/>
        <w:ind w:right="153"/>
        <w:jc w:val="left"/>
      </w:pPr>
      <w:r>
        <w:rPr/>
        <w:t>确定该组合依据的说明：</w:t>
      </w:r>
    </w:p>
    <w:p>
      <w:pPr>
        <w:spacing w:after="0" w:line="240" w:lineRule="auto"/>
        <w:jc w:val="left"/>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53"/>
        <w:jc w:val="left"/>
      </w:pPr>
      <w:r>
        <w:rPr/>
        <w:t>组合中，采用余额百分比法计提坏账准备的应收账款：</w:t>
      </w:r>
    </w:p>
    <w:p>
      <w:pPr>
        <w:pStyle w:val="BodyText"/>
        <w:spacing w:line="338" w:lineRule="auto" w:before="117"/>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240" w:lineRule="auto" w:before="43"/>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3612"/>
        <w:jc w:val="left"/>
      </w:pPr>
      <w:r>
        <w:rPr/>
        <w:t>本期计提坏账准备金额</w:t>
      </w:r>
      <w:r>
        <w:rPr>
          <w:spacing w:val="-47"/>
        </w:rPr>
        <w:t> </w:t>
      </w:r>
      <w:r>
        <w:rPr>
          <w:rFonts w:ascii="Times New Roman" w:hAnsi="Times New Roman" w:cs="Times New Roman" w:eastAsia="Times New Roman" w:hint="default"/>
        </w:rPr>
        <w:t>286,915.44 </w:t>
      </w:r>
      <w:r>
        <w:rPr/>
        <w:t>元；本期收回或转回坏账准备金额</w:t>
      </w:r>
      <w:r>
        <w:rPr>
          <w:spacing w:val="-46"/>
        </w:rPr>
        <w:t> </w:t>
      </w:r>
      <w:r>
        <w:rPr>
          <w:rFonts w:ascii="Times New Roman" w:hAnsi="Times New Roman" w:cs="Times New Roman" w:eastAsia="Times New Roman" w:hint="default"/>
        </w:rPr>
        <w:t>0.00 </w:t>
      </w:r>
      <w:r>
        <w:rPr/>
        <w:t>元。 其中本期坏账准备收回或转回金额重要的：</w:t>
      </w:r>
    </w:p>
    <w:p>
      <w:pPr>
        <w:pStyle w:val="BodyText"/>
        <w:spacing w:line="240" w:lineRule="auto" w:before="43"/>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844"/>
        <w:gridCol w:w="1561"/>
        <w:gridCol w:w="2835"/>
        <w:gridCol w:w="2235"/>
      </w:tblGrid>
      <w:tr>
        <w:trPr>
          <w:trHeight w:val="3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占应收账款期末余额的比例</w:t>
            </w:r>
            <w:r>
              <w:rPr>
                <w:rFonts w:ascii="Times New Roman" w:hAnsi="Times New Roman" w:cs="Times New Roman" w:eastAsia="Times New Roman" w:hint="default"/>
                <w:sz w:val="18"/>
                <w:szCs w:val="18"/>
              </w:rPr>
              <w:t>(%)</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2"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23,599,884.11</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22"/>
              <w:jc w:val="right"/>
              <w:rPr>
                <w:rFonts w:ascii="Times New Roman" w:hAnsi="Times New Roman" w:cs="Times New Roman" w:eastAsia="Times New Roman" w:hint="default"/>
                <w:sz w:val="18"/>
                <w:szCs w:val="18"/>
              </w:rPr>
            </w:pPr>
            <w:r>
              <w:rPr>
                <w:rFonts w:ascii="Times New Roman"/>
                <w:sz w:val="18"/>
              </w:rPr>
              <w:t>96.14</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23"/>
              <w:jc w:val="right"/>
              <w:rPr>
                <w:rFonts w:ascii="Times New Roman" w:hAnsi="Times New Roman" w:cs="Times New Roman" w:eastAsia="Times New Roman" w:hint="default"/>
                <w:sz w:val="18"/>
                <w:szCs w:val="18"/>
              </w:rPr>
            </w:pPr>
            <w:r>
              <w:rPr>
                <w:rFonts w:ascii="Times New Roman"/>
                <w:spacing w:val="-1"/>
                <w:sz w:val="18"/>
              </w:rPr>
              <w:t>23,599,884.11</w:t>
            </w:r>
          </w:p>
        </w:tc>
      </w:tr>
      <w:tr>
        <w:trPr>
          <w:trHeight w:val="3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840,957.53</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22"/>
              <w:jc w:val="right"/>
              <w:rPr>
                <w:rFonts w:ascii="Times New Roman" w:hAnsi="Times New Roman" w:cs="Times New Roman" w:eastAsia="Times New Roman" w:hint="default"/>
                <w:sz w:val="18"/>
                <w:szCs w:val="18"/>
              </w:rPr>
            </w:pPr>
            <w:r>
              <w:rPr>
                <w:rFonts w:ascii="Times New Roman"/>
                <w:spacing w:val="-1"/>
                <w:sz w:val="18"/>
              </w:rPr>
              <w:t>3.43</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23"/>
              <w:jc w:val="right"/>
              <w:rPr>
                <w:rFonts w:ascii="Times New Roman" w:hAnsi="Times New Roman" w:cs="Times New Roman" w:eastAsia="Times New Roman" w:hint="default"/>
                <w:sz w:val="18"/>
                <w:szCs w:val="18"/>
              </w:rPr>
            </w:pPr>
            <w:r>
              <w:rPr>
                <w:rFonts w:ascii="Times New Roman"/>
                <w:spacing w:val="-1"/>
                <w:sz w:val="18"/>
              </w:rPr>
              <w:t>388,593.51</w:t>
            </w:r>
          </w:p>
        </w:tc>
      </w:tr>
      <w:tr>
        <w:trPr>
          <w:trHeight w:val="34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104,830.05</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22"/>
              <w:jc w:val="right"/>
              <w:rPr>
                <w:rFonts w:ascii="Times New Roman" w:hAnsi="Times New Roman" w:cs="Times New Roman" w:eastAsia="Times New Roman" w:hint="default"/>
                <w:sz w:val="18"/>
                <w:szCs w:val="18"/>
              </w:rPr>
            </w:pPr>
            <w:r>
              <w:rPr>
                <w:rFonts w:ascii="Times New Roman"/>
                <w:spacing w:val="-1"/>
                <w:sz w:val="18"/>
              </w:rPr>
              <w:t>0.43</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23"/>
              <w:jc w:val="right"/>
              <w:rPr>
                <w:rFonts w:ascii="Times New Roman" w:hAnsi="Times New Roman" w:cs="Times New Roman" w:eastAsia="Times New Roman" w:hint="default"/>
                <w:sz w:val="18"/>
                <w:szCs w:val="18"/>
              </w:rPr>
            </w:pPr>
            <w:r>
              <w:rPr>
                <w:rFonts w:ascii="Times New Roman"/>
                <w:spacing w:val="-1"/>
                <w:sz w:val="18"/>
              </w:rPr>
              <w:t>104,830.05</w:t>
            </w:r>
          </w:p>
        </w:tc>
      </w:tr>
      <w:tr>
        <w:trPr>
          <w:trHeight w:val="3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1,085.00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22"/>
              <w:jc w:val="right"/>
              <w:rPr>
                <w:rFonts w:ascii="Times New Roman" w:hAnsi="Times New Roman" w:cs="Times New Roman" w:eastAsia="Times New Roman" w:hint="default"/>
                <w:sz w:val="18"/>
                <w:szCs w:val="18"/>
              </w:rPr>
            </w:pPr>
            <w:r>
              <w:rPr>
                <w:rFonts w:ascii="Times New Roman"/>
                <w:w w:val="95"/>
                <w:sz w:val="18"/>
              </w:rPr>
              <w:t>1,085.00</w:t>
            </w:r>
          </w:p>
        </w:tc>
      </w:tr>
      <w:tr>
        <w:trPr>
          <w:trHeight w:val="3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24,546,756.69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22"/>
              <w:jc w:val="right"/>
              <w:rPr>
                <w:rFonts w:ascii="Times New Roman" w:hAnsi="Times New Roman" w:cs="Times New Roman" w:eastAsia="Times New Roman" w:hint="default"/>
                <w:sz w:val="18"/>
                <w:szCs w:val="18"/>
              </w:rPr>
            </w:pPr>
            <w:r>
              <w:rPr>
                <w:rFonts w:ascii="Times New Roman"/>
                <w:spacing w:val="-1"/>
                <w:sz w:val="18"/>
              </w:rPr>
              <w:t>100.00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23"/>
              <w:jc w:val="right"/>
              <w:rPr>
                <w:rFonts w:ascii="Times New Roman" w:hAnsi="Times New Roman" w:cs="Times New Roman" w:eastAsia="Times New Roman" w:hint="default"/>
                <w:sz w:val="18"/>
                <w:szCs w:val="18"/>
              </w:rPr>
            </w:pPr>
            <w:r>
              <w:rPr>
                <w:rFonts w:ascii="Times New Roman"/>
                <w:spacing w:val="-1"/>
                <w:sz w:val="18"/>
              </w:rPr>
              <w:t>24,094,392.66</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）因金融资产转移而终止确认的应收账款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t>无因金融资产转移而终止确认的应收账款。</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5</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无转移应收账款且继续涉入形成的资产、负债的情况。</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60" w:hRule="exact"/>
        </w:trPr>
        <w:tc>
          <w:tcPr>
            <w:tcW w:w="1612"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2"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8,891,76</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1.47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8,811,761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.47</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17,302,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457.73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171,725.0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0.99%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17,130,732.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r>
      <w:tr>
        <w:trPr>
          <w:trHeight w:val="40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2"/>
              <w:ind w:left="105" w:right="0"/>
              <w:jc w:val="left"/>
              <w:rPr>
                <w:rFonts w:ascii="Times New Roman" w:hAnsi="Times New Roman" w:cs="Times New Roman" w:eastAsia="Times New Roman" w:hint="default"/>
                <w:sz w:val="18"/>
                <w:szCs w:val="18"/>
              </w:rPr>
            </w:pPr>
            <w:r>
              <w:rPr>
                <w:rFonts w:ascii="Times New Roman"/>
                <w:sz w:val="18"/>
              </w:rPr>
              <w:t>8,891,76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8" w:right="0"/>
              <w:jc w:val="left"/>
              <w:rPr>
                <w:rFonts w:ascii="Times New Roman" w:hAnsi="Times New Roman" w:cs="Times New Roman" w:eastAsia="Times New Roman" w:hint="default"/>
                <w:sz w:val="18"/>
                <w:szCs w:val="18"/>
              </w:rPr>
            </w:pPr>
            <w:r>
              <w:rPr>
                <w:rFonts w:ascii="Times New Roman"/>
                <w:sz w:val="18"/>
              </w:rPr>
              <w:t>80,000.0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3" w:right="0"/>
              <w:jc w:val="left"/>
              <w:rPr>
                <w:rFonts w:ascii="Times New Roman" w:hAnsi="Times New Roman" w:cs="Times New Roman" w:eastAsia="Times New Roman" w:hint="default"/>
                <w:sz w:val="18"/>
                <w:szCs w:val="18"/>
              </w:rPr>
            </w:pPr>
            <w:r>
              <w:rPr>
                <w:rFonts w:ascii="Times New Roman"/>
                <w:sz w:val="18"/>
              </w:rPr>
              <w:t>8,811,761</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4" w:right="0"/>
              <w:jc w:val="left"/>
              <w:rPr>
                <w:rFonts w:ascii="Times New Roman" w:hAnsi="Times New Roman" w:cs="Times New Roman" w:eastAsia="Times New Roman" w:hint="default"/>
                <w:sz w:val="18"/>
                <w:szCs w:val="18"/>
              </w:rPr>
            </w:pPr>
            <w:r>
              <w:rPr>
                <w:rFonts w:ascii="Times New Roman"/>
                <w:sz w:val="18"/>
              </w:rPr>
              <w:t>17,302,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2" w:right="0"/>
              <w:jc w:val="left"/>
              <w:rPr>
                <w:rFonts w:ascii="Times New Roman" w:hAnsi="Times New Roman" w:cs="Times New Roman" w:eastAsia="Times New Roman" w:hint="default"/>
                <w:sz w:val="18"/>
                <w:szCs w:val="18"/>
              </w:rPr>
            </w:pPr>
            <w:r>
              <w:rPr>
                <w:rFonts w:ascii="Times New Roman"/>
                <w:sz w:val="18"/>
              </w:rPr>
              <w:t>171,725.0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0.99%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17,130,732.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7"/>
        <w:gridCol w:w="656"/>
        <w:gridCol w:w="761"/>
        <w:gridCol w:w="814"/>
        <w:gridCol w:w="934"/>
        <w:gridCol w:w="934"/>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7" w:right="0"/>
              <w:jc w:val="left"/>
              <w:rPr>
                <w:rFonts w:ascii="Times New Roman" w:hAnsi="Times New Roman" w:cs="Times New Roman" w:eastAsia="Times New Roman" w:hint="default"/>
                <w:sz w:val="18"/>
                <w:szCs w:val="18"/>
              </w:rPr>
            </w:pPr>
            <w:r>
              <w:rPr>
                <w:rFonts w:ascii="Times New Roman"/>
                <w:sz w:val="18"/>
              </w:rPr>
              <w:t>1.47</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.47</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9" w:right="0"/>
              <w:jc w:val="left"/>
              <w:rPr>
                <w:rFonts w:ascii="Times New Roman" w:hAnsi="Times New Roman" w:cs="Times New Roman" w:eastAsia="Times New Roman" w:hint="default"/>
                <w:sz w:val="18"/>
                <w:szCs w:val="18"/>
              </w:rPr>
            </w:pPr>
            <w:r>
              <w:rPr>
                <w:rFonts w:ascii="Times New Roman"/>
                <w:sz w:val="18"/>
              </w:rPr>
              <w:t>457.73</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w:t>
            </w:r>
          </w:p>
        </w:tc>
        <w:tc>
          <w:tcPr>
            <w:tcW w:w="93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70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78"/>
      </w:tblGrid>
      <w:tr>
        <w:trPr>
          <w:trHeight w:val="206"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70"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9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78"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80,000.00</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40"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2266"/>
        <w:gridCol w:w="1701"/>
        <w:gridCol w:w="1418"/>
        <w:gridCol w:w="1558"/>
      </w:tblGrid>
      <w:tr>
        <w:trPr>
          <w:trHeight w:val="337" w:hRule="exact"/>
        </w:trPr>
        <w:tc>
          <w:tcPr>
            <w:tcW w:w="226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677"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2266" w:type="dxa"/>
            <w:vMerge/>
            <w:tcBorders>
              <w:left w:val="single" w:sz="4" w:space="0" w:color="000000"/>
              <w:bottom w:val="single" w:sz="4" w:space="0" w:color="000000"/>
              <w:right w:val="single" w:sz="4" w:space="0" w:color="000000"/>
            </w:tcBorders>
            <w:shd w:val="clear" w:color="auto" w:fill="D9D9D9"/>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3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158"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3" w:hRule="exact"/>
        </w:trPr>
        <w:tc>
          <w:tcPr>
            <w:tcW w:w="2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752,319.00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0.00%</w:t>
            </w:r>
          </w:p>
        </w:tc>
      </w:tr>
      <w:tr>
        <w:trPr>
          <w:trHeight w:val="341" w:hRule="exact"/>
        </w:trPr>
        <w:tc>
          <w:tcPr>
            <w:tcW w:w="2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1,102,467.78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0.00%</w:t>
            </w:r>
          </w:p>
        </w:tc>
      </w:tr>
      <w:tr>
        <w:trPr>
          <w:trHeight w:val="343" w:hRule="exact"/>
        </w:trPr>
        <w:tc>
          <w:tcPr>
            <w:tcW w:w="2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33,000.00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0.00%</w:t>
            </w:r>
          </w:p>
        </w:tc>
      </w:tr>
      <w:tr>
        <w:trPr>
          <w:trHeight w:val="341" w:hRule="exact"/>
        </w:trPr>
        <w:tc>
          <w:tcPr>
            <w:tcW w:w="2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合并范围内关联方往来款</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6,923,974.69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0.00%</w:t>
            </w:r>
          </w:p>
        </w:tc>
      </w:tr>
      <w:tr>
        <w:trPr>
          <w:trHeight w:val="343" w:hRule="exact"/>
        </w:trPr>
        <w:tc>
          <w:tcPr>
            <w:tcW w:w="2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8,811,761.47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t>本期计提坏账准备金额</w:t>
      </w:r>
      <w:r>
        <w:rPr>
          <w:spacing w:val="-46"/>
        </w:rPr>
        <w:t> </w:t>
      </w:r>
      <w:r>
        <w:rPr>
          <w:rFonts w:ascii="Times New Roman" w:hAnsi="Times New Roman" w:cs="Times New Roman" w:eastAsia="Times New Roman" w:hint="default"/>
        </w:rPr>
        <w:t>0.00 </w:t>
      </w:r>
      <w:r>
        <w:rPr/>
        <w:t>元；本期收回或转回坏账准备金额</w:t>
      </w:r>
      <w:r>
        <w:rPr>
          <w:spacing w:val="-46"/>
        </w:rPr>
        <w:t> </w:t>
      </w:r>
      <w:r>
        <w:rPr>
          <w:rFonts w:ascii="Times New Roman" w:hAnsi="Times New Roman" w:cs="Times New Roman" w:eastAsia="Times New Roman" w:hint="default"/>
        </w:rPr>
        <w:t>45,171.86 </w:t>
      </w:r>
      <w:r>
        <w:rPr/>
        <w:t>元。</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46,553.17</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内部关联方往来款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6,923,974.69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3" w:right="0"/>
              <w:jc w:val="left"/>
              <w:rPr>
                <w:rFonts w:ascii="Times New Roman" w:hAnsi="Times New Roman" w:cs="Times New Roman" w:eastAsia="Times New Roman" w:hint="default"/>
                <w:sz w:val="18"/>
                <w:szCs w:val="18"/>
              </w:rPr>
            </w:pPr>
            <w:r>
              <w:rPr>
                <w:rFonts w:ascii="Times New Roman"/>
                <w:sz w:val="18"/>
              </w:rPr>
              <w:t>15,763,487.73</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1,934,786.78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1,479,490.42</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员工社保</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13,229.02</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36,250.56</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8,891,761.47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17,302,457.73</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5"/>
        <w:gridCol w:w="1616"/>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29"/>
              <w:jc w:val="left"/>
              <w:rPr>
                <w:rFonts w:ascii="宋体" w:hAnsi="宋体" w:cs="宋体" w:eastAsia="宋体" w:hint="default"/>
                <w:sz w:val="18"/>
                <w:szCs w:val="18"/>
              </w:rPr>
            </w:pPr>
            <w:r>
              <w:rPr>
                <w:rFonts w:ascii="宋体" w:hAnsi="宋体" w:cs="宋体" w:eastAsia="宋体" w:hint="default"/>
                <w:sz w:val="18"/>
                <w:szCs w:val="18"/>
              </w:rPr>
              <w:t>深圳市前海麦达数字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75"/>
              <w:jc w:val="left"/>
              <w:rPr>
                <w:rFonts w:ascii="宋体" w:hAnsi="宋体" w:cs="宋体" w:eastAsia="宋体" w:hint="default"/>
                <w:sz w:val="18"/>
                <w:szCs w:val="18"/>
              </w:rPr>
            </w:pPr>
            <w:r>
              <w:rPr>
                <w:rFonts w:ascii="宋体" w:hAnsi="宋体" w:cs="宋体" w:eastAsia="宋体" w:hint="default"/>
                <w:sz w:val="18"/>
                <w:szCs w:val="18"/>
              </w:rPr>
              <w:t>合并范围内关联方 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6,923,974.69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77.87%</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的近律师行</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752,319.00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北京金辉北望商业管 理有限公司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536,445.06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6.03%</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深圳新浩房地产有限 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391,308.00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北京金辉锦江物业服 务有限公司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149,554.20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8,753,600.95</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98.44%</w:t>
            </w: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6</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4734"/>
        <w:jc w:val="left"/>
      </w:pPr>
      <w:r>
        <w:rPr/>
        <w:t>本期无转移其他应收款且继续涉入而形成的资产、负债的情况。 期末无涉及政府补助的应收款项。 本期无因金融资产转移而终止确认的其他应收款项情况。</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9"/>
        <w:gridCol w:w="1366"/>
        <w:gridCol w:w="1368"/>
        <w:gridCol w:w="1366"/>
        <w:gridCol w:w="1369"/>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1,098,473,008.75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10,451,398.91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1,088,021,609.84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1,061,253,008.75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10,451,398.91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1,050,801,609.84</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154,630,835.17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154,630,835.17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187,313,000.92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7,442,983.91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179,870,017.01</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1,253,103,843.92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10,451,398.91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1,242,652,445.01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1,248,566,009.67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17,894,382.82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1,230,671,626.85</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5"/>
        <w:gridCol w:w="1334"/>
        <w:gridCol w:w="1335"/>
        <w:gridCol w:w="1390"/>
        <w:gridCol w:w="1390"/>
      </w:tblGrid>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0"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无锡实益达电子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322,277,179.53</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286,277,179.53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深圳市汇大光电 科技股份有限公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10,451,398.91</w:t>
            </w:r>
          </w:p>
        </w:tc>
      </w:tr>
      <w:tr>
        <w:trPr>
          <w:trHeight w:val="713"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凯扬商贸（香港） 有限公司</w:t>
            </w:r>
          </w:p>
        </w:tc>
        <w:tc>
          <w:tcPr>
            <w:tcW w:w="133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396,546.00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396,546.00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深圳市实益达技 术股份有限公司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36,752,000.00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36,752,000.00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无锡实益达照明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24,047,282.22</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24,047,282.22</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深圳前海实益达 投资发展有限公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7,500,001.00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7,500,001.00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深圳市哇塞宝贝 网络科技有限公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上海顺为广告传 播有限公司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313,000,000.00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7"/>
                <w:sz w:val="18"/>
                <w:szCs w:val="18"/>
              </w:rPr>
              <w:t>奇思国际广告（北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京）有限公司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上海利宣广告有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深圳市实益达工 业有限公司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无锡益锡电子有 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36,000,000.00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深圳市前海麦达 数字有限公司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1,061,253,008.75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76,000,000.00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38,780,000.00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1,098,473,008.75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10,451,398.91</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广州奇异 果互动科 技股份有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22,496,72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8.53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-23,417,7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19.41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920,990.8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深圳市六 度人和科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164,816,2</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72.39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-10,185,4</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37.22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154,630,8</w:t>
            </w:r>
          </w:p>
          <w:p>
            <w:pPr>
              <w:pStyle w:val="TableParagraph"/>
              <w:spacing w:line="240" w:lineRule="auto" w:before="103"/>
              <w:ind w:left="360" w:right="0"/>
              <w:jc w:val="left"/>
              <w:rPr>
                <w:rFonts w:ascii="Times New Roman" w:hAnsi="Times New Roman" w:cs="Times New Roman" w:eastAsia="Times New Roman" w:hint="default"/>
                <w:sz w:val="18"/>
                <w:szCs w:val="18"/>
              </w:rPr>
            </w:pPr>
            <w:r>
              <w:rPr>
                <w:rFonts w:ascii="Times New Roman"/>
                <w:sz w:val="18"/>
              </w:rPr>
              <w:t>35.17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187,313,0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00.92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-23,417,7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19.41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-9,264,44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154,630,8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35.17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187,313,0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00.92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-23,417,7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19.41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-9,264,44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6.34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154,630,8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35.17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5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本期公司注销深圳市哇塞宝贝网络科技有限公司。</w:t>
      </w:r>
    </w:p>
    <w:p>
      <w:pPr>
        <w:pStyle w:val="BodyText"/>
        <w:spacing w:line="240" w:lineRule="auto" w:before="101"/>
        <w:ind w:right="15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本期公司对深圳市实益达工业有限公司增资</w:t>
      </w:r>
      <w:r>
        <w:rPr>
          <w:rFonts w:ascii="Times New Roman" w:hAnsi="Times New Roman" w:cs="Times New Roman" w:eastAsia="Times New Roman" w:hint="default"/>
        </w:rPr>
        <w:t>3000</w:t>
      </w:r>
      <w:r>
        <w:rPr/>
        <w:t>万元。</w:t>
      </w:r>
    </w:p>
    <w:p>
      <w:pPr>
        <w:pStyle w:val="BodyText"/>
        <w:spacing w:line="240" w:lineRule="auto" w:before="99"/>
        <w:ind w:right="15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本期从子公司无锡实益达电子有限公司分立成立无锡益锡电子有限公司。</w:t>
      </w:r>
    </w:p>
    <w:p>
      <w:pPr>
        <w:pStyle w:val="BodyText"/>
        <w:spacing w:line="240" w:lineRule="auto" w:before="101"/>
        <w:ind w:right="15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本期公司投资新设深圳市前海麦达数字有限公司</w:t>
      </w:r>
    </w:p>
    <w:p>
      <w:pPr>
        <w:pStyle w:val="BodyText"/>
        <w:spacing w:line="240" w:lineRule="auto" w:before="101"/>
        <w:ind w:right="153"/>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本期公司将对联营企业广州奇异果互动科技股份有限公司的股权转让给无锡实益达电子有限公司。</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Heading3"/>
        <w:spacing w:line="240" w:lineRule="auto"/>
        <w:ind w:right="15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14,773,021.10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13,938,057.45</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6,194,226.22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2,549,915.11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22,263,201.68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18,411,292.53</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6,194,226.22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2,549,915.11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37,036,222.78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32,349,349.98</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-9,264,446.34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-4,636,039.04</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-3,195,235.30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7,198,872.30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-12,459,681.64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3,012,833.26</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十七、补充资料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14"/>
        <w:gridCol w:w="2642"/>
        <w:gridCol w:w="3615"/>
      </w:tblGrid>
      <w:tr>
        <w:trPr>
          <w:trHeight w:val="403"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64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-5,230,285.75</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主要系无锡实益达土地政府收回</w:t>
            </w:r>
          </w:p>
        </w:tc>
      </w:tr>
      <w:tr>
        <w:trPr>
          <w:trHeight w:val="1027"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264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8,392,632.56</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主要系因符合地方性扶持政策而获得的补助</w:t>
            </w:r>
          </w:p>
        </w:tc>
      </w:tr>
      <w:tr>
        <w:trPr>
          <w:trHeight w:val="1025"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264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2,749.10</w:t>
            </w:r>
          </w:p>
        </w:tc>
        <w:tc>
          <w:tcPr>
            <w:tcW w:w="3615"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314" w:type="dxa"/>
            <w:tcBorders>
              <w:top w:val="single" w:sz="4" w:space="0" w:color="000000"/>
              <w:left w:val="single" w:sz="4" w:space="0" w:color="000000"/>
              <w:bottom w:val="nil" w:sz="6" w:space="0" w:color="auto"/>
              <w:right w:val="single" w:sz="4" w:space="0" w:color="000000"/>
            </w:tcBorders>
            <w:shd w:val="clear" w:color="auto" w:fill="D2D2D2"/>
          </w:tcPr>
          <w:p>
            <w:pPr/>
          </w:p>
        </w:tc>
        <w:tc>
          <w:tcPr>
            <w:tcW w:w="264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7" w:right="0"/>
              <w:jc w:val="left"/>
              <w:rPr>
                <w:rFonts w:ascii="Times New Roman" w:hAnsi="Times New Roman" w:cs="Times New Roman" w:eastAsia="Times New Roman" w:hint="default"/>
                <w:sz w:val="18"/>
                <w:szCs w:val="18"/>
              </w:rPr>
            </w:pPr>
            <w:r>
              <w:rPr>
                <w:rFonts w:ascii="Times New Roman"/>
                <w:sz w:val="18"/>
              </w:rPr>
              <w:t>20,054,567.97</w:t>
            </w:r>
          </w:p>
        </w:tc>
        <w:tc>
          <w:tcPr>
            <w:tcW w:w="3615"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主要系购买金融机构现金管理类产品所获取 的收益</w:t>
            </w:r>
          </w:p>
        </w:tc>
      </w:tr>
      <w:tr>
        <w:trPr>
          <w:trHeight w:val="394" w:hRule="exact"/>
        </w:trPr>
        <w:tc>
          <w:tcPr>
            <w:tcW w:w="33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642" w:type="dxa"/>
            <w:vMerge/>
            <w:tcBorders>
              <w:left w:val="single" w:sz="9" w:space="0" w:color="D2D2D2"/>
              <w:right w:val="single" w:sz="4" w:space="0" w:color="000000"/>
            </w:tcBorders>
          </w:tcPr>
          <w:p>
            <w:pPr/>
          </w:p>
        </w:tc>
        <w:tc>
          <w:tcPr>
            <w:tcW w:w="3615" w:type="dxa"/>
            <w:vMerge/>
            <w:tcBorders>
              <w:left w:val="single" w:sz="4" w:space="0" w:color="000000"/>
              <w:right w:val="single" w:sz="4" w:space="0" w:color="000000"/>
            </w:tcBorders>
          </w:tcPr>
          <w:p>
            <w:pPr/>
          </w:p>
        </w:tc>
      </w:tr>
      <w:tr>
        <w:trPr>
          <w:trHeight w:val="161" w:hRule="exact"/>
        </w:trPr>
        <w:tc>
          <w:tcPr>
            <w:tcW w:w="3314" w:type="dxa"/>
            <w:tcBorders>
              <w:top w:val="nil" w:sz="6" w:space="0" w:color="auto"/>
              <w:left w:val="single" w:sz="4" w:space="0" w:color="000000"/>
              <w:bottom w:val="single" w:sz="4" w:space="0" w:color="000000"/>
              <w:right w:val="single" w:sz="4" w:space="0" w:color="000000"/>
            </w:tcBorders>
            <w:shd w:val="clear" w:color="auto" w:fill="D2D2D2"/>
          </w:tcPr>
          <w:p>
            <w:pPr/>
          </w:p>
        </w:tc>
        <w:tc>
          <w:tcPr>
            <w:tcW w:w="2642" w:type="dxa"/>
            <w:vMerge/>
            <w:tcBorders>
              <w:left w:val="single" w:sz="9" w:space="0" w:color="D2D2D2"/>
              <w:bottom w:val="single" w:sz="4" w:space="0" w:color="000000"/>
              <w:right w:val="single" w:sz="4" w:space="0" w:color="000000"/>
            </w:tcBorders>
          </w:tcPr>
          <w:p>
            <w:pPr/>
          </w:p>
        </w:tc>
        <w:tc>
          <w:tcPr>
            <w:tcW w:w="3615" w:type="dxa"/>
            <w:vMerge/>
            <w:tcBorders>
              <w:left w:val="single" w:sz="4" w:space="0" w:color="000000"/>
              <w:bottom w:val="single" w:sz="4" w:space="0" w:color="000000"/>
              <w:right w:val="single" w:sz="4" w:space="0" w:color="000000"/>
            </w:tcBorders>
          </w:tcPr>
          <w:p>
            <w:pPr/>
          </w:p>
        </w:tc>
      </w:tr>
      <w:tr>
        <w:trPr>
          <w:trHeight w:val="713"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264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政府回收土地后归还原保证金</w:t>
            </w:r>
          </w:p>
        </w:tc>
      </w:tr>
      <w:tr>
        <w:trPr>
          <w:trHeight w:val="403"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64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1,955,206.10</w:t>
            </w:r>
          </w:p>
        </w:tc>
        <w:tc>
          <w:tcPr>
            <w:tcW w:w="3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64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3,460,629.86</w:t>
            </w:r>
          </w:p>
        </w:tc>
        <w:tc>
          <w:tcPr>
            <w:tcW w:w="3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264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1,511,229.75</w:t>
            </w:r>
          </w:p>
        </w:tc>
        <w:tc>
          <w:tcPr>
            <w:tcW w:w="3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42"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23,203,010.37</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17" w:lineRule="exact"/>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38" w:lineRule="auto" w:before="101"/>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122"/>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01"/>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14"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0.1308</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0.1304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661"/>
        <w:gridCol w:w="3083"/>
        <w:gridCol w:w="1913"/>
        <w:gridCol w:w="1913"/>
      </w:tblGrid>
      <w:tr>
        <w:trPr>
          <w:trHeight w:val="716"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0.0905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0.0902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3285" w:right="153"/>
        <w:jc w:val="left"/>
        <w:rPr>
          <w:b w:val="0"/>
          <w:bCs w:val="0"/>
        </w:rPr>
      </w:pPr>
      <w:bookmarkStart w:name="_bookmark10" w:id="11"/>
      <w:bookmarkEnd w:id="11"/>
      <w:r>
        <w:rPr>
          <w:b w:val="0"/>
          <w:bCs w:val="0"/>
        </w:rPr>
      </w:r>
      <w:r>
        <w:rPr/>
        <w:t>第十二节</w:t>
      </w:r>
      <w:r>
        <w:rPr>
          <w:spacing w:val="-6"/>
        </w:rPr>
        <w:t> </w:t>
      </w:r>
      <w:r>
        <w:rPr/>
        <w:t>备查文件目录</w:t>
      </w:r>
      <w:r>
        <w:rPr>
          <w:b w:val="0"/>
          <w:bCs w:val="0"/>
        </w:rPr>
      </w:r>
    </w:p>
    <w:p>
      <w:pPr>
        <w:spacing w:line="240" w:lineRule="auto" w:before="7"/>
        <w:rPr>
          <w:rFonts w:ascii="宋体" w:hAnsi="宋体" w:cs="宋体" w:eastAsia="宋体" w:hint="default"/>
          <w:b/>
          <w:bCs/>
          <w:sz w:val="39"/>
          <w:szCs w:val="39"/>
        </w:rPr>
      </w:pPr>
    </w:p>
    <w:p>
      <w:pPr>
        <w:pStyle w:val="BodyText"/>
        <w:spacing w:line="355" w:lineRule="auto"/>
        <w:ind w:right="0" w:firstLine="360"/>
        <w:jc w:val="left"/>
      </w:pPr>
      <w:r>
        <w:rPr>
          <w:spacing w:val="-2"/>
        </w:rPr>
        <w:t>一、载有公司法定代表人陈亚妹女士、主管会计工作负责人廖建中先生、会计机构负责人袁素华女士签名并盖章的会计</w:t>
      </w:r>
      <w:r>
        <w:rPr/>
        <w:t> 报表；</w:t>
      </w:r>
    </w:p>
    <w:p>
      <w:pPr>
        <w:pStyle w:val="BodyText"/>
        <w:spacing w:line="357" w:lineRule="auto" w:before="28"/>
        <w:ind w:left="513" w:right="138"/>
        <w:jc w:val="left"/>
      </w:pPr>
      <w:r>
        <w:rPr/>
        <w:t>二、载有大华会计师事务所（特殊普通合伙）盖章、注册会计师签名并盖章的审计报告原件； 三、报告期内在中国证监会指定网站上巨潮资讯网（</w:t>
      </w:r>
      <w:hyperlink r:id="rId12">
        <w:r>
          <w:rPr>
            <w:rFonts w:ascii="Times New Roman" w:hAnsi="Times New Roman" w:cs="Times New Roman" w:eastAsia="Times New Roman" w:hint="default"/>
          </w:rPr>
          <w:t>http://www.cninfo.com.cn</w:t>
        </w:r>
      </w:hyperlink>
      <w:r>
        <w:rPr/>
        <w:t>）上公开披露过的所有公司文件的正本及</w:t>
      </w:r>
    </w:p>
    <w:p>
      <w:pPr>
        <w:pStyle w:val="BodyText"/>
        <w:spacing w:line="240" w:lineRule="auto" w:before="3"/>
        <w:ind w:right="153"/>
        <w:jc w:val="left"/>
      </w:pPr>
      <w:r>
        <w:rPr/>
        <w:t>公告的原稿；</w:t>
      </w:r>
    </w:p>
    <w:p>
      <w:pPr>
        <w:pStyle w:val="BodyText"/>
        <w:spacing w:line="240" w:lineRule="auto" w:before="155"/>
        <w:ind w:left="513" w:right="153"/>
        <w:jc w:val="left"/>
      </w:pPr>
      <w:r>
        <w:rPr/>
        <w:t>四、以上文件备置地：公司董事会秘书办公室。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BodyText"/>
        <w:spacing w:line="240" w:lineRule="auto"/>
        <w:ind w:left="0" w:right="151"/>
        <w:jc w:val="right"/>
      </w:pPr>
      <w:r>
        <w:rPr/>
        <w:t>深圳市麦达数字股份有限公司董事会</w:t>
      </w:r>
    </w:p>
    <w:p>
      <w:pPr>
        <w:pStyle w:val="BodyText"/>
        <w:spacing w:line="240" w:lineRule="auto" w:before="76"/>
        <w:ind w:left="0" w:right="148"/>
        <w:jc w:val="righ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w:t>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13892pt;width:6.5pt;height:11pt;mso-position-horizontal-relative:page;mso-position-vertical-relative:page;z-index:-11024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1102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11022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115</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11022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116</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1021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1021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132</w:t>
                </w:r>
                <w:r>
                  <w:rPr/>
                  <w:fldChar w:fldCharType="end"/>
                </w:r>
                <w:r>
                  <w:rPr>
                    <w:rFonts w:ascii="Times New Roman"/>
                    <w:spacing w:val="1"/>
                  </w:rPr>
                </w:r>
                <w:r>
                  <w:rPr>
                    <w:rFonts w:ascii="Times New Roman"/>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1021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133</w:t>
                </w:r>
                <w:r>
                  <w:rPr/>
                  <w:fldChar w:fldCharType="end"/>
                </w:r>
                <w:r>
                  <w:rPr>
                    <w:rFonts w:ascii="Times New Roman"/>
                    <w:spacing w:val="1"/>
                  </w:rPr>
                </w:r>
                <w:r>
                  <w:rPr>
                    <w:rFonts w:ascii="Times New Roman"/>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1021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136</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102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1024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1024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102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67</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11023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1023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1023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105</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1022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106</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1102504" type="#_x0000_t202" filled="false" stroked="false">
          <v:textbox inset="0,0,0,0">
            <w:txbxContent>
              <w:p>
                <w:pPr>
                  <w:pStyle w:val="BodyText"/>
                  <w:spacing w:line="214" w:lineRule="exact"/>
                  <w:ind w:left="20" w:right="0"/>
                  <w:jc w:val="left"/>
                </w:pPr>
                <w:r>
                  <w:rPr/>
                  <w:t>深圳市麦达数字股份有限公司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14"/>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133"/>
      <w:ind w:left="152"/>
      <w:outlineLvl w:val="4"/>
    </w:pPr>
    <w:rPr>
      <w:rFonts w:ascii="宋体" w:hAnsi="宋体" w:eastAsia="宋体"/>
      <w:sz w:val="21"/>
      <w:szCs w:val="21"/>
    </w:rPr>
  </w:style>
  <w:style w:styleId="Heading5" w:type="paragraph">
    <w:name w:val="Heading 5"/>
    <w:basedOn w:val="Normal"/>
    <w:uiPriority w:val="1"/>
    <w:qFormat/>
    <w:pPr>
      <w:ind w:left="15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mindatagroup.com/" TargetMode="External"/><Relationship Id="rId10" Type="http://schemas.openxmlformats.org/officeDocument/2006/relationships/hyperlink" Target="mailto:dmb@mindatagroup.com" TargetMode="External"/><Relationship Id="rId11" Type="http://schemas.openxmlformats.org/officeDocument/2006/relationships/hyperlink" Target="mailto:Shirong.Chen@mindatagroup.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oter" Target="footer4.xml"/><Relationship Id="rId18" Type="http://schemas.openxmlformats.org/officeDocument/2006/relationships/image" Target="media/image5.jpeg"/><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深圳市麦达数字股份有限公司</dc:creator>
  <dc:title>深圳市麦达数字股份有限公司2017年年度报告全文</dc:title>
  <dcterms:created xsi:type="dcterms:W3CDTF">2020-05-02T21:26:44Z</dcterms:created>
  <dcterms:modified xsi:type="dcterms:W3CDTF">2020-05-02T21:26:44Z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Microsoft® Word 2010</vt:lpwstr>
  </property>
  <property fmtid="{D5CDD505-2E9C-101B-9397-08002B2CF9AE}" pid="4" name="LastSaved">
    <vt:filetime>2020-05-02T00:00:00Z</vt:filetime>
  </property>
</Properties>
</file>