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72"/>
        <w:ind w:left="397" w:right="397" w:firstLine="0"/>
        <w:jc w:val="center"/>
        <w:rPr>
          <w:rFonts w:ascii="宋体" w:hAnsi="宋体" w:cs="宋体" w:eastAsia="宋体" w:hint="default"/>
          <w:sz w:val="48"/>
          <w:szCs w:val="48"/>
        </w:rPr>
      </w:pPr>
      <w:r>
        <w:rPr>
          <w:rFonts w:ascii="宋体" w:hAnsi="宋体" w:cs="宋体" w:eastAsia="宋体" w:hint="default"/>
          <w:b/>
          <w:bCs/>
          <w:sz w:val="48"/>
          <w:szCs w:val="48"/>
        </w:rPr>
        <w:t>广州广电运通金融电子股份有限公司</w:t>
      </w:r>
      <w:r>
        <w:rPr>
          <w:rFonts w:ascii="宋体" w:hAnsi="宋体" w:cs="宋体" w:eastAsia="宋体" w:hint="default"/>
          <w:sz w:val="48"/>
          <w:szCs w:val="48"/>
        </w:rPr>
      </w:r>
    </w:p>
    <w:p>
      <w:pPr>
        <w:spacing w:line="240" w:lineRule="auto" w:before="7"/>
        <w:rPr>
          <w:rFonts w:ascii="宋体" w:hAnsi="宋体" w:cs="宋体" w:eastAsia="宋体" w:hint="default"/>
          <w:b/>
          <w:bCs/>
          <w:sz w:val="47"/>
          <w:szCs w:val="47"/>
        </w:rPr>
      </w:pPr>
    </w:p>
    <w:p>
      <w:pPr>
        <w:spacing w:before="0"/>
        <w:ind w:left="397" w:right="397" w:firstLine="0"/>
        <w:jc w:val="center"/>
        <w:rPr>
          <w:rFonts w:ascii="Times New Roman" w:hAnsi="Times New Roman" w:cs="Times New Roman" w:eastAsia="Times New Roman" w:hint="default"/>
          <w:sz w:val="48"/>
          <w:szCs w:val="48"/>
        </w:rPr>
      </w:pPr>
      <w:r>
        <w:rPr>
          <w:rFonts w:ascii="Times New Roman"/>
          <w:b/>
          <w:sz w:val="48"/>
        </w:rPr>
        <w:t>GRG Banking Equipment Co.,</w:t>
      </w:r>
      <w:r>
        <w:rPr>
          <w:rFonts w:ascii="Times New Roman"/>
          <w:b/>
          <w:spacing w:val="-42"/>
          <w:sz w:val="48"/>
        </w:rPr>
        <w:t> </w:t>
      </w:r>
      <w:r>
        <w:rPr>
          <w:rFonts w:ascii="Times New Roman"/>
          <w:b/>
          <w:sz w:val="48"/>
        </w:rPr>
        <w:t>Ltd.</w:t>
      </w:r>
      <w:r>
        <w:rPr>
          <w:rFonts w:ascii="Times New Roman"/>
          <w:sz w:val="48"/>
        </w:rPr>
      </w:r>
    </w:p>
    <w:p>
      <w:pPr>
        <w:spacing w:line="240" w:lineRule="auto" w:before="4"/>
        <w:rPr>
          <w:rFonts w:ascii="Times New Roman" w:hAnsi="Times New Roman" w:cs="Times New Roman" w:eastAsia="Times New Roman" w:hint="default"/>
          <w:b/>
          <w:bCs/>
          <w:sz w:val="41"/>
          <w:szCs w:val="41"/>
        </w:rPr>
      </w:pPr>
    </w:p>
    <w:p>
      <w:pPr>
        <w:spacing w:before="0"/>
        <w:ind w:left="397" w:right="397" w:firstLine="0"/>
        <w:jc w:val="center"/>
        <w:rPr>
          <w:rFonts w:ascii="宋体" w:hAnsi="宋体" w:cs="宋体" w:eastAsia="宋体" w:hint="default"/>
          <w:sz w:val="48"/>
          <w:szCs w:val="48"/>
        </w:rPr>
      </w:pPr>
      <w:r>
        <w:rPr>
          <w:rFonts w:ascii="Times New Roman" w:hAnsi="Times New Roman" w:cs="Times New Roman" w:eastAsia="Times New Roman" w:hint="default"/>
          <w:b/>
          <w:bCs/>
          <w:sz w:val="48"/>
          <w:szCs w:val="48"/>
        </w:rPr>
        <w:t>2008</w:t>
      </w:r>
      <w:r>
        <w:rPr>
          <w:rFonts w:ascii="Times New Roman" w:hAnsi="Times New Roman" w:cs="Times New Roman" w:eastAsia="Times New Roman" w:hint="default"/>
          <w:b/>
          <w:bCs/>
          <w:spacing w:val="-5"/>
          <w:sz w:val="48"/>
          <w:szCs w:val="48"/>
        </w:rPr>
        <w:t> </w:t>
      </w:r>
      <w:r>
        <w:rPr>
          <w:rFonts w:ascii="宋体" w:hAnsi="宋体" w:cs="宋体" w:eastAsia="宋体" w:hint="default"/>
          <w:b/>
          <w:bCs/>
          <w:sz w:val="48"/>
          <w:szCs w:val="48"/>
        </w:rPr>
        <w:t>年年度报告</w:t>
      </w:r>
      <w:r>
        <w:rPr>
          <w:rFonts w:ascii="宋体" w:hAnsi="宋体" w:cs="宋体" w:eastAsia="宋体" w:hint="default"/>
          <w:sz w:val="48"/>
          <w:szCs w:val="4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8"/>
          <w:szCs w:val="28"/>
        </w:rPr>
      </w:pPr>
    </w:p>
    <w:p>
      <w:pPr>
        <w:spacing w:line="1266" w:lineRule="exact"/>
        <w:ind w:left="2692" w:right="0" w:firstLine="0"/>
        <w:rPr>
          <w:rFonts w:ascii="宋体" w:hAnsi="宋体" w:cs="宋体" w:eastAsia="宋体" w:hint="default"/>
          <w:sz w:val="20"/>
          <w:szCs w:val="20"/>
        </w:rPr>
      </w:pPr>
      <w:r>
        <w:rPr>
          <w:rFonts w:ascii="宋体" w:hAnsi="宋体" w:cs="宋体" w:eastAsia="宋体" w:hint="default"/>
          <w:position w:val="-24"/>
          <w:sz w:val="20"/>
          <w:szCs w:val="20"/>
        </w:rPr>
        <w:drawing>
          <wp:inline distT="0" distB="0" distL="0" distR="0">
            <wp:extent cx="1996596" cy="8041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996596" cy="804100"/>
                    </a:xfrm>
                    <a:prstGeom prst="rect">
                      <a:avLst/>
                    </a:prstGeom>
                  </pic:spPr>
                </pic:pic>
              </a:graphicData>
            </a:graphic>
          </wp:inline>
        </w:drawing>
      </w:r>
      <w:r>
        <w:rPr>
          <w:rFonts w:ascii="宋体" w:hAnsi="宋体" w:cs="宋体" w:eastAsia="宋体" w:hint="default"/>
          <w:position w:val="-24"/>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436" w:lineRule="auto" w:before="152"/>
        <w:ind w:left="4441" w:right="107" w:firstLine="0"/>
        <w:jc w:val="left"/>
        <w:rPr>
          <w:rFonts w:ascii="宋体" w:hAnsi="宋体" w:cs="宋体" w:eastAsia="宋体" w:hint="default"/>
          <w:sz w:val="32"/>
          <w:szCs w:val="32"/>
        </w:rPr>
      </w:pPr>
      <w:r>
        <w:rPr>
          <w:rFonts w:ascii="宋体" w:hAnsi="宋体" w:cs="宋体" w:eastAsia="宋体" w:hint="default"/>
          <w:b/>
          <w:bCs/>
          <w:sz w:val="32"/>
          <w:szCs w:val="32"/>
        </w:rPr>
        <w:t>证券代码：</w:t>
      </w:r>
      <w:r>
        <w:rPr>
          <w:rFonts w:ascii="Times New Roman" w:hAnsi="Times New Roman" w:cs="Times New Roman" w:eastAsia="Times New Roman" w:hint="default"/>
          <w:b/>
          <w:bCs/>
          <w:sz w:val="32"/>
          <w:szCs w:val="32"/>
        </w:rPr>
        <w:t>002152</w:t>
      </w:r>
      <w:r>
        <w:rPr>
          <w:rFonts w:ascii="Times New Roman" w:hAnsi="Times New Roman" w:cs="Times New Roman" w:eastAsia="Times New Roman" w:hint="default"/>
          <w:b/>
          <w:bCs/>
          <w:spacing w:val="-1"/>
          <w:w w:val="100"/>
          <w:sz w:val="32"/>
          <w:szCs w:val="32"/>
        </w:rPr>
        <w:t> </w:t>
      </w:r>
      <w:r>
        <w:rPr>
          <w:rFonts w:ascii="宋体" w:hAnsi="宋体" w:cs="宋体" w:eastAsia="宋体" w:hint="default"/>
          <w:b/>
          <w:bCs/>
          <w:sz w:val="32"/>
          <w:szCs w:val="32"/>
        </w:rPr>
        <w:t>证券简称：广电运通</w:t>
      </w:r>
      <w:r>
        <w:rPr>
          <w:rFonts w:ascii="宋体" w:hAnsi="宋体" w:cs="宋体" w:eastAsia="宋体" w:hint="default"/>
          <w:b/>
          <w:bCs/>
          <w:w w:val="99"/>
          <w:sz w:val="32"/>
          <w:szCs w:val="32"/>
        </w:rPr>
        <w:t> </w:t>
      </w:r>
      <w:r>
        <w:rPr>
          <w:rFonts w:ascii="宋体" w:hAnsi="宋体" w:cs="宋体" w:eastAsia="宋体" w:hint="default"/>
          <w:b/>
          <w:bCs/>
          <w:spacing w:val="-13"/>
          <w:sz w:val="32"/>
          <w:szCs w:val="32"/>
        </w:rPr>
        <w:t>披露日期：</w:t>
      </w:r>
      <w:r>
        <w:rPr>
          <w:rFonts w:ascii="Times New Roman" w:hAnsi="Times New Roman" w:cs="Times New Roman" w:eastAsia="Times New Roman" w:hint="default"/>
          <w:b/>
          <w:bCs/>
          <w:spacing w:val="-13"/>
          <w:sz w:val="32"/>
          <w:szCs w:val="32"/>
        </w:rPr>
        <w:t>2009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b/>
          <w:bCs/>
          <w:spacing w:val="-80"/>
          <w:sz w:val="32"/>
          <w:szCs w:val="32"/>
        </w:rPr>
        <w:t> </w:t>
      </w:r>
      <w:r>
        <w:rPr>
          <w:rFonts w:ascii="Times New Roman" w:hAnsi="Times New Roman" w:cs="Times New Roman" w:eastAsia="Times New Roman" w:hint="default"/>
          <w:b/>
          <w:bCs/>
          <w:sz w:val="32"/>
          <w:szCs w:val="32"/>
        </w:rPr>
        <w:t>28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日</w:t>
      </w:r>
      <w:r>
        <w:rPr>
          <w:rFonts w:ascii="宋体" w:hAnsi="宋体" w:cs="宋体" w:eastAsia="宋体" w:hint="default"/>
          <w:sz w:val="32"/>
          <w:szCs w:val="32"/>
        </w:rPr>
      </w:r>
    </w:p>
    <w:p>
      <w:pPr>
        <w:spacing w:after="0" w:line="436" w:lineRule="auto"/>
        <w:jc w:val="left"/>
        <w:rPr>
          <w:rFonts w:ascii="宋体" w:hAnsi="宋体" w:cs="宋体" w:eastAsia="宋体" w:hint="default"/>
          <w:sz w:val="32"/>
          <w:szCs w:val="32"/>
        </w:rPr>
        <w:sectPr>
          <w:type w:val="continuous"/>
          <w:pgSz w:w="11910" w:h="16840"/>
          <w:pgMar w:top="1600" w:bottom="280" w:left="1680" w:right="16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61"/>
        <w:ind w:left="3551" w:right="3607" w:firstLine="0"/>
        <w:jc w:val="center"/>
        <w:rPr>
          <w:rFonts w:ascii="宋体" w:hAnsi="宋体" w:cs="宋体" w:eastAsia="宋体" w:hint="default"/>
          <w:sz w:val="36"/>
          <w:szCs w:val="36"/>
        </w:rPr>
      </w:pPr>
      <w:r>
        <w:rPr>
          <w:rFonts w:ascii="宋体" w:hAnsi="宋体" w:cs="宋体" w:eastAsia="宋体" w:hint="default"/>
          <w:b/>
          <w:bCs/>
          <w:sz w:val="36"/>
          <w:szCs w:val="36"/>
        </w:rPr>
        <w:t>重要提示</w:t>
      </w:r>
      <w:r>
        <w:rPr>
          <w:rFonts w:ascii="宋体" w:hAnsi="宋体" w:cs="宋体" w:eastAsia="宋体" w:hint="default"/>
          <w:sz w:val="36"/>
          <w:szCs w:val="36"/>
        </w:rPr>
      </w:r>
    </w:p>
    <w:p>
      <w:pPr>
        <w:spacing w:line="240" w:lineRule="auto" w:before="7"/>
        <w:rPr>
          <w:rFonts w:ascii="宋体" w:hAnsi="宋体" w:cs="宋体" w:eastAsia="宋体" w:hint="default"/>
          <w:b/>
          <w:bCs/>
          <w:sz w:val="37"/>
          <w:szCs w:val="37"/>
        </w:rPr>
      </w:pPr>
    </w:p>
    <w:p>
      <w:pPr>
        <w:spacing w:line="297" w:lineRule="auto" w:before="0"/>
        <w:ind w:left="140" w:right="197" w:firstLine="560"/>
        <w:jc w:val="both"/>
        <w:rPr>
          <w:rFonts w:ascii="宋体" w:hAnsi="宋体" w:cs="宋体" w:eastAsia="宋体" w:hint="default"/>
          <w:sz w:val="28"/>
          <w:szCs w:val="28"/>
        </w:rPr>
      </w:pPr>
      <w:r>
        <w:rPr>
          <w:rFonts w:ascii="宋体" w:hAnsi="宋体" w:cs="宋体" w:eastAsia="宋体" w:hint="default"/>
          <w:spacing w:val="-4"/>
          <w:sz w:val="28"/>
          <w:szCs w:val="28"/>
        </w:rPr>
        <w:t>公司董事会、监事会及董事、监事、高级管理人员保证本报告所</w:t>
      </w:r>
      <w:r>
        <w:rPr>
          <w:rFonts w:ascii="宋体" w:hAnsi="宋体" w:cs="宋体" w:eastAsia="宋体" w:hint="default"/>
          <w:w w:val="99"/>
          <w:sz w:val="28"/>
          <w:szCs w:val="28"/>
        </w:rPr>
        <w:t> </w:t>
      </w:r>
      <w:r>
        <w:rPr>
          <w:rFonts w:ascii="宋体" w:hAnsi="宋体" w:cs="宋体" w:eastAsia="宋体" w:hint="default"/>
          <w:spacing w:val="-4"/>
          <w:sz w:val="28"/>
          <w:szCs w:val="28"/>
        </w:rPr>
        <w:t>载资料不存在任何虚假记载、误导性陈述或者重大遗漏，并对其内容</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z w:val="28"/>
          <w:szCs w:val="28"/>
        </w:rPr>
        <w:t>的真实性、准确性和完整性承担个别及连带责任。</w:t>
      </w:r>
    </w:p>
    <w:p>
      <w:pPr>
        <w:spacing w:line="240" w:lineRule="auto" w:before="1"/>
        <w:rPr>
          <w:rFonts w:ascii="宋体" w:hAnsi="宋体" w:cs="宋体" w:eastAsia="宋体" w:hint="default"/>
          <w:sz w:val="29"/>
          <w:szCs w:val="29"/>
        </w:rPr>
      </w:pPr>
    </w:p>
    <w:p>
      <w:pPr>
        <w:spacing w:line="297" w:lineRule="auto" w:before="0"/>
        <w:ind w:left="140" w:right="104" w:firstLine="560"/>
        <w:jc w:val="both"/>
        <w:rPr>
          <w:rFonts w:ascii="宋体" w:hAnsi="宋体" w:cs="宋体" w:eastAsia="宋体" w:hint="default"/>
          <w:sz w:val="28"/>
          <w:szCs w:val="28"/>
        </w:rPr>
      </w:pPr>
      <w:r>
        <w:rPr>
          <w:rFonts w:ascii="宋体" w:hAnsi="宋体" w:cs="宋体" w:eastAsia="宋体" w:hint="default"/>
          <w:sz w:val="28"/>
          <w:szCs w:val="28"/>
        </w:rPr>
        <w:t>没有董事、监事、高级管理人员声明对年度报告内容的真实性、</w:t>
      </w:r>
      <w:r>
        <w:rPr>
          <w:rFonts w:ascii="宋体" w:hAnsi="宋体" w:cs="宋体" w:eastAsia="宋体" w:hint="default"/>
          <w:w w:val="99"/>
          <w:sz w:val="28"/>
          <w:szCs w:val="28"/>
        </w:rPr>
        <w:t> </w:t>
      </w:r>
      <w:r>
        <w:rPr>
          <w:rFonts w:ascii="宋体" w:hAnsi="宋体" w:cs="宋体" w:eastAsia="宋体" w:hint="default"/>
          <w:sz w:val="28"/>
          <w:szCs w:val="28"/>
        </w:rPr>
        <w:t>准确性和完整性无法保证或存在异议。</w:t>
      </w:r>
    </w:p>
    <w:p>
      <w:pPr>
        <w:spacing w:line="814" w:lineRule="exact" w:before="56"/>
        <w:ind w:left="700" w:right="190" w:firstLine="0"/>
        <w:jc w:val="left"/>
        <w:rPr>
          <w:rFonts w:ascii="宋体" w:hAnsi="宋体" w:cs="宋体" w:eastAsia="宋体" w:hint="default"/>
          <w:sz w:val="28"/>
          <w:szCs w:val="28"/>
        </w:rPr>
      </w:pPr>
      <w:r>
        <w:rPr>
          <w:rFonts w:ascii="宋体" w:hAnsi="宋体" w:cs="宋体" w:eastAsia="宋体" w:hint="default"/>
          <w:sz w:val="28"/>
          <w:szCs w:val="28"/>
        </w:rPr>
        <w:t>公司全体董事亲自出席了本次审议年度报告的董事会。</w:t>
      </w:r>
      <w:r>
        <w:rPr>
          <w:rFonts w:ascii="宋体" w:hAnsi="宋体" w:cs="宋体" w:eastAsia="宋体" w:hint="default"/>
          <w:w w:val="99"/>
          <w:sz w:val="28"/>
          <w:szCs w:val="28"/>
        </w:rPr>
        <w:t> </w:t>
      </w:r>
      <w:r>
        <w:rPr>
          <w:rFonts w:ascii="宋体" w:hAnsi="宋体" w:cs="宋体" w:eastAsia="宋体" w:hint="default"/>
          <w:sz w:val="28"/>
          <w:szCs w:val="28"/>
        </w:rPr>
        <w:t>立信羊城会计师事务所有限公司为公司 </w:t>
      </w:r>
      <w:r>
        <w:rPr>
          <w:rFonts w:ascii="Times New Roman" w:hAnsi="Times New Roman" w:cs="Times New Roman" w:eastAsia="Times New Roman" w:hint="default"/>
          <w:sz w:val="28"/>
          <w:szCs w:val="28"/>
        </w:rPr>
        <w:t>2008</w:t>
      </w:r>
      <w:r>
        <w:rPr>
          <w:rFonts w:ascii="Times New Roman" w:hAnsi="Times New Roman" w:cs="Times New Roman" w:eastAsia="Times New Roman" w:hint="default"/>
          <w:spacing w:val="-36"/>
          <w:sz w:val="28"/>
          <w:szCs w:val="28"/>
        </w:rPr>
        <w:t> </w:t>
      </w:r>
      <w:r>
        <w:rPr>
          <w:rFonts w:ascii="宋体" w:hAnsi="宋体" w:cs="宋体" w:eastAsia="宋体" w:hint="default"/>
          <w:sz w:val="28"/>
          <w:szCs w:val="28"/>
        </w:rPr>
        <w:t>年度财务报告出具</w:t>
      </w:r>
    </w:p>
    <w:p>
      <w:pPr>
        <w:spacing w:line="330" w:lineRule="exact" w:before="0"/>
        <w:ind w:left="140" w:right="190" w:firstLine="0"/>
        <w:jc w:val="left"/>
        <w:rPr>
          <w:rFonts w:ascii="宋体" w:hAnsi="宋体" w:cs="宋体" w:eastAsia="宋体" w:hint="default"/>
          <w:sz w:val="28"/>
          <w:szCs w:val="28"/>
        </w:rPr>
      </w:pPr>
      <w:r>
        <w:rPr>
          <w:rFonts w:ascii="宋体" w:hAnsi="宋体" w:cs="宋体" w:eastAsia="宋体" w:hint="default"/>
          <w:sz w:val="28"/>
          <w:szCs w:val="28"/>
        </w:rPr>
        <w:t>了标准无保留意见的审计报告。</w:t>
      </w:r>
    </w:p>
    <w:p>
      <w:pPr>
        <w:spacing w:line="240" w:lineRule="auto" w:before="3"/>
        <w:rPr>
          <w:rFonts w:ascii="宋体" w:hAnsi="宋体" w:cs="宋体" w:eastAsia="宋体" w:hint="default"/>
          <w:sz w:val="34"/>
          <w:szCs w:val="34"/>
        </w:rPr>
      </w:pPr>
    </w:p>
    <w:p>
      <w:pPr>
        <w:spacing w:line="297" w:lineRule="auto" w:before="0"/>
        <w:ind w:left="140" w:right="197" w:firstLine="560"/>
        <w:jc w:val="both"/>
        <w:rPr>
          <w:rFonts w:ascii="宋体" w:hAnsi="宋体" w:cs="宋体" w:eastAsia="宋体" w:hint="default"/>
          <w:sz w:val="28"/>
          <w:szCs w:val="28"/>
        </w:rPr>
      </w:pPr>
      <w:r>
        <w:rPr>
          <w:rFonts w:ascii="宋体" w:hAnsi="宋体" w:cs="宋体" w:eastAsia="宋体" w:hint="default"/>
          <w:spacing w:val="-4"/>
          <w:sz w:val="28"/>
          <w:szCs w:val="28"/>
        </w:rPr>
        <w:t>公司董事长赵友永先生、财务负责人蒋春晨先生及会计机构负责</w:t>
      </w:r>
      <w:r>
        <w:rPr>
          <w:rFonts w:ascii="宋体" w:hAnsi="宋体" w:cs="宋体" w:eastAsia="宋体" w:hint="default"/>
          <w:w w:val="99"/>
          <w:sz w:val="28"/>
          <w:szCs w:val="28"/>
        </w:rPr>
        <w:t> </w:t>
      </w:r>
      <w:r>
        <w:rPr>
          <w:rFonts w:ascii="宋体" w:hAnsi="宋体" w:cs="宋体" w:eastAsia="宋体" w:hint="default"/>
          <w:spacing w:val="-4"/>
          <w:sz w:val="28"/>
          <w:szCs w:val="28"/>
        </w:rPr>
        <w:t>人（会计主管人员）符昀先生声明：保证本年度报告中财务报告的真</w:t>
      </w:r>
      <w:r>
        <w:rPr>
          <w:rFonts w:ascii="宋体" w:hAnsi="宋体" w:cs="宋体" w:eastAsia="宋体" w:hint="default"/>
          <w:spacing w:val="-128"/>
          <w:sz w:val="28"/>
          <w:szCs w:val="28"/>
        </w:rPr>
        <w:t> </w:t>
      </w:r>
      <w:r>
        <w:rPr>
          <w:rFonts w:ascii="宋体" w:hAnsi="宋体" w:cs="宋体" w:eastAsia="宋体" w:hint="default"/>
          <w:spacing w:val="-128"/>
          <w:sz w:val="28"/>
          <w:szCs w:val="28"/>
        </w:rPr>
      </w:r>
      <w:r>
        <w:rPr>
          <w:rFonts w:ascii="宋体" w:hAnsi="宋体" w:cs="宋体" w:eastAsia="宋体" w:hint="default"/>
          <w:sz w:val="28"/>
          <w:szCs w:val="28"/>
        </w:rPr>
        <w:t>实、完整。</w:t>
      </w:r>
    </w:p>
    <w:p>
      <w:pPr>
        <w:spacing w:after="0" w:line="297" w:lineRule="auto"/>
        <w:jc w:val="both"/>
        <w:rPr>
          <w:rFonts w:ascii="宋体" w:hAnsi="宋体" w:cs="宋体" w:eastAsia="宋体" w:hint="default"/>
          <w:sz w:val="28"/>
          <w:szCs w:val="28"/>
        </w:rPr>
        <w:sectPr>
          <w:headerReference w:type="default" r:id="rId6"/>
          <w:footerReference w:type="default" r:id="rId7"/>
          <w:pgSz w:w="11910" w:h="16840"/>
          <w:pgMar w:header="400" w:footer="982" w:top="1100" w:bottom="1180" w:left="1660" w:right="160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tabs>
          <w:tab w:pos="963" w:val="left" w:leader="none"/>
        </w:tabs>
        <w:spacing w:line="580" w:lineRule="exact" w:before="0"/>
        <w:ind w:left="0" w:right="377" w:firstLine="0"/>
        <w:jc w:val="center"/>
        <w:rPr>
          <w:rFonts w:ascii="宋体" w:hAnsi="宋体" w:cs="宋体" w:eastAsia="宋体" w:hint="default"/>
          <w:sz w:val="48"/>
          <w:szCs w:val="48"/>
        </w:rPr>
      </w:pPr>
      <w:r>
        <w:rPr>
          <w:rFonts w:ascii="宋体" w:hAnsi="宋体" w:cs="宋体" w:eastAsia="宋体" w:hint="default"/>
          <w:b/>
          <w:bCs/>
          <w:w w:val="95"/>
          <w:sz w:val="48"/>
          <w:szCs w:val="48"/>
        </w:rPr>
        <w:t>目</w:t>
        <w:tab/>
      </w:r>
      <w:r>
        <w:rPr>
          <w:rFonts w:ascii="宋体" w:hAnsi="宋体" w:cs="宋体" w:eastAsia="宋体" w:hint="default"/>
          <w:b/>
          <w:bCs/>
          <w:sz w:val="48"/>
          <w:szCs w:val="48"/>
        </w:rPr>
        <w:t>录</w:t>
      </w:r>
      <w:r>
        <w:rPr>
          <w:rFonts w:ascii="宋体" w:hAnsi="宋体" w:cs="宋体" w:eastAsia="宋体" w:hint="default"/>
          <w:sz w:val="48"/>
          <w:szCs w:val="48"/>
        </w:rPr>
      </w:r>
    </w:p>
    <w:sdt>
      <w:sdtPr>
        <w:docPartObj>
          <w:docPartGallery w:val="Table of Contents"/>
          <w:docPartUnique/>
        </w:docPartObj>
      </w:sdtPr>
      <w:sdtEndPr/>
      <w:sdtContent>
        <w:p>
          <w:pPr>
            <w:pStyle w:val="TOC1"/>
            <w:tabs>
              <w:tab w:pos="8859" w:val="right" w:leader="dot"/>
            </w:tabs>
            <w:spacing w:line="240" w:lineRule="auto" w:before="812"/>
            <w:ind w:right="0"/>
            <w:jc w:val="left"/>
            <w:rPr>
              <w:rFonts w:ascii="Times New Roman" w:hAnsi="Times New Roman" w:cs="Times New Roman" w:eastAsia="Times New Roman" w:hint="default"/>
            </w:rPr>
          </w:pPr>
          <w:hyperlink w:history="true" w:anchor="_bookmark0">
            <w:r>
              <w:rPr/>
              <w:t>第一节</w:t>
            </w:r>
          </w:hyperlink>
          <w:r>
            <w:rPr>
              <w:spacing w:val="-3"/>
            </w:rPr>
            <w:t> </w:t>
          </w:r>
          <w:hyperlink w:history="true" w:anchor="_bookmark0">
            <w:r>
              <w:rPr/>
              <w:t>公司基本情况简介</w:t>
            </w:r>
          </w:hyperlink>
          <w:hyperlink w:history="true" w:anchor="_bookmark0">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0">
            <w:r>
              <w:rPr>
                <w:rFonts w:ascii="Times New Roman" w:hAnsi="Times New Roman" w:cs="Times New Roman" w:eastAsia="Times New Roman" w:hint="default"/>
              </w:rPr>
              <w:t>3</w:t>
            </w:r>
          </w:hyperlink>
        </w:p>
        <w:p>
          <w:pPr>
            <w:pStyle w:val="TOC1"/>
            <w:tabs>
              <w:tab w:pos="8859" w:val="right" w:leader="dot"/>
            </w:tabs>
            <w:spacing w:line="240" w:lineRule="auto"/>
            <w:ind w:right="0"/>
            <w:jc w:val="left"/>
            <w:rPr>
              <w:rFonts w:ascii="Times New Roman" w:hAnsi="Times New Roman" w:cs="Times New Roman" w:eastAsia="Times New Roman" w:hint="default"/>
            </w:rPr>
          </w:pPr>
          <w:hyperlink w:history="true" w:anchor="_bookmark1">
            <w:r>
              <w:rPr/>
              <w:t>第二节</w:t>
            </w:r>
          </w:hyperlink>
          <w:r>
            <w:rPr>
              <w:spacing w:val="-3"/>
            </w:rPr>
            <w:t> </w:t>
          </w:r>
          <w:hyperlink w:history="true" w:anchor="_bookmark1">
            <w:r>
              <w:rPr/>
              <w:t>会计数据和业务数据摘要</w:t>
            </w:r>
          </w:hyperlink>
          <w:hyperlink w:history="true" w:anchor="_bookmark1">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1">
            <w:r>
              <w:rPr>
                <w:rFonts w:ascii="Times New Roman" w:hAnsi="Times New Roman" w:cs="Times New Roman" w:eastAsia="Times New Roman" w:hint="default"/>
              </w:rPr>
              <w:t>4</w:t>
            </w:r>
          </w:hyperlink>
        </w:p>
        <w:p>
          <w:pPr>
            <w:pStyle w:val="TOC1"/>
            <w:tabs>
              <w:tab w:pos="8859" w:val="right" w:leader="dot"/>
            </w:tabs>
            <w:spacing w:line="240" w:lineRule="auto" w:before="178"/>
            <w:ind w:right="0"/>
            <w:jc w:val="left"/>
            <w:rPr>
              <w:rFonts w:ascii="Times New Roman" w:hAnsi="Times New Roman" w:cs="Times New Roman" w:eastAsia="Times New Roman" w:hint="default"/>
            </w:rPr>
          </w:pPr>
          <w:hyperlink w:history="true" w:anchor="_bookmark2">
            <w:r>
              <w:rPr/>
              <w:t>第三节</w:t>
            </w:r>
          </w:hyperlink>
          <w:r>
            <w:rPr>
              <w:spacing w:val="-3"/>
            </w:rPr>
            <w:t> </w:t>
          </w:r>
          <w:hyperlink w:history="true" w:anchor="_bookmark2">
            <w:r>
              <w:rPr/>
              <w:t>股本变动及股东情况</w:t>
            </w:r>
          </w:hyperlink>
          <w:hyperlink w:history="true" w:anchor="_bookmark2">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2">
            <w:r>
              <w:rPr>
                <w:rFonts w:ascii="Times New Roman" w:hAnsi="Times New Roman" w:cs="Times New Roman" w:eastAsia="Times New Roman" w:hint="default"/>
              </w:rPr>
              <w:t>6</w:t>
            </w:r>
          </w:hyperlink>
        </w:p>
        <w:p>
          <w:pPr>
            <w:pStyle w:val="TOC1"/>
            <w:tabs>
              <w:tab w:pos="8859" w:val="right" w:leader="dot"/>
            </w:tabs>
            <w:spacing w:line="240" w:lineRule="auto"/>
            <w:ind w:right="0"/>
            <w:jc w:val="left"/>
            <w:rPr>
              <w:rFonts w:ascii="Times New Roman" w:hAnsi="Times New Roman" w:cs="Times New Roman" w:eastAsia="Times New Roman" w:hint="default"/>
            </w:rPr>
          </w:pPr>
          <w:hyperlink w:history="true" w:anchor="_bookmark3">
            <w:r>
              <w:rPr/>
              <w:t>第四节</w:t>
            </w:r>
          </w:hyperlink>
          <w:r>
            <w:rPr>
              <w:spacing w:val="-3"/>
            </w:rPr>
            <w:t> </w:t>
          </w:r>
          <w:hyperlink w:history="true" w:anchor="_bookmark3">
            <w:r>
              <w:rPr/>
              <w:t>董事、监事、高级管理人员和员工情况</w:t>
            </w:r>
          </w:hyperlink>
          <w:hyperlink w:history="true" w:anchor="_bookmark3">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3">
            <w:r>
              <w:rPr>
                <w:rFonts w:ascii="Times New Roman" w:hAnsi="Times New Roman" w:cs="Times New Roman" w:eastAsia="Times New Roman" w:hint="default"/>
              </w:rPr>
              <w:t>9</w:t>
            </w:r>
          </w:hyperlink>
        </w:p>
        <w:p>
          <w:pPr>
            <w:pStyle w:val="TOC1"/>
            <w:tabs>
              <w:tab w:pos="8860" w:val="right" w:leader="dot"/>
            </w:tabs>
            <w:spacing w:line="240" w:lineRule="auto"/>
            <w:ind w:right="0"/>
            <w:jc w:val="left"/>
            <w:rPr>
              <w:rFonts w:ascii="Times New Roman" w:hAnsi="Times New Roman" w:cs="Times New Roman" w:eastAsia="Times New Roman" w:hint="default"/>
            </w:rPr>
          </w:pPr>
          <w:hyperlink w:history="true" w:anchor="_bookmark4">
            <w:r>
              <w:rPr/>
              <w:t>第五节</w:t>
            </w:r>
          </w:hyperlink>
          <w:r>
            <w:rPr>
              <w:spacing w:val="-3"/>
            </w:rPr>
            <w:t> </w:t>
          </w:r>
          <w:hyperlink w:history="true" w:anchor="_bookmark4">
            <w:r>
              <w:rPr/>
              <w:t>公司治理结构</w:t>
            </w:r>
          </w:hyperlink>
          <w:hyperlink w:history="true" w:anchor="_bookmark4">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4">
            <w:r>
              <w:rPr>
                <w:rFonts w:ascii="Times New Roman" w:hAnsi="Times New Roman" w:cs="Times New Roman" w:eastAsia="Times New Roman" w:hint="default"/>
              </w:rPr>
              <w:t>15</w:t>
            </w:r>
          </w:hyperlink>
        </w:p>
        <w:p>
          <w:pPr>
            <w:pStyle w:val="TOC1"/>
            <w:tabs>
              <w:tab w:pos="8860" w:val="right" w:leader="dot"/>
            </w:tabs>
            <w:spacing w:line="240" w:lineRule="auto"/>
            <w:ind w:right="0"/>
            <w:jc w:val="left"/>
            <w:rPr>
              <w:rFonts w:ascii="Times New Roman" w:hAnsi="Times New Roman" w:cs="Times New Roman" w:eastAsia="Times New Roman" w:hint="default"/>
            </w:rPr>
          </w:pPr>
          <w:hyperlink w:history="true" w:anchor="_bookmark5">
            <w:r>
              <w:rPr/>
              <w:t>第六节</w:t>
            </w:r>
          </w:hyperlink>
          <w:r>
            <w:rPr>
              <w:spacing w:val="-3"/>
            </w:rPr>
            <w:t> </w:t>
          </w:r>
          <w:hyperlink w:history="true" w:anchor="_bookmark5">
            <w:r>
              <w:rPr/>
              <w:t>股东大会情况简介</w:t>
            </w:r>
          </w:hyperlink>
          <w:hyperlink w:history="true" w:anchor="_bookmark5">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5">
            <w:r>
              <w:rPr>
                <w:rFonts w:ascii="Times New Roman" w:hAnsi="Times New Roman" w:cs="Times New Roman" w:eastAsia="Times New Roman" w:hint="default"/>
              </w:rPr>
              <w:t>23</w:t>
            </w:r>
          </w:hyperlink>
        </w:p>
        <w:p>
          <w:pPr>
            <w:pStyle w:val="TOC1"/>
            <w:tabs>
              <w:tab w:pos="8860" w:val="right" w:leader="dot"/>
            </w:tabs>
            <w:spacing w:line="240" w:lineRule="auto" w:before="178"/>
            <w:ind w:right="0"/>
            <w:jc w:val="left"/>
            <w:rPr>
              <w:rFonts w:ascii="Times New Roman" w:hAnsi="Times New Roman" w:cs="Times New Roman" w:eastAsia="Times New Roman" w:hint="default"/>
            </w:rPr>
          </w:pPr>
          <w:hyperlink w:history="true" w:anchor="_bookmark6">
            <w:r>
              <w:rPr/>
              <w:t>第七节</w:t>
            </w:r>
          </w:hyperlink>
          <w:r>
            <w:rPr>
              <w:spacing w:val="-3"/>
            </w:rPr>
            <w:t> </w:t>
          </w:r>
          <w:hyperlink w:history="true" w:anchor="_bookmark6">
            <w:r>
              <w:rPr/>
              <w:t>董事会报告</w:t>
            </w:r>
          </w:hyperlink>
          <w:hyperlink w:history="true" w:anchor="_bookmark6">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6">
            <w:r>
              <w:rPr>
                <w:rFonts w:ascii="Times New Roman" w:hAnsi="Times New Roman" w:cs="Times New Roman" w:eastAsia="Times New Roman" w:hint="default"/>
              </w:rPr>
              <w:t>24</w:t>
            </w:r>
          </w:hyperlink>
        </w:p>
        <w:p>
          <w:pPr>
            <w:pStyle w:val="TOC1"/>
            <w:tabs>
              <w:tab w:pos="8860" w:val="right" w:leader="dot"/>
            </w:tabs>
            <w:spacing w:line="240" w:lineRule="auto"/>
            <w:ind w:right="0"/>
            <w:jc w:val="left"/>
            <w:rPr>
              <w:rFonts w:ascii="Times New Roman" w:hAnsi="Times New Roman" w:cs="Times New Roman" w:eastAsia="Times New Roman" w:hint="default"/>
            </w:rPr>
          </w:pPr>
          <w:hyperlink w:history="true" w:anchor="_bookmark7">
            <w:r>
              <w:rPr/>
              <w:t>第八节</w:t>
            </w:r>
          </w:hyperlink>
          <w:r>
            <w:rPr>
              <w:spacing w:val="-3"/>
            </w:rPr>
            <w:t> </w:t>
          </w:r>
          <w:hyperlink w:history="true" w:anchor="_bookmark7">
            <w:r>
              <w:rPr/>
              <w:t>监事会报告</w:t>
            </w:r>
          </w:hyperlink>
          <w:hyperlink w:history="true" w:anchor="_bookmark7">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7">
            <w:r>
              <w:rPr>
                <w:rFonts w:ascii="Times New Roman" w:hAnsi="Times New Roman" w:cs="Times New Roman" w:eastAsia="Times New Roman" w:hint="default"/>
              </w:rPr>
              <w:t>48</w:t>
            </w:r>
          </w:hyperlink>
        </w:p>
        <w:p>
          <w:pPr>
            <w:pStyle w:val="TOC1"/>
            <w:tabs>
              <w:tab w:pos="8860" w:val="right" w:leader="dot"/>
            </w:tabs>
            <w:spacing w:line="240" w:lineRule="auto"/>
            <w:ind w:right="0"/>
            <w:jc w:val="left"/>
            <w:rPr>
              <w:rFonts w:ascii="Times New Roman" w:hAnsi="Times New Roman" w:cs="Times New Roman" w:eastAsia="Times New Roman" w:hint="default"/>
            </w:rPr>
          </w:pPr>
          <w:hyperlink w:history="true" w:anchor="_bookmark8">
            <w:r>
              <w:rPr/>
              <w:t>第九节</w:t>
            </w:r>
          </w:hyperlink>
          <w:r>
            <w:rPr>
              <w:spacing w:val="-2"/>
            </w:rPr>
            <w:t> </w:t>
          </w:r>
          <w:hyperlink w:history="true" w:anchor="_bookmark8">
            <w:r>
              <w:rPr/>
              <w:t>重要事项</w:t>
            </w:r>
          </w:hyperlink>
          <w:hyperlink w:history="true" w:anchor="_bookmark8">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8">
            <w:r>
              <w:rPr>
                <w:rFonts w:ascii="Times New Roman" w:hAnsi="Times New Roman" w:cs="Times New Roman" w:eastAsia="Times New Roman" w:hint="default"/>
              </w:rPr>
              <w:t>50</w:t>
            </w:r>
          </w:hyperlink>
        </w:p>
        <w:p>
          <w:pPr>
            <w:pStyle w:val="TOC1"/>
            <w:tabs>
              <w:tab w:pos="8860" w:val="right" w:leader="dot"/>
            </w:tabs>
            <w:spacing w:line="240" w:lineRule="auto"/>
            <w:ind w:right="0"/>
            <w:jc w:val="left"/>
            <w:rPr>
              <w:rFonts w:ascii="Times New Roman" w:hAnsi="Times New Roman" w:cs="Times New Roman" w:eastAsia="Times New Roman" w:hint="default"/>
            </w:rPr>
          </w:pPr>
          <w:hyperlink w:history="true" w:anchor="_bookmark9">
            <w:r>
              <w:rPr/>
              <w:t>第十节</w:t>
            </w:r>
          </w:hyperlink>
          <w:r>
            <w:rPr>
              <w:spacing w:val="-2"/>
            </w:rPr>
            <w:t> </w:t>
          </w:r>
          <w:hyperlink w:history="true" w:anchor="_bookmark9">
            <w:r>
              <w:rPr/>
              <w:t>财务报告</w:t>
            </w:r>
          </w:hyperlink>
          <w:hyperlink w:history="true" w:anchor="_bookmark9">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9">
            <w:r>
              <w:rPr>
                <w:rFonts w:ascii="Times New Roman" w:hAnsi="Times New Roman" w:cs="Times New Roman" w:eastAsia="Times New Roman" w:hint="default"/>
              </w:rPr>
              <w:t>59</w:t>
            </w:r>
          </w:hyperlink>
        </w:p>
        <w:p>
          <w:pPr>
            <w:pStyle w:val="TOC1"/>
            <w:tabs>
              <w:tab w:pos="8859" w:val="right" w:leader="dot"/>
            </w:tabs>
            <w:spacing w:line="240" w:lineRule="auto" w:before="178"/>
            <w:ind w:right="0"/>
            <w:jc w:val="left"/>
            <w:rPr>
              <w:rFonts w:ascii="Times New Roman" w:hAnsi="Times New Roman" w:cs="Times New Roman" w:eastAsia="Times New Roman" w:hint="default"/>
            </w:rPr>
          </w:pPr>
          <w:hyperlink w:history="true" w:anchor="_bookmark10">
            <w:r>
              <w:rPr/>
              <w:t>第十一节</w:t>
            </w:r>
          </w:hyperlink>
          <w:r>
            <w:rPr>
              <w:spacing w:val="-1"/>
            </w:rPr>
            <w:t> </w:t>
          </w:r>
          <w:hyperlink w:history="true" w:anchor="_bookmark10">
            <w:r>
              <w:rPr/>
              <w:t>备查文件目录</w:t>
            </w:r>
          </w:hyperlink>
          <w:hyperlink w:history="true" w:anchor="_bookmark10">
            <w:r>
              <w:rPr>
                <w:rFonts w:ascii="Times New Roman" w:hAnsi="Times New Roman" w:cs="Times New Roman" w:eastAsia="Times New Roman" w:hint="default"/>
              </w:rPr>
            </w:r>
          </w:hyperlink>
          <w:r>
            <w:rPr>
              <w:rFonts w:ascii="Times New Roman" w:hAnsi="Times New Roman" w:cs="Times New Roman" w:eastAsia="Times New Roman" w:hint="default"/>
            </w:rPr>
            <w:tab/>
          </w:r>
          <w:hyperlink w:history="true" w:anchor="_bookmark10">
            <w:r>
              <w:rPr>
                <w:rFonts w:ascii="Times New Roman" w:hAnsi="Times New Roman" w:cs="Times New Roman" w:eastAsia="Times New Roman" w:hint="default"/>
                <w:spacing w:val="-5"/>
              </w:rPr>
              <w:t>117</w:t>
            </w:r>
          </w:hyperlink>
        </w:p>
      </w:sdtContent>
    </w:sdt>
    <w:p>
      <w:pPr>
        <w:spacing w:after="0" w:line="240" w:lineRule="auto"/>
        <w:jc w:val="left"/>
        <w:rPr>
          <w:rFonts w:ascii="Times New Roman" w:hAnsi="Times New Roman" w:cs="Times New Roman" w:eastAsia="Times New Roman" w:hint="default"/>
        </w:rPr>
        <w:sectPr>
          <w:pgSz w:w="11910" w:h="16840"/>
          <w:pgMar w:header="400" w:footer="982" w:top="1100" w:bottom="1180" w:left="1660" w:right="1280"/>
        </w:sect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pStyle w:val="Heading1"/>
        <w:spacing w:line="240" w:lineRule="auto" w:before="272"/>
        <w:ind w:right="1090"/>
        <w:jc w:val="left"/>
        <w:rPr>
          <w:b w:val="0"/>
          <w:bCs w:val="0"/>
        </w:rPr>
      </w:pPr>
      <w:bookmarkStart w:name="_bookmark0" w:id="1"/>
      <w:bookmarkEnd w:id="1"/>
      <w:r>
        <w:rPr>
          <w:b w:val="0"/>
          <w:bCs w:val="0"/>
        </w:rPr>
      </w:r>
      <w:r>
        <w:rPr/>
        <w:t>第一节</w:t>
      </w:r>
      <w:r>
        <w:rPr>
          <w:spacing w:val="-9"/>
        </w:rPr>
        <w:t> </w:t>
      </w:r>
      <w:r>
        <w:rPr/>
        <w:t>公司基本情况简介</w:t>
      </w:r>
      <w:r>
        <w:rPr>
          <w:b w:val="0"/>
          <w:bCs w:val="0"/>
        </w:rPr>
      </w:r>
    </w:p>
    <w:p>
      <w:pPr>
        <w:spacing w:line="240" w:lineRule="auto" w:before="3"/>
        <w:rPr>
          <w:rFonts w:ascii="宋体" w:hAnsi="宋体" w:cs="宋体" w:eastAsia="宋体" w:hint="default"/>
          <w:b/>
          <w:bCs/>
          <w:sz w:val="39"/>
          <w:szCs w:val="39"/>
        </w:rPr>
      </w:pPr>
    </w:p>
    <w:p>
      <w:pPr>
        <w:pStyle w:val="BodyText"/>
        <w:spacing w:line="297" w:lineRule="auto" w:before="0"/>
        <w:ind w:left="560" w:right="3174" w:hanging="420"/>
        <w:jc w:val="left"/>
      </w:pPr>
      <w:r>
        <w:rPr/>
        <w:t>一、公司中文名称：广州广电运通金融电子股份有限公司 公司中文简称：广电运通</w:t>
      </w:r>
    </w:p>
    <w:p>
      <w:pPr>
        <w:pStyle w:val="BodyText"/>
        <w:spacing w:line="240" w:lineRule="auto" w:before="15"/>
        <w:ind w:left="560" w:right="1090"/>
        <w:jc w:val="left"/>
        <w:rPr>
          <w:rFonts w:ascii="Times New Roman" w:hAnsi="Times New Roman" w:cs="Times New Roman" w:eastAsia="Times New Roman" w:hint="default"/>
        </w:rPr>
      </w:pPr>
      <w:r>
        <w:rPr/>
        <w:t>公司英文名称：</w:t>
      </w:r>
      <w:r>
        <w:rPr>
          <w:rFonts w:ascii="Times New Roman" w:hAnsi="Times New Roman" w:cs="Times New Roman" w:eastAsia="Times New Roman" w:hint="default"/>
        </w:rPr>
        <w:t>GRG Banking Equipment Co.,</w:t>
      </w:r>
      <w:r>
        <w:rPr>
          <w:rFonts w:ascii="Times New Roman" w:hAnsi="Times New Roman" w:cs="Times New Roman" w:eastAsia="Times New Roman" w:hint="default"/>
          <w:spacing w:val="-12"/>
        </w:rPr>
        <w:t> </w:t>
      </w:r>
      <w:r>
        <w:rPr>
          <w:rFonts w:ascii="Times New Roman" w:hAnsi="Times New Roman" w:cs="Times New Roman" w:eastAsia="Times New Roman" w:hint="default"/>
        </w:rPr>
        <w:t>Ltd.</w:t>
      </w:r>
    </w:p>
    <w:p>
      <w:pPr>
        <w:pStyle w:val="BodyText"/>
        <w:spacing w:line="544" w:lineRule="auto" w:before="49"/>
        <w:ind w:right="5329" w:firstLine="420"/>
        <w:jc w:val="left"/>
      </w:pPr>
      <w:r>
        <w:rPr/>
        <w:pict>
          <v:shape style="position:absolute;margin-left:102.839996pt;margin-top:85.512466pt;width:389.85pt;height:85.2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48"/>
                    <w:gridCol w:w="3763"/>
                    <w:gridCol w:w="2471"/>
                  </w:tblGrid>
                  <w:tr>
                    <w:trPr>
                      <w:trHeight w:val="282" w:hRule="exact"/>
                    </w:trPr>
                    <w:tc>
                      <w:tcPr>
                        <w:tcW w:w="1548"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37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董事会秘书兼投资者关系管理负责人</w:t>
                        </w:r>
                      </w:p>
                    </w:tc>
                    <w:tc>
                      <w:tcPr>
                        <w:tcW w:w="24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2"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763"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任</w:t>
                          <w:tab/>
                          <w:t>斌</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陈春田</w:t>
                        </w:r>
                      </w:p>
                    </w:tc>
                  </w:tr>
                  <w:tr>
                    <w:trPr>
                      <w:trHeight w:val="282"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325" w:right="0"/>
                          <w:jc w:val="left"/>
                          <w:rPr>
                            <w:rFonts w:ascii="宋体" w:hAnsi="宋体" w:cs="宋体" w:eastAsia="宋体" w:hint="default"/>
                            <w:sz w:val="21"/>
                            <w:szCs w:val="21"/>
                          </w:rPr>
                        </w:pPr>
                        <w:r>
                          <w:rPr>
                            <w:rFonts w:ascii="宋体" w:hAnsi="宋体" w:cs="宋体" w:eastAsia="宋体" w:hint="default"/>
                            <w:sz w:val="21"/>
                            <w:szCs w:val="21"/>
                          </w:rPr>
                          <w:t>广州市天河区黄埔大道西平云路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283"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78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020-38696517</w:t>
                        </w:r>
                        <w:r>
                          <w:rPr>
                            <w:rFonts w:ascii="宋体" w:hAnsi="宋体" w:cs="宋体" w:eastAsia="宋体" w:hint="default"/>
                            <w:sz w:val="21"/>
                            <w:szCs w:val="21"/>
                          </w:rPr>
                          <w:t>；</w:t>
                        </w:r>
                        <w:r>
                          <w:rPr>
                            <w:rFonts w:ascii="Times New Roman" w:hAnsi="Times New Roman" w:cs="Times New Roman" w:eastAsia="Times New Roman" w:hint="default"/>
                            <w:sz w:val="21"/>
                            <w:szCs w:val="21"/>
                          </w:rPr>
                          <w:t>020-38698900</w:t>
                        </w:r>
                      </w:p>
                    </w:tc>
                  </w:tr>
                  <w:tr>
                    <w:trPr>
                      <w:trHeight w:val="282"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020-38696517</w:t>
                        </w:r>
                      </w:p>
                    </w:tc>
                  </w:tr>
                  <w:tr>
                    <w:trPr>
                      <w:trHeight w:val="283"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34" w:right="0"/>
                          <w:jc w:val="left"/>
                          <w:rPr>
                            <w:rFonts w:ascii="Times New Roman" w:hAnsi="Times New Roman" w:cs="Times New Roman" w:eastAsia="Times New Roman" w:hint="default"/>
                            <w:sz w:val="21"/>
                            <w:szCs w:val="21"/>
                          </w:rPr>
                        </w:pPr>
                        <w:hyperlink r:id="rId8">
                          <w:r>
                            <w:rPr>
                              <w:rFonts w:ascii="Times New Roman"/>
                              <w:sz w:val="21"/>
                            </w:rPr>
                            <w:t>securities@grgbanking.com</w:t>
                          </w:r>
                        </w:hyperlink>
                      </w:p>
                    </w:tc>
                  </w:tr>
                </w:tbl>
                <w:p>
                  <w:pPr/>
                </w:p>
              </w:txbxContent>
            </v:textbox>
            <w10:wrap type="none"/>
          </v:shape>
        </w:pict>
      </w:r>
      <w:r>
        <w:rPr/>
        <w:t>公司英文简称：</w:t>
      </w:r>
      <w:r>
        <w:rPr>
          <w:rFonts w:ascii="Times New Roman" w:hAnsi="Times New Roman" w:cs="Times New Roman" w:eastAsia="Times New Roman" w:hint="default"/>
        </w:rPr>
        <w:t>GRG</w:t>
      </w:r>
      <w:r>
        <w:rPr>
          <w:rFonts w:ascii="Times New Roman" w:hAnsi="Times New Roman" w:cs="Times New Roman" w:eastAsia="Times New Roman" w:hint="default"/>
          <w:spacing w:val="-3"/>
        </w:rPr>
        <w:t> </w:t>
      </w:r>
      <w:r>
        <w:rPr>
          <w:rFonts w:ascii="Times New Roman" w:hAnsi="Times New Roman" w:cs="Times New Roman" w:eastAsia="Times New Roman" w:hint="default"/>
        </w:rPr>
        <w:t>Banking</w:t>
      </w:r>
      <w:r>
        <w:rPr>
          <w:rFonts w:ascii="Times New Roman" w:hAnsi="Times New Roman" w:cs="Times New Roman" w:eastAsia="Times New Roman" w:hint="default"/>
        </w:rPr>
        <w:t> </w:t>
      </w:r>
      <w:r>
        <w:rPr/>
        <w:t>二、公司法定代表人：赵友永 三、公司联系人和联系方式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4"/>
        <w:ind w:right="1090"/>
        <w:jc w:val="left"/>
      </w:pPr>
      <w:r>
        <w:rPr/>
        <w:t>四、公司注册地址：广州市天河区黄埔大道西平云路</w:t>
      </w:r>
      <w:r>
        <w:rPr>
          <w:spacing w:val="-54"/>
        </w:rPr>
        <w:t> </w:t>
      </w:r>
      <w:r>
        <w:rPr>
          <w:rFonts w:ascii="Times New Roman" w:hAnsi="Times New Roman" w:cs="Times New Roman" w:eastAsia="Times New Roman" w:hint="default"/>
        </w:rPr>
        <w:t>163</w:t>
      </w:r>
      <w:r>
        <w:rPr>
          <w:rFonts w:ascii="Times New Roman" w:hAnsi="Times New Roman" w:cs="Times New Roman" w:eastAsia="Times New Roman" w:hint="default"/>
          <w:spacing w:val="-2"/>
        </w:rPr>
        <w:t> </w:t>
      </w:r>
      <w:r>
        <w:rPr/>
        <w:t>号</w:t>
      </w:r>
    </w:p>
    <w:p>
      <w:pPr>
        <w:pStyle w:val="BodyText"/>
        <w:spacing w:line="280" w:lineRule="auto"/>
        <w:ind w:left="559" w:right="2967"/>
        <w:jc w:val="left"/>
        <w:rPr>
          <w:rFonts w:ascii="Times New Roman" w:hAnsi="Times New Roman" w:cs="Times New Roman" w:eastAsia="Times New Roman" w:hint="default"/>
        </w:rPr>
      </w:pPr>
      <w:r>
        <w:rPr/>
        <w:t>公司办公地址：广州市天河区黄埔大道西平云路</w:t>
      </w:r>
      <w:r>
        <w:rPr>
          <w:spacing w:val="-54"/>
        </w:rPr>
        <w:t> </w:t>
      </w:r>
      <w:r>
        <w:rPr>
          <w:rFonts w:ascii="Times New Roman" w:hAnsi="Times New Roman" w:cs="Times New Roman" w:eastAsia="Times New Roman" w:hint="default"/>
        </w:rPr>
        <w:t>163</w:t>
      </w:r>
      <w:r>
        <w:rPr>
          <w:rFonts w:ascii="Times New Roman" w:hAnsi="Times New Roman" w:cs="Times New Roman" w:eastAsia="Times New Roman" w:hint="default"/>
          <w:spacing w:val="-1"/>
        </w:rPr>
        <w:t> </w:t>
      </w:r>
      <w:r>
        <w:rPr/>
        <w:t>号 邮政编码：</w:t>
      </w:r>
      <w:r>
        <w:rPr>
          <w:rFonts w:ascii="Times New Roman" w:hAnsi="Times New Roman" w:cs="Times New Roman" w:eastAsia="Times New Roman" w:hint="default"/>
        </w:rPr>
        <w:t>510656</w:t>
      </w:r>
    </w:p>
    <w:p>
      <w:pPr>
        <w:pStyle w:val="BodyText"/>
        <w:spacing w:line="280" w:lineRule="auto" w:before="10"/>
        <w:ind w:left="559" w:right="4598"/>
        <w:jc w:val="left"/>
        <w:rPr>
          <w:rFonts w:ascii="Times New Roman" w:hAnsi="Times New Roman" w:cs="Times New Roman" w:eastAsia="Times New Roman" w:hint="default"/>
        </w:rPr>
      </w:pPr>
      <w:r>
        <w:rPr/>
        <w:t>公司网址：</w:t>
      </w:r>
      <w:hyperlink r:id="rId9">
        <w:r>
          <w:rPr>
            <w:rFonts w:ascii="Times New Roman" w:hAnsi="Times New Roman" w:cs="Times New Roman" w:eastAsia="Times New Roman" w:hint="default"/>
          </w:rPr>
          <w:t>www.grgbanking.com</w:t>
        </w:r>
      </w:hyperlink>
      <w:r>
        <w:rPr>
          <w:rFonts w:ascii="Times New Roman" w:hAnsi="Times New Roman" w:cs="Times New Roman" w:eastAsia="Times New Roman" w:hint="default"/>
        </w:rPr>
        <w:t> </w:t>
      </w:r>
      <w:r>
        <w:rPr/>
        <w:t>电子信箱：</w:t>
      </w:r>
      <w:hyperlink r:id="rId8">
        <w:r>
          <w:rPr>
            <w:rFonts w:ascii="Times New Roman" w:hAnsi="Times New Roman" w:cs="Times New Roman" w:eastAsia="Times New Roman" w:hint="default"/>
          </w:rPr>
          <w:t>securities@grgbanking.com</w:t>
        </w:r>
      </w:hyperlink>
    </w:p>
    <w:p>
      <w:pPr>
        <w:spacing w:line="240" w:lineRule="auto" w:before="1"/>
        <w:rPr>
          <w:rFonts w:ascii="Times New Roman" w:hAnsi="Times New Roman" w:cs="Times New Roman" w:eastAsia="Times New Roman" w:hint="default"/>
          <w:sz w:val="27"/>
          <w:szCs w:val="27"/>
        </w:rPr>
      </w:pPr>
    </w:p>
    <w:p>
      <w:pPr>
        <w:pStyle w:val="BodyText"/>
        <w:spacing w:line="288" w:lineRule="auto" w:before="0"/>
        <w:ind w:left="559" w:right="1090" w:hanging="420"/>
        <w:jc w:val="left"/>
      </w:pPr>
      <w:r>
        <w:rPr>
          <w:spacing w:val="-6"/>
        </w:rPr>
        <w:t>五、公司选定的信息披露报纸：《证券时报》</w:t>
      </w:r>
      <w:r>
        <w:rPr>
          <w:spacing w:val="-92"/>
        </w:rPr>
        <w:t> </w:t>
      </w:r>
      <w:r>
        <w:rPr>
          <w:spacing w:val="-92"/>
        </w:rPr>
      </w:r>
      <w:r>
        <w:rPr>
          <w:spacing w:val="-1"/>
        </w:rPr>
        <w:t>登载公司年度报告的网站网址：</w:t>
      </w:r>
      <w:hyperlink r:id="rId10">
        <w:r>
          <w:rPr>
            <w:rFonts w:ascii="Times New Roman" w:hAnsi="Times New Roman" w:cs="Times New Roman" w:eastAsia="Times New Roman" w:hint="default"/>
            <w:spacing w:val="-1"/>
          </w:rPr>
          <w:t>http://www.cninfo.com.cn</w:t>
        </w:r>
      </w:hyperlink>
      <w:r>
        <w:rPr>
          <w:rFonts w:ascii="Times New Roman" w:hAnsi="Times New Roman" w:cs="Times New Roman" w:eastAsia="Times New Roman" w:hint="default"/>
        </w:rPr>
        <w:t> </w:t>
      </w:r>
      <w:r>
        <w:rPr/>
        <w:t>公司年度报告备置地点：公司证券部</w:t>
      </w:r>
    </w:p>
    <w:p>
      <w:pPr>
        <w:spacing w:line="240" w:lineRule="auto" w:before="12"/>
        <w:rPr>
          <w:rFonts w:ascii="宋体" w:hAnsi="宋体" w:cs="宋体" w:eastAsia="宋体" w:hint="default"/>
          <w:sz w:val="24"/>
          <w:szCs w:val="24"/>
        </w:rPr>
      </w:pPr>
    </w:p>
    <w:p>
      <w:pPr>
        <w:pStyle w:val="BodyText"/>
        <w:spacing w:line="297" w:lineRule="auto" w:before="0"/>
        <w:ind w:left="559" w:right="4435" w:hanging="420"/>
        <w:jc w:val="left"/>
      </w:pPr>
      <w:r>
        <w:rPr/>
        <w:t>六、公司股票上市交易所：深圳证券交易所 股票简称：广电运通</w:t>
      </w:r>
    </w:p>
    <w:p>
      <w:pPr>
        <w:pStyle w:val="BodyText"/>
        <w:spacing w:line="240" w:lineRule="auto" w:before="15"/>
        <w:ind w:left="559" w:right="1090"/>
        <w:jc w:val="left"/>
        <w:rPr>
          <w:rFonts w:ascii="Times New Roman" w:hAnsi="Times New Roman" w:cs="Times New Roman" w:eastAsia="Times New Roman" w:hint="default"/>
        </w:rPr>
      </w:pPr>
      <w:r>
        <w:rPr/>
        <w:t>股票代码：</w:t>
      </w:r>
      <w:r>
        <w:rPr>
          <w:rFonts w:ascii="Times New Roman" w:hAnsi="Times New Roman" w:cs="Times New Roman" w:eastAsia="Times New Roman" w:hint="default"/>
        </w:rPr>
        <w:t>002152</w:t>
      </w:r>
    </w:p>
    <w:p>
      <w:pPr>
        <w:spacing w:line="240" w:lineRule="auto" w:before="7"/>
        <w:rPr>
          <w:rFonts w:ascii="Times New Roman" w:hAnsi="Times New Roman" w:cs="Times New Roman" w:eastAsia="Times New Roman" w:hint="default"/>
          <w:sz w:val="30"/>
          <w:szCs w:val="30"/>
        </w:rPr>
      </w:pPr>
    </w:p>
    <w:p>
      <w:pPr>
        <w:pStyle w:val="BodyText"/>
        <w:spacing w:line="297" w:lineRule="auto" w:before="0"/>
        <w:ind w:left="559" w:right="3970" w:hanging="420"/>
        <w:jc w:val="left"/>
      </w:pPr>
      <w:r>
        <w:rPr/>
        <w:t>七、其他有关资料： 公司首次注册登记日期：</w:t>
      </w:r>
      <w:r>
        <w:rPr>
          <w:rFonts w:ascii="Times New Roman" w:hAnsi="Times New Roman" w:cs="Times New Roman" w:eastAsia="Times New Roman" w:hint="default"/>
        </w:rPr>
        <w:t>2005</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w:t>
      </w:r>
    </w:p>
    <w:p>
      <w:pPr>
        <w:pStyle w:val="BodyText"/>
        <w:spacing w:line="285" w:lineRule="auto" w:before="0"/>
        <w:ind w:left="559" w:right="3664"/>
        <w:jc w:val="left"/>
        <w:rPr>
          <w:rFonts w:ascii="Times New Roman" w:hAnsi="Times New Roman" w:cs="Times New Roman" w:eastAsia="Times New Roman" w:hint="default"/>
        </w:rPr>
      </w:pPr>
      <w:r>
        <w:rPr/>
        <w:t>公司最近一次变更登记日期：</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 公司注册登记地点：广州市工商行政管理局 企业法人营业执照注册号：</w:t>
      </w:r>
      <w:r>
        <w:rPr>
          <w:rFonts w:ascii="Times New Roman" w:hAnsi="Times New Roman" w:cs="Times New Roman" w:eastAsia="Times New Roman" w:hint="default"/>
        </w:rPr>
        <w:t>4401011103795 </w:t>
      </w:r>
      <w:r>
        <w:rPr/>
        <w:t>公司税务登记号码：</w:t>
      </w:r>
      <w:r>
        <w:rPr>
          <w:rFonts w:ascii="Times New Roman" w:hAnsi="Times New Roman" w:cs="Times New Roman" w:eastAsia="Times New Roman" w:hint="default"/>
        </w:rPr>
        <w:t>440106716340473</w:t>
      </w:r>
      <w:r>
        <w:rPr>
          <w:rFonts w:ascii="Times New Roman" w:hAnsi="Times New Roman" w:cs="Times New Roman" w:eastAsia="Times New Roman" w:hint="default"/>
          <w:spacing w:val="-1"/>
        </w:rPr>
        <w:t> </w:t>
      </w:r>
      <w:r>
        <w:rPr/>
        <w:t>组织机构代码：</w:t>
      </w:r>
      <w:r>
        <w:rPr>
          <w:rFonts w:ascii="Times New Roman" w:hAnsi="Times New Roman" w:cs="Times New Roman" w:eastAsia="Times New Roman" w:hint="default"/>
        </w:rPr>
        <w:t>71634047-3</w:t>
      </w:r>
    </w:p>
    <w:p>
      <w:pPr>
        <w:pStyle w:val="BodyText"/>
        <w:spacing w:line="297" w:lineRule="auto" w:before="6"/>
        <w:ind w:left="559" w:right="1090"/>
        <w:jc w:val="left"/>
      </w:pPr>
      <w:r>
        <w:rPr/>
        <w:t>公司聘请的会计师事务所名称：立信羊城会计师事务所有限公司 会计师事务所办公地址：广州市天河区林和西路</w:t>
      </w:r>
      <w:r>
        <w:rPr>
          <w:spacing w:val="-54"/>
        </w:rPr>
        <w:t> </w:t>
      </w:r>
      <w:r>
        <w:rPr>
          <w:rFonts w:ascii="Times New Roman" w:hAnsi="Times New Roman" w:cs="Times New Roman" w:eastAsia="Times New Roman" w:hint="default"/>
        </w:rPr>
        <w:t>3-15 </w:t>
      </w:r>
      <w:r>
        <w:rPr/>
        <w:t>号耀中广场</w:t>
      </w:r>
      <w:r>
        <w:rPr>
          <w:spacing w:val="-54"/>
        </w:rPr>
        <w:t> </w:t>
      </w:r>
      <w:r>
        <w:rPr>
          <w:rFonts w:ascii="Times New Roman" w:hAnsi="Times New Roman" w:cs="Times New Roman" w:eastAsia="Times New Roman" w:hint="default"/>
        </w:rPr>
        <w:t>B</w:t>
      </w:r>
      <w:r>
        <w:rPr>
          <w:rFonts w:ascii="Times New Roman" w:hAnsi="Times New Roman" w:cs="Times New Roman" w:eastAsia="Times New Roman" w:hint="default"/>
          <w:spacing w:val="-1"/>
        </w:rPr>
        <w:t> </w:t>
      </w:r>
      <w:r>
        <w:rPr/>
        <w:t>座</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楼</w:t>
      </w:r>
    </w:p>
    <w:p>
      <w:pPr>
        <w:spacing w:after="0" w:line="297" w:lineRule="auto"/>
        <w:jc w:val="left"/>
        <w:sectPr>
          <w:pgSz w:w="11910" w:h="16840"/>
          <w:pgMar w:header="400" w:footer="982" w:top="1100" w:bottom="1180" w:left="166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1"/>
        <w:spacing w:line="240" w:lineRule="auto"/>
        <w:ind w:left="2223" w:right="380"/>
        <w:jc w:val="left"/>
        <w:rPr>
          <w:b w:val="0"/>
          <w:bCs w:val="0"/>
        </w:rPr>
      </w:pPr>
      <w:bookmarkStart w:name="_bookmark1" w:id="2"/>
      <w:bookmarkEnd w:id="2"/>
      <w:r>
        <w:rPr>
          <w:b w:val="0"/>
          <w:bCs w:val="0"/>
        </w:rPr>
      </w:r>
      <w:r>
        <w:rPr/>
        <w:t>第二节</w:t>
      </w:r>
      <w:r>
        <w:rPr>
          <w:spacing w:val="-11"/>
        </w:rPr>
        <w:t> </w:t>
      </w:r>
      <w:r>
        <w:rPr/>
        <w:t>会计数据和业务数据摘要</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pgSz w:w="11910" w:h="16840"/>
          <w:pgMar w:header="400" w:footer="982" w:top="1100" w:bottom="1180" w:left="1400" w:right="1400"/>
        </w:sectPr>
      </w:pPr>
    </w:p>
    <w:p>
      <w:pPr>
        <w:pStyle w:val="Heading2"/>
        <w:spacing w:line="240" w:lineRule="auto" w:before="13"/>
        <w:ind w:left="400" w:right="-15"/>
        <w:jc w:val="left"/>
        <w:rPr>
          <w:b w:val="0"/>
          <w:bCs w:val="0"/>
        </w:rPr>
      </w:pPr>
      <w:r>
        <w:rPr/>
        <w:t>一、</w:t>
      </w:r>
      <w:r>
        <w:rPr>
          <w:spacing w:val="10"/>
        </w:rPr>
        <w:t> </w:t>
      </w:r>
      <w:r>
        <w:rPr/>
        <w:t>报告期公司主要会计数据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1"/>
        <w:rPr>
          <w:rFonts w:ascii="宋体" w:hAnsi="宋体" w:cs="宋体" w:eastAsia="宋体" w:hint="default"/>
          <w:b/>
          <w:bCs/>
          <w:sz w:val="18"/>
          <w:szCs w:val="18"/>
        </w:rPr>
      </w:pPr>
    </w:p>
    <w:p>
      <w:pPr>
        <w:pStyle w:val="BodyText"/>
        <w:spacing w:line="240" w:lineRule="auto" w:before="0"/>
        <w:ind w:left="400" w:right="0"/>
        <w:jc w:val="left"/>
      </w:pPr>
      <w:r>
        <w:rPr/>
        <w:t>单位：元</w:t>
      </w:r>
    </w:p>
    <w:p>
      <w:pPr>
        <w:spacing w:after="0" w:line="240" w:lineRule="auto"/>
        <w:jc w:val="left"/>
        <w:sectPr>
          <w:type w:val="continuous"/>
          <w:pgSz w:w="11910" w:h="16840"/>
          <w:pgMar w:top="1600" w:bottom="280" w:left="1400" w:right="1400"/>
          <w:cols w:num="2" w:equalWidth="0">
            <w:col w:w="4212" w:space="2928"/>
            <w:col w:w="1970"/>
          </w:cols>
        </w:sectPr>
      </w:pPr>
    </w:p>
    <w:p>
      <w:pPr>
        <w:spacing w:line="240" w:lineRule="auto" w:before="7"/>
        <w:rPr>
          <w:rFonts w:ascii="宋体" w:hAnsi="宋体" w:cs="宋体" w:eastAsia="宋体" w:hint="default"/>
          <w:sz w:val="2"/>
          <w:szCs w:val="2"/>
        </w:rPr>
      </w:pPr>
    </w:p>
    <w:tbl>
      <w:tblPr>
        <w:tblW w:w="0" w:type="auto"/>
        <w:jc w:val="left"/>
        <w:tblInd w:w="612" w:type="dxa"/>
        <w:tblLayout w:type="fixed"/>
        <w:tblCellMar>
          <w:top w:w="0" w:type="dxa"/>
          <w:left w:w="0" w:type="dxa"/>
          <w:bottom w:w="0" w:type="dxa"/>
          <w:right w:w="0" w:type="dxa"/>
        </w:tblCellMar>
        <w:tblLook w:val="01E0"/>
      </w:tblPr>
      <w:tblGrid>
        <w:gridCol w:w="5328"/>
        <w:gridCol w:w="2543"/>
      </w:tblGrid>
      <w:tr>
        <w:trPr>
          <w:trHeight w:val="320" w:hRule="exact"/>
        </w:trPr>
        <w:tc>
          <w:tcPr>
            <w:tcW w:w="53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525" w:val="left" w:leader="none"/>
              </w:tabs>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5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525" w:val="left" w:leader="none"/>
              </w:tabs>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319"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21"/>
                <w:szCs w:val="21"/>
              </w:rPr>
            </w:pPr>
            <w:r>
              <w:rPr>
                <w:rFonts w:ascii="Times New Roman"/>
                <w:spacing w:val="-1"/>
                <w:sz w:val="21"/>
              </w:rPr>
              <w:t>296,349,991.95</w:t>
            </w:r>
          </w:p>
        </w:tc>
      </w:tr>
      <w:tr>
        <w:trPr>
          <w:trHeight w:val="320"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21"/>
                <w:szCs w:val="21"/>
              </w:rPr>
            </w:pPr>
            <w:r>
              <w:rPr>
                <w:rFonts w:ascii="Times New Roman"/>
                <w:spacing w:val="-1"/>
                <w:sz w:val="21"/>
              </w:rPr>
              <w:t>363,093,273.69</w:t>
            </w:r>
          </w:p>
        </w:tc>
      </w:tr>
      <w:tr>
        <w:trPr>
          <w:trHeight w:val="320"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21"/>
                <w:szCs w:val="21"/>
              </w:rPr>
            </w:pPr>
            <w:r>
              <w:rPr>
                <w:rFonts w:ascii="Times New Roman"/>
                <w:spacing w:val="-1"/>
                <w:sz w:val="21"/>
              </w:rPr>
              <w:t>331,548,801.34</w:t>
            </w:r>
          </w:p>
        </w:tc>
      </w:tr>
      <w:tr>
        <w:trPr>
          <w:trHeight w:val="319"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21"/>
                <w:szCs w:val="21"/>
              </w:rPr>
            </w:pPr>
            <w:r>
              <w:rPr>
                <w:rFonts w:ascii="Times New Roman"/>
                <w:spacing w:val="-1"/>
                <w:sz w:val="21"/>
              </w:rPr>
              <w:t>319,960,944.04</w:t>
            </w:r>
          </w:p>
        </w:tc>
      </w:tr>
      <w:tr>
        <w:trPr>
          <w:trHeight w:val="320"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21"/>
                <w:szCs w:val="21"/>
              </w:rPr>
            </w:pPr>
            <w:r>
              <w:rPr>
                <w:rFonts w:ascii="Times New Roman"/>
                <w:spacing w:val="-1"/>
                <w:sz w:val="21"/>
              </w:rPr>
              <w:t>306,588,088.45</w:t>
            </w:r>
          </w:p>
        </w:tc>
      </w:tr>
    </w:tbl>
    <w:p>
      <w:pPr>
        <w:spacing w:line="240" w:lineRule="auto" w:before="0"/>
        <w:rPr>
          <w:rFonts w:ascii="宋体" w:hAnsi="宋体" w:cs="宋体" w:eastAsia="宋体" w:hint="default"/>
          <w:sz w:val="20"/>
          <w:szCs w:val="20"/>
        </w:rPr>
      </w:pPr>
    </w:p>
    <w:p>
      <w:pPr>
        <w:pStyle w:val="Heading2"/>
        <w:spacing w:line="240" w:lineRule="auto" w:before="175"/>
        <w:ind w:left="400" w:right="380"/>
        <w:jc w:val="left"/>
        <w:rPr>
          <w:b w:val="0"/>
          <w:bCs w:val="0"/>
        </w:rPr>
      </w:pPr>
      <w:r>
        <w:rPr/>
        <w:t>二、</w:t>
      </w:r>
      <w:r>
        <w:rPr>
          <w:spacing w:val="5"/>
        </w:rPr>
        <w:t> </w:t>
      </w:r>
      <w:r>
        <w:rPr/>
        <w:t>报告期内扣除非经常性损益的项目及涉及的金额</w:t>
      </w:r>
      <w:r>
        <w:rPr>
          <w:b w:val="0"/>
          <w:bCs w:val="0"/>
        </w:rPr>
      </w:r>
    </w:p>
    <w:p>
      <w:pPr>
        <w:pStyle w:val="BodyText"/>
        <w:spacing w:line="240" w:lineRule="auto" w:before="127"/>
        <w:ind w:left="0" w:right="1562"/>
        <w:jc w:val="right"/>
      </w:pPr>
      <w:r>
        <w:rPr/>
        <w:t>单位：元</w:t>
      </w:r>
    </w:p>
    <w:p>
      <w:pPr>
        <w:spacing w:line="240" w:lineRule="auto" w:before="7"/>
        <w:rPr>
          <w:rFonts w:ascii="宋体" w:hAnsi="宋体" w:cs="宋体" w:eastAsia="宋体" w:hint="default"/>
          <w:sz w:val="2"/>
          <w:szCs w:val="2"/>
        </w:rPr>
      </w:pPr>
    </w:p>
    <w:tbl>
      <w:tblPr>
        <w:tblW w:w="0" w:type="auto"/>
        <w:jc w:val="left"/>
        <w:tblInd w:w="516" w:type="dxa"/>
        <w:tblLayout w:type="fixed"/>
        <w:tblCellMar>
          <w:top w:w="0" w:type="dxa"/>
          <w:left w:w="0" w:type="dxa"/>
          <w:bottom w:w="0" w:type="dxa"/>
          <w:right w:w="0" w:type="dxa"/>
        </w:tblCellMar>
        <w:tblLook w:val="01E0"/>
      </w:tblPr>
      <w:tblGrid>
        <w:gridCol w:w="6542"/>
        <w:gridCol w:w="1522"/>
      </w:tblGrid>
      <w:tr>
        <w:trPr>
          <w:trHeight w:val="283" w:hRule="exact"/>
        </w:trPr>
        <w:tc>
          <w:tcPr>
            <w:tcW w:w="65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5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861" w:val="left" w:leader="none"/>
              </w:tabs>
              <w:spacing w:line="240" w:lineRule="exact"/>
              <w:ind w:left="440" w:right="0"/>
              <w:jc w:val="left"/>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283" w:hRule="exact"/>
        </w:trPr>
        <w:tc>
          <w:tcPr>
            <w:tcW w:w="65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（一）非流动性资产处置损益，包括已计提资产减值准备的冲销部分</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-326,234.85</w:t>
            </w:r>
          </w:p>
        </w:tc>
      </w:tr>
      <w:tr>
        <w:trPr>
          <w:trHeight w:val="554" w:hRule="exact"/>
        </w:trPr>
        <w:tc>
          <w:tcPr>
            <w:tcW w:w="65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1"/>
                <w:sz w:val="21"/>
                <w:szCs w:val="21"/>
              </w:rPr>
              <w:t>（二）计入当期损益的政府补助，但与公司正常经营业务密切相关，符</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合国家政策规定、按照一定标准定额或定量持续享受的政府补助除外</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12,109,270.73</w:t>
            </w:r>
          </w:p>
        </w:tc>
      </w:tr>
      <w:tr>
        <w:trPr>
          <w:trHeight w:val="282" w:hRule="exact"/>
        </w:trPr>
        <w:tc>
          <w:tcPr>
            <w:tcW w:w="65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（三）其他营业外收支净额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Times New Roman" w:hAnsi="Times New Roman" w:cs="Times New Roman" w:eastAsia="Times New Roman" w:hint="default"/>
                <w:sz w:val="21"/>
                <w:szCs w:val="21"/>
              </w:rPr>
            </w:pPr>
            <w:r>
              <w:rPr>
                <w:rFonts w:ascii="Times New Roman"/>
                <w:spacing w:val="-1"/>
                <w:sz w:val="21"/>
              </w:rPr>
              <w:t>1,063,355.70</w:t>
            </w:r>
          </w:p>
        </w:tc>
      </w:tr>
      <w:tr>
        <w:trPr>
          <w:trHeight w:val="287" w:hRule="exact"/>
        </w:trPr>
        <w:tc>
          <w:tcPr>
            <w:tcW w:w="65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（四）所得税影响数</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Times New Roman" w:hAnsi="Times New Roman" w:cs="Times New Roman" w:eastAsia="Times New Roman" w:hint="default"/>
                <w:sz w:val="21"/>
                <w:szCs w:val="21"/>
              </w:rPr>
            </w:pPr>
            <w:r>
              <w:rPr>
                <w:rFonts w:ascii="Times New Roman"/>
                <w:spacing w:val="-1"/>
                <w:sz w:val="21"/>
              </w:rPr>
              <w:t>-1,258,534.28</w:t>
            </w:r>
          </w:p>
        </w:tc>
      </w:tr>
      <w:tr>
        <w:trPr>
          <w:trHeight w:val="292" w:hRule="exact"/>
        </w:trPr>
        <w:tc>
          <w:tcPr>
            <w:tcW w:w="65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9"/>
              <w:jc w:val="right"/>
              <w:rPr>
                <w:rFonts w:ascii="Times New Roman" w:hAnsi="Times New Roman" w:cs="Times New Roman" w:eastAsia="Times New Roman" w:hint="default"/>
                <w:sz w:val="21"/>
                <w:szCs w:val="21"/>
              </w:rPr>
            </w:pPr>
            <w:r>
              <w:rPr>
                <w:rFonts w:ascii="Times New Roman"/>
                <w:spacing w:val="-1"/>
                <w:sz w:val="21"/>
              </w:rPr>
              <w:t>11,587,857.30</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600" w:bottom="280" w:left="1400" w:right="1400"/>
        </w:sectPr>
      </w:pPr>
    </w:p>
    <w:p>
      <w:pPr>
        <w:pStyle w:val="Heading2"/>
        <w:spacing w:line="240" w:lineRule="auto" w:before="179"/>
        <w:ind w:left="400" w:right="-11"/>
        <w:jc w:val="left"/>
        <w:rPr>
          <w:b w:val="0"/>
          <w:bCs w:val="0"/>
        </w:rPr>
      </w:pPr>
      <w:r>
        <w:rPr/>
        <w:t>三、</w:t>
      </w:r>
      <w:r>
        <w:rPr>
          <w:spacing w:val="6"/>
        </w:rPr>
        <w:t> </w:t>
      </w:r>
      <w:r>
        <w:rPr/>
        <w:t>报告期末公司前三年主要会计数据和财务指标</w:t>
      </w:r>
      <w:r>
        <w:rPr>
          <w:b w:val="0"/>
          <w:bCs w:val="0"/>
        </w:rPr>
      </w:r>
    </w:p>
    <w:p>
      <w:pPr>
        <w:pStyle w:val="BodyText"/>
        <w:spacing w:line="240" w:lineRule="auto" w:before="128"/>
        <w:ind w:left="400" w:right="-11"/>
        <w:jc w:val="left"/>
      </w:pPr>
      <w:r>
        <w:rPr/>
        <w:t>（一）主要会计数据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0"/>
        <w:ind w:left="400" w:right="0"/>
        <w:jc w:val="left"/>
      </w:pPr>
      <w:r>
        <w:rPr/>
        <w:t>单位</w:t>
      </w:r>
      <w:r>
        <w:rPr>
          <w:spacing w:val="-94"/>
        </w:rPr>
        <w:t>：</w:t>
      </w:r>
      <w:r>
        <w:rPr/>
        <w:t>元</w:t>
      </w:r>
    </w:p>
    <w:p>
      <w:pPr>
        <w:spacing w:after="0" w:line="240" w:lineRule="auto"/>
        <w:jc w:val="left"/>
        <w:sectPr>
          <w:type w:val="continuous"/>
          <w:pgSz w:w="11910" w:h="16840"/>
          <w:pgMar w:top="1600" w:bottom="280" w:left="1400" w:right="1400"/>
          <w:cols w:num="2" w:equalWidth="0">
            <w:col w:w="6741" w:space="819"/>
            <w:col w:w="1550"/>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147"/>
        <w:gridCol w:w="1440"/>
        <w:gridCol w:w="1408"/>
        <w:gridCol w:w="1344"/>
        <w:gridCol w:w="1260"/>
        <w:gridCol w:w="1260"/>
      </w:tblGrid>
      <w:tr>
        <w:trPr>
          <w:trHeight w:val="112" w:hRule="exact"/>
        </w:trPr>
        <w:tc>
          <w:tcPr>
            <w:tcW w:w="2147" w:type="dxa"/>
            <w:vMerge w:val="restart"/>
            <w:tcBorders>
              <w:top w:val="single" w:sz="4" w:space="0" w:color="000000"/>
              <w:left w:val="single" w:sz="4" w:space="0" w:color="000000"/>
              <w:right w:val="single" w:sz="4" w:space="0" w:color="000000"/>
            </w:tcBorders>
            <w:shd w:val="clear" w:color="auto" w:fill="DCDCDC"/>
          </w:tcPr>
          <w:p>
            <w:pPr/>
          </w:p>
        </w:tc>
        <w:tc>
          <w:tcPr>
            <w:tcW w:w="1440" w:type="dxa"/>
            <w:vMerge w:val="restart"/>
            <w:tcBorders>
              <w:top w:val="single" w:sz="4" w:space="0" w:color="000000"/>
              <w:left w:val="single" w:sz="4" w:space="0" w:color="000000"/>
              <w:right w:val="single" w:sz="4" w:space="0" w:color="000000"/>
            </w:tcBorders>
            <w:shd w:val="clear" w:color="auto" w:fill="DCDCDC"/>
          </w:tcPr>
          <w:p>
            <w:pPr/>
          </w:p>
        </w:tc>
        <w:tc>
          <w:tcPr>
            <w:tcW w:w="1408" w:type="dxa"/>
            <w:vMerge w:val="restart"/>
            <w:tcBorders>
              <w:top w:val="single" w:sz="4" w:space="0" w:color="000000"/>
              <w:left w:val="single" w:sz="4" w:space="0" w:color="000000"/>
              <w:right w:val="single" w:sz="4" w:space="0" w:color="000000"/>
            </w:tcBorders>
            <w:shd w:val="clear" w:color="auto" w:fill="DCDCDC"/>
          </w:tcPr>
          <w:p>
            <w:pPr/>
          </w:p>
        </w:tc>
        <w:tc>
          <w:tcPr>
            <w:tcW w:w="1344" w:type="dxa"/>
            <w:tcBorders>
              <w:top w:val="single" w:sz="4" w:space="0" w:color="000000"/>
              <w:left w:val="single" w:sz="4" w:space="0" w:color="000000"/>
              <w:bottom w:val="nil" w:sz="6" w:space="0" w:color="auto"/>
              <w:right w:val="single" w:sz="4" w:space="0" w:color="000000"/>
            </w:tcBorders>
            <w:shd w:val="clear" w:color="auto" w:fill="DCDCDC"/>
          </w:tcPr>
          <w:p>
            <w:pPr/>
          </w:p>
        </w:tc>
        <w:tc>
          <w:tcPr>
            <w:tcW w:w="252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30" w:hRule="exact"/>
        </w:trPr>
        <w:tc>
          <w:tcPr>
            <w:tcW w:w="2147" w:type="dxa"/>
            <w:vMerge/>
            <w:tcBorders>
              <w:left w:val="single" w:sz="4" w:space="0" w:color="000000"/>
              <w:bottom w:val="nil" w:sz="6" w:space="0" w:color="auto"/>
              <w:right w:val="single" w:sz="4" w:space="0" w:color="000000"/>
            </w:tcBorders>
            <w:shd w:val="clear" w:color="auto" w:fill="DCDCDC"/>
          </w:tcPr>
          <w:p>
            <w:pPr/>
          </w:p>
        </w:tc>
        <w:tc>
          <w:tcPr>
            <w:tcW w:w="1440" w:type="dxa"/>
            <w:vMerge/>
            <w:tcBorders>
              <w:left w:val="single" w:sz="4" w:space="0" w:color="000000"/>
              <w:bottom w:val="nil" w:sz="6" w:space="0" w:color="auto"/>
              <w:right w:val="single" w:sz="4" w:space="0" w:color="000000"/>
            </w:tcBorders>
            <w:shd w:val="clear" w:color="auto" w:fill="DCDCDC"/>
          </w:tcPr>
          <w:p>
            <w:pPr/>
          </w:p>
        </w:tc>
        <w:tc>
          <w:tcPr>
            <w:tcW w:w="1408" w:type="dxa"/>
            <w:vMerge/>
            <w:tcBorders>
              <w:left w:val="single" w:sz="4" w:space="0" w:color="000000"/>
              <w:bottom w:val="nil" w:sz="6" w:space="0" w:color="auto"/>
              <w:right w:val="single" w:sz="4" w:space="0" w:color="000000"/>
            </w:tcBorders>
            <w:shd w:val="clear" w:color="auto" w:fill="DCDCDC"/>
          </w:tcPr>
          <w:p>
            <w:pPr/>
          </w:p>
        </w:tc>
        <w:tc>
          <w:tcPr>
            <w:tcW w:w="1344"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215" w:right="0"/>
              <w:jc w:val="left"/>
              <w:rPr>
                <w:rFonts w:ascii="宋体" w:hAnsi="宋体" w:cs="宋体" w:eastAsia="宋体" w:hint="default"/>
                <w:sz w:val="18"/>
                <w:szCs w:val="18"/>
              </w:rPr>
            </w:pPr>
            <w:r>
              <w:rPr>
                <w:rFonts w:ascii="宋体" w:hAnsi="宋体" w:cs="宋体" w:eastAsia="宋体" w:hint="default"/>
                <w:sz w:val="18"/>
                <w:szCs w:val="18"/>
              </w:rPr>
              <w:t>本年比上年</w:t>
            </w:r>
          </w:p>
          <w:p>
            <w:pPr>
              <w:pStyle w:val="TableParagraph"/>
              <w:spacing w:line="235" w:lineRule="exact"/>
              <w:ind w:left="215" w:right="0"/>
              <w:jc w:val="left"/>
              <w:rPr>
                <w:rFonts w:ascii="宋体" w:hAnsi="宋体" w:cs="宋体" w:eastAsia="宋体" w:hint="default"/>
                <w:sz w:val="18"/>
                <w:szCs w:val="18"/>
              </w:rPr>
            </w:pPr>
            <w:r>
              <w:rPr>
                <w:rFonts w:ascii="宋体" w:hAnsi="宋体" w:cs="宋体" w:eastAsia="宋体" w:hint="default"/>
                <w:sz w:val="18"/>
                <w:szCs w:val="18"/>
              </w:rPr>
              <w:t>增减（％）</w:t>
            </w:r>
          </w:p>
        </w:tc>
        <w:tc>
          <w:tcPr>
            <w:tcW w:w="2520" w:type="dxa"/>
            <w:gridSpan w:val="2"/>
            <w:vMerge/>
            <w:tcBorders>
              <w:left w:val="single" w:sz="4" w:space="0" w:color="000000"/>
              <w:right w:val="single" w:sz="4" w:space="0" w:color="000000"/>
            </w:tcBorders>
            <w:shd w:val="clear" w:color="auto" w:fill="DCDCDC"/>
          </w:tcPr>
          <w:p>
            <w:pPr/>
          </w:p>
        </w:tc>
      </w:tr>
      <w:tr>
        <w:trPr>
          <w:trHeight w:val="108" w:hRule="exact"/>
        </w:trPr>
        <w:tc>
          <w:tcPr>
            <w:tcW w:w="2147" w:type="dxa"/>
            <w:vMerge w:val="restart"/>
            <w:tcBorders>
              <w:top w:val="nil" w:sz="6" w:space="0" w:color="auto"/>
              <w:left w:val="single" w:sz="4" w:space="0" w:color="000000"/>
              <w:right w:val="single" w:sz="4" w:space="0" w:color="000000"/>
            </w:tcBorders>
            <w:shd w:val="clear" w:color="auto" w:fill="DCDCDC"/>
          </w:tcPr>
          <w:p>
            <w:pPr/>
          </w:p>
        </w:tc>
        <w:tc>
          <w:tcPr>
            <w:tcW w:w="1440"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4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08"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4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44" w:type="dxa"/>
            <w:vMerge/>
            <w:tcBorders>
              <w:left w:val="single" w:sz="4" w:space="0" w:color="000000"/>
              <w:right w:val="single" w:sz="4" w:space="0" w:color="000000"/>
            </w:tcBorders>
            <w:shd w:val="clear" w:color="auto" w:fill="DCDCDC"/>
          </w:tcPr>
          <w:p>
            <w:pPr/>
          </w:p>
        </w:tc>
        <w:tc>
          <w:tcPr>
            <w:tcW w:w="2520" w:type="dxa"/>
            <w:gridSpan w:val="2"/>
            <w:vMerge/>
            <w:tcBorders>
              <w:left w:val="single" w:sz="4" w:space="0" w:color="000000"/>
              <w:bottom w:val="single" w:sz="4" w:space="0" w:color="000000"/>
              <w:right w:val="single" w:sz="4" w:space="0" w:color="000000"/>
            </w:tcBorders>
            <w:shd w:val="clear" w:color="auto" w:fill="DCDCDC"/>
          </w:tcPr>
          <w:p>
            <w:pPr/>
          </w:p>
        </w:tc>
      </w:tr>
      <w:tr>
        <w:trPr>
          <w:trHeight w:val="98" w:hRule="exact"/>
        </w:trPr>
        <w:tc>
          <w:tcPr>
            <w:tcW w:w="2147" w:type="dxa"/>
            <w:vMerge/>
            <w:tcBorders>
              <w:left w:val="single" w:sz="4" w:space="0" w:color="000000"/>
              <w:bottom w:val="nil" w:sz="6" w:space="0" w:color="auto"/>
              <w:right w:val="single" w:sz="4" w:space="0" w:color="000000"/>
            </w:tcBorders>
            <w:shd w:val="clear" w:color="auto" w:fill="DCDCDC"/>
          </w:tcPr>
          <w:p>
            <w:pPr/>
          </w:p>
        </w:tc>
        <w:tc>
          <w:tcPr>
            <w:tcW w:w="1440" w:type="dxa"/>
            <w:vMerge/>
            <w:tcBorders>
              <w:left w:val="single" w:sz="4" w:space="0" w:color="000000"/>
              <w:bottom w:val="nil" w:sz="6" w:space="0" w:color="auto"/>
              <w:right w:val="single" w:sz="4" w:space="0" w:color="000000"/>
            </w:tcBorders>
            <w:shd w:val="clear" w:color="auto" w:fill="DCDCDC"/>
          </w:tcPr>
          <w:p>
            <w:pPr/>
          </w:p>
        </w:tc>
        <w:tc>
          <w:tcPr>
            <w:tcW w:w="1408" w:type="dxa"/>
            <w:vMerge/>
            <w:tcBorders>
              <w:left w:val="single" w:sz="4" w:space="0" w:color="000000"/>
              <w:bottom w:val="nil" w:sz="6" w:space="0" w:color="auto"/>
              <w:right w:val="single" w:sz="4" w:space="0" w:color="000000"/>
            </w:tcBorders>
            <w:shd w:val="clear" w:color="auto" w:fill="DCDCDC"/>
          </w:tcPr>
          <w:p>
            <w:pPr/>
          </w:p>
        </w:tc>
        <w:tc>
          <w:tcPr>
            <w:tcW w:w="1344" w:type="dxa"/>
            <w:vMerge/>
            <w:tcBorders>
              <w:left w:val="single" w:sz="4" w:space="0" w:color="000000"/>
              <w:right w:val="single" w:sz="4" w:space="0" w:color="000000"/>
            </w:tcBorders>
            <w:shd w:val="clear" w:color="auto" w:fill="DCDCDC"/>
          </w:tcPr>
          <w:p>
            <w:pPr/>
          </w:p>
        </w:tc>
        <w:tc>
          <w:tcPr>
            <w:tcW w:w="126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3"/>
              <w:ind w:left="35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6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3"/>
              <w:ind w:left="353"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30" w:hRule="exact"/>
        </w:trPr>
        <w:tc>
          <w:tcPr>
            <w:tcW w:w="2147" w:type="dxa"/>
            <w:vMerge w:val="restart"/>
            <w:tcBorders>
              <w:top w:val="nil" w:sz="6" w:space="0" w:color="auto"/>
              <w:left w:val="single" w:sz="4" w:space="0" w:color="000000"/>
              <w:right w:val="single" w:sz="4" w:space="0" w:color="000000"/>
            </w:tcBorders>
            <w:shd w:val="clear" w:color="auto" w:fill="DCDCDC"/>
          </w:tcPr>
          <w:p>
            <w:pPr/>
          </w:p>
        </w:tc>
        <w:tc>
          <w:tcPr>
            <w:tcW w:w="1440" w:type="dxa"/>
            <w:vMerge w:val="restart"/>
            <w:tcBorders>
              <w:top w:val="nil" w:sz="6" w:space="0" w:color="auto"/>
              <w:left w:val="single" w:sz="4" w:space="0" w:color="000000"/>
              <w:right w:val="single" w:sz="4" w:space="0" w:color="000000"/>
            </w:tcBorders>
            <w:shd w:val="clear" w:color="auto" w:fill="DCDCDC"/>
          </w:tcPr>
          <w:p>
            <w:pPr/>
          </w:p>
        </w:tc>
        <w:tc>
          <w:tcPr>
            <w:tcW w:w="1408" w:type="dxa"/>
            <w:vMerge w:val="restart"/>
            <w:tcBorders>
              <w:top w:val="nil" w:sz="6" w:space="0" w:color="auto"/>
              <w:left w:val="single" w:sz="4" w:space="0" w:color="000000"/>
              <w:right w:val="single" w:sz="4" w:space="0" w:color="000000"/>
            </w:tcBorders>
            <w:shd w:val="clear" w:color="auto" w:fill="DCDCDC"/>
          </w:tcPr>
          <w:p>
            <w:pPr/>
          </w:p>
        </w:tc>
        <w:tc>
          <w:tcPr>
            <w:tcW w:w="1344" w:type="dxa"/>
            <w:vMerge/>
            <w:tcBorders>
              <w:left w:val="single" w:sz="4" w:space="0" w:color="000000"/>
              <w:bottom w:val="nil" w:sz="6" w:space="0" w:color="auto"/>
              <w:right w:val="single" w:sz="4" w:space="0" w:color="000000"/>
            </w:tcBorders>
            <w:shd w:val="clear" w:color="auto" w:fill="DCDCDC"/>
          </w:tcPr>
          <w:p>
            <w:pPr/>
          </w:p>
        </w:tc>
        <w:tc>
          <w:tcPr>
            <w:tcW w:w="1260" w:type="dxa"/>
            <w:vMerge/>
            <w:tcBorders>
              <w:left w:val="single" w:sz="4" w:space="0" w:color="000000"/>
              <w:right w:val="single" w:sz="4" w:space="0" w:color="000000"/>
            </w:tcBorders>
            <w:shd w:val="clear" w:color="auto" w:fill="DCDCDC"/>
          </w:tcPr>
          <w:p>
            <w:pPr/>
          </w:p>
        </w:tc>
        <w:tc>
          <w:tcPr>
            <w:tcW w:w="1260" w:type="dxa"/>
            <w:vMerge/>
            <w:tcBorders>
              <w:left w:val="single" w:sz="4" w:space="0" w:color="000000"/>
              <w:right w:val="single" w:sz="4" w:space="0" w:color="000000"/>
            </w:tcBorders>
            <w:shd w:val="clear" w:color="auto" w:fill="DCDCDC"/>
          </w:tcPr>
          <w:p>
            <w:pPr/>
          </w:p>
        </w:tc>
      </w:tr>
      <w:tr>
        <w:trPr>
          <w:trHeight w:val="121" w:hRule="exact"/>
        </w:trPr>
        <w:tc>
          <w:tcPr>
            <w:tcW w:w="2147" w:type="dxa"/>
            <w:vMerge/>
            <w:tcBorders>
              <w:left w:val="single" w:sz="4" w:space="0" w:color="000000"/>
              <w:bottom w:val="single" w:sz="4" w:space="0" w:color="FFFFFF"/>
              <w:right w:val="single" w:sz="4" w:space="0" w:color="000000"/>
            </w:tcBorders>
            <w:shd w:val="clear" w:color="auto" w:fill="DCDCDC"/>
          </w:tcPr>
          <w:p>
            <w:pPr/>
          </w:p>
        </w:tc>
        <w:tc>
          <w:tcPr>
            <w:tcW w:w="1440" w:type="dxa"/>
            <w:vMerge/>
            <w:tcBorders>
              <w:left w:val="single" w:sz="4" w:space="0" w:color="000000"/>
              <w:bottom w:val="single" w:sz="4" w:space="0" w:color="FFFFFF"/>
              <w:right w:val="single" w:sz="4" w:space="0" w:color="000000"/>
            </w:tcBorders>
            <w:shd w:val="clear" w:color="auto" w:fill="DCDCDC"/>
          </w:tcPr>
          <w:p>
            <w:pPr/>
          </w:p>
        </w:tc>
        <w:tc>
          <w:tcPr>
            <w:tcW w:w="1408" w:type="dxa"/>
            <w:vMerge/>
            <w:tcBorders>
              <w:left w:val="single" w:sz="4" w:space="0" w:color="000000"/>
              <w:bottom w:val="single" w:sz="4" w:space="0" w:color="FFFFFF"/>
              <w:right w:val="single" w:sz="4" w:space="0" w:color="000000"/>
            </w:tcBorders>
            <w:shd w:val="clear" w:color="auto" w:fill="DCDCDC"/>
          </w:tcPr>
          <w:p>
            <w:pPr/>
          </w:p>
        </w:tc>
        <w:tc>
          <w:tcPr>
            <w:tcW w:w="1344" w:type="dxa"/>
            <w:tcBorders>
              <w:top w:val="nil" w:sz="6" w:space="0" w:color="auto"/>
              <w:left w:val="single" w:sz="4" w:space="0" w:color="000000"/>
              <w:bottom w:val="single" w:sz="4" w:space="0" w:color="FFFFFF"/>
              <w:right w:val="single" w:sz="4" w:space="0" w:color="000000"/>
            </w:tcBorders>
            <w:shd w:val="clear" w:color="auto" w:fill="DCDCDC"/>
          </w:tcPr>
          <w:p>
            <w:pPr/>
          </w:p>
        </w:tc>
        <w:tc>
          <w:tcPr>
            <w:tcW w:w="1260" w:type="dxa"/>
            <w:vMerge/>
            <w:tcBorders>
              <w:left w:val="single" w:sz="4" w:space="0" w:color="000000"/>
              <w:bottom w:val="single" w:sz="4" w:space="0" w:color="FFFFFF"/>
              <w:right w:val="single" w:sz="4" w:space="0" w:color="000000"/>
            </w:tcBorders>
            <w:shd w:val="clear" w:color="auto" w:fill="DCDCDC"/>
          </w:tcPr>
          <w:p>
            <w:pPr/>
          </w:p>
        </w:tc>
        <w:tc>
          <w:tcPr>
            <w:tcW w:w="1260" w:type="dxa"/>
            <w:vMerge/>
            <w:tcBorders>
              <w:left w:val="single" w:sz="4" w:space="0" w:color="000000"/>
              <w:bottom w:val="single" w:sz="4" w:space="0" w:color="FFFFFF"/>
              <w:right w:val="single" w:sz="4" w:space="0" w:color="000000"/>
            </w:tcBorders>
            <w:shd w:val="clear" w:color="auto" w:fill="DCDCDC"/>
          </w:tcPr>
          <w:p>
            <w:pPr/>
          </w:p>
        </w:tc>
      </w:tr>
      <w:tr>
        <w:trPr>
          <w:trHeight w:val="350" w:hRule="exact"/>
        </w:trPr>
        <w:tc>
          <w:tcPr>
            <w:tcW w:w="2147"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40" w:type="dxa"/>
            <w:tcBorders>
              <w:top w:val="single" w:sz="4" w:space="0" w:color="FFFFFF"/>
              <w:left w:val="single" w:sz="13" w:space="0" w:color="DCDCDC"/>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1,199,979,552.72</w:t>
            </w:r>
          </w:p>
        </w:tc>
        <w:tc>
          <w:tcPr>
            <w:tcW w:w="140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780,896,518.60</w:t>
            </w:r>
          </w:p>
        </w:tc>
        <w:tc>
          <w:tcPr>
            <w:tcW w:w="134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z w:val="18"/>
              </w:rPr>
              <w:t>53.67%</w:t>
            </w:r>
          </w:p>
        </w:tc>
        <w:tc>
          <w:tcPr>
            <w:tcW w:w="126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402,734,623.86</w:t>
            </w:r>
          </w:p>
        </w:tc>
        <w:tc>
          <w:tcPr>
            <w:tcW w:w="126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2"/>
              <w:ind w:left="77" w:right="0"/>
              <w:jc w:val="center"/>
              <w:rPr>
                <w:rFonts w:ascii="Times New Roman" w:hAnsi="Times New Roman" w:cs="Times New Roman" w:eastAsia="Times New Roman" w:hint="default"/>
                <w:sz w:val="18"/>
                <w:szCs w:val="18"/>
              </w:rPr>
            </w:pPr>
            <w:r>
              <w:rPr>
                <w:rFonts w:ascii="Times New Roman"/>
                <w:sz w:val="18"/>
              </w:rPr>
              <w:t>402,734,623.86</w:t>
            </w:r>
          </w:p>
        </w:tc>
      </w:tr>
      <w:tr>
        <w:trPr>
          <w:trHeight w:val="350" w:hRule="exact"/>
        </w:trPr>
        <w:tc>
          <w:tcPr>
            <w:tcW w:w="21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4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363,093,273.69</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258,346,502.03</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z w:val="18"/>
              </w:rPr>
              <w:t>40.55%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102,247,286.22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5" w:right="0"/>
              <w:jc w:val="center"/>
              <w:rPr>
                <w:rFonts w:ascii="Times New Roman" w:hAnsi="Times New Roman" w:cs="Times New Roman" w:eastAsia="Times New Roman" w:hint="default"/>
                <w:sz w:val="18"/>
                <w:szCs w:val="18"/>
              </w:rPr>
            </w:pPr>
            <w:r>
              <w:rPr>
                <w:rFonts w:ascii="Times New Roman"/>
                <w:sz w:val="18"/>
              </w:rPr>
              <w:t>102,316,244.05</w:t>
            </w:r>
          </w:p>
        </w:tc>
      </w:tr>
      <w:tr>
        <w:trPr>
          <w:trHeight w:val="476" w:hRule="exact"/>
        </w:trPr>
        <w:tc>
          <w:tcPr>
            <w:tcW w:w="21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pacing w:val="10"/>
                <w:sz w:val="18"/>
                <w:szCs w:val="18"/>
              </w:rPr>
              <w:t>归属于上市公司股东的净</w:t>
            </w:r>
            <w:r>
              <w:rPr>
                <w:rFonts w:ascii="宋体" w:hAnsi="宋体" w:cs="宋体" w:eastAsia="宋体" w:hint="default"/>
                <w:sz w:val="18"/>
                <w:szCs w:val="18"/>
              </w:rPr>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14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331,548,801.34</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231,569,801.01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43.17%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89,207,835.46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65" w:right="0"/>
              <w:jc w:val="center"/>
              <w:rPr>
                <w:rFonts w:ascii="Times New Roman" w:hAnsi="Times New Roman" w:cs="Times New Roman" w:eastAsia="Times New Roman" w:hint="default"/>
                <w:sz w:val="18"/>
                <w:szCs w:val="18"/>
              </w:rPr>
            </w:pPr>
            <w:r>
              <w:rPr>
                <w:rFonts w:ascii="Times New Roman"/>
                <w:sz w:val="18"/>
              </w:rPr>
              <w:t>90,141,692.61</w:t>
            </w:r>
          </w:p>
        </w:tc>
      </w:tr>
      <w:tr>
        <w:trPr>
          <w:trHeight w:val="476" w:hRule="exact"/>
        </w:trPr>
        <w:tc>
          <w:tcPr>
            <w:tcW w:w="21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10"/>
                <w:sz w:val="18"/>
                <w:szCs w:val="18"/>
              </w:rPr>
              <w:t>归属于上市公司股东的扣</w:t>
            </w:r>
            <w:r>
              <w:rPr>
                <w:rFonts w:ascii="宋体" w:hAnsi="宋体" w:cs="宋体" w:eastAsia="宋体" w:hint="default"/>
                <w:sz w:val="18"/>
                <w:szCs w:val="18"/>
              </w:rPr>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除非经常性损益的净利润</w:t>
            </w:r>
          </w:p>
        </w:tc>
        <w:tc>
          <w:tcPr>
            <w:tcW w:w="14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5"/>
              <w:ind w:right="19"/>
              <w:jc w:val="right"/>
              <w:rPr>
                <w:rFonts w:ascii="Times New Roman" w:hAnsi="Times New Roman" w:cs="Times New Roman" w:eastAsia="Times New Roman" w:hint="default"/>
                <w:sz w:val="18"/>
                <w:szCs w:val="18"/>
              </w:rPr>
            </w:pPr>
            <w:r>
              <w:rPr>
                <w:rFonts w:ascii="Times New Roman"/>
                <w:spacing w:val="-1"/>
                <w:sz w:val="18"/>
              </w:rPr>
              <w:t>319,960,944.04</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Times New Roman" w:hAnsi="Times New Roman" w:cs="Times New Roman" w:eastAsia="Times New Roman" w:hint="default"/>
                <w:sz w:val="18"/>
                <w:szCs w:val="18"/>
              </w:rPr>
            </w:pPr>
            <w:r>
              <w:rPr>
                <w:rFonts w:ascii="Times New Roman"/>
                <w:spacing w:val="-1"/>
                <w:sz w:val="18"/>
              </w:rPr>
              <w:t>214,392,445.14</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49.24%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18"/>
                <w:szCs w:val="18"/>
              </w:rPr>
            </w:pPr>
            <w:r>
              <w:rPr>
                <w:rFonts w:ascii="Times New Roman"/>
                <w:spacing w:val="-1"/>
                <w:sz w:val="18"/>
              </w:rPr>
              <w:t>86,408,374.71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66" w:right="0"/>
              <w:jc w:val="center"/>
              <w:rPr>
                <w:rFonts w:ascii="Times New Roman" w:hAnsi="Times New Roman" w:cs="Times New Roman" w:eastAsia="Times New Roman" w:hint="default"/>
                <w:sz w:val="18"/>
                <w:szCs w:val="18"/>
              </w:rPr>
            </w:pPr>
            <w:r>
              <w:rPr>
                <w:rFonts w:ascii="Times New Roman"/>
                <w:sz w:val="18"/>
              </w:rPr>
              <w:t>87,342,231.86</w:t>
            </w:r>
          </w:p>
        </w:tc>
      </w:tr>
      <w:tr>
        <w:trPr>
          <w:trHeight w:val="478" w:hRule="exact"/>
        </w:trPr>
        <w:tc>
          <w:tcPr>
            <w:tcW w:w="21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10"/>
                <w:sz w:val="18"/>
                <w:szCs w:val="18"/>
              </w:rPr>
              <w:t>经营活动产生的现金流量</w:t>
            </w:r>
            <w:r>
              <w:rPr>
                <w:rFonts w:ascii="宋体" w:hAnsi="宋体" w:cs="宋体" w:eastAsia="宋体" w:hint="default"/>
                <w:sz w:val="18"/>
                <w:szCs w:val="18"/>
              </w:rPr>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14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spacing w:val="-1"/>
                <w:sz w:val="18"/>
              </w:rPr>
              <w:t>306,588,088.45</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pacing w:val="-1"/>
                <w:sz w:val="18"/>
              </w:rPr>
              <w:t>241,867,479.09</w:t>
            </w:r>
          </w:p>
        </w:tc>
        <w:tc>
          <w:tcPr>
            <w:tcW w:w="1344" w:type="dxa"/>
            <w:tcBorders>
              <w:top w:val="single" w:sz="4" w:space="0" w:color="000000"/>
              <w:left w:val="single" w:sz="4" w:space="0" w:color="000000"/>
              <w:bottom w:val="single" w:sz="42" w:space="0" w:color="DCDCDC"/>
              <w:right w:val="single" w:sz="4" w:space="0" w:color="000000"/>
            </w:tcBorders>
          </w:tcPr>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26.76%</w:t>
            </w:r>
          </w:p>
        </w:tc>
        <w:tc>
          <w:tcPr>
            <w:tcW w:w="1260" w:type="dxa"/>
            <w:tcBorders>
              <w:top w:val="single" w:sz="4" w:space="0" w:color="000000"/>
              <w:left w:val="single" w:sz="4" w:space="0" w:color="000000"/>
              <w:bottom w:val="single" w:sz="25" w:space="0" w:color="DCDCDC"/>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18"/>
                <w:szCs w:val="18"/>
              </w:rPr>
            </w:pPr>
            <w:r>
              <w:rPr>
                <w:rFonts w:ascii="Times New Roman"/>
                <w:spacing w:val="-1"/>
                <w:sz w:val="18"/>
              </w:rPr>
              <w:t>60,473,672.17</w:t>
            </w:r>
          </w:p>
        </w:tc>
        <w:tc>
          <w:tcPr>
            <w:tcW w:w="1260" w:type="dxa"/>
            <w:tcBorders>
              <w:top w:val="single" w:sz="4" w:space="0" w:color="000000"/>
              <w:left w:val="single" w:sz="4" w:space="0" w:color="000000"/>
              <w:bottom w:val="single" w:sz="25" w:space="0" w:color="DCDCDC"/>
              <w:right w:val="single" w:sz="4" w:space="0" w:color="000000"/>
            </w:tcBorders>
          </w:tcPr>
          <w:p>
            <w:pPr>
              <w:pStyle w:val="TableParagraph"/>
              <w:spacing w:line="240" w:lineRule="auto" w:before="125"/>
              <w:ind w:left="165" w:right="0"/>
              <w:jc w:val="center"/>
              <w:rPr>
                <w:rFonts w:ascii="Times New Roman" w:hAnsi="Times New Roman" w:cs="Times New Roman" w:eastAsia="Times New Roman" w:hint="default"/>
                <w:sz w:val="18"/>
                <w:szCs w:val="18"/>
              </w:rPr>
            </w:pPr>
            <w:r>
              <w:rPr>
                <w:rFonts w:ascii="Times New Roman"/>
                <w:sz w:val="18"/>
              </w:rPr>
              <w:t>60,473,672.17</w:t>
            </w:r>
          </w:p>
        </w:tc>
      </w:tr>
      <w:tr>
        <w:trPr>
          <w:trHeight w:val="112" w:hRule="exact"/>
        </w:trPr>
        <w:tc>
          <w:tcPr>
            <w:tcW w:w="2147" w:type="dxa"/>
            <w:vMerge w:val="restart"/>
            <w:tcBorders>
              <w:top w:val="single" w:sz="4" w:space="0" w:color="000000"/>
              <w:left w:val="single" w:sz="4" w:space="0" w:color="000000"/>
              <w:right w:val="single" w:sz="4" w:space="0" w:color="000000"/>
            </w:tcBorders>
            <w:shd w:val="clear" w:color="auto" w:fill="DCDCDC"/>
          </w:tcPr>
          <w:p>
            <w:pPr/>
          </w:p>
        </w:tc>
        <w:tc>
          <w:tcPr>
            <w:tcW w:w="1440" w:type="dxa"/>
            <w:vMerge w:val="restart"/>
            <w:tcBorders>
              <w:top w:val="single" w:sz="4" w:space="0" w:color="000000"/>
              <w:left w:val="single" w:sz="4" w:space="0" w:color="000000"/>
              <w:right w:val="single" w:sz="4" w:space="0" w:color="000000"/>
            </w:tcBorders>
            <w:shd w:val="clear" w:color="auto" w:fill="DCDCDC"/>
          </w:tcPr>
          <w:p>
            <w:pPr/>
          </w:p>
        </w:tc>
        <w:tc>
          <w:tcPr>
            <w:tcW w:w="1408" w:type="dxa"/>
            <w:vMerge w:val="restart"/>
            <w:tcBorders>
              <w:top w:val="single" w:sz="4" w:space="0" w:color="000000"/>
              <w:left w:val="single" w:sz="4" w:space="0" w:color="000000"/>
              <w:right w:val="single" w:sz="4" w:space="0" w:color="000000"/>
            </w:tcBorders>
            <w:shd w:val="clear" w:color="auto" w:fill="DCDCDC"/>
          </w:tcPr>
          <w:p>
            <w:pPr/>
          </w:p>
        </w:tc>
        <w:tc>
          <w:tcPr>
            <w:tcW w:w="1344" w:type="dxa"/>
            <w:tcBorders>
              <w:top w:val="single" w:sz="4" w:space="0" w:color="000000"/>
              <w:left w:val="single" w:sz="4" w:space="0" w:color="000000"/>
              <w:bottom w:val="nil" w:sz="6" w:space="0" w:color="auto"/>
              <w:right w:val="single" w:sz="4" w:space="0" w:color="000000"/>
            </w:tcBorders>
            <w:shd w:val="clear" w:color="auto" w:fill="DCDCDC"/>
          </w:tcPr>
          <w:p>
            <w:pPr/>
          </w:p>
        </w:tc>
        <w:tc>
          <w:tcPr>
            <w:tcW w:w="252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30" w:hRule="exact"/>
        </w:trPr>
        <w:tc>
          <w:tcPr>
            <w:tcW w:w="2147" w:type="dxa"/>
            <w:vMerge/>
            <w:tcBorders>
              <w:left w:val="single" w:sz="4" w:space="0" w:color="000000"/>
              <w:bottom w:val="nil" w:sz="6" w:space="0" w:color="auto"/>
              <w:right w:val="single" w:sz="4" w:space="0" w:color="000000"/>
            </w:tcBorders>
            <w:shd w:val="clear" w:color="auto" w:fill="DCDCDC"/>
          </w:tcPr>
          <w:p>
            <w:pPr/>
          </w:p>
        </w:tc>
        <w:tc>
          <w:tcPr>
            <w:tcW w:w="1440" w:type="dxa"/>
            <w:vMerge/>
            <w:tcBorders>
              <w:left w:val="single" w:sz="4" w:space="0" w:color="000000"/>
              <w:bottom w:val="nil" w:sz="6" w:space="0" w:color="auto"/>
              <w:right w:val="single" w:sz="4" w:space="0" w:color="000000"/>
            </w:tcBorders>
            <w:shd w:val="clear" w:color="auto" w:fill="DCDCDC"/>
          </w:tcPr>
          <w:p>
            <w:pPr/>
          </w:p>
        </w:tc>
        <w:tc>
          <w:tcPr>
            <w:tcW w:w="1408" w:type="dxa"/>
            <w:vMerge/>
            <w:tcBorders>
              <w:left w:val="single" w:sz="4" w:space="0" w:color="000000"/>
              <w:bottom w:val="nil" w:sz="6" w:space="0" w:color="auto"/>
              <w:right w:val="single" w:sz="4" w:space="0" w:color="000000"/>
            </w:tcBorders>
            <w:shd w:val="clear" w:color="auto" w:fill="DCDCDC"/>
          </w:tcPr>
          <w:p>
            <w:pPr/>
          </w:p>
        </w:tc>
        <w:tc>
          <w:tcPr>
            <w:tcW w:w="1344" w:type="dxa"/>
            <w:vMerge w:val="restart"/>
            <w:tcBorders>
              <w:top w:val="nil" w:sz="6" w:space="0" w:color="auto"/>
              <w:left w:val="single" w:sz="4" w:space="0" w:color="000000"/>
              <w:right w:val="single" w:sz="4" w:space="0" w:color="000000"/>
            </w:tcBorders>
            <w:shd w:val="clear" w:color="auto" w:fill="DCDCD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本年末比上年末</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增减（％）</w:t>
            </w:r>
          </w:p>
        </w:tc>
        <w:tc>
          <w:tcPr>
            <w:tcW w:w="2520" w:type="dxa"/>
            <w:gridSpan w:val="2"/>
            <w:vMerge/>
            <w:tcBorders>
              <w:left w:val="single" w:sz="4" w:space="0" w:color="000000"/>
              <w:right w:val="single" w:sz="4" w:space="0" w:color="000000"/>
            </w:tcBorders>
            <w:shd w:val="clear" w:color="auto" w:fill="DCDCDC"/>
          </w:tcPr>
          <w:p>
            <w:pPr/>
          </w:p>
        </w:tc>
      </w:tr>
      <w:tr>
        <w:trPr>
          <w:trHeight w:val="108" w:hRule="exact"/>
        </w:trPr>
        <w:tc>
          <w:tcPr>
            <w:tcW w:w="2147" w:type="dxa"/>
            <w:vMerge w:val="restart"/>
            <w:tcBorders>
              <w:top w:val="nil" w:sz="6" w:space="0" w:color="auto"/>
              <w:left w:val="single" w:sz="4" w:space="0" w:color="000000"/>
              <w:right w:val="single" w:sz="4" w:space="0" w:color="000000"/>
            </w:tcBorders>
            <w:shd w:val="clear" w:color="auto" w:fill="DCDCDC"/>
          </w:tcPr>
          <w:p>
            <w:pPr/>
          </w:p>
        </w:tc>
        <w:tc>
          <w:tcPr>
            <w:tcW w:w="1440" w:type="dxa"/>
            <w:vMerge w:val="restart"/>
            <w:tcBorders>
              <w:top w:val="nil" w:sz="6" w:space="0" w:color="auto"/>
              <w:left w:val="single" w:sz="4" w:space="0" w:color="000000"/>
              <w:right w:val="single" w:sz="4" w:space="0" w:color="000000"/>
            </w:tcBorders>
            <w:shd w:val="clear" w:color="auto" w:fill="DCDCDC"/>
          </w:tcPr>
          <w:p>
            <w:pPr>
              <w:pStyle w:val="TableParagraph"/>
              <w:spacing w:line="206" w:lineRule="exact"/>
              <w:ind w:left="33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408" w:type="dxa"/>
            <w:vMerge w:val="restart"/>
            <w:tcBorders>
              <w:top w:val="nil" w:sz="6" w:space="0" w:color="auto"/>
              <w:left w:val="single" w:sz="4" w:space="0" w:color="000000"/>
              <w:right w:val="single" w:sz="4" w:space="0" w:color="000000"/>
            </w:tcBorders>
            <w:shd w:val="clear" w:color="auto" w:fill="DCDCDC"/>
          </w:tcPr>
          <w:p>
            <w:pPr>
              <w:pStyle w:val="TableParagraph"/>
              <w:spacing w:line="206" w:lineRule="exact"/>
              <w:ind w:left="3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344" w:type="dxa"/>
            <w:vMerge/>
            <w:tcBorders>
              <w:left w:val="single" w:sz="4" w:space="0" w:color="000000"/>
              <w:right w:val="single" w:sz="4" w:space="0" w:color="000000"/>
            </w:tcBorders>
            <w:shd w:val="clear" w:color="auto" w:fill="DCDCDC"/>
          </w:tcPr>
          <w:p>
            <w:pPr/>
          </w:p>
        </w:tc>
        <w:tc>
          <w:tcPr>
            <w:tcW w:w="2520" w:type="dxa"/>
            <w:gridSpan w:val="2"/>
            <w:vMerge/>
            <w:tcBorders>
              <w:left w:val="single" w:sz="4" w:space="0" w:color="000000"/>
              <w:bottom w:val="single" w:sz="4" w:space="0" w:color="000000"/>
              <w:right w:val="single" w:sz="4" w:space="0" w:color="000000"/>
            </w:tcBorders>
            <w:shd w:val="clear" w:color="auto" w:fill="DCDCDC"/>
          </w:tcPr>
          <w:p>
            <w:pPr/>
          </w:p>
        </w:tc>
      </w:tr>
      <w:tr>
        <w:trPr>
          <w:trHeight w:val="98" w:hRule="exact"/>
        </w:trPr>
        <w:tc>
          <w:tcPr>
            <w:tcW w:w="2147" w:type="dxa"/>
            <w:vMerge/>
            <w:tcBorders>
              <w:left w:val="single" w:sz="4" w:space="0" w:color="000000"/>
              <w:bottom w:val="nil" w:sz="6" w:space="0" w:color="auto"/>
              <w:right w:val="single" w:sz="4" w:space="0" w:color="000000"/>
            </w:tcBorders>
            <w:shd w:val="clear" w:color="auto" w:fill="DCDCDC"/>
          </w:tcPr>
          <w:p>
            <w:pPr/>
          </w:p>
        </w:tc>
        <w:tc>
          <w:tcPr>
            <w:tcW w:w="1440" w:type="dxa"/>
            <w:vMerge/>
            <w:tcBorders>
              <w:left w:val="single" w:sz="4" w:space="0" w:color="000000"/>
              <w:bottom w:val="nil" w:sz="6" w:space="0" w:color="auto"/>
              <w:right w:val="single" w:sz="4" w:space="0" w:color="000000"/>
            </w:tcBorders>
            <w:shd w:val="clear" w:color="auto" w:fill="DCDCDC"/>
          </w:tcPr>
          <w:p>
            <w:pPr/>
          </w:p>
        </w:tc>
        <w:tc>
          <w:tcPr>
            <w:tcW w:w="1408" w:type="dxa"/>
            <w:vMerge/>
            <w:tcBorders>
              <w:left w:val="single" w:sz="4" w:space="0" w:color="000000"/>
              <w:bottom w:val="nil" w:sz="6" w:space="0" w:color="auto"/>
              <w:right w:val="single" w:sz="4" w:space="0" w:color="000000"/>
            </w:tcBorders>
            <w:shd w:val="clear" w:color="auto" w:fill="DCDCDC"/>
          </w:tcPr>
          <w:p>
            <w:pPr/>
          </w:p>
        </w:tc>
        <w:tc>
          <w:tcPr>
            <w:tcW w:w="1344" w:type="dxa"/>
            <w:vMerge/>
            <w:tcBorders>
              <w:left w:val="single" w:sz="4" w:space="0" w:color="000000"/>
              <w:right w:val="single" w:sz="4" w:space="0" w:color="000000"/>
            </w:tcBorders>
            <w:shd w:val="clear" w:color="auto" w:fill="DCDCDC"/>
          </w:tcPr>
          <w:p>
            <w:pPr/>
          </w:p>
        </w:tc>
        <w:tc>
          <w:tcPr>
            <w:tcW w:w="126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3"/>
              <w:ind w:left="35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6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3"/>
              <w:ind w:left="353"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31" w:hRule="exact"/>
        </w:trPr>
        <w:tc>
          <w:tcPr>
            <w:tcW w:w="2147" w:type="dxa"/>
            <w:vMerge w:val="restart"/>
            <w:tcBorders>
              <w:top w:val="nil" w:sz="6" w:space="0" w:color="auto"/>
              <w:left w:val="single" w:sz="4" w:space="0" w:color="000000"/>
              <w:right w:val="single" w:sz="4" w:space="0" w:color="000000"/>
            </w:tcBorders>
            <w:shd w:val="clear" w:color="auto" w:fill="DCDCDC"/>
          </w:tcPr>
          <w:p>
            <w:pPr/>
          </w:p>
        </w:tc>
        <w:tc>
          <w:tcPr>
            <w:tcW w:w="1440" w:type="dxa"/>
            <w:vMerge w:val="restart"/>
            <w:tcBorders>
              <w:top w:val="nil" w:sz="6" w:space="0" w:color="auto"/>
              <w:left w:val="single" w:sz="4" w:space="0" w:color="000000"/>
              <w:right w:val="single" w:sz="4" w:space="0" w:color="000000"/>
            </w:tcBorders>
            <w:shd w:val="clear" w:color="auto" w:fill="DCDCDC"/>
          </w:tcPr>
          <w:p>
            <w:pPr/>
          </w:p>
        </w:tc>
        <w:tc>
          <w:tcPr>
            <w:tcW w:w="1408" w:type="dxa"/>
            <w:vMerge w:val="restart"/>
            <w:tcBorders>
              <w:top w:val="nil" w:sz="6" w:space="0" w:color="auto"/>
              <w:left w:val="single" w:sz="4" w:space="0" w:color="000000"/>
              <w:right w:val="single" w:sz="4" w:space="0" w:color="000000"/>
            </w:tcBorders>
            <w:shd w:val="clear" w:color="auto" w:fill="DCDCDC"/>
          </w:tcPr>
          <w:p>
            <w:pPr/>
          </w:p>
        </w:tc>
        <w:tc>
          <w:tcPr>
            <w:tcW w:w="1344" w:type="dxa"/>
            <w:vMerge/>
            <w:tcBorders>
              <w:left w:val="single" w:sz="4" w:space="0" w:color="000000"/>
              <w:bottom w:val="nil" w:sz="6" w:space="0" w:color="auto"/>
              <w:right w:val="single" w:sz="4" w:space="0" w:color="000000"/>
            </w:tcBorders>
            <w:shd w:val="clear" w:color="auto" w:fill="DCDCDC"/>
          </w:tcPr>
          <w:p>
            <w:pPr/>
          </w:p>
        </w:tc>
        <w:tc>
          <w:tcPr>
            <w:tcW w:w="1260" w:type="dxa"/>
            <w:vMerge/>
            <w:tcBorders>
              <w:left w:val="single" w:sz="4" w:space="0" w:color="000000"/>
              <w:right w:val="single" w:sz="4" w:space="0" w:color="000000"/>
            </w:tcBorders>
            <w:shd w:val="clear" w:color="auto" w:fill="DCDCDC"/>
          </w:tcPr>
          <w:p>
            <w:pPr/>
          </w:p>
        </w:tc>
        <w:tc>
          <w:tcPr>
            <w:tcW w:w="1260" w:type="dxa"/>
            <w:vMerge/>
            <w:tcBorders>
              <w:left w:val="single" w:sz="4" w:space="0" w:color="000000"/>
              <w:right w:val="single" w:sz="4" w:space="0" w:color="000000"/>
            </w:tcBorders>
            <w:shd w:val="clear" w:color="auto" w:fill="DCDCDC"/>
          </w:tcPr>
          <w:p>
            <w:pPr/>
          </w:p>
        </w:tc>
      </w:tr>
      <w:tr>
        <w:trPr>
          <w:trHeight w:val="94" w:hRule="exact"/>
        </w:trPr>
        <w:tc>
          <w:tcPr>
            <w:tcW w:w="2147" w:type="dxa"/>
            <w:vMerge/>
            <w:tcBorders>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c>
          <w:tcPr>
            <w:tcW w:w="1408" w:type="dxa"/>
            <w:vMerge/>
            <w:tcBorders>
              <w:left w:val="single" w:sz="4" w:space="0" w:color="000000"/>
              <w:bottom w:val="single" w:sz="4" w:space="0" w:color="000000"/>
              <w:right w:val="single" w:sz="4" w:space="0" w:color="000000"/>
            </w:tcBorders>
            <w:shd w:val="clear" w:color="auto" w:fill="DCDCDC"/>
          </w:tcPr>
          <w:p>
            <w:pPr/>
          </w:p>
        </w:tc>
        <w:tc>
          <w:tcPr>
            <w:tcW w:w="1344" w:type="dxa"/>
            <w:tcBorders>
              <w:top w:val="nil" w:sz="6" w:space="0" w:color="auto"/>
              <w:left w:val="single" w:sz="4" w:space="0" w:color="000000"/>
              <w:bottom w:val="single" w:sz="4" w:space="0" w:color="000000"/>
              <w:right w:val="single" w:sz="4" w:space="0" w:color="000000"/>
            </w:tcBorders>
            <w:shd w:val="clear" w:color="auto" w:fill="DCDCDC"/>
          </w:tcPr>
          <w:p>
            <w:pPr/>
          </w:p>
        </w:tc>
        <w:tc>
          <w:tcPr>
            <w:tcW w:w="1260" w:type="dxa"/>
            <w:vMerge/>
            <w:tcBorders>
              <w:left w:val="single" w:sz="4" w:space="0" w:color="000000"/>
              <w:bottom w:val="single" w:sz="4" w:space="0" w:color="000000"/>
              <w:right w:val="single" w:sz="4" w:space="0" w:color="000000"/>
            </w:tcBorders>
            <w:shd w:val="clear" w:color="auto" w:fill="DCDCDC"/>
          </w:tcPr>
          <w:p>
            <w:pPr/>
          </w:p>
        </w:tc>
        <w:tc>
          <w:tcPr>
            <w:tcW w:w="1260" w:type="dxa"/>
            <w:vMerge/>
            <w:tcBorders>
              <w:left w:val="single" w:sz="4" w:space="0" w:color="000000"/>
              <w:bottom w:val="single" w:sz="4" w:space="0" w:color="000000"/>
              <w:right w:val="single" w:sz="4" w:space="0" w:color="000000"/>
            </w:tcBorders>
            <w:shd w:val="clear" w:color="auto" w:fill="DCDCDC"/>
          </w:tcPr>
          <w:p>
            <w:pPr/>
          </w:p>
        </w:tc>
      </w:tr>
      <w:tr>
        <w:trPr>
          <w:trHeight w:val="377" w:hRule="exact"/>
        </w:trPr>
        <w:tc>
          <w:tcPr>
            <w:tcW w:w="21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4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9"/>
              <w:ind w:right="21"/>
              <w:jc w:val="right"/>
              <w:rPr>
                <w:rFonts w:ascii="Times New Roman" w:hAnsi="Times New Roman" w:cs="Times New Roman" w:eastAsia="Times New Roman" w:hint="default"/>
                <w:sz w:val="18"/>
                <w:szCs w:val="18"/>
              </w:rPr>
            </w:pPr>
            <w:r>
              <w:rPr>
                <w:rFonts w:ascii="Times New Roman"/>
                <w:spacing w:val="-1"/>
                <w:sz w:val="18"/>
              </w:rPr>
              <w:t>2,077,976,790.83</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
              <w:jc w:val="right"/>
              <w:rPr>
                <w:rFonts w:ascii="Times New Roman" w:hAnsi="Times New Roman" w:cs="Times New Roman" w:eastAsia="Times New Roman" w:hint="default"/>
                <w:sz w:val="18"/>
                <w:szCs w:val="18"/>
              </w:rPr>
            </w:pPr>
            <w:r>
              <w:rPr>
                <w:rFonts w:ascii="Times New Roman"/>
                <w:spacing w:val="-1"/>
                <w:sz w:val="18"/>
              </w:rPr>
              <w:t>1,613,531,071.82</w:t>
            </w:r>
          </w:p>
        </w:tc>
        <w:tc>
          <w:tcPr>
            <w:tcW w:w="1344" w:type="dxa"/>
            <w:tcBorders>
              <w:top w:val="single" w:sz="46" w:space="0" w:color="DCDCDC"/>
              <w:left w:val="single" w:sz="4" w:space="0" w:color="000000"/>
              <w:bottom w:val="single" w:sz="4" w:space="0" w:color="000000"/>
              <w:right w:val="single" w:sz="4" w:space="0" w:color="000000"/>
            </w:tcBorders>
          </w:tcPr>
          <w:p>
            <w:pPr>
              <w:pStyle w:val="TableParagraph"/>
              <w:spacing w:line="240" w:lineRule="auto" w:before="36"/>
              <w:ind w:right="22"/>
              <w:jc w:val="right"/>
              <w:rPr>
                <w:rFonts w:ascii="Times New Roman" w:hAnsi="Times New Roman" w:cs="Times New Roman" w:eastAsia="Times New Roman" w:hint="default"/>
                <w:sz w:val="18"/>
                <w:szCs w:val="18"/>
              </w:rPr>
            </w:pPr>
            <w:r>
              <w:rPr>
                <w:rFonts w:ascii="Times New Roman"/>
                <w:w w:val="95"/>
                <w:sz w:val="18"/>
              </w:rPr>
              <w:t>28.78%</w:t>
            </w:r>
            <w:r>
              <w:rPr>
                <w:rFonts w:ascii="Times New Roman"/>
                <w:sz w:val="18"/>
              </w:rPr>
            </w:r>
          </w:p>
        </w:tc>
        <w:tc>
          <w:tcPr>
            <w:tcW w:w="1260" w:type="dxa"/>
            <w:tcBorders>
              <w:top w:val="single" w:sz="22" w:space="0" w:color="DCDCDC"/>
              <w:left w:val="single" w:sz="4" w:space="0" w:color="000000"/>
              <w:bottom w:val="single" w:sz="4" w:space="0" w:color="000000"/>
              <w:right w:val="single" w:sz="4" w:space="0" w:color="000000"/>
            </w:tcBorders>
          </w:tcPr>
          <w:p>
            <w:pPr>
              <w:pStyle w:val="TableParagraph"/>
              <w:spacing w:line="240" w:lineRule="auto" w:before="67"/>
              <w:ind w:right="22"/>
              <w:jc w:val="right"/>
              <w:rPr>
                <w:rFonts w:ascii="Times New Roman" w:hAnsi="Times New Roman" w:cs="Times New Roman" w:eastAsia="Times New Roman" w:hint="default"/>
                <w:sz w:val="18"/>
                <w:szCs w:val="18"/>
              </w:rPr>
            </w:pPr>
            <w:r>
              <w:rPr>
                <w:rFonts w:ascii="Times New Roman"/>
                <w:spacing w:val="-1"/>
                <w:sz w:val="18"/>
              </w:rPr>
              <w:t>595,404,810.10</w:t>
            </w:r>
          </w:p>
        </w:tc>
        <w:tc>
          <w:tcPr>
            <w:tcW w:w="1260" w:type="dxa"/>
            <w:tcBorders>
              <w:top w:val="single" w:sz="22" w:space="0" w:color="DCDCDC"/>
              <w:left w:val="single" w:sz="4" w:space="0" w:color="000000"/>
              <w:bottom w:val="single" w:sz="4" w:space="0" w:color="000000"/>
              <w:right w:val="single" w:sz="4" w:space="0" w:color="000000"/>
            </w:tcBorders>
          </w:tcPr>
          <w:p>
            <w:pPr>
              <w:pStyle w:val="TableParagraph"/>
              <w:spacing w:line="240" w:lineRule="auto" w:before="67"/>
              <w:ind w:left="75" w:right="0"/>
              <w:jc w:val="center"/>
              <w:rPr>
                <w:rFonts w:ascii="Times New Roman" w:hAnsi="Times New Roman" w:cs="Times New Roman" w:eastAsia="Times New Roman" w:hint="default"/>
                <w:sz w:val="18"/>
                <w:szCs w:val="18"/>
              </w:rPr>
            </w:pPr>
            <w:r>
              <w:rPr>
                <w:rFonts w:ascii="Times New Roman"/>
                <w:sz w:val="18"/>
              </w:rPr>
              <w:t>598,074,836.12</w:t>
            </w:r>
          </w:p>
        </w:tc>
      </w:tr>
      <w:tr>
        <w:trPr>
          <w:trHeight w:val="476" w:hRule="exact"/>
        </w:trPr>
        <w:tc>
          <w:tcPr>
            <w:tcW w:w="2147"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pacing w:val="10"/>
                <w:sz w:val="18"/>
                <w:szCs w:val="18"/>
              </w:rPr>
              <w:t>归属于上市公司股东的所</w:t>
            </w:r>
            <w:r>
              <w:rPr>
                <w:rFonts w:ascii="宋体" w:hAnsi="宋体" w:cs="宋体" w:eastAsia="宋体" w:hint="default"/>
                <w:sz w:val="18"/>
                <w:szCs w:val="18"/>
              </w:rPr>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有者权益（或股东权益）</w:t>
            </w:r>
          </w:p>
        </w:tc>
        <w:tc>
          <w:tcPr>
            <w:tcW w:w="1440" w:type="dxa"/>
            <w:tcBorders>
              <w:top w:val="single" w:sz="4" w:space="0" w:color="000000"/>
              <w:left w:val="single" w:sz="13" w:space="0" w:color="DCDCDC"/>
              <w:bottom w:val="single" w:sz="4" w:space="0" w:color="FFFFFF"/>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1,330,005,376.24</w:t>
            </w:r>
          </w:p>
        </w:tc>
        <w:tc>
          <w:tcPr>
            <w:tcW w:w="140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1,027,048,579.06</w:t>
            </w:r>
          </w:p>
        </w:tc>
        <w:tc>
          <w:tcPr>
            <w:tcW w:w="134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w w:val="95"/>
                <w:sz w:val="18"/>
              </w:rPr>
              <w:t>29.50%</w:t>
            </w:r>
            <w:r>
              <w:rPr>
                <w:rFonts w:ascii="Times New Roman"/>
                <w:sz w:val="18"/>
              </w:rPr>
            </w:r>
          </w:p>
        </w:tc>
        <w:tc>
          <w:tcPr>
            <w:tcW w:w="126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239,362,101.76</w:t>
            </w:r>
          </w:p>
        </w:tc>
        <w:tc>
          <w:tcPr>
            <w:tcW w:w="126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24"/>
              <w:ind w:left="75" w:right="0"/>
              <w:jc w:val="center"/>
              <w:rPr>
                <w:rFonts w:ascii="Times New Roman" w:hAnsi="Times New Roman" w:cs="Times New Roman" w:eastAsia="Times New Roman" w:hint="default"/>
                <w:sz w:val="18"/>
                <w:szCs w:val="18"/>
              </w:rPr>
            </w:pPr>
            <w:r>
              <w:rPr>
                <w:rFonts w:ascii="Times New Roman"/>
                <w:sz w:val="18"/>
              </w:rPr>
              <w:t>242,032,127.78</w:t>
            </w:r>
          </w:p>
        </w:tc>
      </w:tr>
      <w:tr>
        <w:trPr>
          <w:trHeight w:val="350" w:hRule="exact"/>
        </w:trPr>
        <w:tc>
          <w:tcPr>
            <w:tcW w:w="2147"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40" w:type="dxa"/>
            <w:tcBorders>
              <w:top w:val="single" w:sz="4" w:space="0" w:color="FFFFFF"/>
              <w:left w:val="single" w:sz="13" w:space="0" w:color="DCDCDC"/>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285,118,020.00</w:t>
            </w:r>
          </w:p>
        </w:tc>
        <w:tc>
          <w:tcPr>
            <w:tcW w:w="140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142,559,010.00</w:t>
            </w:r>
          </w:p>
        </w:tc>
        <w:tc>
          <w:tcPr>
            <w:tcW w:w="134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z w:val="18"/>
              </w:rPr>
              <w:t>100.00%</w:t>
            </w:r>
          </w:p>
        </w:tc>
        <w:tc>
          <w:tcPr>
            <w:tcW w:w="126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106,559,010.00</w:t>
            </w:r>
          </w:p>
        </w:tc>
        <w:tc>
          <w:tcPr>
            <w:tcW w:w="126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2"/>
              <w:ind w:left="77" w:right="0"/>
              <w:jc w:val="center"/>
              <w:rPr>
                <w:rFonts w:ascii="Times New Roman" w:hAnsi="Times New Roman" w:cs="Times New Roman" w:eastAsia="Times New Roman" w:hint="default"/>
                <w:sz w:val="18"/>
                <w:szCs w:val="18"/>
              </w:rPr>
            </w:pPr>
            <w:r>
              <w:rPr>
                <w:rFonts w:ascii="Times New Roman"/>
                <w:sz w:val="18"/>
              </w:rPr>
              <w:t>106,559,010.00</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600" w:bottom="280" w:left="1400" w:right="1400"/>
        </w:sectPr>
      </w:pPr>
    </w:p>
    <w:p>
      <w:pPr>
        <w:spacing w:line="240" w:lineRule="auto" w:before="1"/>
        <w:rPr>
          <w:rFonts w:ascii="宋体" w:hAnsi="宋体" w:cs="宋体" w:eastAsia="宋体" w:hint="default"/>
          <w:sz w:val="19"/>
          <w:szCs w:val="19"/>
        </w:rPr>
      </w:pPr>
    </w:p>
    <w:p>
      <w:pPr>
        <w:pStyle w:val="BodyText"/>
        <w:spacing w:line="274" w:lineRule="exact" w:before="35"/>
        <w:ind w:left="420" w:right="0"/>
        <w:jc w:val="left"/>
      </w:pPr>
      <w:r>
        <w:rPr/>
        <w:t>（二）主要财务指标</w:t>
      </w:r>
    </w:p>
    <w:p>
      <w:pPr>
        <w:pStyle w:val="BodyText"/>
        <w:spacing w:line="274" w:lineRule="exact" w:before="0"/>
        <w:ind w:left="0" w:right="541"/>
        <w:jc w:val="right"/>
      </w:pPr>
      <w:r>
        <w:rPr/>
        <w:t>单位：元</w:t>
      </w:r>
    </w:p>
    <w:p>
      <w:pPr>
        <w:spacing w:line="240" w:lineRule="auto" w:before="7"/>
        <w:rPr>
          <w:rFonts w:ascii="宋体" w:hAnsi="宋体" w:cs="宋体" w:eastAsia="宋体" w:hint="default"/>
          <w:sz w:val="2"/>
          <w:szCs w:val="2"/>
        </w:rPr>
      </w:pPr>
    </w:p>
    <w:tbl>
      <w:tblPr>
        <w:tblW w:w="0" w:type="auto"/>
        <w:jc w:val="left"/>
        <w:tblInd w:w="508" w:type="dxa"/>
        <w:tblLayout w:type="fixed"/>
        <w:tblCellMar>
          <w:top w:w="0" w:type="dxa"/>
          <w:left w:w="0" w:type="dxa"/>
          <w:bottom w:w="0" w:type="dxa"/>
          <w:right w:w="0" w:type="dxa"/>
        </w:tblCellMar>
        <w:tblLook w:val="01E0"/>
      </w:tblPr>
      <w:tblGrid>
        <w:gridCol w:w="2786"/>
        <w:gridCol w:w="956"/>
        <w:gridCol w:w="955"/>
        <w:gridCol w:w="1260"/>
        <w:gridCol w:w="1080"/>
        <w:gridCol w:w="1080"/>
      </w:tblGrid>
      <w:tr>
        <w:trPr>
          <w:trHeight w:val="186" w:hRule="exact"/>
        </w:trPr>
        <w:tc>
          <w:tcPr>
            <w:tcW w:w="2786" w:type="dxa"/>
            <w:tcBorders>
              <w:top w:val="single" w:sz="4" w:space="0" w:color="000000"/>
              <w:left w:val="single" w:sz="4" w:space="0" w:color="000000"/>
              <w:bottom w:val="nil" w:sz="6" w:space="0" w:color="auto"/>
              <w:right w:val="single" w:sz="4" w:space="0" w:color="000000"/>
            </w:tcBorders>
            <w:shd w:val="clear" w:color="auto" w:fill="DCDCDC"/>
          </w:tcPr>
          <w:p>
            <w:pPr/>
          </w:p>
        </w:tc>
        <w:tc>
          <w:tcPr>
            <w:tcW w:w="956" w:type="dxa"/>
            <w:tcBorders>
              <w:top w:val="single" w:sz="4" w:space="0" w:color="000000"/>
              <w:left w:val="single" w:sz="4" w:space="0" w:color="000000"/>
              <w:bottom w:val="nil" w:sz="6" w:space="0" w:color="auto"/>
              <w:right w:val="single" w:sz="4" w:space="0" w:color="000000"/>
            </w:tcBorders>
            <w:shd w:val="clear" w:color="auto" w:fill="DCDCDC"/>
          </w:tcPr>
          <w:p>
            <w:pPr/>
          </w:p>
        </w:tc>
        <w:tc>
          <w:tcPr>
            <w:tcW w:w="955"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44"/>
              <w:ind w:left="265" w:right="83" w:hanging="180"/>
              <w:jc w:val="left"/>
              <w:rPr>
                <w:rFonts w:ascii="宋体" w:hAnsi="宋体" w:cs="宋体" w:eastAsia="宋体" w:hint="default"/>
                <w:sz w:val="18"/>
                <w:szCs w:val="18"/>
              </w:rPr>
            </w:pPr>
            <w:r>
              <w:rPr>
                <w:rFonts w:ascii="宋体" w:hAnsi="宋体" w:cs="宋体" w:eastAsia="宋体" w:hint="default"/>
                <w:sz w:val="18"/>
                <w:szCs w:val="18"/>
              </w:rPr>
              <w:t>本年比上年增 减（％）</w:t>
            </w:r>
          </w:p>
        </w:tc>
        <w:tc>
          <w:tcPr>
            <w:tcW w:w="216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4" w:lineRule="exact"/>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07" w:hRule="exact"/>
        </w:trPr>
        <w:tc>
          <w:tcPr>
            <w:tcW w:w="2786" w:type="dxa"/>
            <w:vMerge w:val="restart"/>
            <w:tcBorders>
              <w:top w:val="nil" w:sz="6" w:space="0" w:color="auto"/>
              <w:left w:val="single" w:sz="4" w:space="0" w:color="000000"/>
              <w:right w:val="single" w:sz="4" w:space="0" w:color="000000"/>
            </w:tcBorders>
            <w:shd w:val="clear" w:color="auto" w:fill="DCDCDC"/>
          </w:tcPr>
          <w:p>
            <w:pPr/>
          </w:p>
        </w:tc>
        <w:tc>
          <w:tcPr>
            <w:tcW w:w="956" w:type="dxa"/>
            <w:vMerge w:val="restart"/>
            <w:tcBorders>
              <w:top w:val="nil" w:sz="6" w:space="0" w:color="auto"/>
              <w:left w:val="single" w:sz="4" w:space="0" w:color="000000"/>
              <w:right w:val="single" w:sz="4" w:space="0" w:color="000000"/>
            </w:tcBorders>
            <w:shd w:val="clear" w:color="auto" w:fill="DCDCDC"/>
          </w:tcPr>
          <w:p>
            <w:pPr>
              <w:pStyle w:val="TableParagraph"/>
              <w:spacing w:line="204" w:lineRule="exact"/>
              <w:ind w:left="1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55" w:type="dxa"/>
            <w:vMerge w:val="restart"/>
            <w:tcBorders>
              <w:top w:val="nil" w:sz="6" w:space="0" w:color="auto"/>
              <w:left w:val="single" w:sz="4" w:space="0" w:color="000000"/>
              <w:right w:val="single" w:sz="4" w:space="0" w:color="000000"/>
            </w:tcBorders>
            <w:shd w:val="clear" w:color="auto" w:fill="DCDCDC"/>
          </w:tcPr>
          <w:p>
            <w:pPr>
              <w:pStyle w:val="TableParagraph"/>
              <w:spacing w:line="204" w:lineRule="exact"/>
              <w:ind w:left="1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60" w:type="dxa"/>
            <w:vMerge/>
            <w:tcBorders>
              <w:left w:val="single" w:sz="4" w:space="0" w:color="000000"/>
              <w:right w:val="single" w:sz="4" w:space="0" w:color="000000"/>
            </w:tcBorders>
            <w:shd w:val="clear" w:color="auto" w:fill="DCDCDC"/>
          </w:tcPr>
          <w:p>
            <w:pPr/>
          </w:p>
        </w:tc>
        <w:tc>
          <w:tcPr>
            <w:tcW w:w="2160" w:type="dxa"/>
            <w:gridSpan w:val="2"/>
            <w:vMerge/>
            <w:tcBorders>
              <w:left w:val="single" w:sz="4" w:space="0" w:color="000000"/>
              <w:bottom w:val="single" w:sz="4" w:space="0" w:color="000000"/>
              <w:right w:val="single" w:sz="4" w:space="0" w:color="000000"/>
            </w:tcBorders>
            <w:shd w:val="clear" w:color="auto" w:fill="DCDCDC"/>
          </w:tcPr>
          <w:p>
            <w:pPr/>
          </w:p>
        </w:tc>
      </w:tr>
      <w:tr>
        <w:trPr>
          <w:trHeight w:val="99" w:hRule="exact"/>
        </w:trPr>
        <w:tc>
          <w:tcPr>
            <w:tcW w:w="2786" w:type="dxa"/>
            <w:vMerge/>
            <w:tcBorders>
              <w:left w:val="single" w:sz="4" w:space="0" w:color="000000"/>
              <w:bottom w:val="nil" w:sz="6" w:space="0" w:color="auto"/>
              <w:right w:val="single" w:sz="4" w:space="0" w:color="000000"/>
            </w:tcBorders>
            <w:shd w:val="clear" w:color="auto" w:fill="DCDCDC"/>
          </w:tcPr>
          <w:p>
            <w:pPr/>
          </w:p>
        </w:tc>
        <w:tc>
          <w:tcPr>
            <w:tcW w:w="956" w:type="dxa"/>
            <w:vMerge/>
            <w:tcBorders>
              <w:left w:val="single" w:sz="4" w:space="0" w:color="000000"/>
              <w:bottom w:val="nil" w:sz="6" w:space="0" w:color="auto"/>
              <w:right w:val="single" w:sz="4" w:space="0" w:color="000000"/>
            </w:tcBorders>
            <w:shd w:val="clear" w:color="auto" w:fill="DCDCDC"/>
          </w:tcPr>
          <w:p>
            <w:pPr/>
          </w:p>
        </w:tc>
        <w:tc>
          <w:tcPr>
            <w:tcW w:w="955" w:type="dxa"/>
            <w:vMerge/>
            <w:tcBorders>
              <w:left w:val="single" w:sz="4" w:space="0" w:color="000000"/>
              <w:bottom w:val="nil" w:sz="6" w:space="0" w:color="auto"/>
              <w:right w:val="single" w:sz="4" w:space="0" w:color="000000"/>
            </w:tcBorders>
            <w:shd w:val="clear" w:color="auto" w:fill="DCDCDC"/>
          </w:tcPr>
          <w:p>
            <w:pPr/>
          </w:p>
        </w:tc>
        <w:tc>
          <w:tcPr>
            <w:tcW w:w="1260" w:type="dxa"/>
            <w:vMerge/>
            <w:tcBorders>
              <w:left w:val="single" w:sz="4" w:space="0" w:color="000000"/>
              <w:right w:val="single" w:sz="4" w:space="0" w:color="000000"/>
            </w:tcBorders>
            <w:shd w:val="clear" w:color="auto" w:fill="DCDCDC"/>
          </w:tcPr>
          <w:p>
            <w:pPr/>
          </w:p>
        </w:tc>
        <w:tc>
          <w:tcPr>
            <w:tcW w:w="1080" w:type="dxa"/>
            <w:vMerge w:val="restart"/>
            <w:tcBorders>
              <w:top w:val="single" w:sz="4" w:space="0" w:color="000000"/>
              <w:left w:val="single" w:sz="4" w:space="0" w:color="000000"/>
              <w:right w:val="single" w:sz="4" w:space="0" w:color="000000"/>
            </w:tcBorders>
            <w:shd w:val="clear" w:color="auto" w:fill="DCDCDC"/>
          </w:tcPr>
          <w:p>
            <w:pPr>
              <w:pStyle w:val="TableParagraph"/>
              <w:spacing w:line="231" w:lineRule="exact"/>
              <w:ind w:left="26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080" w:type="dxa"/>
            <w:vMerge w:val="restart"/>
            <w:tcBorders>
              <w:top w:val="single" w:sz="4" w:space="0" w:color="000000"/>
              <w:left w:val="single" w:sz="4" w:space="0" w:color="000000"/>
              <w:right w:val="single" w:sz="4" w:space="0" w:color="000000"/>
            </w:tcBorders>
            <w:shd w:val="clear" w:color="auto" w:fill="DCDCDC"/>
          </w:tcPr>
          <w:p>
            <w:pPr>
              <w:pStyle w:val="TableParagraph"/>
              <w:spacing w:line="231" w:lineRule="exact"/>
              <w:ind w:left="264"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95" w:hRule="exact"/>
        </w:trPr>
        <w:tc>
          <w:tcPr>
            <w:tcW w:w="2786" w:type="dxa"/>
            <w:tcBorders>
              <w:top w:val="nil" w:sz="6" w:space="0" w:color="auto"/>
              <w:left w:val="single" w:sz="4" w:space="0" w:color="000000"/>
              <w:bottom w:val="single" w:sz="4" w:space="0" w:color="000000"/>
              <w:right w:val="single" w:sz="4" w:space="0" w:color="000000"/>
            </w:tcBorders>
            <w:shd w:val="clear" w:color="auto" w:fill="DCDCDC"/>
          </w:tcPr>
          <w:p>
            <w:pPr/>
          </w:p>
        </w:tc>
        <w:tc>
          <w:tcPr>
            <w:tcW w:w="956" w:type="dxa"/>
            <w:tcBorders>
              <w:top w:val="nil" w:sz="6" w:space="0" w:color="auto"/>
              <w:left w:val="single" w:sz="4" w:space="0" w:color="000000"/>
              <w:bottom w:val="single" w:sz="4" w:space="0" w:color="000000"/>
              <w:right w:val="single" w:sz="4" w:space="0" w:color="000000"/>
            </w:tcBorders>
            <w:shd w:val="clear" w:color="auto" w:fill="DCDCDC"/>
          </w:tcPr>
          <w:p>
            <w:pPr/>
          </w:p>
        </w:tc>
        <w:tc>
          <w:tcPr>
            <w:tcW w:w="955" w:type="dxa"/>
            <w:tcBorders>
              <w:top w:val="nil" w:sz="6" w:space="0" w:color="auto"/>
              <w:left w:val="single" w:sz="4" w:space="0" w:color="000000"/>
              <w:bottom w:val="single" w:sz="4" w:space="0" w:color="000000"/>
              <w:right w:val="single" w:sz="4" w:space="0" w:color="000000"/>
            </w:tcBorders>
            <w:shd w:val="clear" w:color="auto" w:fill="DCDCDC"/>
          </w:tcPr>
          <w:p>
            <w:pPr/>
          </w:p>
        </w:tc>
        <w:tc>
          <w:tcPr>
            <w:tcW w:w="1260" w:type="dxa"/>
            <w:vMerge/>
            <w:tcBorders>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r>
      <w:tr>
        <w:trPr>
          <w:trHeight w:val="294" w:hRule="exact"/>
        </w:trPr>
        <w:tc>
          <w:tcPr>
            <w:tcW w:w="27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95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18"/>
                <w:szCs w:val="18"/>
              </w:rPr>
            </w:pPr>
            <w:r>
              <w:rPr>
                <w:rFonts w:ascii="Times New Roman"/>
                <w:sz w:val="18"/>
              </w:rPr>
              <w:t>1.16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0.98</w:t>
            </w:r>
          </w:p>
        </w:tc>
        <w:tc>
          <w:tcPr>
            <w:tcW w:w="1260" w:type="dxa"/>
            <w:tcBorders>
              <w:top w:val="single" w:sz="28" w:space="0" w:color="DCDCDC"/>
              <w:left w:val="single" w:sz="4" w:space="0" w:color="000000"/>
              <w:bottom w:val="single" w:sz="4" w:space="0" w:color="000000"/>
              <w:right w:val="single" w:sz="4" w:space="0" w:color="000000"/>
            </w:tcBorders>
          </w:tcPr>
          <w:p>
            <w:pPr>
              <w:pStyle w:val="TableParagraph"/>
              <w:spacing w:line="240" w:lineRule="auto" w:before="3"/>
              <w:ind w:right="21"/>
              <w:jc w:val="right"/>
              <w:rPr>
                <w:rFonts w:ascii="Times New Roman" w:hAnsi="Times New Roman" w:cs="Times New Roman" w:eastAsia="Times New Roman" w:hint="default"/>
                <w:sz w:val="18"/>
                <w:szCs w:val="18"/>
              </w:rPr>
            </w:pPr>
            <w:r>
              <w:rPr>
                <w:rFonts w:ascii="Times New Roman"/>
                <w:w w:val="95"/>
                <w:sz w:val="18"/>
              </w:rPr>
              <w:t>18.37%</w:t>
            </w:r>
            <w:r>
              <w:rPr>
                <w:rFonts w:ascii="Times New Roman"/>
                <w:sz w:val="18"/>
              </w:rPr>
            </w:r>
          </w:p>
        </w:tc>
        <w:tc>
          <w:tcPr>
            <w:tcW w:w="1080" w:type="dxa"/>
            <w:tcBorders>
              <w:top w:val="single" w:sz="15" w:space="0" w:color="DCDCDC"/>
              <w:left w:val="single" w:sz="4" w:space="0" w:color="000000"/>
              <w:bottom w:val="single" w:sz="4" w:space="0" w:color="000000"/>
              <w:right w:val="single" w:sz="4" w:space="0" w:color="000000"/>
            </w:tcBorders>
          </w:tcPr>
          <w:p>
            <w:pPr>
              <w:pStyle w:val="TableParagraph"/>
              <w:spacing w:line="240" w:lineRule="auto" w:before="20"/>
              <w:ind w:right="21"/>
              <w:jc w:val="right"/>
              <w:rPr>
                <w:rFonts w:ascii="Times New Roman" w:hAnsi="Times New Roman" w:cs="Times New Roman" w:eastAsia="Times New Roman" w:hint="default"/>
                <w:sz w:val="18"/>
                <w:szCs w:val="18"/>
              </w:rPr>
            </w:pPr>
            <w:r>
              <w:rPr>
                <w:rFonts w:ascii="Times New Roman"/>
                <w:sz w:val="18"/>
              </w:rPr>
              <w:t>0.42</w:t>
            </w:r>
          </w:p>
        </w:tc>
        <w:tc>
          <w:tcPr>
            <w:tcW w:w="1080" w:type="dxa"/>
            <w:tcBorders>
              <w:top w:val="single" w:sz="15" w:space="0" w:color="DCDCDC"/>
              <w:left w:val="single" w:sz="4" w:space="0" w:color="000000"/>
              <w:bottom w:val="single" w:sz="4" w:space="0" w:color="000000"/>
              <w:right w:val="single" w:sz="4" w:space="0" w:color="000000"/>
            </w:tcBorders>
          </w:tcPr>
          <w:p>
            <w:pPr>
              <w:pStyle w:val="TableParagraph"/>
              <w:spacing w:line="240" w:lineRule="auto" w:before="20"/>
              <w:ind w:right="21"/>
              <w:jc w:val="right"/>
              <w:rPr>
                <w:rFonts w:ascii="Times New Roman" w:hAnsi="Times New Roman" w:cs="Times New Roman" w:eastAsia="Times New Roman" w:hint="default"/>
                <w:sz w:val="18"/>
                <w:szCs w:val="18"/>
              </w:rPr>
            </w:pPr>
            <w:r>
              <w:rPr>
                <w:rFonts w:ascii="Times New Roman"/>
                <w:sz w:val="18"/>
              </w:rPr>
              <w:t>0.42</w:t>
            </w:r>
          </w:p>
        </w:tc>
      </w:tr>
      <w:tr>
        <w:trPr>
          <w:trHeight w:val="294" w:hRule="exact"/>
        </w:trPr>
        <w:tc>
          <w:tcPr>
            <w:tcW w:w="27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95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z w:val="18"/>
              </w:rPr>
              <w:t>1.16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0.98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w w:val="95"/>
                <w:sz w:val="18"/>
              </w:rPr>
              <w:t>18.37%</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0.42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0.42</w:t>
            </w:r>
          </w:p>
        </w:tc>
      </w:tr>
      <w:tr>
        <w:trPr>
          <w:trHeight w:val="476" w:hRule="exact"/>
        </w:trPr>
        <w:tc>
          <w:tcPr>
            <w:tcW w:w="27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扣除非经常性损益后的基本每股收</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95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1.12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0.90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w w:val="95"/>
                <w:sz w:val="18"/>
              </w:rPr>
              <w:t>24.44%</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0.41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0.41</w:t>
            </w:r>
          </w:p>
        </w:tc>
      </w:tr>
      <w:tr>
        <w:trPr>
          <w:trHeight w:val="121" w:hRule="exact"/>
        </w:trPr>
        <w:tc>
          <w:tcPr>
            <w:tcW w:w="2786" w:type="dxa"/>
            <w:tcBorders>
              <w:top w:val="single" w:sz="4" w:space="0" w:color="000000"/>
              <w:left w:val="single" w:sz="4" w:space="0" w:color="000000"/>
              <w:bottom w:val="nil" w:sz="6" w:space="0" w:color="auto"/>
              <w:right w:val="single" w:sz="4" w:space="0" w:color="000000"/>
            </w:tcBorders>
            <w:shd w:val="clear" w:color="auto" w:fill="DCDCDC"/>
          </w:tcPr>
          <w:p>
            <w:pPr/>
          </w:p>
        </w:tc>
        <w:tc>
          <w:tcPr>
            <w:tcW w:w="956" w:type="dxa"/>
            <w:vMerge w:val="restart"/>
            <w:tcBorders>
              <w:top w:val="single" w:sz="4" w:space="0" w:color="000000"/>
              <w:left w:val="single" w:sz="13" w:space="0" w:color="DCDCDC"/>
              <w:right w:val="single" w:sz="4" w:space="0" w:color="000000"/>
            </w:tcBorders>
          </w:tcPr>
          <w:p>
            <w:pPr>
              <w:pStyle w:val="TableParagraph"/>
              <w:spacing w:line="240" w:lineRule="auto" w:before="124"/>
              <w:ind w:left="355" w:right="0"/>
              <w:jc w:val="left"/>
              <w:rPr>
                <w:rFonts w:ascii="Times New Roman" w:hAnsi="Times New Roman" w:cs="Times New Roman" w:eastAsia="Times New Roman" w:hint="default"/>
                <w:sz w:val="18"/>
                <w:szCs w:val="18"/>
              </w:rPr>
            </w:pPr>
            <w:r>
              <w:rPr>
                <w:rFonts w:ascii="Times New Roman"/>
                <w:sz w:val="18"/>
              </w:rPr>
              <w:t>24.93%</w:t>
            </w:r>
          </w:p>
        </w:tc>
        <w:tc>
          <w:tcPr>
            <w:tcW w:w="955" w:type="dxa"/>
            <w:vMerge w:val="restart"/>
            <w:tcBorders>
              <w:top w:val="single" w:sz="4" w:space="0" w:color="000000"/>
              <w:left w:val="single" w:sz="4" w:space="0" w:color="000000"/>
              <w:right w:val="single" w:sz="4" w:space="0" w:color="000000"/>
            </w:tcBorders>
          </w:tcPr>
          <w:p>
            <w:pPr>
              <w:pStyle w:val="TableParagraph"/>
              <w:spacing w:line="240" w:lineRule="auto" w:before="124"/>
              <w:ind w:left="367" w:right="0"/>
              <w:jc w:val="left"/>
              <w:rPr>
                <w:rFonts w:ascii="Times New Roman" w:hAnsi="Times New Roman" w:cs="Times New Roman" w:eastAsia="Times New Roman" w:hint="default"/>
                <w:sz w:val="18"/>
                <w:szCs w:val="18"/>
              </w:rPr>
            </w:pPr>
            <w:r>
              <w:rPr>
                <w:rFonts w:ascii="Times New Roman"/>
                <w:sz w:val="18"/>
              </w:rPr>
              <w:t>22.55%</w:t>
            </w:r>
          </w:p>
        </w:tc>
        <w:tc>
          <w:tcPr>
            <w:tcW w:w="1260" w:type="dxa"/>
            <w:vMerge w:val="restart"/>
            <w:tcBorders>
              <w:top w:val="single" w:sz="4" w:space="0" w:color="000000"/>
              <w:left w:val="single" w:sz="4" w:space="0" w:color="000000"/>
              <w:right w:val="single" w:sz="4" w:space="0" w:color="000000"/>
            </w:tcBorders>
          </w:tcPr>
          <w:p>
            <w:pPr>
              <w:pStyle w:val="TableParagraph"/>
              <w:spacing w:line="211"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pacing w:val="14"/>
                <w:sz w:val="18"/>
                <w:szCs w:val="18"/>
              </w:rPr>
              <w:t>同比上升</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2.38</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个百分点</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24"/>
              <w:ind w:left="491" w:right="0"/>
              <w:jc w:val="left"/>
              <w:rPr>
                <w:rFonts w:ascii="Times New Roman" w:hAnsi="Times New Roman" w:cs="Times New Roman" w:eastAsia="Times New Roman" w:hint="default"/>
                <w:sz w:val="18"/>
                <w:szCs w:val="18"/>
              </w:rPr>
            </w:pPr>
            <w:r>
              <w:rPr>
                <w:rFonts w:ascii="Times New Roman"/>
                <w:sz w:val="18"/>
              </w:rPr>
              <w:t>37.27%</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24"/>
              <w:ind w:left="491" w:right="0"/>
              <w:jc w:val="left"/>
              <w:rPr>
                <w:rFonts w:ascii="Times New Roman" w:hAnsi="Times New Roman" w:cs="Times New Roman" w:eastAsia="Times New Roman" w:hint="default"/>
                <w:sz w:val="18"/>
                <w:szCs w:val="18"/>
              </w:rPr>
            </w:pPr>
            <w:r>
              <w:rPr>
                <w:rFonts w:ascii="Times New Roman"/>
                <w:sz w:val="18"/>
              </w:rPr>
              <w:t>37.24%</w:t>
            </w:r>
          </w:p>
        </w:tc>
      </w:tr>
      <w:tr>
        <w:trPr>
          <w:trHeight w:val="356" w:hRule="exact"/>
        </w:trPr>
        <w:tc>
          <w:tcPr>
            <w:tcW w:w="2786"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全面摊薄净资产收益率</w:t>
            </w:r>
          </w:p>
        </w:tc>
        <w:tc>
          <w:tcPr>
            <w:tcW w:w="956" w:type="dxa"/>
            <w:vMerge/>
            <w:tcBorders>
              <w:left w:val="single" w:sz="13" w:space="0" w:color="DCDCDC"/>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r>
      <w:tr>
        <w:trPr>
          <w:trHeight w:val="121" w:hRule="exact"/>
        </w:trPr>
        <w:tc>
          <w:tcPr>
            <w:tcW w:w="2786" w:type="dxa"/>
            <w:tcBorders>
              <w:top w:val="single" w:sz="4" w:space="0" w:color="000000"/>
              <w:left w:val="single" w:sz="4" w:space="0" w:color="000000"/>
              <w:bottom w:val="nil" w:sz="6" w:space="0" w:color="auto"/>
              <w:right w:val="single" w:sz="4" w:space="0" w:color="000000"/>
            </w:tcBorders>
            <w:shd w:val="clear" w:color="auto" w:fill="DCDCDC"/>
          </w:tcPr>
          <w:p>
            <w:pPr/>
          </w:p>
        </w:tc>
        <w:tc>
          <w:tcPr>
            <w:tcW w:w="956" w:type="dxa"/>
            <w:vMerge w:val="restart"/>
            <w:tcBorders>
              <w:top w:val="single" w:sz="4" w:space="0" w:color="000000"/>
              <w:left w:val="single" w:sz="13" w:space="0" w:color="DCDCDC"/>
              <w:right w:val="single" w:sz="4" w:space="0" w:color="000000"/>
            </w:tcBorders>
          </w:tcPr>
          <w:p>
            <w:pPr>
              <w:pStyle w:val="TableParagraph"/>
              <w:spacing w:line="240" w:lineRule="auto" w:before="124"/>
              <w:ind w:left="355" w:right="0"/>
              <w:jc w:val="left"/>
              <w:rPr>
                <w:rFonts w:ascii="Times New Roman" w:hAnsi="Times New Roman" w:cs="Times New Roman" w:eastAsia="Times New Roman" w:hint="default"/>
                <w:sz w:val="18"/>
                <w:szCs w:val="18"/>
              </w:rPr>
            </w:pPr>
            <w:r>
              <w:rPr>
                <w:rFonts w:ascii="Times New Roman"/>
                <w:sz w:val="18"/>
              </w:rPr>
              <w:t>28.19%</w:t>
            </w:r>
          </w:p>
        </w:tc>
        <w:tc>
          <w:tcPr>
            <w:tcW w:w="955" w:type="dxa"/>
            <w:vMerge w:val="restart"/>
            <w:tcBorders>
              <w:top w:val="single" w:sz="4" w:space="0" w:color="000000"/>
              <w:left w:val="single" w:sz="4" w:space="0" w:color="000000"/>
              <w:right w:val="single" w:sz="4" w:space="0" w:color="000000"/>
            </w:tcBorders>
          </w:tcPr>
          <w:p>
            <w:pPr>
              <w:pStyle w:val="TableParagraph"/>
              <w:spacing w:line="240" w:lineRule="auto" w:before="124"/>
              <w:ind w:left="367" w:right="0"/>
              <w:jc w:val="left"/>
              <w:rPr>
                <w:rFonts w:ascii="Times New Roman" w:hAnsi="Times New Roman" w:cs="Times New Roman" w:eastAsia="Times New Roman" w:hint="default"/>
                <w:sz w:val="18"/>
                <w:szCs w:val="18"/>
              </w:rPr>
            </w:pPr>
            <w:r>
              <w:rPr>
                <w:rFonts w:ascii="Times New Roman"/>
                <w:sz w:val="18"/>
              </w:rPr>
              <w:t>43.78%</w:t>
            </w:r>
          </w:p>
        </w:tc>
        <w:tc>
          <w:tcPr>
            <w:tcW w:w="1260" w:type="dxa"/>
            <w:vMerge w:val="restart"/>
            <w:tcBorders>
              <w:top w:val="single" w:sz="4" w:space="0" w:color="000000"/>
              <w:left w:val="single" w:sz="4" w:space="0" w:color="000000"/>
              <w:right w:val="single" w:sz="4" w:space="0" w:color="000000"/>
            </w:tcBorders>
          </w:tcPr>
          <w:p>
            <w:pPr>
              <w:pStyle w:val="TableParagraph"/>
              <w:spacing w:line="211"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同比下降</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15.59</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个百分点</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24"/>
              <w:ind w:left="491" w:right="0"/>
              <w:jc w:val="left"/>
              <w:rPr>
                <w:rFonts w:ascii="Times New Roman" w:hAnsi="Times New Roman" w:cs="Times New Roman" w:eastAsia="Times New Roman" w:hint="default"/>
                <w:sz w:val="18"/>
                <w:szCs w:val="18"/>
              </w:rPr>
            </w:pPr>
            <w:r>
              <w:rPr>
                <w:rFonts w:ascii="Times New Roman"/>
                <w:sz w:val="18"/>
              </w:rPr>
              <w:t>47.37%</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24"/>
              <w:ind w:left="491" w:right="0"/>
              <w:jc w:val="left"/>
              <w:rPr>
                <w:rFonts w:ascii="Times New Roman" w:hAnsi="Times New Roman" w:cs="Times New Roman" w:eastAsia="Times New Roman" w:hint="default"/>
                <w:sz w:val="18"/>
                <w:szCs w:val="18"/>
              </w:rPr>
            </w:pPr>
            <w:r>
              <w:rPr>
                <w:rFonts w:ascii="Times New Roman"/>
                <w:sz w:val="18"/>
              </w:rPr>
              <w:t>47.31%</w:t>
            </w:r>
          </w:p>
        </w:tc>
      </w:tr>
      <w:tr>
        <w:trPr>
          <w:trHeight w:val="355" w:hRule="exact"/>
        </w:trPr>
        <w:tc>
          <w:tcPr>
            <w:tcW w:w="2786"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956" w:type="dxa"/>
            <w:vMerge/>
            <w:tcBorders>
              <w:left w:val="single" w:sz="13" w:space="0" w:color="DCDCDC"/>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r>
      <w:tr>
        <w:trPr>
          <w:trHeight w:val="476" w:hRule="exact"/>
        </w:trPr>
        <w:tc>
          <w:tcPr>
            <w:tcW w:w="27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扣除非经常性损益后全面摊薄净资</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产收益率</w:t>
            </w:r>
          </w:p>
        </w:tc>
        <w:tc>
          <w:tcPr>
            <w:tcW w:w="95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18"/>
                <w:szCs w:val="18"/>
              </w:rPr>
            </w:pPr>
            <w:r>
              <w:rPr>
                <w:rFonts w:ascii="Times New Roman"/>
                <w:sz w:val="18"/>
              </w:rPr>
              <w:t>24.06%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20.87%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pacing w:val="14"/>
                <w:sz w:val="18"/>
                <w:szCs w:val="18"/>
              </w:rPr>
              <w:t>同比上升</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3.19</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个百分点</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36.10%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sz w:val="18"/>
              </w:rPr>
              <w:t>36.09%</w:t>
            </w:r>
          </w:p>
        </w:tc>
      </w:tr>
      <w:tr>
        <w:trPr>
          <w:trHeight w:val="478" w:hRule="exact"/>
        </w:trPr>
        <w:tc>
          <w:tcPr>
            <w:tcW w:w="27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扣除非经常性损益后的加权平均净</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资产收益率</w:t>
            </w:r>
          </w:p>
        </w:tc>
        <w:tc>
          <w:tcPr>
            <w:tcW w:w="95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18"/>
                <w:szCs w:val="18"/>
              </w:rPr>
            </w:pPr>
            <w:r>
              <w:rPr>
                <w:rFonts w:ascii="Times New Roman"/>
                <w:sz w:val="18"/>
              </w:rPr>
              <w:t>27.20%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40.53%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同比下降</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13.33</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个百分点</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45.88%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sz w:val="18"/>
              </w:rPr>
              <w:t>45.84%</w:t>
            </w:r>
          </w:p>
        </w:tc>
      </w:tr>
      <w:tr>
        <w:trPr>
          <w:trHeight w:val="294" w:hRule="exact"/>
        </w:trPr>
        <w:tc>
          <w:tcPr>
            <w:tcW w:w="27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每股经营活动产生的现金流量净额</w:t>
            </w:r>
          </w:p>
        </w:tc>
        <w:tc>
          <w:tcPr>
            <w:tcW w:w="95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z w:val="18"/>
              </w:rPr>
              <w:t>1.08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1.70</w:t>
            </w:r>
          </w:p>
        </w:tc>
        <w:tc>
          <w:tcPr>
            <w:tcW w:w="1260" w:type="dxa"/>
            <w:tcBorders>
              <w:top w:val="single" w:sz="4" w:space="0" w:color="000000"/>
              <w:left w:val="single" w:sz="4" w:space="0" w:color="000000"/>
              <w:bottom w:val="single" w:sz="21" w:space="0" w:color="DCDCDC"/>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w w:val="95"/>
                <w:sz w:val="18"/>
              </w:rPr>
              <w:t>-36.47%</w:t>
            </w:r>
            <w:r>
              <w:rPr>
                <w:rFonts w:ascii="Times New Roman"/>
                <w:sz w:val="18"/>
              </w:rPr>
            </w:r>
          </w:p>
        </w:tc>
        <w:tc>
          <w:tcPr>
            <w:tcW w:w="1080"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0.57</w:t>
            </w:r>
          </w:p>
        </w:tc>
        <w:tc>
          <w:tcPr>
            <w:tcW w:w="1080"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0.57</w:t>
            </w:r>
          </w:p>
        </w:tc>
      </w:tr>
      <w:tr>
        <w:trPr>
          <w:trHeight w:val="186" w:hRule="exact"/>
        </w:trPr>
        <w:tc>
          <w:tcPr>
            <w:tcW w:w="2786" w:type="dxa"/>
            <w:tcBorders>
              <w:top w:val="single" w:sz="4" w:space="0" w:color="000000"/>
              <w:left w:val="single" w:sz="4" w:space="0" w:color="000000"/>
              <w:bottom w:val="nil" w:sz="6" w:space="0" w:color="auto"/>
              <w:right w:val="single" w:sz="4" w:space="0" w:color="000000"/>
            </w:tcBorders>
            <w:shd w:val="clear" w:color="auto" w:fill="DCDCDC"/>
          </w:tcPr>
          <w:p>
            <w:pPr/>
          </w:p>
        </w:tc>
        <w:tc>
          <w:tcPr>
            <w:tcW w:w="956" w:type="dxa"/>
            <w:tcBorders>
              <w:top w:val="single" w:sz="4" w:space="0" w:color="000000"/>
              <w:left w:val="single" w:sz="4" w:space="0" w:color="000000"/>
              <w:bottom w:val="nil" w:sz="6" w:space="0" w:color="auto"/>
              <w:right w:val="single" w:sz="4" w:space="0" w:color="000000"/>
            </w:tcBorders>
            <w:shd w:val="clear" w:color="auto" w:fill="DCDCDC"/>
          </w:tcPr>
          <w:p>
            <w:pPr/>
          </w:p>
        </w:tc>
        <w:tc>
          <w:tcPr>
            <w:tcW w:w="955"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44"/>
              <w:ind w:left="85" w:right="83"/>
              <w:jc w:val="left"/>
              <w:rPr>
                <w:rFonts w:ascii="宋体" w:hAnsi="宋体" w:cs="宋体" w:eastAsia="宋体" w:hint="default"/>
                <w:sz w:val="18"/>
                <w:szCs w:val="18"/>
              </w:rPr>
            </w:pPr>
            <w:r>
              <w:rPr>
                <w:rFonts w:ascii="宋体" w:hAnsi="宋体" w:cs="宋体" w:eastAsia="宋体" w:hint="default"/>
                <w:sz w:val="18"/>
                <w:szCs w:val="18"/>
              </w:rPr>
              <w:t>本年末比上年 末增减（％）</w:t>
            </w:r>
          </w:p>
        </w:tc>
        <w:tc>
          <w:tcPr>
            <w:tcW w:w="216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4" w:lineRule="exact"/>
              <w:ind w:left="6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07" w:hRule="exact"/>
        </w:trPr>
        <w:tc>
          <w:tcPr>
            <w:tcW w:w="2786" w:type="dxa"/>
            <w:vMerge w:val="restart"/>
            <w:tcBorders>
              <w:top w:val="nil" w:sz="6" w:space="0" w:color="auto"/>
              <w:left w:val="single" w:sz="4" w:space="0" w:color="000000"/>
              <w:right w:val="single" w:sz="4" w:space="0" w:color="000000"/>
            </w:tcBorders>
            <w:shd w:val="clear" w:color="auto" w:fill="DCDCDC"/>
          </w:tcPr>
          <w:p>
            <w:pPr/>
          </w:p>
        </w:tc>
        <w:tc>
          <w:tcPr>
            <w:tcW w:w="956"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55"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260" w:type="dxa"/>
            <w:vMerge/>
            <w:tcBorders>
              <w:left w:val="single" w:sz="4" w:space="0" w:color="000000"/>
              <w:right w:val="single" w:sz="4" w:space="0" w:color="000000"/>
            </w:tcBorders>
            <w:shd w:val="clear" w:color="auto" w:fill="DCDCDC"/>
          </w:tcPr>
          <w:p>
            <w:pPr/>
          </w:p>
        </w:tc>
        <w:tc>
          <w:tcPr>
            <w:tcW w:w="2160" w:type="dxa"/>
            <w:gridSpan w:val="2"/>
            <w:vMerge/>
            <w:tcBorders>
              <w:left w:val="single" w:sz="4" w:space="0" w:color="000000"/>
              <w:bottom w:val="single" w:sz="4" w:space="0" w:color="000000"/>
              <w:right w:val="single" w:sz="4" w:space="0" w:color="000000"/>
            </w:tcBorders>
            <w:shd w:val="clear" w:color="auto" w:fill="DCDCDC"/>
          </w:tcPr>
          <w:p>
            <w:pPr/>
          </w:p>
        </w:tc>
      </w:tr>
      <w:tr>
        <w:trPr>
          <w:trHeight w:val="99" w:hRule="exact"/>
        </w:trPr>
        <w:tc>
          <w:tcPr>
            <w:tcW w:w="2786" w:type="dxa"/>
            <w:vMerge/>
            <w:tcBorders>
              <w:left w:val="single" w:sz="4" w:space="0" w:color="000000"/>
              <w:bottom w:val="nil" w:sz="6" w:space="0" w:color="auto"/>
              <w:right w:val="single" w:sz="4" w:space="0" w:color="000000"/>
            </w:tcBorders>
            <w:shd w:val="clear" w:color="auto" w:fill="DCDCDC"/>
          </w:tcPr>
          <w:p>
            <w:pPr/>
          </w:p>
        </w:tc>
        <w:tc>
          <w:tcPr>
            <w:tcW w:w="956" w:type="dxa"/>
            <w:vMerge/>
            <w:tcBorders>
              <w:left w:val="single" w:sz="4" w:space="0" w:color="000000"/>
              <w:bottom w:val="nil" w:sz="6" w:space="0" w:color="auto"/>
              <w:right w:val="single" w:sz="4" w:space="0" w:color="000000"/>
            </w:tcBorders>
            <w:shd w:val="clear" w:color="auto" w:fill="DCDCDC"/>
          </w:tcPr>
          <w:p>
            <w:pPr/>
          </w:p>
        </w:tc>
        <w:tc>
          <w:tcPr>
            <w:tcW w:w="955" w:type="dxa"/>
            <w:vMerge/>
            <w:tcBorders>
              <w:left w:val="single" w:sz="4" w:space="0" w:color="000000"/>
              <w:bottom w:val="nil" w:sz="6" w:space="0" w:color="auto"/>
              <w:right w:val="single" w:sz="4" w:space="0" w:color="000000"/>
            </w:tcBorders>
            <w:shd w:val="clear" w:color="auto" w:fill="DCDCDC"/>
          </w:tcPr>
          <w:p>
            <w:pPr/>
          </w:p>
        </w:tc>
        <w:tc>
          <w:tcPr>
            <w:tcW w:w="1260" w:type="dxa"/>
            <w:vMerge/>
            <w:tcBorders>
              <w:left w:val="single" w:sz="4" w:space="0" w:color="000000"/>
              <w:right w:val="single" w:sz="4" w:space="0" w:color="000000"/>
            </w:tcBorders>
            <w:shd w:val="clear" w:color="auto" w:fill="DCDCDC"/>
          </w:tcPr>
          <w:p>
            <w:pPr/>
          </w:p>
        </w:tc>
        <w:tc>
          <w:tcPr>
            <w:tcW w:w="1080"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ind w:left="26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080"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ind w:left="264"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96" w:hRule="exact"/>
        </w:trPr>
        <w:tc>
          <w:tcPr>
            <w:tcW w:w="2786" w:type="dxa"/>
            <w:tcBorders>
              <w:top w:val="nil" w:sz="6" w:space="0" w:color="auto"/>
              <w:left w:val="single" w:sz="4" w:space="0" w:color="000000"/>
              <w:bottom w:val="single" w:sz="4" w:space="0" w:color="000000"/>
              <w:right w:val="single" w:sz="4" w:space="0" w:color="000000"/>
            </w:tcBorders>
            <w:shd w:val="clear" w:color="auto" w:fill="DCDCDC"/>
          </w:tcPr>
          <w:p>
            <w:pPr/>
          </w:p>
        </w:tc>
        <w:tc>
          <w:tcPr>
            <w:tcW w:w="956" w:type="dxa"/>
            <w:tcBorders>
              <w:top w:val="nil" w:sz="6" w:space="0" w:color="auto"/>
              <w:left w:val="single" w:sz="4" w:space="0" w:color="000000"/>
              <w:bottom w:val="single" w:sz="4" w:space="0" w:color="000000"/>
              <w:right w:val="single" w:sz="4" w:space="0" w:color="000000"/>
            </w:tcBorders>
            <w:shd w:val="clear" w:color="auto" w:fill="DCDCDC"/>
          </w:tcPr>
          <w:p>
            <w:pPr/>
          </w:p>
        </w:tc>
        <w:tc>
          <w:tcPr>
            <w:tcW w:w="955" w:type="dxa"/>
            <w:tcBorders>
              <w:top w:val="nil" w:sz="6" w:space="0" w:color="auto"/>
              <w:left w:val="single" w:sz="4" w:space="0" w:color="000000"/>
              <w:bottom w:val="single" w:sz="4" w:space="0" w:color="000000"/>
              <w:right w:val="single" w:sz="4" w:space="0" w:color="000000"/>
            </w:tcBorders>
            <w:shd w:val="clear" w:color="auto" w:fill="DCDCDC"/>
          </w:tcPr>
          <w:p>
            <w:pPr/>
          </w:p>
        </w:tc>
        <w:tc>
          <w:tcPr>
            <w:tcW w:w="1260" w:type="dxa"/>
            <w:vMerge/>
            <w:tcBorders>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r>
      <w:tr>
        <w:trPr>
          <w:trHeight w:val="294" w:hRule="exact"/>
        </w:trPr>
        <w:tc>
          <w:tcPr>
            <w:tcW w:w="27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归属于上市公司股东的每股净资产</w:t>
            </w:r>
          </w:p>
        </w:tc>
        <w:tc>
          <w:tcPr>
            <w:tcW w:w="95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z w:val="18"/>
              </w:rPr>
              <w:t>4.66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7.20</w:t>
            </w:r>
          </w:p>
        </w:tc>
        <w:tc>
          <w:tcPr>
            <w:tcW w:w="1260" w:type="dxa"/>
            <w:tcBorders>
              <w:top w:val="single" w:sz="25" w:space="0" w:color="DCDCDC"/>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8"/>
                <w:szCs w:val="18"/>
              </w:rPr>
            </w:pPr>
            <w:r>
              <w:rPr>
                <w:rFonts w:ascii="Times New Roman"/>
                <w:w w:val="95"/>
                <w:sz w:val="18"/>
              </w:rPr>
              <w:t>-35.28%</w:t>
            </w:r>
            <w:r>
              <w:rPr>
                <w:rFonts w:ascii="Times New Roman"/>
                <w:sz w:val="18"/>
              </w:rPr>
            </w:r>
          </w:p>
        </w:tc>
        <w:tc>
          <w:tcPr>
            <w:tcW w:w="1080" w:type="dxa"/>
            <w:tcBorders>
              <w:top w:val="single" w:sz="11" w:space="0" w:color="DCDCDC"/>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z w:val="18"/>
              </w:rPr>
              <w:t>2.25</w:t>
            </w:r>
          </w:p>
        </w:tc>
        <w:tc>
          <w:tcPr>
            <w:tcW w:w="1080" w:type="dxa"/>
            <w:tcBorders>
              <w:top w:val="single" w:sz="11" w:space="0" w:color="DCDCDC"/>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z w:val="18"/>
              </w:rPr>
              <w:t>2.27</w:t>
            </w:r>
          </w:p>
        </w:tc>
      </w:tr>
    </w:tbl>
    <w:p>
      <w:pPr>
        <w:pStyle w:val="BodyText"/>
        <w:spacing w:line="238" w:lineRule="exact" w:before="0"/>
        <w:ind w:left="420" w:right="0"/>
        <w:jc w:val="left"/>
      </w:pPr>
      <w:r>
        <w:rPr>
          <w:spacing w:val="-3"/>
        </w:rPr>
        <w:t>注：根据《企业会计准则第34号--每股收益》的规定，2006年度和2007年度基本每股收益已</w:t>
      </w:r>
    </w:p>
    <w:p>
      <w:pPr>
        <w:pStyle w:val="BodyText"/>
        <w:spacing w:line="274" w:lineRule="exact" w:before="0"/>
        <w:ind w:left="420" w:right="0"/>
        <w:jc w:val="left"/>
      </w:pPr>
      <w:r>
        <w:rPr/>
        <w:t>按2008年实施的2007年度公积金转增股本方案后的总股本重新进行了计算。</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2"/>
        <w:tabs>
          <w:tab w:pos="1260" w:val="left" w:leader="none"/>
        </w:tabs>
        <w:spacing w:line="364" w:lineRule="exact"/>
        <w:ind w:left="420" w:right="0"/>
        <w:jc w:val="left"/>
        <w:rPr>
          <w:b w:val="0"/>
          <w:bCs w:val="0"/>
        </w:rPr>
      </w:pPr>
      <w:r>
        <w:rPr>
          <w:spacing w:val="1"/>
          <w:w w:val="99"/>
        </w:rPr>
        <w:t>四</w:t>
      </w:r>
      <w:r>
        <w:rPr>
          <w:w w:val="99"/>
        </w:rPr>
        <w:t>、</w:t>
      </w:r>
      <w:r>
        <w:rPr/>
        <w:tab/>
      </w:r>
      <w:r>
        <w:rPr>
          <w:spacing w:val="1"/>
          <w:w w:val="99"/>
        </w:rPr>
        <w:t>根据中国证监</w:t>
      </w:r>
      <w:r>
        <w:rPr>
          <w:spacing w:val="-122"/>
          <w:w w:val="99"/>
        </w:rPr>
        <w:t>会</w:t>
      </w:r>
      <w:r>
        <w:rPr>
          <w:spacing w:val="1"/>
          <w:w w:val="99"/>
        </w:rPr>
        <w:t>《公开发行证券公司信息披露编报规则第九号</w:t>
      </w:r>
      <w:r>
        <w:rPr>
          <w:b w:val="0"/>
          <w:bCs w:val="0"/>
        </w:rPr>
      </w:r>
    </w:p>
    <w:p>
      <w:pPr>
        <w:pStyle w:val="Heading2"/>
        <w:spacing w:line="364" w:lineRule="exact" w:before="34"/>
        <w:ind w:left="420" w:right="419"/>
        <w:jc w:val="left"/>
        <w:rPr>
          <w:b w:val="0"/>
          <w:bCs w:val="0"/>
        </w:rPr>
      </w:pPr>
      <w:r>
        <w:rPr>
          <w:rFonts w:ascii="Times New Roman" w:hAnsi="Times New Roman" w:cs="Times New Roman" w:eastAsia="Times New Roman" w:hint="default"/>
          <w:spacing w:val="2"/>
        </w:rPr>
        <w:t>-</w:t>
      </w:r>
      <w:r>
        <w:rPr>
          <w:spacing w:val="2"/>
        </w:rPr>
        <w:t>净资产收率和每股收益的计算及披露》要求，净资产收益率及每股</w:t>
      </w:r>
      <w:r>
        <w:rPr>
          <w:spacing w:val="3"/>
          <w:w w:val="99"/>
        </w:rPr>
        <w:t> </w:t>
      </w:r>
      <w:r>
        <w:rPr/>
        <w:t>收益计算如下：</w:t>
      </w:r>
      <w:r>
        <w:rPr>
          <w:b w:val="0"/>
          <w:bCs w:val="0"/>
        </w:rPr>
      </w:r>
    </w:p>
    <w:p>
      <w:pPr>
        <w:spacing w:line="240" w:lineRule="auto" w:before="2"/>
        <w:rPr>
          <w:rFonts w:ascii="宋体" w:hAnsi="宋体" w:cs="宋体" w:eastAsia="宋体" w:hint="default"/>
          <w:b/>
          <w:bCs/>
          <w:sz w:val="10"/>
          <w:szCs w:val="10"/>
        </w:rPr>
      </w:pPr>
    </w:p>
    <w:tbl>
      <w:tblPr>
        <w:tblW w:w="0" w:type="auto"/>
        <w:jc w:val="left"/>
        <w:tblInd w:w="104" w:type="dxa"/>
        <w:tblLayout w:type="fixed"/>
        <w:tblCellMar>
          <w:top w:w="0" w:type="dxa"/>
          <w:left w:w="0" w:type="dxa"/>
          <w:bottom w:w="0" w:type="dxa"/>
          <w:right w:w="0" w:type="dxa"/>
        </w:tblCellMar>
        <w:tblLook w:val="01E0"/>
      </w:tblPr>
      <w:tblGrid>
        <w:gridCol w:w="3168"/>
        <w:gridCol w:w="1260"/>
        <w:gridCol w:w="1260"/>
        <w:gridCol w:w="1620"/>
        <w:gridCol w:w="1620"/>
      </w:tblGrid>
      <w:tr>
        <w:trPr>
          <w:trHeight w:val="290" w:hRule="exact"/>
        </w:trPr>
        <w:tc>
          <w:tcPr>
            <w:tcW w:w="3168" w:type="dxa"/>
            <w:vMerge w:val="restart"/>
            <w:tcBorders>
              <w:top w:val="single" w:sz="4" w:space="0" w:color="000000"/>
              <w:left w:val="single" w:sz="4" w:space="0" w:color="000000"/>
              <w:right w:val="single" w:sz="4" w:space="0" w:color="000000"/>
            </w:tcBorders>
            <w:shd w:val="clear" w:color="auto" w:fill="E0E0E0"/>
          </w:tcPr>
          <w:p>
            <w:pPr>
              <w:pStyle w:val="TableParagraph"/>
              <w:spacing w:line="240" w:lineRule="auto" w:before="109"/>
              <w:ind w:left="423" w:right="0"/>
              <w:jc w:val="left"/>
              <w:rPr>
                <w:rFonts w:ascii="宋体" w:hAnsi="宋体" w:cs="宋体" w:eastAsia="宋体" w:hint="default"/>
                <w:sz w:val="21"/>
                <w:szCs w:val="21"/>
              </w:rPr>
            </w:pPr>
            <w:r>
              <w:rPr>
                <w:rFonts w:ascii="宋体" w:hAnsi="宋体" w:cs="宋体" w:eastAsia="宋体" w:hint="default"/>
                <w:sz w:val="21"/>
                <w:szCs w:val="21"/>
              </w:rPr>
              <w:t>报告期利润（</w:t>
            </w:r>
            <w:r>
              <w:rPr>
                <w:rFonts w:ascii="Times New Roman" w:hAnsi="Times New Roman" w:cs="Times New Roman" w:eastAsia="Times New Roman" w:hint="default"/>
                <w:sz w:val="21"/>
                <w:szCs w:val="21"/>
              </w:rPr>
              <w:t>2008</w:t>
            </w:r>
            <w:r>
              <w:rPr>
                <w:rFonts w:ascii="宋体" w:hAnsi="宋体" w:cs="宋体" w:eastAsia="宋体" w:hint="default"/>
                <w:sz w:val="21"/>
                <w:szCs w:val="21"/>
              </w:rPr>
              <w:t>年度）</w:t>
            </w:r>
          </w:p>
        </w:tc>
        <w:tc>
          <w:tcPr>
            <w:tcW w:w="2520" w:type="dxa"/>
            <w:gridSpan w:val="2"/>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3" w:lineRule="exact"/>
              <w:ind w:left="625" w:right="0"/>
              <w:jc w:val="left"/>
              <w:rPr>
                <w:rFonts w:ascii="宋体" w:hAnsi="宋体" w:cs="宋体" w:eastAsia="宋体" w:hint="default"/>
                <w:sz w:val="21"/>
                <w:szCs w:val="21"/>
              </w:rPr>
            </w:pPr>
            <w:r>
              <w:rPr>
                <w:rFonts w:ascii="宋体" w:hAnsi="宋体" w:cs="宋体" w:eastAsia="宋体" w:hint="default"/>
                <w:sz w:val="21"/>
                <w:szCs w:val="21"/>
              </w:rPr>
              <w:t>净资产收益率</w:t>
            </w:r>
          </w:p>
        </w:tc>
        <w:tc>
          <w:tcPr>
            <w:tcW w:w="3240" w:type="dxa"/>
            <w:gridSpan w:val="2"/>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3" w:lineRule="exact"/>
              <w:ind w:left="879" w:right="0"/>
              <w:jc w:val="left"/>
              <w:rPr>
                <w:rFonts w:ascii="宋体" w:hAnsi="宋体" w:cs="宋体" w:eastAsia="宋体" w:hint="default"/>
                <w:sz w:val="21"/>
                <w:szCs w:val="21"/>
              </w:rPr>
            </w:pPr>
            <w:r>
              <w:rPr>
                <w:rFonts w:ascii="宋体" w:hAnsi="宋体" w:cs="宋体" w:eastAsia="宋体" w:hint="default"/>
                <w:sz w:val="21"/>
                <w:szCs w:val="21"/>
              </w:rPr>
              <w:t>每股收益（元）</w:t>
            </w:r>
          </w:p>
        </w:tc>
      </w:tr>
      <w:tr>
        <w:trPr>
          <w:trHeight w:val="291" w:hRule="exact"/>
        </w:trPr>
        <w:tc>
          <w:tcPr>
            <w:tcW w:w="3168" w:type="dxa"/>
            <w:vMerge/>
            <w:tcBorders>
              <w:left w:val="single" w:sz="4" w:space="0" w:color="000000"/>
              <w:bottom w:val="single" w:sz="4" w:space="0" w:color="000000"/>
              <w:right w:val="single" w:sz="4" w:space="0" w:color="000000"/>
            </w:tcBorders>
            <w:shd w:val="clear" w:color="auto" w:fill="E0E0E0"/>
          </w:tcPr>
          <w:p>
            <w:pPr/>
          </w:p>
        </w:tc>
        <w:tc>
          <w:tcPr>
            <w:tcW w:w="126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全面摊薄</w:t>
            </w:r>
          </w:p>
        </w:tc>
        <w:tc>
          <w:tcPr>
            <w:tcW w:w="126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加权平均</w:t>
            </w:r>
          </w:p>
        </w:tc>
        <w:tc>
          <w:tcPr>
            <w:tcW w:w="162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162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298" w:hRule="exact"/>
        </w:trPr>
        <w:tc>
          <w:tcPr>
            <w:tcW w:w="316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 w:right="0"/>
              <w:jc w:val="center"/>
              <w:rPr>
                <w:rFonts w:ascii="Times New Roman" w:hAnsi="Times New Roman" w:cs="Times New Roman" w:eastAsia="Times New Roman" w:hint="default"/>
                <w:sz w:val="21"/>
                <w:szCs w:val="21"/>
              </w:rPr>
            </w:pPr>
            <w:r>
              <w:rPr>
                <w:rFonts w:ascii="Times New Roman"/>
                <w:sz w:val="21"/>
              </w:rPr>
              <w:t>24.93%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 w:right="0"/>
              <w:jc w:val="center"/>
              <w:rPr>
                <w:rFonts w:ascii="Times New Roman" w:hAnsi="Times New Roman" w:cs="Times New Roman" w:eastAsia="Times New Roman" w:hint="default"/>
                <w:sz w:val="21"/>
                <w:szCs w:val="21"/>
              </w:rPr>
            </w:pPr>
            <w:r>
              <w:rPr>
                <w:rFonts w:ascii="Times New Roman"/>
                <w:sz w:val="21"/>
              </w:rPr>
              <w:t>28.19%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1.16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1.16</w:t>
            </w:r>
          </w:p>
        </w:tc>
      </w:tr>
      <w:tr>
        <w:trPr>
          <w:trHeight w:val="554" w:hRule="exact"/>
        </w:trPr>
        <w:tc>
          <w:tcPr>
            <w:tcW w:w="316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普通股股东的净利润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 w:right="0"/>
              <w:jc w:val="center"/>
              <w:rPr>
                <w:rFonts w:ascii="Times New Roman" w:hAnsi="Times New Roman" w:cs="Times New Roman" w:eastAsia="Times New Roman" w:hint="default"/>
                <w:sz w:val="21"/>
                <w:szCs w:val="21"/>
              </w:rPr>
            </w:pPr>
            <w:r>
              <w:rPr>
                <w:rFonts w:ascii="Times New Roman"/>
                <w:sz w:val="21"/>
              </w:rPr>
              <w:t>24.06%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 w:right="0"/>
              <w:jc w:val="center"/>
              <w:rPr>
                <w:rFonts w:ascii="Times New Roman" w:hAnsi="Times New Roman" w:cs="Times New Roman" w:eastAsia="Times New Roman" w:hint="default"/>
                <w:sz w:val="21"/>
                <w:szCs w:val="21"/>
              </w:rPr>
            </w:pPr>
            <w:r>
              <w:rPr>
                <w:rFonts w:ascii="Times New Roman"/>
                <w:sz w:val="21"/>
              </w:rPr>
              <w:t>27.20%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sz w:val="21"/>
              </w:rPr>
              <w:t>1.12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sz w:val="21"/>
              </w:rPr>
              <w:t>1.12</w:t>
            </w:r>
          </w:p>
        </w:tc>
      </w:tr>
    </w:tbl>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400" w:footer="982" w:top="1100" w:bottom="1180" w:left="1380" w:right="1360"/>
        </w:sectPr>
      </w:pPr>
    </w:p>
    <w:p>
      <w:pPr>
        <w:pStyle w:val="Heading2"/>
        <w:spacing w:line="240" w:lineRule="auto" w:before="175"/>
        <w:ind w:left="420" w:right="-14"/>
        <w:jc w:val="left"/>
        <w:rPr>
          <w:b w:val="0"/>
          <w:bCs w:val="0"/>
        </w:rPr>
      </w:pPr>
      <w:r>
        <w:rPr/>
        <w:t>五、</w:t>
      </w:r>
      <w:r>
        <w:rPr>
          <w:spacing w:val="10"/>
        </w:rPr>
        <w:t> </w:t>
      </w:r>
      <w:r>
        <w:rPr/>
        <w:t>报告期内股东权益变动情况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45"/>
        <w:ind w:left="420" w:right="0"/>
        <w:jc w:val="left"/>
      </w:pPr>
      <w:r>
        <w:rPr/>
        <w:t>单位：元</w:t>
      </w:r>
    </w:p>
    <w:p>
      <w:pPr>
        <w:spacing w:after="0" w:line="240" w:lineRule="auto"/>
        <w:jc w:val="left"/>
        <w:sectPr>
          <w:type w:val="continuous"/>
          <w:pgSz w:w="11910" w:h="16840"/>
          <w:pgMar w:top="1600" w:bottom="280" w:left="1380" w:right="1360"/>
          <w:cols w:num="2" w:equalWidth="0">
            <w:col w:w="4514" w:space="2953"/>
            <w:col w:w="1703"/>
          </w:cols>
        </w:sectPr>
      </w:pPr>
    </w:p>
    <w:p>
      <w:pPr>
        <w:spacing w:line="240" w:lineRule="auto" w:before="7"/>
        <w:rPr>
          <w:rFonts w:ascii="宋体" w:hAnsi="宋体" w:cs="宋体" w:eastAsia="宋体" w:hint="default"/>
          <w:sz w:val="2"/>
          <w:szCs w:val="2"/>
        </w:rPr>
      </w:pPr>
    </w:p>
    <w:tbl>
      <w:tblPr>
        <w:tblW w:w="0" w:type="auto"/>
        <w:jc w:val="left"/>
        <w:tblInd w:w="181" w:type="dxa"/>
        <w:tblLayout w:type="fixed"/>
        <w:tblCellMar>
          <w:top w:w="0" w:type="dxa"/>
          <w:left w:w="0" w:type="dxa"/>
          <w:bottom w:w="0" w:type="dxa"/>
          <w:right w:w="0" w:type="dxa"/>
        </w:tblCellMar>
        <w:tblLook w:val="01E0"/>
      </w:tblPr>
      <w:tblGrid>
        <w:gridCol w:w="2327"/>
        <w:gridCol w:w="1686"/>
        <w:gridCol w:w="1529"/>
        <w:gridCol w:w="1530"/>
        <w:gridCol w:w="1703"/>
      </w:tblGrid>
      <w:tr>
        <w:trPr>
          <w:trHeight w:val="283" w:hRule="exact"/>
        </w:trPr>
        <w:tc>
          <w:tcPr>
            <w:tcW w:w="232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8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2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33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3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33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03"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531"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3" w:hRule="exact"/>
        </w:trPr>
        <w:tc>
          <w:tcPr>
            <w:tcW w:w="232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142,559,010.00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142,559,010.00</w:t>
            </w:r>
          </w:p>
        </w:tc>
        <w:tc>
          <w:tcPr>
            <w:tcW w:w="15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285,118,020.00</w:t>
            </w:r>
          </w:p>
        </w:tc>
      </w:tr>
      <w:tr>
        <w:trPr>
          <w:trHeight w:val="282" w:hRule="exact"/>
        </w:trPr>
        <w:tc>
          <w:tcPr>
            <w:tcW w:w="232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558,194,457.56</w:t>
            </w:r>
          </w:p>
        </w:tc>
        <w:tc>
          <w:tcPr>
            <w:tcW w:w="1529"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142,559,010.00</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415,635,447.56</w:t>
            </w:r>
          </w:p>
        </w:tc>
      </w:tr>
      <w:tr>
        <w:trPr>
          <w:trHeight w:val="282" w:hRule="exact"/>
        </w:trPr>
        <w:tc>
          <w:tcPr>
            <w:tcW w:w="232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36,187,831.21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31,555,988.32</w:t>
            </w:r>
          </w:p>
        </w:tc>
        <w:tc>
          <w:tcPr>
            <w:tcW w:w="15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67,743,819.53</w:t>
            </w:r>
          </w:p>
        </w:tc>
      </w:tr>
      <w:tr>
        <w:trPr>
          <w:trHeight w:val="283" w:hRule="exact"/>
        </w:trPr>
        <w:tc>
          <w:tcPr>
            <w:tcW w:w="232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290,107,280.29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331,548,801.34</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60,067,790.32</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561,588,291.31</w:t>
            </w:r>
          </w:p>
        </w:tc>
      </w:tr>
      <w:tr>
        <w:trPr>
          <w:trHeight w:val="282" w:hRule="exact"/>
        </w:trPr>
        <w:tc>
          <w:tcPr>
            <w:tcW w:w="232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外币折算差额</w:t>
            </w:r>
          </w:p>
        </w:tc>
        <w:tc>
          <w:tcPr>
            <w:tcW w:w="168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-80,202.16</w:t>
            </w:r>
            <w:r>
              <w:rPr>
                <w:rFonts w:ascii="Times New Roman"/>
                <w:sz w:val="21"/>
              </w:rPr>
            </w:r>
          </w:p>
        </w:tc>
        <w:tc>
          <w:tcPr>
            <w:tcW w:w="153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-80,202.16</w:t>
            </w:r>
            <w:r>
              <w:rPr>
                <w:rFonts w:ascii="Times New Roman"/>
                <w:sz w:val="21"/>
              </w:rPr>
            </w:r>
          </w:p>
        </w:tc>
      </w:tr>
      <w:tr>
        <w:trPr>
          <w:trHeight w:val="283" w:hRule="exact"/>
        </w:trPr>
        <w:tc>
          <w:tcPr>
            <w:tcW w:w="232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1,027,048,579.06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505,583,597.50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202,626,800.32</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1,330,005,376.24</w:t>
            </w:r>
          </w:p>
        </w:tc>
      </w:tr>
    </w:tbl>
    <w:p>
      <w:pPr>
        <w:pStyle w:val="BodyText"/>
        <w:spacing w:line="240" w:lineRule="exact" w:before="0"/>
        <w:ind w:left="840" w:right="0"/>
        <w:jc w:val="left"/>
      </w:pPr>
      <w:r>
        <w:rPr/>
        <w:t>变动原因：</w:t>
      </w:r>
    </w:p>
    <w:p>
      <w:pPr>
        <w:pStyle w:val="BodyText"/>
        <w:spacing w:line="240" w:lineRule="auto" w:before="64"/>
        <w:ind w:left="840" w:right="0"/>
        <w:jc w:val="left"/>
      </w:pPr>
      <w:r>
        <w:rPr>
          <w:rFonts w:ascii="Times New Roman" w:hAnsi="Times New Roman" w:cs="Times New Roman" w:eastAsia="Times New Roman" w:hint="default"/>
          <w:spacing w:val="-6"/>
        </w:rPr>
        <w:t>1</w:t>
      </w:r>
      <w:r>
        <w:rPr>
          <w:spacing w:val="-6"/>
        </w:rPr>
        <w:t>、报告期内，公司实施了</w:t>
      </w:r>
      <w:r>
        <w:rPr>
          <w:spacing w:val="-6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5"/>
        </w:rPr>
        <w:t> </w:t>
      </w:r>
      <w:r>
        <w:rPr/>
        <w:t>年度利润分配及资本公积金转增股本方案，公司股本增</w:t>
      </w:r>
    </w:p>
    <w:p>
      <w:pPr>
        <w:pStyle w:val="BodyText"/>
        <w:spacing w:line="240" w:lineRule="auto"/>
        <w:ind w:left="420" w:right="0"/>
        <w:jc w:val="left"/>
      </w:pPr>
      <w:r>
        <w:rPr/>
        <w:t>加</w:t>
      </w:r>
      <w:r>
        <w:rPr>
          <w:spacing w:val="-56"/>
        </w:rPr>
        <w:t> </w:t>
      </w:r>
      <w:r>
        <w:rPr>
          <w:rFonts w:ascii="Times New Roman" w:hAnsi="Times New Roman" w:cs="Times New Roman" w:eastAsia="Times New Roman" w:hint="default"/>
        </w:rPr>
        <w:t>142,559,010</w:t>
      </w:r>
      <w:r>
        <w:rPr>
          <w:rFonts w:ascii="Times New Roman" w:hAnsi="Times New Roman" w:cs="Times New Roman" w:eastAsia="Times New Roman" w:hint="default"/>
          <w:spacing w:val="-3"/>
        </w:rPr>
        <w:t> </w:t>
      </w:r>
      <w:r>
        <w:rPr/>
        <w:t>元，资本公积减少</w:t>
      </w:r>
      <w:r>
        <w:rPr>
          <w:spacing w:val="-56"/>
        </w:rPr>
        <w:t> </w:t>
      </w:r>
      <w:r>
        <w:rPr>
          <w:rFonts w:ascii="Times New Roman" w:hAnsi="Times New Roman" w:cs="Times New Roman" w:eastAsia="Times New Roman" w:hint="default"/>
        </w:rPr>
        <w:t>142,559,010</w:t>
      </w:r>
      <w:r>
        <w:rPr>
          <w:rFonts w:ascii="Times New Roman" w:hAnsi="Times New Roman" w:cs="Times New Roman" w:eastAsia="Times New Roman" w:hint="default"/>
          <w:spacing w:val="-3"/>
        </w:rPr>
        <w:t> </w:t>
      </w:r>
      <w:r>
        <w:rPr/>
        <w:t>元。</w:t>
      </w:r>
    </w:p>
    <w:p>
      <w:pPr>
        <w:pStyle w:val="BodyText"/>
        <w:spacing w:line="240" w:lineRule="auto"/>
        <w:ind w:left="839" w:right="0"/>
        <w:jc w:val="left"/>
      </w:pPr>
      <w:r>
        <w:rPr>
          <w:rFonts w:ascii="Times New Roman" w:hAnsi="Times New Roman" w:cs="Times New Roman" w:eastAsia="Times New Roman" w:hint="default"/>
        </w:rPr>
        <w:t>2</w:t>
      </w:r>
      <w:r>
        <w:rPr/>
        <w:t>、盈余公积本期增加</w:t>
      </w:r>
      <w:r>
        <w:rPr>
          <w:spacing w:val="-57"/>
        </w:rPr>
        <w:t> </w:t>
      </w:r>
      <w:r>
        <w:rPr>
          <w:rFonts w:ascii="Times New Roman" w:hAnsi="Times New Roman" w:cs="Times New Roman" w:eastAsia="Times New Roman" w:hint="default"/>
        </w:rPr>
        <w:t>31,555,988.32</w:t>
      </w:r>
      <w:r>
        <w:rPr>
          <w:rFonts w:ascii="Times New Roman" w:hAnsi="Times New Roman" w:cs="Times New Roman" w:eastAsia="Times New Roman" w:hint="default"/>
          <w:spacing w:val="-4"/>
        </w:rPr>
        <w:t> </w:t>
      </w:r>
      <w:r>
        <w:rPr/>
        <w:t>元，系按照报告期内公司实现净利润的</w:t>
      </w:r>
      <w:r>
        <w:rPr>
          <w:spacing w:val="-57"/>
        </w:rPr>
        <w:t> </w:t>
      </w:r>
      <w:r>
        <w:rPr>
          <w:rFonts w:ascii="Times New Roman" w:hAnsi="Times New Roman" w:cs="Times New Roman" w:eastAsia="Times New Roman" w:hint="default"/>
        </w:rPr>
        <w:t>10%</w:t>
      </w:r>
      <w:r>
        <w:rPr/>
        <w:t>提取。</w:t>
      </w:r>
    </w:p>
    <w:p>
      <w:pPr>
        <w:pStyle w:val="BodyText"/>
        <w:spacing w:line="240" w:lineRule="auto" w:before="49"/>
        <w:ind w:left="839" w:right="0"/>
        <w:jc w:val="left"/>
      </w:pPr>
      <w:r>
        <w:rPr>
          <w:rFonts w:ascii="Times New Roman" w:hAnsi="Times New Roman" w:cs="Times New Roman" w:eastAsia="Times New Roman" w:hint="default"/>
        </w:rPr>
        <w:t>3</w:t>
      </w:r>
      <w:r>
        <w:rPr/>
        <w:t>、未分配利润变动为实现净利润增加及利润分配减少所致。</w:t>
      </w:r>
    </w:p>
    <w:p>
      <w:pPr>
        <w:spacing w:after="0" w:line="240" w:lineRule="auto"/>
        <w:jc w:val="left"/>
        <w:sectPr>
          <w:type w:val="continuous"/>
          <w:pgSz w:w="11910" w:h="16840"/>
          <w:pgMar w:top="1600" w:bottom="280" w:left="1380" w:right="13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1"/>
        <w:spacing w:line="240" w:lineRule="auto"/>
        <w:ind w:left="2744" w:right="0"/>
        <w:jc w:val="left"/>
        <w:rPr>
          <w:b w:val="0"/>
          <w:bCs w:val="0"/>
        </w:rPr>
      </w:pPr>
      <w:bookmarkStart w:name="_bookmark2" w:id="3"/>
      <w:bookmarkEnd w:id="3"/>
      <w:r>
        <w:rPr>
          <w:b w:val="0"/>
          <w:bCs w:val="0"/>
        </w:rPr>
      </w:r>
      <w:r>
        <w:rPr/>
        <w:t>第三节</w:t>
      </w:r>
      <w:r>
        <w:rPr>
          <w:spacing w:val="-10"/>
        </w:rPr>
        <w:t> </w:t>
      </w:r>
      <w:r>
        <w:rPr/>
        <w:t>股本变动及股东情况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pgSz w:w="11910" w:h="16840"/>
          <w:pgMar w:header="400" w:footer="982" w:top="1100" w:bottom="1180" w:left="1200" w:right="1180"/>
        </w:sectPr>
      </w:pPr>
    </w:p>
    <w:p>
      <w:pPr>
        <w:pStyle w:val="Heading2"/>
        <w:spacing w:line="240" w:lineRule="auto" w:before="13"/>
        <w:ind w:left="600" w:right="0"/>
        <w:jc w:val="left"/>
        <w:rPr>
          <w:b w:val="0"/>
          <w:bCs w:val="0"/>
        </w:rPr>
      </w:pPr>
      <w:r>
        <w:rPr>
          <w:w w:val="95"/>
        </w:rPr>
        <w:t>一、股本变动情况</w:t>
      </w:r>
      <w:r>
        <w:rPr>
          <w:b w:val="0"/>
          <w:bCs w:val="0"/>
        </w:rPr>
      </w:r>
    </w:p>
    <w:p>
      <w:pPr>
        <w:pStyle w:val="BodyText"/>
        <w:spacing w:line="240" w:lineRule="auto" w:before="128"/>
        <w:ind w:left="600" w:right="0"/>
        <w:jc w:val="left"/>
      </w:pPr>
      <w:r>
        <w:rPr/>
        <w:t>（一）股份变动情况表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before="0"/>
        <w:ind w:left="600" w:right="0"/>
        <w:jc w:val="left"/>
      </w:pPr>
      <w:r>
        <w:rPr/>
        <w:t>单位：股</w:t>
      </w:r>
    </w:p>
    <w:p>
      <w:pPr>
        <w:spacing w:after="0" w:line="240" w:lineRule="auto"/>
        <w:jc w:val="left"/>
        <w:sectPr>
          <w:type w:val="continuous"/>
          <w:pgSz w:w="11910" w:h="16840"/>
          <w:pgMar w:top="1600" w:bottom="280" w:left="1200" w:right="1180"/>
          <w:cols w:num="2" w:equalWidth="0">
            <w:col w:w="2848" w:space="4348"/>
            <w:col w:w="2334"/>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209"/>
        <w:gridCol w:w="996"/>
        <w:gridCol w:w="744"/>
        <w:gridCol w:w="455"/>
        <w:gridCol w:w="216"/>
        <w:gridCol w:w="1006"/>
        <w:gridCol w:w="937"/>
        <w:gridCol w:w="994"/>
        <w:gridCol w:w="966"/>
        <w:gridCol w:w="770"/>
      </w:tblGrid>
      <w:tr>
        <w:trPr>
          <w:trHeight w:val="244" w:hRule="exact"/>
        </w:trPr>
        <w:tc>
          <w:tcPr>
            <w:tcW w:w="2209" w:type="dxa"/>
            <w:tcBorders>
              <w:top w:val="single" w:sz="4" w:space="0" w:color="000000"/>
              <w:left w:val="single" w:sz="4" w:space="0" w:color="000000"/>
              <w:bottom w:val="nil" w:sz="6" w:space="0" w:color="auto"/>
              <w:right w:val="single" w:sz="4" w:space="0" w:color="000000"/>
            </w:tcBorders>
            <w:shd w:val="clear" w:color="auto" w:fill="DCDCDC"/>
          </w:tcPr>
          <w:p>
            <w:pPr/>
          </w:p>
        </w:tc>
        <w:tc>
          <w:tcPr>
            <w:tcW w:w="174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421"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607"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908"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6"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41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21" w:hRule="exact"/>
        </w:trPr>
        <w:tc>
          <w:tcPr>
            <w:tcW w:w="2209" w:type="dxa"/>
            <w:vMerge w:val="restart"/>
            <w:tcBorders>
              <w:top w:val="nil" w:sz="6" w:space="0" w:color="auto"/>
              <w:left w:val="single" w:sz="4" w:space="0" w:color="000000"/>
              <w:right w:val="single" w:sz="4" w:space="0" w:color="000000"/>
            </w:tcBorders>
            <w:shd w:val="clear" w:color="auto" w:fill="DCDCDC"/>
          </w:tcPr>
          <w:p>
            <w:pPr/>
          </w:p>
        </w:tc>
        <w:tc>
          <w:tcPr>
            <w:tcW w:w="996" w:type="dxa"/>
            <w:tcBorders>
              <w:top w:val="single" w:sz="4" w:space="0" w:color="000000"/>
              <w:left w:val="single" w:sz="4" w:space="0" w:color="000000"/>
              <w:bottom w:val="nil" w:sz="6" w:space="0" w:color="auto"/>
              <w:right w:val="single" w:sz="4" w:space="0" w:color="000000"/>
            </w:tcBorders>
            <w:shd w:val="clear" w:color="auto" w:fill="DCDCDC"/>
          </w:tcPr>
          <w:p>
            <w:pPr/>
          </w:p>
        </w:tc>
        <w:tc>
          <w:tcPr>
            <w:tcW w:w="744" w:type="dxa"/>
            <w:tcBorders>
              <w:top w:val="single" w:sz="4" w:space="0" w:color="000000"/>
              <w:left w:val="single" w:sz="4" w:space="0" w:color="000000"/>
              <w:bottom w:val="nil" w:sz="6" w:space="0" w:color="auto"/>
              <w:right w:val="single" w:sz="4" w:space="0" w:color="000000"/>
            </w:tcBorders>
            <w:shd w:val="clear" w:color="auto" w:fill="DCDCDC"/>
          </w:tcPr>
          <w:p>
            <w:pPr/>
          </w:p>
        </w:tc>
        <w:tc>
          <w:tcPr>
            <w:tcW w:w="455" w:type="dxa"/>
            <w:vMerge w:val="restart"/>
            <w:tcBorders>
              <w:top w:val="single" w:sz="4" w:space="0" w:color="000000"/>
              <w:left w:val="single" w:sz="4" w:space="0" w:color="000000"/>
              <w:right w:val="single" w:sz="4" w:space="0" w:color="000000"/>
            </w:tcBorders>
            <w:shd w:val="clear" w:color="auto" w:fill="DCDCDC"/>
          </w:tcPr>
          <w:p>
            <w:pPr>
              <w:pStyle w:val="TableParagraph"/>
              <w:spacing w:line="204" w:lineRule="exact"/>
              <w:ind w:left="43" w:right="0"/>
              <w:jc w:val="left"/>
              <w:rPr>
                <w:rFonts w:ascii="宋体" w:hAnsi="宋体" w:cs="宋体" w:eastAsia="宋体" w:hint="default"/>
                <w:sz w:val="18"/>
                <w:szCs w:val="18"/>
              </w:rPr>
            </w:pPr>
            <w:r>
              <w:rPr>
                <w:rFonts w:ascii="宋体" w:hAnsi="宋体" w:cs="宋体" w:eastAsia="宋体" w:hint="default"/>
                <w:sz w:val="18"/>
                <w:szCs w:val="18"/>
              </w:rPr>
              <w:t>发行</w:t>
            </w:r>
          </w:p>
          <w:p>
            <w:pPr>
              <w:pStyle w:val="TableParagraph"/>
              <w:spacing w:line="234" w:lineRule="exact"/>
              <w:ind w:left="43" w:right="0"/>
              <w:jc w:val="left"/>
              <w:rPr>
                <w:rFonts w:ascii="宋体" w:hAnsi="宋体" w:cs="宋体" w:eastAsia="宋体" w:hint="default"/>
                <w:sz w:val="18"/>
                <w:szCs w:val="18"/>
              </w:rPr>
            </w:pPr>
            <w:r>
              <w:rPr>
                <w:rFonts w:ascii="宋体" w:hAnsi="宋体" w:cs="宋体" w:eastAsia="宋体" w:hint="default"/>
                <w:sz w:val="18"/>
                <w:szCs w:val="18"/>
              </w:rPr>
              <w:t>新股</w:t>
            </w:r>
          </w:p>
        </w:tc>
        <w:tc>
          <w:tcPr>
            <w:tcW w:w="216" w:type="dxa"/>
            <w:vMerge w:val="restart"/>
            <w:tcBorders>
              <w:top w:val="single" w:sz="4" w:space="0" w:color="000000"/>
              <w:left w:val="single" w:sz="4" w:space="0" w:color="000000"/>
              <w:right w:val="single" w:sz="4" w:space="0" w:color="000000"/>
            </w:tcBorders>
            <w:shd w:val="clear" w:color="auto" w:fill="DCDCDC"/>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送</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06" w:type="dxa"/>
            <w:tcBorders>
              <w:top w:val="single" w:sz="4" w:space="0" w:color="000000"/>
              <w:left w:val="single" w:sz="4" w:space="0" w:color="000000"/>
              <w:bottom w:val="nil" w:sz="6" w:space="0" w:color="auto"/>
              <w:right w:val="single" w:sz="4" w:space="0" w:color="000000"/>
            </w:tcBorders>
            <w:shd w:val="clear" w:color="auto" w:fill="DCDCDC"/>
          </w:tcPr>
          <w:p>
            <w:pPr/>
          </w:p>
        </w:tc>
        <w:tc>
          <w:tcPr>
            <w:tcW w:w="937" w:type="dxa"/>
            <w:tcBorders>
              <w:top w:val="single" w:sz="4" w:space="0" w:color="000000"/>
              <w:left w:val="single" w:sz="4" w:space="0" w:color="000000"/>
              <w:bottom w:val="nil" w:sz="6" w:space="0" w:color="auto"/>
              <w:right w:val="single" w:sz="4" w:space="0" w:color="000000"/>
            </w:tcBorders>
            <w:shd w:val="clear" w:color="auto" w:fill="DCDCDC"/>
          </w:tcPr>
          <w:p>
            <w:pPr/>
          </w:p>
        </w:tc>
        <w:tc>
          <w:tcPr>
            <w:tcW w:w="994" w:type="dxa"/>
            <w:tcBorders>
              <w:top w:val="single" w:sz="4" w:space="0" w:color="000000"/>
              <w:left w:val="single" w:sz="4" w:space="0" w:color="000000"/>
              <w:bottom w:val="nil" w:sz="6" w:space="0" w:color="auto"/>
              <w:right w:val="single" w:sz="4" w:space="0" w:color="000000"/>
            </w:tcBorders>
            <w:shd w:val="clear" w:color="auto" w:fill="DCDCDC"/>
          </w:tcPr>
          <w:p>
            <w:pPr/>
          </w:p>
        </w:tc>
        <w:tc>
          <w:tcPr>
            <w:tcW w:w="966" w:type="dxa"/>
            <w:tcBorders>
              <w:top w:val="single" w:sz="4" w:space="0" w:color="000000"/>
              <w:left w:val="single" w:sz="4" w:space="0" w:color="000000"/>
              <w:bottom w:val="nil" w:sz="6" w:space="0" w:color="auto"/>
              <w:right w:val="single" w:sz="4" w:space="0" w:color="000000"/>
            </w:tcBorders>
            <w:shd w:val="clear" w:color="auto" w:fill="DCDCDC"/>
          </w:tcPr>
          <w:p>
            <w:pPr/>
          </w:p>
        </w:tc>
        <w:tc>
          <w:tcPr>
            <w:tcW w:w="77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94" w:hRule="exact"/>
        </w:trPr>
        <w:tc>
          <w:tcPr>
            <w:tcW w:w="2209" w:type="dxa"/>
            <w:vMerge/>
            <w:tcBorders>
              <w:left w:val="single" w:sz="4" w:space="0" w:color="000000"/>
              <w:bottom w:val="nil" w:sz="6" w:space="0" w:color="auto"/>
              <w:right w:val="single" w:sz="4" w:space="0" w:color="000000"/>
            </w:tcBorders>
            <w:shd w:val="clear" w:color="auto" w:fill="DCDCDC"/>
          </w:tcPr>
          <w:p>
            <w:pPr/>
          </w:p>
        </w:tc>
        <w:tc>
          <w:tcPr>
            <w:tcW w:w="996"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31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44"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18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455" w:type="dxa"/>
            <w:vMerge/>
            <w:tcBorders>
              <w:left w:val="single" w:sz="4" w:space="0" w:color="000000"/>
              <w:right w:val="single" w:sz="4" w:space="0" w:color="000000"/>
            </w:tcBorders>
            <w:shd w:val="clear" w:color="auto" w:fill="DCDCDC"/>
          </w:tcPr>
          <w:p>
            <w:pPr/>
          </w:p>
        </w:tc>
        <w:tc>
          <w:tcPr>
            <w:tcW w:w="216" w:type="dxa"/>
            <w:vMerge/>
            <w:tcBorders>
              <w:left w:val="single" w:sz="4" w:space="0" w:color="000000"/>
              <w:right w:val="single" w:sz="4" w:space="0" w:color="000000"/>
            </w:tcBorders>
            <w:shd w:val="clear" w:color="auto" w:fill="DCDCDC"/>
          </w:tcPr>
          <w:p>
            <w:pPr/>
          </w:p>
        </w:tc>
        <w:tc>
          <w:tcPr>
            <w:tcW w:w="1006"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48"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37"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3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66"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29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70"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199"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61" w:hRule="exact"/>
        </w:trPr>
        <w:tc>
          <w:tcPr>
            <w:tcW w:w="2209" w:type="dxa"/>
            <w:tcBorders>
              <w:top w:val="nil" w:sz="6" w:space="0" w:color="auto"/>
              <w:left w:val="single" w:sz="4" w:space="0" w:color="000000"/>
              <w:bottom w:val="single" w:sz="4" w:space="0" w:color="000000"/>
              <w:right w:val="single" w:sz="4" w:space="0" w:color="000000"/>
            </w:tcBorders>
            <w:shd w:val="clear" w:color="auto" w:fill="DCDCDC"/>
          </w:tcPr>
          <w:p>
            <w:pPr/>
          </w:p>
        </w:tc>
        <w:tc>
          <w:tcPr>
            <w:tcW w:w="996" w:type="dxa"/>
            <w:vMerge/>
            <w:tcBorders>
              <w:left w:val="single" w:sz="4" w:space="0" w:color="000000"/>
              <w:bottom w:val="single" w:sz="4" w:space="0" w:color="000000"/>
              <w:right w:val="single" w:sz="4" w:space="0" w:color="000000"/>
            </w:tcBorders>
            <w:shd w:val="clear" w:color="auto" w:fill="DCDCDC"/>
          </w:tcPr>
          <w:p>
            <w:pPr/>
          </w:p>
        </w:tc>
        <w:tc>
          <w:tcPr>
            <w:tcW w:w="744" w:type="dxa"/>
            <w:vMerge/>
            <w:tcBorders>
              <w:left w:val="single" w:sz="4" w:space="0" w:color="000000"/>
              <w:bottom w:val="single" w:sz="4" w:space="0" w:color="000000"/>
              <w:right w:val="single" w:sz="4" w:space="0" w:color="000000"/>
            </w:tcBorders>
            <w:shd w:val="clear" w:color="auto" w:fill="DCDCDC"/>
          </w:tcPr>
          <w:p>
            <w:pPr/>
          </w:p>
        </w:tc>
        <w:tc>
          <w:tcPr>
            <w:tcW w:w="455" w:type="dxa"/>
            <w:vMerge/>
            <w:tcBorders>
              <w:left w:val="single" w:sz="4" w:space="0" w:color="000000"/>
              <w:bottom w:val="single" w:sz="4" w:space="0" w:color="000000"/>
              <w:right w:val="single" w:sz="4" w:space="0" w:color="000000"/>
            </w:tcBorders>
            <w:shd w:val="clear" w:color="auto" w:fill="DCDCDC"/>
          </w:tcPr>
          <w:p>
            <w:pPr/>
          </w:p>
        </w:tc>
        <w:tc>
          <w:tcPr>
            <w:tcW w:w="216" w:type="dxa"/>
            <w:vMerge/>
            <w:tcBorders>
              <w:left w:val="single" w:sz="4" w:space="0" w:color="000000"/>
              <w:bottom w:val="single" w:sz="4" w:space="0" w:color="000000"/>
              <w:right w:val="single" w:sz="4" w:space="0" w:color="000000"/>
            </w:tcBorders>
            <w:shd w:val="clear" w:color="auto" w:fill="DCDCDC"/>
          </w:tcPr>
          <w:p>
            <w:pPr/>
          </w:p>
        </w:tc>
        <w:tc>
          <w:tcPr>
            <w:tcW w:w="1006" w:type="dxa"/>
            <w:vMerge/>
            <w:tcBorders>
              <w:left w:val="single" w:sz="4" w:space="0" w:color="000000"/>
              <w:bottom w:val="single" w:sz="4" w:space="0" w:color="000000"/>
              <w:right w:val="single" w:sz="4" w:space="0" w:color="000000"/>
            </w:tcBorders>
            <w:shd w:val="clear" w:color="auto" w:fill="DCDCDC"/>
          </w:tcPr>
          <w:p>
            <w:pPr/>
          </w:p>
        </w:tc>
        <w:tc>
          <w:tcPr>
            <w:tcW w:w="937" w:type="dxa"/>
            <w:vMerge/>
            <w:tcBorders>
              <w:left w:val="single" w:sz="4" w:space="0" w:color="000000"/>
              <w:bottom w:val="single" w:sz="4" w:space="0" w:color="000000"/>
              <w:right w:val="single" w:sz="4" w:space="0" w:color="000000"/>
            </w:tcBorders>
            <w:shd w:val="clear" w:color="auto" w:fill="DCDCDC"/>
          </w:tcPr>
          <w:p>
            <w:pPr/>
          </w:p>
        </w:tc>
        <w:tc>
          <w:tcPr>
            <w:tcW w:w="994" w:type="dxa"/>
            <w:vMerge/>
            <w:tcBorders>
              <w:left w:val="single" w:sz="4" w:space="0" w:color="000000"/>
              <w:bottom w:val="single" w:sz="4" w:space="0" w:color="000000"/>
              <w:right w:val="single" w:sz="4" w:space="0" w:color="000000"/>
            </w:tcBorders>
            <w:shd w:val="clear" w:color="auto" w:fill="DCDCDC"/>
          </w:tcPr>
          <w:p>
            <w:pPr/>
          </w:p>
        </w:tc>
        <w:tc>
          <w:tcPr>
            <w:tcW w:w="966" w:type="dxa"/>
            <w:vMerge/>
            <w:tcBorders>
              <w:left w:val="single" w:sz="4" w:space="0" w:color="000000"/>
              <w:bottom w:val="single" w:sz="4" w:space="0" w:color="000000"/>
              <w:right w:val="single" w:sz="4" w:space="0" w:color="000000"/>
            </w:tcBorders>
            <w:shd w:val="clear" w:color="auto" w:fill="DCDCDC"/>
          </w:tcPr>
          <w:p>
            <w:pPr/>
          </w:p>
        </w:tc>
        <w:tc>
          <w:tcPr>
            <w:tcW w:w="770" w:type="dxa"/>
            <w:vMerge/>
            <w:tcBorders>
              <w:left w:val="single" w:sz="4" w:space="0" w:color="000000"/>
              <w:bottom w:val="single" w:sz="4" w:space="0" w:color="000000"/>
              <w:right w:val="single" w:sz="4" w:space="0" w:color="000000"/>
            </w:tcBorders>
            <w:shd w:val="clear" w:color="auto" w:fill="DCDCDC"/>
          </w:tcPr>
          <w:p>
            <w:pPr/>
          </w:p>
        </w:tc>
      </w:tr>
      <w:tr>
        <w:trPr>
          <w:trHeight w:val="244" w:hRule="exact"/>
        </w:trPr>
        <w:tc>
          <w:tcPr>
            <w:tcW w:w="22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96" w:type="dxa"/>
            <w:tcBorders>
              <w:top w:val="single" w:sz="51" w:space="0" w:color="DCDCDC"/>
              <w:left w:val="single" w:sz="10" w:space="0" w:color="DCDCDC"/>
              <w:bottom w:val="single" w:sz="4" w:space="0" w:color="000000"/>
              <w:right w:val="single" w:sz="4" w:space="0" w:color="000000"/>
            </w:tcBorders>
          </w:tcPr>
          <w:p>
            <w:pPr>
              <w:pStyle w:val="TableParagraph"/>
              <w:spacing w:line="156" w:lineRule="exact"/>
              <w:ind w:right="21"/>
              <w:jc w:val="right"/>
              <w:rPr>
                <w:rFonts w:ascii="Times New Roman" w:hAnsi="Times New Roman" w:cs="Times New Roman" w:eastAsia="Times New Roman" w:hint="default"/>
                <w:sz w:val="18"/>
                <w:szCs w:val="18"/>
              </w:rPr>
            </w:pPr>
            <w:r>
              <w:rPr>
                <w:rFonts w:ascii="Times New Roman"/>
                <w:sz w:val="18"/>
              </w:rPr>
              <w:t>106,559,010</w:t>
            </w:r>
          </w:p>
        </w:tc>
        <w:tc>
          <w:tcPr>
            <w:tcW w:w="744" w:type="dxa"/>
            <w:tcBorders>
              <w:top w:val="single" w:sz="51" w:space="0" w:color="DCDCDC"/>
              <w:left w:val="single" w:sz="4" w:space="0" w:color="000000"/>
              <w:bottom w:val="single" w:sz="4" w:space="0" w:color="000000"/>
              <w:right w:val="single" w:sz="4" w:space="0" w:color="000000"/>
            </w:tcBorders>
          </w:tcPr>
          <w:p>
            <w:pPr>
              <w:pStyle w:val="TableParagraph"/>
              <w:spacing w:line="156" w:lineRule="exact"/>
              <w:ind w:left="132" w:right="0"/>
              <w:jc w:val="center"/>
              <w:rPr>
                <w:rFonts w:ascii="Times New Roman" w:hAnsi="Times New Roman" w:cs="Times New Roman" w:eastAsia="Times New Roman" w:hint="default"/>
                <w:sz w:val="18"/>
                <w:szCs w:val="18"/>
              </w:rPr>
            </w:pPr>
            <w:r>
              <w:rPr>
                <w:rFonts w:ascii="Times New Roman"/>
                <w:sz w:val="18"/>
              </w:rPr>
              <w:t>74.75%</w:t>
            </w:r>
          </w:p>
        </w:tc>
        <w:tc>
          <w:tcPr>
            <w:tcW w:w="455" w:type="dxa"/>
            <w:tcBorders>
              <w:top w:val="single" w:sz="4" w:space="0" w:color="000000"/>
              <w:left w:val="single" w:sz="4" w:space="0" w:color="000000"/>
              <w:bottom w:val="single" w:sz="4" w:space="0" w:color="000000"/>
              <w:right w:val="single" w:sz="4" w:space="0" w:color="000000"/>
            </w:tcBorders>
          </w:tcPr>
          <w:p>
            <w:pPr/>
          </w:p>
        </w:tc>
        <w:tc>
          <w:tcPr>
            <w:tcW w:w="21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51" w:space="0" w:color="DCDCDC"/>
              <w:left w:val="single" w:sz="4" w:space="0" w:color="000000"/>
              <w:bottom w:val="single" w:sz="4" w:space="0" w:color="000000"/>
              <w:right w:val="single" w:sz="4" w:space="0" w:color="000000"/>
            </w:tcBorders>
          </w:tcPr>
          <w:p>
            <w:pPr>
              <w:pStyle w:val="TableParagraph"/>
              <w:spacing w:line="156" w:lineRule="exact"/>
              <w:ind w:left="47" w:right="0"/>
              <w:jc w:val="center"/>
              <w:rPr>
                <w:rFonts w:ascii="Times New Roman" w:hAnsi="Times New Roman" w:cs="Times New Roman" w:eastAsia="Times New Roman" w:hint="default"/>
                <w:sz w:val="18"/>
                <w:szCs w:val="18"/>
              </w:rPr>
            </w:pPr>
            <w:r>
              <w:rPr>
                <w:rFonts w:ascii="Times New Roman"/>
                <w:sz w:val="18"/>
              </w:rPr>
              <w:t>106,559,010</w:t>
            </w:r>
          </w:p>
        </w:tc>
        <w:tc>
          <w:tcPr>
            <w:tcW w:w="937" w:type="dxa"/>
            <w:tcBorders>
              <w:top w:val="single" w:sz="51" w:space="0" w:color="DCDCDC"/>
              <w:left w:val="single" w:sz="4" w:space="0" w:color="000000"/>
              <w:bottom w:val="single" w:sz="4" w:space="0" w:color="000000"/>
              <w:right w:val="single" w:sz="4" w:space="0" w:color="000000"/>
            </w:tcBorders>
          </w:tcPr>
          <w:p>
            <w:pPr>
              <w:pStyle w:val="TableParagraph"/>
              <w:spacing w:line="156" w:lineRule="exact"/>
              <w:ind w:right="21"/>
              <w:jc w:val="right"/>
              <w:rPr>
                <w:rFonts w:ascii="Times New Roman" w:hAnsi="Times New Roman" w:cs="Times New Roman" w:eastAsia="Times New Roman" w:hint="default"/>
                <w:sz w:val="18"/>
                <w:szCs w:val="18"/>
              </w:rPr>
            </w:pPr>
            <w:r>
              <w:rPr>
                <w:rFonts w:ascii="Times New Roman"/>
                <w:sz w:val="18"/>
              </w:rPr>
              <w:t>-69,916,620</w:t>
            </w:r>
          </w:p>
        </w:tc>
        <w:tc>
          <w:tcPr>
            <w:tcW w:w="994" w:type="dxa"/>
            <w:tcBorders>
              <w:top w:val="single" w:sz="51" w:space="0" w:color="DCDCDC"/>
              <w:left w:val="single" w:sz="4" w:space="0" w:color="000000"/>
              <w:bottom w:val="single" w:sz="4" w:space="0" w:color="000000"/>
              <w:right w:val="single" w:sz="4" w:space="0" w:color="000000"/>
            </w:tcBorders>
          </w:tcPr>
          <w:p>
            <w:pPr>
              <w:pStyle w:val="TableParagraph"/>
              <w:spacing w:line="156" w:lineRule="exact"/>
              <w:ind w:left="126" w:right="0"/>
              <w:jc w:val="center"/>
              <w:rPr>
                <w:rFonts w:ascii="Times New Roman" w:hAnsi="Times New Roman" w:cs="Times New Roman" w:eastAsia="Times New Roman" w:hint="default"/>
                <w:sz w:val="18"/>
                <w:szCs w:val="18"/>
              </w:rPr>
            </w:pPr>
            <w:r>
              <w:rPr>
                <w:rFonts w:ascii="Times New Roman"/>
                <w:sz w:val="18"/>
              </w:rPr>
              <w:t>36,642,390</w:t>
            </w:r>
          </w:p>
        </w:tc>
        <w:tc>
          <w:tcPr>
            <w:tcW w:w="966" w:type="dxa"/>
            <w:tcBorders>
              <w:top w:val="single" w:sz="51" w:space="0" w:color="DCDCDC"/>
              <w:left w:val="single" w:sz="4" w:space="0" w:color="000000"/>
              <w:bottom w:val="single" w:sz="4" w:space="0" w:color="000000"/>
              <w:right w:val="single" w:sz="4" w:space="0" w:color="000000"/>
            </w:tcBorders>
          </w:tcPr>
          <w:p>
            <w:pPr>
              <w:pStyle w:val="TableParagraph"/>
              <w:spacing w:line="156" w:lineRule="exact"/>
              <w:ind w:right="22"/>
              <w:jc w:val="right"/>
              <w:rPr>
                <w:rFonts w:ascii="Times New Roman" w:hAnsi="Times New Roman" w:cs="Times New Roman" w:eastAsia="Times New Roman" w:hint="default"/>
                <w:sz w:val="18"/>
                <w:szCs w:val="18"/>
              </w:rPr>
            </w:pPr>
            <w:r>
              <w:rPr>
                <w:rFonts w:ascii="Times New Roman"/>
                <w:sz w:val="18"/>
              </w:rPr>
              <w:t>143,201,400</w:t>
            </w:r>
          </w:p>
        </w:tc>
        <w:tc>
          <w:tcPr>
            <w:tcW w:w="770" w:type="dxa"/>
            <w:tcBorders>
              <w:top w:val="single" w:sz="51" w:space="0" w:color="DCDCDC"/>
              <w:left w:val="single" w:sz="4" w:space="0" w:color="000000"/>
              <w:bottom w:val="single" w:sz="4" w:space="0" w:color="000000"/>
              <w:right w:val="single" w:sz="4" w:space="0" w:color="000000"/>
            </w:tcBorders>
          </w:tcPr>
          <w:p>
            <w:pPr>
              <w:pStyle w:val="TableParagraph"/>
              <w:spacing w:line="156" w:lineRule="exact"/>
              <w:ind w:right="22"/>
              <w:jc w:val="right"/>
              <w:rPr>
                <w:rFonts w:ascii="Times New Roman" w:hAnsi="Times New Roman" w:cs="Times New Roman" w:eastAsia="Times New Roman" w:hint="default"/>
                <w:sz w:val="18"/>
                <w:szCs w:val="18"/>
              </w:rPr>
            </w:pPr>
            <w:r>
              <w:rPr>
                <w:rFonts w:ascii="Times New Roman"/>
                <w:sz w:val="18"/>
              </w:rPr>
              <w:t>50.23%</w:t>
            </w:r>
          </w:p>
        </w:tc>
      </w:tr>
      <w:tr>
        <w:trPr>
          <w:trHeight w:val="244" w:hRule="exact"/>
        </w:trPr>
        <w:tc>
          <w:tcPr>
            <w:tcW w:w="22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996" w:type="dxa"/>
            <w:tcBorders>
              <w:top w:val="single" w:sz="4" w:space="0" w:color="000000"/>
              <w:left w:val="single" w:sz="10" w:space="0" w:color="DCDCDC"/>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455" w:type="dxa"/>
            <w:tcBorders>
              <w:top w:val="single" w:sz="4" w:space="0" w:color="000000"/>
              <w:left w:val="single" w:sz="4" w:space="0" w:color="000000"/>
              <w:bottom w:val="single" w:sz="4" w:space="0" w:color="000000"/>
              <w:right w:val="single" w:sz="4" w:space="0" w:color="000000"/>
            </w:tcBorders>
          </w:tcPr>
          <w:p>
            <w:pPr/>
          </w:p>
        </w:tc>
        <w:tc>
          <w:tcPr>
            <w:tcW w:w="21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99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71,600,700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2" w:right="0"/>
              <w:jc w:val="center"/>
              <w:rPr>
                <w:rFonts w:ascii="Times New Roman" w:hAnsi="Times New Roman" w:cs="Times New Roman" w:eastAsia="Times New Roman" w:hint="default"/>
                <w:sz w:val="18"/>
                <w:szCs w:val="18"/>
              </w:rPr>
            </w:pPr>
            <w:r>
              <w:rPr>
                <w:rFonts w:ascii="Times New Roman"/>
                <w:sz w:val="18"/>
              </w:rPr>
              <w:t>50.23%</w:t>
            </w:r>
          </w:p>
        </w:tc>
        <w:tc>
          <w:tcPr>
            <w:tcW w:w="455" w:type="dxa"/>
            <w:tcBorders>
              <w:top w:val="single" w:sz="4" w:space="0" w:color="000000"/>
              <w:left w:val="single" w:sz="4" w:space="0" w:color="000000"/>
              <w:bottom w:val="single" w:sz="4" w:space="0" w:color="000000"/>
              <w:right w:val="single" w:sz="4" w:space="0" w:color="000000"/>
            </w:tcBorders>
          </w:tcPr>
          <w:p>
            <w:pPr/>
          </w:p>
        </w:tc>
        <w:tc>
          <w:tcPr>
            <w:tcW w:w="21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8" w:right="0"/>
              <w:jc w:val="center"/>
              <w:rPr>
                <w:rFonts w:ascii="Times New Roman" w:hAnsi="Times New Roman" w:cs="Times New Roman" w:eastAsia="Times New Roman" w:hint="default"/>
                <w:sz w:val="18"/>
                <w:szCs w:val="18"/>
              </w:rPr>
            </w:pPr>
            <w:r>
              <w:rPr>
                <w:rFonts w:ascii="Times New Roman"/>
                <w:sz w:val="18"/>
              </w:rPr>
              <w:t>71,600,700</w:t>
            </w:r>
          </w:p>
        </w:tc>
        <w:tc>
          <w:tcPr>
            <w:tcW w:w="93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6" w:right="0"/>
              <w:jc w:val="center"/>
              <w:rPr>
                <w:rFonts w:ascii="Times New Roman" w:hAnsi="Times New Roman" w:cs="Times New Roman" w:eastAsia="Times New Roman" w:hint="default"/>
                <w:sz w:val="18"/>
                <w:szCs w:val="18"/>
              </w:rPr>
            </w:pPr>
            <w:r>
              <w:rPr>
                <w:rFonts w:ascii="Times New Roman"/>
                <w:sz w:val="18"/>
              </w:rPr>
              <w:t>71,600,700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143,201,400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50.23%</w:t>
            </w:r>
          </w:p>
        </w:tc>
      </w:tr>
      <w:tr>
        <w:trPr>
          <w:trHeight w:val="244" w:hRule="exact"/>
        </w:trPr>
        <w:tc>
          <w:tcPr>
            <w:tcW w:w="22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9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34,958,310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2" w:right="0"/>
              <w:jc w:val="center"/>
              <w:rPr>
                <w:rFonts w:ascii="Times New Roman" w:hAnsi="Times New Roman" w:cs="Times New Roman" w:eastAsia="Times New Roman" w:hint="default"/>
                <w:sz w:val="18"/>
                <w:szCs w:val="18"/>
              </w:rPr>
            </w:pPr>
            <w:r>
              <w:rPr>
                <w:rFonts w:ascii="Times New Roman"/>
                <w:sz w:val="18"/>
              </w:rPr>
              <w:t>24.52%</w:t>
            </w:r>
          </w:p>
        </w:tc>
        <w:tc>
          <w:tcPr>
            <w:tcW w:w="455" w:type="dxa"/>
            <w:tcBorders>
              <w:top w:val="single" w:sz="4" w:space="0" w:color="000000"/>
              <w:left w:val="single" w:sz="4" w:space="0" w:color="000000"/>
              <w:bottom w:val="single" w:sz="4" w:space="0" w:color="000000"/>
              <w:right w:val="single" w:sz="4" w:space="0" w:color="000000"/>
            </w:tcBorders>
          </w:tcPr>
          <w:p>
            <w:pPr/>
          </w:p>
        </w:tc>
        <w:tc>
          <w:tcPr>
            <w:tcW w:w="21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7" w:right="0"/>
              <w:jc w:val="center"/>
              <w:rPr>
                <w:rFonts w:ascii="Times New Roman" w:hAnsi="Times New Roman" w:cs="Times New Roman" w:eastAsia="Times New Roman" w:hint="default"/>
                <w:sz w:val="18"/>
                <w:szCs w:val="18"/>
              </w:rPr>
            </w:pPr>
            <w:r>
              <w:rPr>
                <w:rFonts w:ascii="Times New Roman"/>
                <w:sz w:val="18"/>
              </w:rPr>
              <w:t>34,958,310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-69,916,620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6" w:right="0"/>
              <w:jc w:val="center"/>
              <w:rPr>
                <w:rFonts w:ascii="Times New Roman" w:hAnsi="Times New Roman" w:cs="Times New Roman" w:eastAsia="Times New Roman" w:hint="default"/>
                <w:sz w:val="18"/>
                <w:szCs w:val="18"/>
              </w:rPr>
            </w:pPr>
            <w:r>
              <w:rPr>
                <w:rFonts w:ascii="Times New Roman"/>
                <w:sz w:val="18"/>
              </w:rPr>
              <w:t>-34,958,310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242" w:hRule="exact"/>
        </w:trPr>
        <w:tc>
          <w:tcPr>
            <w:tcW w:w="22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其中：境内非国有法人持股</w:t>
            </w:r>
          </w:p>
        </w:tc>
        <w:tc>
          <w:tcPr>
            <w:tcW w:w="99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16,031,310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9" w:right="0"/>
              <w:jc w:val="center"/>
              <w:rPr>
                <w:rFonts w:ascii="Times New Roman" w:hAnsi="Times New Roman" w:cs="Times New Roman" w:eastAsia="Times New Roman" w:hint="default"/>
                <w:sz w:val="18"/>
                <w:szCs w:val="18"/>
              </w:rPr>
            </w:pPr>
            <w:r>
              <w:rPr>
                <w:rFonts w:ascii="Times New Roman"/>
                <w:sz w:val="18"/>
              </w:rPr>
              <w:t>11.25%</w:t>
            </w:r>
          </w:p>
        </w:tc>
        <w:tc>
          <w:tcPr>
            <w:tcW w:w="455" w:type="dxa"/>
            <w:tcBorders>
              <w:top w:val="single" w:sz="4" w:space="0" w:color="000000"/>
              <w:left w:val="single" w:sz="4" w:space="0" w:color="000000"/>
              <w:bottom w:val="single" w:sz="4" w:space="0" w:color="000000"/>
              <w:right w:val="single" w:sz="4" w:space="0" w:color="000000"/>
            </w:tcBorders>
          </w:tcPr>
          <w:p>
            <w:pPr/>
          </w:p>
        </w:tc>
        <w:tc>
          <w:tcPr>
            <w:tcW w:w="21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7" w:right="0"/>
              <w:jc w:val="center"/>
              <w:rPr>
                <w:rFonts w:ascii="Times New Roman" w:hAnsi="Times New Roman" w:cs="Times New Roman" w:eastAsia="Times New Roman" w:hint="default"/>
                <w:sz w:val="18"/>
                <w:szCs w:val="18"/>
              </w:rPr>
            </w:pPr>
            <w:r>
              <w:rPr>
                <w:rFonts w:ascii="Times New Roman"/>
                <w:sz w:val="18"/>
              </w:rPr>
              <w:t>16,031,310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-32,062,620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6" w:right="0"/>
              <w:jc w:val="center"/>
              <w:rPr>
                <w:rFonts w:ascii="Times New Roman" w:hAnsi="Times New Roman" w:cs="Times New Roman" w:eastAsia="Times New Roman" w:hint="default"/>
                <w:sz w:val="18"/>
                <w:szCs w:val="18"/>
              </w:rPr>
            </w:pPr>
            <w:r>
              <w:rPr>
                <w:rFonts w:ascii="Times New Roman"/>
                <w:sz w:val="18"/>
              </w:rPr>
              <w:t>-16,031,310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244" w:hRule="exact"/>
        </w:trPr>
        <w:tc>
          <w:tcPr>
            <w:tcW w:w="22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99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18,927,000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2" w:right="0"/>
              <w:jc w:val="center"/>
              <w:rPr>
                <w:rFonts w:ascii="Times New Roman" w:hAnsi="Times New Roman" w:cs="Times New Roman" w:eastAsia="Times New Roman" w:hint="default"/>
                <w:sz w:val="18"/>
                <w:szCs w:val="18"/>
              </w:rPr>
            </w:pPr>
            <w:r>
              <w:rPr>
                <w:rFonts w:ascii="Times New Roman"/>
                <w:sz w:val="18"/>
              </w:rPr>
              <w:t>13.28%</w:t>
            </w:r>
          </w:p>
        </w:tc>
        <w:tc>
          <w:tcPr>
            <w:tcW w:w="455" w:type="dxa"/>
            <w:tcBorders>
              <w:top w:val="single" w:sz="4" w:space="0" w:color="000000"/>
              <w:left w:val="single" w:sz="4" w:space="0" w:color="000000"/>
              <w:bottom w:val="single" w:sz="4" w:space="0" w:color="000000"/>
              <w:right w:val="single" w:sz="4" w:space="0" w:color="000000"/>
            </w:tcBorders>
          </w:tcPr>
          <w:p>
            <w:pPr/>
          </w:p>
        </w:tc>
        <w:tc>
          <w:tcPr>
            <w:tcW w:w="21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7" w:right="0"/>
              <w:jc w:val="center"/>
              <w:rPr>
                <w:rFonts w:ascii="Times New Roman" w:hAnsi="Times New Roman" w:cs="Times New Roman" w:eastAsia="Times New Roman" w:hint="default"/>
                <w:sz w:val="18"/>
                <w:szCs w:val="18"/>
              </w:rPr>
            </w:pPr>
            <w:r>
              <w:rPr>
                <w:rFonts w:ascii="Times New Roman"/>
                <w:sz w:val="18"/>
              </w:rPr>
              <w:t>18,927,000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-37,854,000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6" w:right="0"/>
              <w:jc w:val="center"/>
              <w:rPr>
                <w:rFonts w:ascii="Times New Roman" w:hAnsi="Times New Roman" w:cs="Times New Roman" w:eastAsia="Times New Roman" w:hint="default"/>
                <w:sz w:val="18"/>
                <w:szCs w:val="18"/>
              </w:rPr>
            </w:pPr>
            <w:r>
              <w:rPr>
                <w:rFonts w:ascii="Times New Roman"/>
                <w:sz w:val="18"/>
              </w:rPr>
              <w:t>-18,927,000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244" w:hRule="exact"/>
        </w:trPr>
        <w:tc>
          <w:tcPr>
            <w:tcW w:w="22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996" w:type="dxa"/>
            <w:tcBorders>
              <w:top w:val="single" w:sz="4" w:space="0" w:color="000000"/>
              <w:left w:val="single" w:sz="10" w:space="0" w:color="DCDCDC"/>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455" w:type="dxa"/>
            <w:tcBorders>
              <w:top w:val="single" w:sz="4" w:space="0" w:color="000000"/>
              <w:left w:val="single" w:sz="4" w:space="0" w:color="000000"/>
              <w:bottom w:val="single" w:sz="4" w:space="0" w:color="000000"/>
              <w:right w:val="single" w:sz="4" w:space="0" w:color="000000"/>
            </w:tcBorders>
          </w:tcPr>
          <w:p>
            <w:pPr/>
          </w:p>
        </w:tc>
        <w:tc>
          <w:tcPr>
            <w:tcW w:w="21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996" w:type="dxa"/>
            <w:tcBorders>
              <w:top w:val="single" w:sz="4" w:space="0" w:color="000000"/>
              <w:left w:val="single" w:sz="10" w:space="0" w:color="DCDCDC"/>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455" w:type="dxa"/>
            <w:tcBorders>
              <w:top w:val="single" w:sz="4" w:space="0" w:color="000000"/>
              <w:left w:val="single" w:sz="4" w:space="0" w:color="000000"/>
              <w:bottom w:val="single" w:sz="4" w:space="0" w:color="000000"/>
              <w:right w:val="single" w:sz="4" w:space="0" w:color="000000"/>
            </w:tcBorders>
          </w:tcPr>
          <w:p>
            <w:pPr/>
          </w:p>
        </w:tc>
        <w:tc>
          <w:tcPr>
            <w:tcW w:w="21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51"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996" w:type="dxa"/>
            <w:tcBorders>
              <w:top w:val="single" w:sz="4" w:space="0" w:color="000000"/>
              <w:left w:val="single" w:sz="10" w:space="0" w:color="DCDCDC"/>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455" w:type="dxa"/>
            <w:tcBorders>
              <w:top w:val="single" w:sz="4" w:space="0" w:color="000000"/>
              <w:left w:val="single" w:sz="4" w:space="0" w:color="000000"/>
              <w:bottom w:val="single" w:sz="4" w:space="0" w:color="000000"/>
              <w:right w:val="single" w:sz="4" w:space="0" w:color="000000"/>
            </w:tcBorders>
          </w:tcPr>
          <w:p>
            <w:pPr/>
          </w:p>
        </w:tc>
        <w:tc>
          <w:tcPr>
            <w:tcW w:w="21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996" w:type="dxa"/>
            <w:tcBorders>
              <w:top w:val="single" w:sz="4" w:space="0" w:color="000000"/>
              <w:left w:val="single" w:sz="10" w:space="0" w:color="DCDCDC"/>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455" w:type="dxa"/>
            <w:tcBorders>
              <w:top w:val="single" w:sz="4" w:space="0" w:color="000000"/>
              <w:left w:val="single" w:sz="4" w:space="0" w:color="000000"/>
              <w:bottom w:val="single" w:sz="4" w:space="0" w:color="000000"/>
              <w:right w:val="single" w:sz="4" w:space="0" w:color="000000"/>
            </w:tcBorders>
          </w:tcPr>
          <w:p>
            <w:pPr/>
          </w:p>
        </w:tc>
        <w:tc>
          <w:tcPr>
            <w:tcW w:w="21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9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36,000,000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2" w:right="0"/>
              <w:jc w:val="center"/>
              <w:rPr>
                <w:rFonts w:ascii="Times New Roman" w:hAnsi="Times New Roman" w:cs="Times New Roman" w:eastAsia="Times New Roman" w:hint="default"/>
                <w:sz w:val="18"/>
                <w:szCs w:val="18"/>
              </w:rPr>
            </w:pPr>
            <w:r>
              <w:rPr>
                <w:rFonts w:ascii="Times New Roman"/>
                <w:sz w:val="18"/>
              </w:rPr>
              <w:t>25.25%</w:t>
            </w:r>
          </w:p>
        </w:tc>
        <w:tc>
          <w:tcPr>
            <w:tcW w:w="455" w:type="dxa"/>
            <w:tcBorders>
              <w:top w:val="single" w:sz="4" w:space="0" w:color="000000"/>
              <w:left w:val="single" w:sz="4" w:space="0" w:color="000000"/>
              <w:bottom w:val="single" w:sz="4" w:space="0" w:color="000000"/>
              <w:right w:val="single" w:sz="4" w:space="0" w:color="000000"/>
            </w:tcBorders>
          </w:tcPr>
          <w:p>
            <w:pPr/>
          </w:p>
        </w:tc>
        <w:tc>
          <w:tcPr>
            <w:tcW w:w="21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8" w:right="0"/>
              <w:jc w:val="center"/>
              <w:rPr>
                <w:rFonts w:ascii="Times New Roman" w:hAnsi="Times New Roman" w:cs="Times New Roman" w:eastAsia="Times New Roman" w:hint="default"/>
                <w:sz w:val="18"/>
                <w:szCs w:val="18"/>
              </w:rPr>
            </w:pPr>
            <w:r>
              <w:rPr>
                <w:rFonts w:ascii="Times New Roman"/>
                <w:sz w:val="18"/>
              </w:rPr>
              <w:t>36,000,000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69,916,620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 w:right="0"/>
              <w:jc w:val="center"/>
              <w:rPr>
                <w:rFonts w:ascii="Times New Roman" w:hAnsi="Times New Roman" w:cs="Times New Roman" w:eastAsia="Times New Roman" w:hint="default"/>
                <w:sz w:val="18"/>
                <w:szCs w:val="18"/>
              </w:rPr>
            </w:pPr>
            <w:r>
              <w:rPr>
                <w:rFonts w:ascii="Times New Roman"/>
                <w:sz w:val="18"/>
              </w:rPr>
              <w:t>105,916,620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141,916,620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49.77%</w:t>
            </w:r>
          </w:p>
        </w:tc>
      </w:tr>
      <w:tr>
        <w:trPr>
          <w:trHeight w:val="244" w:hRule="exact"/>
        </w:trPr>
        <w:tc>
          <w:tcPr>
            <w:tcW w:w="22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9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36,000,000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2" w:right="0"/>
              <w:jc w:val="center"/>
              <w:rPr>
                <w:rFonts w:ascii="Times New Roman" w:hAnsi="Times New Roman" w:cs="Times New Roman" w:eastAsia="Times New Roman" w:hint="default"/>
                <w:sz w:val="18"/>
                <w:szCs w:val="18"/>
              </w:rPr>
            </w:pPr>
            <w:r>
              <w:rPr>
                <w:rFonts w:ascii="Times New Roman"/>
                <w:sz w:val="18"/>
              </w:rPr>
              <w:t>25.25%</w:t>
            </w:r>
          </w:p>
        </w:tc>
        <w:tc>
          <w:tcPr>
            <w:tcW w:w="455" w:type="dxa"/>
            <w:tcBorders>
              <w:top w:val="single" w:sz="4" w:space="0" w:color="000000"/>
              <w:left w:val="single" w:sz="4" w:space="0" w:color="000000"/>
              <w:bottom w:val="single" w:sz="4" w:space="0" w:color="000000"/>
              <w:right w:val="single" w:sz="4" w:space="0" w:color="000000"/>
            </w:tcBorders>
          </w:tcPr>
          <w:p>
            <w:pPr/>
          </w:p>
        </w:tc>
        <w:tc>
          <w:tcPr>
            <w:tcW w:w="21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8" w:right="0"/>
              <w:jc w:val="center"/>
              <w:rPr>
                <w:rFonts w:ascii="Times New Roman" w:hAnsi="Times New Roman" w:cs="Times New Roman" w:eastAsia="Times New Roman" w:hint="default"/>
                <w:sz w:val="18"/>
                <w:szCs w:val="18"/>
              </w:rPr>
            </w:pPr>
            <w:r>
              <w:rPr>
                <w:rFonts w:ascii="Times New Roman"/>
                <w:sz w:val="18"/>
              </w:rPr>
              <w:t>36,000,000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69,916,620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 w:right="0"/>
              <w:jc w:val="center"/>
              <w:rPr>
                <w:rFonts w:ascii="Times New Roman" w:hAnsi="Times New Roman" w:cs="Times New Roman" w:eastAsia="Times New Roman" w:hint="default"/>
                <w:sz w:val="18"/>
                <w:szCs w:val="18"/>
              </w:rPr>
            </w:pPr>
            <w:r>
              <w:rPr>
                <w:rFonts w:ascii="Times New Roman"/>
                <w:sz w:val="18"/>
              </w:rPr>
              <w:t>105,916,620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141,916,620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49.77%</w:t>
            </w:r>
          </w:p>
        </w:tc>
      </w:tr>
      <w:tr>
        <w:trPr>
          <w:trHeight w:val="242" w:hRule="exact"/>
        </w:trPr>
        <w:tc>
          <w:tcPr>
            <w:tcW w:w="22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996" w:type="dxa"/>
            <w:tcBorders>
              <w:top w:val="single" w:sz="4" w:space="0" w:color="000000"/>
              <w:left w:val="single" w:sz="10" w:space="0" w:color="DCDCDC"/>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455" w:type="dxa"/>
            <w:tcBorders>
              <w:top w:val="single" w:sz="4" w:space="0" w:color="000000"/>
              <w:left w:val="single" w:sz="4" w:space="0" w:color="000000"/>
              <w:bottom w:val="single" w:sz="4" w:space="0" w:color="000000"/>
              <w:right w:val="single" w:sz="4" w:space="0" w:color="000000"/>
            </w:tcBorders>
          </w:tcPr>
          <w:p>
            <w:pPr/>
          </w:p>
        </w:tc>
        <w:tc>
          <w:tcPr>
            <w:tcW w:w="21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996" w:type="dxa"/>
            <w:tcBorders>
              <w:top w:val="single" w:sz="4" w:space="0" w:color="000000"/>
              <w:left w:val="single" w:sz="10" w:space="0" w:color="DCDCDC"/>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455" w:type="dxa"/>
            <w:tcBorders>
              <w:top w:val="single" w:sz="4" w:space="0" w:color="000000"/>
              <w:left w:val="single" w:sz="4" w:space="0" w:color="000000"/>
              <w:bottom w:val="single" w:sz="4" w:space="0" w:color="000000"/>
              <w:right w:val="single" w:sz="4" w:space="0" w:color="000000"/>
            </w:tcBorders>
          </w:tcPr>
          <w:p>
            <w:pPr/>
          </w:p>
        </w:tc>
        <w:tc>
          <w:tcPr>
            <w:tcW w:w="21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96" w:type="dxa"/>
            <w:tcBorders>
              <w:top w:val="single" w:sz="4" w:space="0" w:color="000000"/>
              <w:left w:val="single" w:sz="10" w:space="0" w:color="DCDCDC"/>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455" w:type="dxa"/>
            <w:tcBorders>
              <w:top w:val="single" w:sz="4" w:space="0" w:color="000000"/>
              <w:left w:val="single" w:sz="4" w:space="0" w:color="000000"/>
              <w:bottom w:val="single" w:sz="4" w:space="0" w:color="000000"/>
              <w:right w:val="single" w:sz="4" w:space="0" w:color="000000"/>
            </w:tcBorders>
          </w:tcPr>
          <w:p>
            <w:pPr/>
          </w:p>
        </w:tc>
        <w:tc>
          <w:tcPr>
            <w:tcW w:w="21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9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142,559,010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 w:right="0"/>
              <w:jc w:val="center"/>
              <w:rPr>
                <w:rFonts w:ascii="Times New Roman" w:hAnsi="Times New Roman" w:cs="Times New Roman" w:eastAsia="Times New Roman" w:hint="default"/>
                <w:sz w:val="18"/>
                <w:szCs w:val="18"/>
              </w:rPr>
            </w:pPr>
            <w:r>
              <w:rPr>
                <w:rFonts w:ascii="Times New Roman"/>
                <w:sz w:val="18"/>
              </w:rPr>
              <w:t>100.00%</w:t>
            </w:r>
          </w:p>
        </w:tc>
        <w:tc>
          <w:tcPr>
            <w:tcW w:w="455" w:type="dxa"/>
            <w:tcBorders>
              <w:top w:val="single" w:sz="4" w:space="0" w:color="000000"/>
              <w:left w:val="single" w:sz="4" w:space="0" w:color="000000"/>
              <w:bottom w:val="single" w:sz="4" w:space="0" w:color="000000"/>
              <w:right w:val="single" w:sz="4" w:space="0" w:color="000000"/>
            </w:tcBorders>
          </w:tcPr>
          <w:p>
            <w:pPr/>
          </w:p>
        </w:tc>
        <w:tc>
          <w:tcPr>
            <w:tcW w:w="21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9" w:right="0"/>
              <w:jc w:val="center"/>
              <w:rPr>
                <w:rFonts w:ascii="Times New Roman" w:hAnsi="Times New Roman" w:cs="Times New Roman" w:eastAsia="Times New Roman" w:hint="default"/>
                <w:sz w:val="18"/>
                <w:szCs w:val="18"/>
              </w:rPr>
            </w:pPr>
            <w:r>
              <w:rPr>
                <w:rFonts w:ascii="Times New Roman"/>
                <w:sz w:val="18"/>
              </w:rPr>
              <w:t>142,559,010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 w:right="0"/>
              <w:jc w:val="center"/>
              <w:rPr>
                <w:rFonts w:ascii="Times New Roman" w:hAnsi="Times New Roman" w:cs="Times New Roman" w:eastAsia="Times New Roman" w:hint="default"/>
                <w:sz w:val="18"/>
                <w:szCs w:val="18"/>
              </w:rPr>
            </w:pPr>
            <w:r>
              <w:rPr>
                <w:rFonts w:ascii="Times New Roman"/>
                <w:sz w:val="18"/>
              </w:rPr>
              <w:t>142,559,010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285,118,020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line="240" w:lineRule="auto" w:before="2"/>
        <w:rPr>
          <w:rFonts w:ascii="宋体" w:hAnsi="宋体" w:cs="宋体" w:eastAsia="宋体" w:hint="default"/>
          <w:sz w:val="13"/>
          <w:szCs w:val="13"/>
        </w:rPr>
      </w:pPr>
    </w:p>
    <w:p>
      <w:pPr>
        <w:pStyle w:val="BodyText"/>
        <w:spacing w:line="274" w:lineRule="exact" w:before="35"/>
        <w:ind w:left="600" w:right="0"/>
        <w:jc w:val="left"/>
      </w:pPr>
      <w:r>
        <w:rPr/>
        <w:t>（二）限售股份变动情况表</w:t>
      </w:r>
    </w:p>
    <w:p>
      <w:pPr>
        <w:pStyle w:val="BodyText"/>
        <w:spacing w:line="274" w:lineRule="exact" w:before="0"/>
        <w:ind w:left="0" w:right="931"/>
        <w:jc w:val="right"/>
      </w:pPr>
      <w:r>
        <w:rPr/>
        <w:t>单位：股</w:t>
      </w:r>
    </w:p>
    <w:p>
      <w:pPr>
        <w:spacing w:line="240" w:lineRule="auto" w:before="5"/>
        <w:rPr>
          <w:rFonts w:ascii="宋体" w:hAnsi="宋体" w:cs="宋体" w:eastAsia="宋体" w:hint="default"/>
          <w:sz w:val="2"/>
          <w:szCs w:val="2"/>
        </w:rPr>
      </w:pPr>
    </w:p>
    <w:tbl>
      <w:tblPr>
        <w:tblW w:w="0" w:type="auto"/>
        <w:jc w:val="left"/>
        <w:tblInd w:w="291" w:type="dxa"/>
        <w:tblLayout w:type="fixed"/>
        <w:tblCellMar>
          <w:top w:w="0" w:type="dxa"/>
          <w:left w:w="0" w:type="dxa"/>
          <w:bottom w:w="0" w:type="dxa"/>
          <w:right w:w="0" w:type="dxa"/>
        </w:tblCellMar>
        <w:tblLook w:val="01E0"/>
      </w:tblPr>
      <w:tblGrid>
        <w:gridCol w:w="844"/>
        <w:gridCol w:w="1013"/>
        <w:gridCol w:w="875"/>
        <w:gridCol w:w="966"/>
        <w:gridCol w:w="979"/>
        <w:gridCol w:w="2580"/>
        <w:gridCol w:w="1657"/>
      </w:tblGrid>
      <w:tr>
        <w:trPr>
          <w:trHeight w:val="478" w:hRule="exact"/>
        </w:trPr>
        <w:tc>
          <w:tcPr>
            <w:tcW w:w="8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5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年初限售股</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数</w:t>
            </w:r>
          </w:p>
        </w:tc>
        <w:tc>
          <w:tcPr>
            <w:tcW w:w="87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73" w:right="0"/>
              <w:jc w:val="left"/>
              <w:rPr>
                <w:rFonts w:ascii="宋体" w:hAnsi="宋体" w:cs="宋体" w:eastAsia="宋体" w:hint="default"/>
                <w:sz w:val="18"/>
                <w:szCs w:val="18"/>
              </w:rPr>
            </w:pPr>
            <w:r>
              <w:rPr>
                <w:rFonts w:ascii="宋体" w:hAnsi="宋体" w:cs="宋体" w:eastAsia="宋体" w:hint="default"/>
                <w:sz w:val="18"/>
                <w:szCs w:val="18"/>
              </w:rPr>
              <w:t>本年解除</w:t>
            </w:r>
          </w:p>
          <w:p>
            <w:pPr>
              <w:pStyle w:val="TableParagraph"/>
              <w:spacing w:line="235" w:lineRule="exact"/>
              <w:ind w:left="73" w:right="0"/>
              <w:jc w:val="left"/>
              <w:rPr>
                <w:rFonts w:ascii="宋体" w:hAnsi="宋体" w:cs="宋体" w:eastAsia="宋体" w:hint="default"/>
                <w:sz w:val="18"/>
                <w:szCs w:val="18"/>
              </w:rPr>
            </w:pPr>
            <w:r>
              <w:rPr>
                <w:rFonts w:ascii="宋体" w:hAnsi="宋体" w:cs="宋体" w:eastAsia="宋体" w:hint="default"/>
                <w:sz w:val="18"/>
                <w:szCs w:val="18"/>
              </w:rPr>
              <w:t>限售股数</w:t>
            </w:r>
          </w:p>
        </w:tc>
        <w:tc>
          <w:tcPr>
            <w:tcW w:w="9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本年增加限</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售股数</w:t>
            </w:r>
          </w:p>
        </w:tc>
        <w:tc>
          <w:tcPr>
            <w:tcW w:w="9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年末限售股</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数</w:t>
            </w:r>
          </w:p>
        </w:tc>
        <w:tc>
          <w:tcPr>
            <w:tcW w:w="25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236" w:hRule="exact"/>
        </w:trPr>
        <w:tc>
          <w:tcPr>
            <w:tcW w:w="844"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广州无线</w:t>
            </w:r>
          </w:p>
        </w:tc>
        <w:tc>
          <w:tcPr>
            <w:tcW w:w="1013" w:type="dxa"/>
            <w:tcBorders>
              <w:top w:val="single" w:sz="4" w:space="0" w:color="000000"/>
              <w:left w:val="single" w:sz="4" w:space="0" w:color="000000"/>
              <w:bottom w:val="nil" w:sz="6" w:space="0" w:color="auto"/>
              <w:right w:val="single" w:sz="4" w:space="0" w:color="000000"/>
            </w:tcBorders>
          </w:tcPr>
          <w:p>
            <w:pPr/>
          </w:p>
        </w:tc>
        <w:tc>
          <w:tcPr>
            <w:tcW w:w="875" w:type="dxa"/>
            <w:tcBorders>
              <w:top w:val="single" w:sz="4" w:space="0" w:color="000000"/>
              <w:left w:val="single" w:sz="4" w:space="0" w:color="000000"/>
              <w:bottom w:val="nil" w:sz="6" w:space="0" w:color="auto"/>
              <w:right w:val="single" w:sz="4" w:space="0" w:color="000000"/>
            </w:tcBorders>
          </w:tcPr>
          <w:p>
            <w:pPr/>
          </w:p>
        </w:tc>
        <w:tc>
          <w:tcPr>
            <w:tcW w:w="966" w:type="dxa"/>
            <w:tcBorders>
              <w:top w:val="single" w:sz="4" w:space="0" w:color="000000"/>
              <w:left w:val="single" w:sz="4" w:space="0" w:color="000000"/>
              <w:bottom w:val="nil" w:sz="6" w:space="0" w:color="auto"/>
              <w:right w:val="single" w:sz="4" w:space="0" w:color="000000"/>
            </w:tcBorders>
          </w:tcPr>
          <w:p>
            <w:pPr/>
          </w:p>
        </w:tc>
        <w:tc>
          <w:tcPr>
            <w:tcW w:w="979" w:type="dxa"/>
            <w:tcBorders>
              <w:top w:val="single" w:sz="4" w:space="0" w:color="000000"/>
              <w:left w:val="single" w:sz="4" w:space="0" w:color="000000"/>
              <w:bottom w:val="nil" w:sz="6" w:space="0" w:color="auto"/>
              <w:right w:val="single" w:sz="4" w:space="0" w:color="000000"/>
            </w:tcBorders>
          </w:tcPr>
          <w:p>
            <w:pPr/>
          </w:p>
        </w:tc>
        <w:tc>
          <w:tcPr>
            <w:tcW w:w="258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在公司上市时承诺：自公司上市</w:t>
            </w:r>
          </w:p>
        </w:tc>
        <w:tc>
          <w:tcPr>
            <w:tcW w:w="1657" w:type="dxa"/>
            <w:tcBorders>
              <w:top w:val="single" w:sz="4" w:space="0" w:color="000000"/>
              <w:left w:val="single" w:sz="4" w:space="0" w:color="000000"/>
              <w:bottom w:val="nil" w:sz="6" w:space="0" w:color="auto"/>
              <w:right w:val="single" w:sz="4" w:space="0" w:color="000000"/>
            </w:tcBorders>
          </w:tcPr>
          <w:p>
            <w:pPr/>
          </w:p>
        </w:tc>
      </w:tr>
      <w:tr>
        <w:trPr>
          <w:trHeight w:val="238" w:hRule="exact"/>
        </w:trPr>
        <w:tc>
          <w:tcPr>
            <w:tcW w:w="84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电集团有</w:t>
            </w:r>
          </w:p>
        </w:tc>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18"/>
                <w:szCs w:val="18"/>
              </w:rPr>
            </w:pPr>
            <w:r>
              <w:rPr>
                <w:rFonts w:ascii="Times New Roman"/>
                <w:sz w:val="18"/>
              </w:rPr>
              <w:t>71,600,700</w:t>
            </w:r>
          </w:p>
        </w:tc>
        <w:tc>
          <w:tcPr>
            <w:tcW w:w="8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18"/>
                <w:szCs w:val="18"/>
              </w:rPr>
            </w:pPr>
            <w:r>
              <w:rPr>
                <w:rFonts w:ascii="Times New Roman"/>
                <w:sz w:val="18"/>
              </w:rPr>
              <w:t>0</w:t>
            </w:r>
          </w:p>
        </w:tc>
        <w:tc>
          <w:tcPr>
            <w:tcW w:w="9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18"/>
                <w:szCs w:val="18"/>
              </w:rPr>
            </w:pPr>
            <w:r>
              <w:rPr>
                <w:rFonts w:ascii="Times New Roman"/>
                <w:sz w:val="18"/>
              </w:rPr>
              <w:t>71,600,700</w:t>
            </w:r>
          </w:p>
        </w:tc>
        <w:tc>
          <w:tcPr>
            <w:tcW w:w="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18"/>
                <w:szCs w:val="18"/>
              </w:rPr>
            </w:pPr>
            <w:r>
              <w:rPr>
                <w:rFonts w:ascii="Times New Roman"/>
                <w:sz w:val="18"/>
              </w:rPr>
              <w:t>143,201,400</w:t>
            </w:r>
          </w:p>
        </w:tc>
        <w:tc>
          <w:tcPr>
            <w:tcW w:w="2580"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4" w:right="0"/>
              <w:jc w:val="left"/>
              <w:rPr>
                <w:rFonts w:ascii="宋体" w:hAnsi="宋体" w:cs="宋体" w:eastAsia="宋体" w:hint="default"/>
                <w:sz w:val="18"/>
                <w:szCs w:val="18"/>
              </w:rPr>
            </w:pPr>
            <w:r>
              <w:rPr>
                <w:rFonts w:ascii="宋体" w:hAnsi="宋体" w:cs="宋体" w:eastAsia="宋体" w:hint="default"/>
                <w:sz w:val="18"/>
                <w:szCs w:val="18"/>
              </w:rPr>
              <w:t>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个月内不转让或委托</w:t>
            </w:r>
          </w:p>
        </w:tc>
        <w:tc>
          <w:tcPr>
            <w:tcW w:w="1657" w:type="dxa"/>
            <w:tcBorders>
              <w:top w:val="nil" w:sz="6" w:space="0" w:color="auto"/>
              <w:left w:val="single" w:sz="4" w:space="0" w:color="000000"/>
              <w:bottom w:val="nil" w:sz="6" w:space="0" w:color="auto"/>
              <w:right w:val="single" w:sz="4" w:space="0" w:color="000000"/>
            </w:tcBorders>
          </w:tcPr>
          <w:p>
            <w:pPr>
              <w:pStyle w:val="TableParagraph"/>
              <w:spacing w:line="220" w:lineRule="exact"/>
              <w:ind w:right="1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236" w:hRule="exact"/>
        </w:trPr>
        <w:tc>
          <w:tcPr>
            <w:tcW w:w="844" w:type="dxa"/>
            <w:tcBorders>
              <w:top w:val="nil" w:sz="6" w:space="0" w:color="auto"/>
              <w:left w:val="single" w:sz="4" w:space="0" w:color="000000"/>
              <w:bottom w:val="single" w:sz="4" w:space="0" w:color="000000"/>
              <w:right w:val="single" w:sz="4" w:space="0" w:color="000000"/>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13" w:type="dxa"/>
            <w:tcBorders>
              <w:top w:val="nil" w:sz="6" w:space="0" w:color="auto"/>
              <w:left w:val="single" w:sz="4" w:space="0" w:color="000000"/>
              <w:bottom w:val="single" w:sz="4" w:space="0" w:color="000000"/>
              <w:right w:val="single" w:sz="4" w:space="0" w:color="000000"/>
            </w:tcBorders>
          </w:tcPr>
          <w:p>
            <w:pPr/>
          </w:p>
        </w:tc>
        <w:tc>
          <w:tcPr>
            <w:tcW w:w="875" w:type="dxa"/>
            <w:tcBorders>
              <w:top w:val="nil" w:sz="6" w:space="0" w:color="auto"/>
              <w:left w:val="single" w:sz="4" w:space="0" w:color="000000"/>
              <w:bottom w:val="single" w:sz="4" w:space="0" w:color="000000"/>
              <w:right w:val="single" w:sz="4" w:space="0" w:color="000000"/>
            </w:tcBorders>
          </w:tcPr>
          <w:p>
            <w:pPr/>
          </w:p>
        </w:tc>
        <w:tc>
          <w:tcPr>
            <w:tcW w:w="966" w:type="dxa"/>
            <w:tcBorders>
              <w:top w:val="nil" w:sz="6" w:space="0" w:color="auto"/>
              <w:left w:val="single" w:sz="4" w:space="0" w:color="000000"/>
              <w:bottom w:val="single" w:sz="4" w:space="0" w:color="000000"/>
              <w:right w:val="single" w:sz="4" w:space="0" w:color="000000"/>
            </w:tcBorders>
          </w:tcPr>
          <w:p>
            <w:pPr/>
          </w:p>
        </w:tc>
        <w:tc>
          <w:tcPr>
            <w:tcW w:w="979" w:type="dxa"/>
            <w:tcBorders>
              <w:top w:val="nil" w:sz="6" w:space="0" w:color="auto"/>
              <w:left w:val="single" w:sz="4" w:space="0" w:color="000000"/>
              <w:bottom w:val="single" w:sz="4" w:space="0" w:color="000000"/>
              <w:right w:val="single" w:sz="4" w:space="0" w:color="000000"/>
            </w:tcBorders>
          </w:tcPr>
          <w:p>
            <w:pPr/>
          </w:p>
        </w:tc>
        <w:tc>
          <w:tcPr>
            <w:tcW w:w="2580" w:type="dxa"/>
            <w:tcBorders>
              <w:top w:val="nil" w:sz="6" w:space="0" w:color="auto"/>
              <w:left w:val="single" w:sz="4" w:space="0" w:color="000000"/>
              <w:bottom w:val="single" w:sz="4" w:space="0" w:color="000000"/>
              <w:right w:val="single" w:sz="4" w:space="0" w:color="000000"/>
            </w:tcBorders>
          </w:tcPr>
          <w:p>
            <w:pPr>
              <w:pStyle w:val="TableParagraph"/>
              <w:spacing w:line="202" w:lineRule="exact"/>
              <w:ind w:left="24" w:right="0"/>
              <w:jc w:val="left"/>
              <w:rPr>
                <w:rFonts w:ascii="宋体" w:hAnsi="宋体" w:cs="宋体" w:eastAsia="宋体" w:hint="default"/>
                <w:sz w:val="18"/>
                <w:szCs w:val="18"/>
              </w:rPr>
            </w:pPr>
            <w:r>
              <w:rPr>
                <w:rFonts w:ascii="宋体" w:hAnsi="宋体" w:cs="宋体" w:eastAsia="宋体" w:hint="default"/>
                <w:sz w:val="18"/>
                <w:szCs w:val="18"/>
              </w:rPr>
              <w:t>他人管理其持有股票</w:t>
            </w:r>
          </w:p>
        </w:tc>
        <w:tc>
          <w:tcPr>
            <w:tcW w:w="1657" w:type="dxa"/>
            <w:tcBorders>
              <w:top w:val="nil" w:sz="6" w:space="0" w:color="auto"/>
              <w:left w:val="single" w:sz="4" w:space="0" w:color="000000"/>
              <w:bottom w:val="single" w:sz="4" w:space="0" w:color="000000"/>
              <w:right w:val="single" w:sz="4" w:space="0" w:color="000000"/>
            </w:tcBorders>
          </w:tcPr>
          <w:p>
            <w:pPr/>
          </w:p>
        </w:tc>
      </w:tr>
      <w:tr>
        <w:trPr>
          <w:trHeight w:val="236" w:hRule="exact"/>
        </w:trPr>
        <w:tc>
          <w:tcPr>
            <w:tcW w:w="844"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梅州敬基</w:t>
            </w:r>
          </w:p>
        </w:tc>
        <w:tc>
          <w:tcPr>
            <w:tcW w:w="1013" w:type="dxa"/>
            <w:tcBorders>
              <w:top w:val="single" w:sz="4" w:space="0" w:color="000000"/>
              <w:left w:val="single" w:sz="4" w:space="0" w:color="000000"/>
              <w:bottom w:val="nil" w:sz="6" w:space="0" w:color="auto"/>
              <w:right w:val="single" w:sz="4" w:space="0" w:color="000000"/>
            </w:tcBorders>
          </w:tcPr>
          <w:p>
            <w:pPr/>
          </w:p>
        </w:tc>
        <w:tc>
          <w:tcPr>
            <w:tcW w:w="875" w:type="dxa"/>
            <w:tcBorders>
              <w:top w:val="single" w:sz="4" w:space="0" w:color="000000"/>
              <w:left w:val="single" w:sz="4" w:space="0" w:color="000000"/>
              <w:bottom w:val="nil" w:sz="6" w:space="0" w:color="auto"/>
              <w:right w:val="single" w:sz="4" w:space="0" w:color="000000"/>
            </w:tcBorders>
          </w:tcPr>
          <w:p>
            <w:pPr/>
          </w:p>
        </w:tc>
        <w:tc>
          <w:tcPr>
            <w:tcW w:w="966" w:type="dxa"/>
            <w:tcBorders>
              <w:top w:val="single" w:sz="4" w:space="0" w:color="000000"/>
              <w:left w:val="single" w:sz="4" w:space="0" w:color="000000"/>
              <w:bottom w:val="nil" w:sz="6" w:space="0" w:color="auto"/>
              <w:right w:val="single" w:sz="4" w:space="0" w:color="000000"/>
            </w:tcBorders>
          </w:tcPr>
          <w:p>
            <w:pPr/>
          </w:p>
        </w:tc>
        <w:tc>
          <w:tcPr>
            <w:tcW w:w="979" w:type="dxa"/>
            <w:tcBorders>
              <w:top w:val="single" w:sz="4" w:space="0" w:color="000000"/>
              <w:left w:val="single" w:sz="4" w:space="0" w:color="000000"/>
              <w:bottom w:val="nil" w:sz="6" w:space="0" w:color="auto"/>
              <w:right w:val="single" w:sz="4" w:space="0" w:color="000000"/>
            </w:tcBorders>
          </w:tcPr>
          <w:p>
            <w:pPr/>
          </w:p>
        </w:tc>
        <w:tc>
          <w:tcPr>
            <w:tcW w:w="258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在公司上市时承诺：自公司上市</w:t>
            </w:r>
          </w:p>
        </w:tc>
        <w:tc>
          <w:tcPr>
            <w:tcW w:w="1657" w:type="dxa"/>
            <w:tcBorders>
              <w:top w:val="single" w:sz="4" w:space="0" w:color="000000"/>
              <w:left w:val="single" w:sz="4" w:space="0" w:color="000000"/>
              <w:bottom w:val="nil" w:sz="6" w:space="0" w:color="auto"/>
              <w:right w:val="single" w:sz="4" w:space="0" w:color="000000"/>
            </w:tcBorders>
          </w:tcPr>
          <w:p>
            <w:pPr/>
          </w:p>
        </w:tc>
      </w:tr>
      <w:tr>
        <w:trPr>
          <w:trHeight w:val="238" w:hRule="exact"/>
        </w:trPr>
        <w:tc>
          <w:tcPr>
            <w:tcW w:w="84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实业有限</w:t>
            </w:r>
          </w:p>
        </w:tc>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18"/>
                <w:szCs w:val="18"/>
              </w:rPr>
            </w:pPr>
            <w:r>
              <w:rPr>
                <w:rFonts w:ascii="Times New Roman"/>
                <w:sz w:val="18"/>
              </w:rPr>
              <w:t>9,463,500</w:t>
            </w:r>
          </w:p>
        </w:tc>
        <w:tc>
          <w:tcPr>
            <w:tcW w:w="8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18"/>
                <w:szCs w:val="18"/>
              </w:rPr>
            </w:pPr>
            <w:r>
              <w:rPr>
                <w:rFonts w:ascii="Times New Roman"/>
                <w:sz w:val="18"/>
              </w:rPr>
              <w:t>18,927,000</w:t>
            </w:r>
          </w:p>
        </w:tc>
        <w:tc>
          <w:tcPr>
            <w:tcW w:w="9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18"/>
                <w:szCs w:val="18"/>
              </w:rPr>
            </w:pPr>
            <w:r>
              <w:rPr>
                <w:rFonts w:ascii="Times New Roman"/>
                <w:sz w:val="18"/>
              </w:rPr>
              <w:t>9,463,500</w:t>
            </w:r>
          </w:p>
        </w:tc>
        <w:tc>
          <w:tcPr>
            <w:tcW w:w="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18"/>
                <w:szCs w:val="18"/>
              </w:rPr>
            </w:pPr>
            <w:r>
              <w:rPr>
                <w:rFonts w:ascii="Times New Roman"/>
                <w:sz w:val="18"/>
              </w:rPr>
              <w:t>0</w:t>
            </w:r>
          </w:p>
        </w:tc>
        <w:tc>
          <w:tcPr>
            <w:tcW w:w="2580"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4" w:right="0"/>
              <w:jc w:val="left"/>
              <w:rPr>
                <w:rFonts w:ascii="宋体" w:hAnsi="宋体" w:cs="宋体" w:eastAsia="宋体" w:hint="default"/>
                <w:sz w:val="18"/>
                <w:szCs w:val="18"/>
              </w:rPr>
            </w:pPr>
            <w:r>
              <w:rPr>
                <w:rFonts w:ascii="宋体" w:hAnsi="宋体" w:cs="宋体" w:eastAsia="宋体" w:hint="default"/>
                <w:sz w:val="18"/>
                <w:szCs w:val="18"/>
              </w:rPr>
              <w:t>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个月内不转让或委托</w:t>
            </w:r>
          </w:p>
        </w:tc>
        <w:tc>
          <w:tcPr>
            <w:tcW w:w="1657" w:type="dxa"/>
            <w:tcBorders>
              <w:top w:val="nil" w:sz="6" w:space="0" w:color="auto"/>
              <w:left w:val="single" w:sz="4" w:space="0" w:color="000000"/>
              <w:bottom w:val="nil" w:sz="6" w:space="0" w:color="auto"/>
              <w:right w:val="single" w:sz="4" w:space="0" w:color="000000"/>
            </w:tcBorders>
          </w:tcPr>
          <w:p>
            <w:pPr>
              <w:pStyle w:val="TableParagraph"/>
              <w:spacing w:line="220" w:lineRule="exact"/>
              <w:ind w:right="1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236" w:hRule="exact"/>
        </w:trPr>
        <w:tc>
          <w:tcPr>
            <w:tcW w:w="844" w:type="dxa"/>
            <w:tcBorders>
              <w:top w:val="nil" w:sz="6" w:space="0" w:color="auto"/>
              <w:left w:val="single" w:sz="4" w:space="0" w:color="000000"/>
              <w:bottom w:val="single" w:sz="4" w:space="0" w:color="000000"/>
              <w:right w:val="single" w:sz="4" w:space="0" w:color="000000"/>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13" w:type="dxa"/>
            <w:tcBorders>
              <w:top w:val="nil" w:sz="6" w:space="0" w:color="auto"/>
              <w:left w:val="single" w:sz="4" w:space="0" w:color="000000"/>
              <w:bottom w:val="single" w:sz="4" w:space="0" w:color="000000"/>
              <w:right w:val="single" w:sz="4" w:space="0" w:color="000000"/>
            </w:tcBorders>
          </w:tcPr>
          <w:p>
            <w:pPr/>
          </w:p>
        </w:tc>
        <w:tc>
          <w:tcPr>
            <w:tcW w:w="875" w:type="dxa"/>
            <w:tcBorders>
              <w:top w:val="nil" w:sz="6" w:space="0" w:color="auto"/>
              <w:left w:val="single" w:sz="4" w:space="0" w:color="000000"/>
              <w:bottom w:val="single" w:sz="4" w:space="0" w:color="000000"/>
              <w:right w:val="single" w:sz="4" w:space="0" w:color="000000"/>
            </w:tcBorders>
          </w:tcPr>
          <w:p>
            <w:pPr/>
          </w:p>
        </w:tc>
        <w:tc>
          <w:tcPr>
            <w:tcW w:w="966" w:type="dxa"/>
            <w:tcBorders>
              <w:top w:val="nil" w:sz="6" w:space="0" w:color="auto"/>
              <w:left w:val="single" w:sz="4" w:space="0" w:color="000000"/>
              <w:bottom w:val="single" w:sz="4" w:space="0" w:color="000000"/>
              <w:right w:val="single" w:sz="4" w:space="0" w:color="000000"/>
            </w:tcBorders>
          </w:tcPr>
          <w:p>
            <w:pPr/>
          </w:p>
        </w:tc>
        <w:tc>
          <w:tcPr>
            <w:tcW w:w="979" w:type="dxa"/>
            <w:tcBorders>
              <w:top w:val="nil" w:sz="6" w:space="0" w:color="auto"/>
              <w:left w:val="single" w:sz="4" w:space="0" w:color="000000"/>
              <w:bottom w:val="single" w:sz="4" w:space="0" w:color="000000"/>
              <w:right w:val="single" w:sz="4" w:space="0" w:color="000000"/>
            </w:tcBorders>
          </w:tcPr>
          <w:p>
            <w:pPr/>
          </w:p>
        </w:tc>
        <w:tc>
          <w:tcPr>
            <w:tcW w:w="2580" w:type="dxa"/>
            <w:tcBorders>
              <w:top w:val="nil" w:sz="6" w:space="0" w:color="auto"/>
              <w:left w:val="single" w:sz="4" w:space="0" w:color="000000"/>
              <w:bottom w:val="single" w:sz="4" w:space="0" w:color="000000"/>
              <w:right w:val="single" w:sz="4" w:space="0" w:color="000000"/>
            </w:tcBorders>
          </w:tcPr>
          <w:p>
            <w:pPr>
              <w:pStyle w:val="TableParagraph"/>
              <w:spacing w:line="202" w:lineRule="exact"/>
              <w:ind w:left="24" w:right="0"/>
              <w:jc w:val="left"/>
              <w:rPr>
                <w:rFonts w:ascii="宋体" w:hAnsi="宋体" w:cs="宋体" w:eastAsia="宋体" w:hint="default"/>
                <w:sz w:val="18"/>
                <w:szCs w:val="18"/>
              </w:rPr>
            </w:pPr>
            <w:r>
              <w:rPr>
                <w:rFonts w:ascii="宋体" w:hAnsi="宋体" w:cs="宋体" w:eastAsia="宋体" w:hint="default"/>
                <w:sz w:val="18"/>
                <w:szCs w:val="18"/>
              </w:rPr>
              <w:t>他人管理其持有股票</w:t>
            </w:r>
          </w:p>
        </w:tc>
        <w:tc>
          <w:tcPr>
            <w:tcW w:w="1657" w:type="dxa"/>
            <w:tcBorders>
              <w:top w:val="nil" w:sz="6" w:space="0" w:color="auto"/>
              <w:left w:val="single" w:sz="4" w:space="0" w:color="000000"/>
              <w:bottom w:val="single" w:sz="4" w:space="0" w:color="000000"/>
              <w:right w:val="single" w:sz="4" w:space="0" w:color="000000"/>
            </w:tcBorders>
          </w:tcPr>
          <w:p>
            <w:pPr/>
          </w:p>
        </w:tc>
      </w:tr>
      <w:tr>
        <w:trPr>
          <w:trHeight w:val="236" w:hRule="exact"/>
        </w:trPr>
        <w:tc>
          <w:tcPr>
            <w:tcW w:w="844"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盈富泰克</w:t>
            </w:r>
          </w:p>
        </w:tc>
        <w:tc>
          <w:tcPr>
            <w:tcW w:w="1013" w:type="dxa"/>
            <w:tcBorders>
              <w:top w:val="single" w:sz="4" w:space="0" w:color="000000"/>
              <w:left w:val="single" w:sz="4" w:space="0" w:color="000000"/>
              <w:bottom w:val="nil" w:sz="6" w:space="0" w:color="auto"/>
              <w:right w:val="single" w:sz="4" w:space="0" w:color="000000"/>
            </w:tcBorders>
          </w:tcPr>
          <w:p>
            <w:pPr/>
          </w:p>
        </w:tc>
        <w:tc>
          <w:tcPr>
            <w:tcW w:w="875" w:type="dxa"/>
            <w:tcBorders>
              <w:top w:val="single" w:sz="4" w:space="0" w:color="000000"/>
              <w:left w:val="single" w:sz="4" w:space="0" w:color="000000"/>
              <w:bottom w:val="nil" w:sz="6" w:space="0" w:color="auto"/>
              <w:right w:val="single" w:sz="4" w:space="0" w:color="000000"/>
            </w:tcBorders>
          </w:tcPr>
          <w:p>
            <w:pPr/>
          </w:p>
        </w:tc>
        <w:tc>
          <w:tcPr>
            <w:tcW w:w="966" w:type="dxa"/>
            <w:tcBorders>
              <w:top w:val="single" w:sz="4" w:space="0" w:color="000000"/>
              <w:left w:val="single" w:sz="4" w:space="0" w:color="000000"/>
              <w:bottom w:val="nil" w:sz="6" w:space="0" w:color="auto"/>
              <w:right w:val="single" w:sz="4" w:space="0" w:color="000000"/>
            </w:tcBorders>
          </w:tcPr>
          <w:p>
            <w:pPr/>
          </w:p>
        </w:tc>
        <w:tc>
          <w:tcPr>
            <w:tcW w:w="979" w:type="dxa"/>
            <w:tcBorders>
              <w:top w:val="single" w:sz="4" w:space="0" w:color="000000"/>
              <w:left w:val="single" w:sz="4" w:space="0" w:color="000000"/>
              <w:bottom w:val="nil" w:sz="6" w:space="0" w:color="auto"/>
              <w:right w:val="single" w:sz="4" w:space="0" w:color="000000"/>
            </w:tcBorders>
          </w:tcPr>
          <w:p>
            <w:pPr/>
          </w:p>
        </w:tc>
        <w:tc>
          <w:tcPr>
            <w:tcW w:w="258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在公司上市时承诺：自公司上市</w:t>
            </w:r>
          </w:p>
        </w:tc>
        <w:tc>
          <w:tcPr>
            <w:tcW w:w="1657" w:type="dxa"/>
            <w:tcBorders>
              <w:top w:val="single" w:sz="4" w:space="0" w:color="000000"/>
              <w:left w:val="single" w:sz="4" w:space="0" w:color="000000"/>
              <w:bottom w:val="nil" w:sz="6" w:space="0" w:color="auto"/>
              <w:right w:val="single" w:sz="4" w:space="0" w:color="000000"/>
            </w:tcBorders>
          </w:tcPr>
          <w:p>
            <w:pPr/>
          </w:p>
        </w:tc>
      </w:tr>
      <w:tr>
        <w:trPr>
          <w:trHeight w:val="238" w:hRule="exact"/>
        </w:trPr>
        <w:tc>
          <w:tcPr>
            <w:tcW w:w="84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创业投资</w:t>
            </w:r>
          </w:p>
        </w:tc>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18"/>
                <w:szCs w:val="18"/>
              </w:rPr>
            </w:pPr>
            <w:r>
              <w:rPr>
                <w:rFonts w:ascii="Times New Roman"/>
                <w:sz w:val="18"/>
              </w:rPr>
              <w:t>6,000,000</w:t>
            </w:r>
          </w:p>
        </w:tc>
        <w:tc>
          <w:tcPr>
            <w:tcW w:w="8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18"/>
                <w:szCs w:val="18"/>
              </w:rPr>
            </w:pPr>
            <w:r>
              <w:rPr>
                <w:rFonts w:ascii="Times New Roman"/>
                <w:sz w:val="18"/>
              </w:rPr>
              <w:t>12,000,000</w:t>
            </w:r>
          </w:p>
        </w:tc>
        <w:tc>
          <w:tcPr>
            <w:tcW w:w="9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18"/>
                <w:szCs w:val="18"/>
              </w:rPr>
            </w:pPr>
            <w:r>
              <w:rPr>
                <w:rFonts w:ascii="Times New Roman"/>
                <w:sz w:val="18"/>
              </w:rPr>
              <w:t>6,000,000</w:t>
            </w:r>
          </w:p>
        </w:tc>
        <w:tc>
          <w:tcPr>
            <w:tcW w:w="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18"/>
                <w:szCs w:val="18"/>
              </w:rPr>
            </w:pPr>
            <w:r>
              <w:rPr>
                <w:rFonts w:ascii="Times New Roman"/>
                <w:sz w:val="18"/>
              </w:rPr>
              <w:t>0</w:t>
            </w:r>
          </w:p>
        </w:tc>
        <w:tc>
          <w:tcPr>
            <w:tcW w:w="2580"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4" w:right="0"/>
              <w:jc w:val="left"/>
              <w:rPr>
                <w:rFonts w:ascii="宋体" w:hAnsi="宋体" w:cs="宋体" w:eastAsia="宋体" w:hint="default"/>
                <w:sz w:val="18"/>
                <w:szCs w:val="18"/>
              </w:rPr>
            </w:pPr>
            <w:r>
              <w:rPr>
                <w:rFonts w:ascii="宋体" w:hAnsi="宋体" w:cs="宋体" w:eastAsia="宋体" w:hint="default"/>
                <w:sz w:val="18"/>
                <w:szCs w:val="18"/>
              </w:rPr>
              <w:t>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个月内不转让或委托</w:t>
            </w:r>
          </w:p>
        </w:tc>
        <w:tc>
          <w:tcPr>
            <w:tcW w:w="1657" w:type="dxa"/>
            <w:tcBorders>
              <w:top w:val="nil" w:sz="6" w:space="0" w:color="auto"/>
              <w:left w:val="single" w:sz="4" w:space="0" w:color="000000"/>
              <w:bottom w:val="nil" w:sz="6" w:space="0" w:color="auto"/>
              <w:right w:val="single" w:sz="4" w:space="0" w:color="000000"/>
            </w:tcBorders>
          </w:tcPr>
          <w:p>
            <w:pPr>
              <w:pStyle w:val="TableParagraph"/>
              <w:spacing w:line="220" w:lineRule="exact"/>
              <w:ind w:right="1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236" w:hRule="exact"/>
        </w:trPr>
        <w:tc>
          <w:tcPr>
            <w:tcW w:w="844" w:type="dxa"/>
            <w:tcBorders>
              <w:top w:val="nil" w:sz="6" w:space="0" w:color="auto"/>
              <w:left w:val="single" w:sz="4" w:space="0" w:color="000000"/>
              <w:bottom w:val="single" w:sz="4" w:space="0" w:color="000000"/>
              <w:right w:val="single" w:sz="4" w:space="0" w:color="000000"/>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13" w:type="dxa"/>
            <w:tcBorders>
              <w:top w:val="nil" w:sz="6" w:space="0" w:color="auto"/>
              <w:left w:val="single" w:sz="4" w:space="0" w:color="000000"/>
              <w:bottom w:val="single" w:sz="4" w:space="0" w:color="000000"/>
              <w:right w:val="single" w:sz="4" w:space="0" w:color="000000"/>
            </w:tcBorders>
          </w:tcPr>
          <w:p>
            <w:pPr/>
          </w:p>
        </w:tc>
        <w:tc>
          <w:tcPr>
            <w:tcW w:w="875" w:type="dxa"/>
            <w:tcBorders>
              <w:top w:val="nil" w:sz="6" w:space="0" w:color="auto"/>
              <w:left w:val="single" w:sz="4" w:space="0" w:color="000000"/>
              <w:bottom w:val="single" w:sz="4" w:space="0" w:color="000000"/>
              <w:right w:val="single" w:sz="4" w:space="0" w:color="000000"/>
            </w:tcBorders>
          </w:tcPr>
          <w:p>
            <w:pPr/>
          </w:p>
        </w:tc>
        <w:tc>
          <w:tcPr>
            <w:tcW w:w="966" w:type="dxa"/>
            <w:tcBorders>
              <w:top w:val="nil" w:sz="6" w:space="0" w:color="auto"/>
              <w:left w:val="single" w:sz="4" w:space="0" w:color="000000"/>
              <w:bottom w:val="single" w:sz="4" w:space="0" w:color="000000"/>
              <w:right w:val="single" w:sz="4" w:space="0" w:color="000000"/>
            </w:tcBorders>
          </w:tcPr>
          <w:p>
            <w:pPr/>
          </w:p>
        </w:tc>
        <w:tc>
          <w:tcPr>
            <w:tcW w:w="979" w:type="dxa"/>
            <w:tcBorders>
              <w:top w:val="nil" w:sz="6" w:space="0" w:color="auto"/>
              <w:left w:val="single" w:sz="4" w:space="0" w:color="000000"/>
              <w:bottom w:val="single" w:sz="4" w:space="0" w:color="000000"/>
              <w:right w:val="single" w:sz="4" w:space="0" w:color="000000"/>
            </w:tcBorders>
          </w:tcPr>
          <w:p>
            <w:pPr/>
          </w:p>
        </w:tc>
        <w:tc>
          <w:tcPr>
            <w:tcW w:w="2580" w:type="dxa"/>
            <w:tcBorders>
              <w:top w:val="nil" w:sz="6" w:space="0" w:color="auto"/>
              <w:left w:val="single" w:sz="4" w:space="0" w:color="000000"/>
              <w:bottom w:val="single" w:sz="4" w:space="0" w:color="000000"/>
              <w:right w:val="single" w:sz="4" w:space="0" w:color="000000"/>
            </w:tcBorders>
          </w:tcPr>
          <w:p>
            <w:pPr>
              <w:pStyle w:val="TableParagraph"/>
              <w:spacing w:line="202" w:lineRule="exact"/>
              <w:ind w:left="24" w:right="0"/>
              <w:jc w:val="left"/>
              <w:rPr>
                <w:rFonts w:ascii="宋体" w:hAnsi="宋体" w:cs="宋体" w:eastAsia="宋体" w:hint="default"/>
                <w:sz w:val="18"/>
                <w:szCs w:val="18"/>
              </w:rPr>
            </w:pPr>
            <w:r>
              <w:rPr>
                <w:rFonts w:ascii="宋体" w:hAnsi="宋体" w:cs="宋体" w:eastAsia="宋体" w:hint="default"/>
                <w:sz w:val="18"/>
                <w:szCs w:val="18"/>
              </w:rPr>
              <w:t>他人管理其持有股票</w:t>
            </w:r>
          </w:p>
        </w:tc>
        <w:tc>
          <w:tcPr>
            <w:tcW w:w="1657" w:type="dxa"/>
            <w:tcBorders>
              <w:top w:val="nil" w:sz="6" w:space="0" w:color="auto"/>
              <w:left w:val="single" w:sz="4" w:space="0" w:color="000000"/>
              <w:bottom w:val="single" w:sz="4" w:space="0" w:color="000000"/>
              <w:right w:val="single" w:sz="4" w:space="0" w:color="000000"/>
            </w:tcBorders>
          </w:tcPr>
          <w:p>
            <w:pPr/>
          </w:p>
        </w:tc>
      </w:tr>
      <w:tr>
        <w:trPr>
          <w:trHeight w:val="236" w:hRule="exact"/>
        </w:trPr>
        <w:tc>
          <w:tcPr>
            <w:tcW w:w="844"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广州藤川</w:t>
            </w:r>
          </w:p>
        </w:tc>
        <w:tc>
          <w:tcPr>
            <w:tcW w:w="1013" w:type="dxa"/>
            <w:tcBorders>
              <w:top w:val="single" w:sz="4" w:space="0" w:color="000000"/>
              <w:left w:val="single" w:sz="4" w:space="0" w:color="000000"/>
              <w:bottom w:val="nil" w:sz="6" w:space="0" w:color="auto"/>
              <w:right w:val="single" w:sz="4" w:space="0" w:color="000000"/>
            </w:tcBorders>
          </w:tcPr>
          <w:p>
            <w:pPr/>
          </w:p>
        </w:tc>
        <w:tc>
          <w:tcPr>
            <w:tcW w:w="875" w:type="dxa"/>
            <w:tcBorders>
              <w:top w:val="single" w:sz="4" w:space="0" w:color="000000"/>
              <w:left w:val="single" w:sz="4" w:space="0" w:color="000000"/>
              <w:bottom w:val="nil" w:sz="6" w:space="0" w:color="auto"/>
              <w:right w:val="single" w:sz="4" w:space="0" w:color="000000"/>
            </w:tcBorders>
          </w:tcPr>
          <w:p>
            <w:pPr/>
          </w:p>
        </w:tc>
        <w:tc>
          <w:tcPr>
            <w:tcW w:w="966" w:type="dxa"/>
            <w:tcBorders>
              <w:top w:val="single" w:sz="4" w:space="0" w:color="000000"/>
              <w:left w:val="single" w:sz="4" w:space="0" w:color="000000"/>
              <w:bottom w:val="nil" w:sz="6" w:space="0" w:color="auto"/>
              <w:right w:val="single" w:sz="4" w:space="0" w:color="000000"/>
            </w:tcBorders>
          </w:tcPr>
          <w:p>
            <w:pPr/>
          </w:p>
        </w:tc>
        <w:tc>
          <w:tcPr>
            <w:tcW w:w="979" w:type="dxa"/>
            <w:tcBorders>
              <w:top w:val="single" w:sz="4" w:space="0" w:color="000000"/>
              <w:left w:val="single" w:sz="4" w:space="0" w:color="000000"/>
              <w:bottom w:val="nil" w:sz="6" w:space="0" w:color="auto"/>
              <w:right w:val="single" w:sz="4" w:space="0" w:color="000000"/>
            </w:tcBorders>
          </w:tcPr>
          <w:p>
            <w:pPr/>
          </w:p>
        </w:tc>
        <w:tc>
          <w:tcPr>
            <w:tcW w:w="258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在公司上市时承诺：自公司上市</w:t>
            </w:r>
          </w:p>
        </w:tc>
        <w:tc>
          <w:tcPr>
            <w:tcW w:w="1657" w:type="dxa"/>
            <w:tcBorders>
              <w:top w:val="single" w:sz="4" w:space="0" w:color="000000"/>
              <w:left w:val="single" w:sz="4" w:space="0" w:color="000000"/>
              <w:bottom w:val="nil" w:sz="6" w:space="0" w:color="auto"/>
              <w:right w:val="single" w:sz="4" w:space="0" w:color="000000"/>
            </w:tcBorders>
          </w:tcPr>
          <w:p>
            <w:pPr/>
          </w:p>
        </w:tc>
      </w:tr>
      <w:tr>
        <w:trPr>
          <w:trHeight w:val="238" w:hRule="exact"/>
        </w:trPr>
        <w:tc>
          <w:tcPr>
            <w:tcW w:w="84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科技有限</w:t>
            </w:r>
          </w:p>
        </w:tc>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18"/>
                <w:szCs w:val="18"/>
              </w:rPr>
            </w:pPr>
            <w:r>
              <w:rPr>
                <w:rFonts w:ascii="Times New Roman"/>
                <w:sz w:val="18"/>
              </w:rPr>
              <w:t>567,810</w:t>
            </w:r>
          </w:p>
        </w:tc>
        <w:tc>
          <w:tcPr>
            <w:tcW w:w="8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18"/>
                <w:szCs w:val="18"/>
              </w:rPr>
            </w:pPr>
            <w:r>
              <w:rPr>
                <w:rFonts w:ascii="Times New Roman"/>
                <w:sz w:val="18"/>
              </w:rPr>
              <w:t>1,135,620</w:t>
            </w:r>
          </w:p>
        </w:tc>
        <w:tc>
          <w:tcPr>
            <w:tcW w:w="9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18"/>
                <w:szCs w:val="18"/>
              </w:rPr>
            </w:pPr>
            <w:r>
              <w:rPr>
                <w:rFonts w:ascii="Times New Roman"/>
                <w:sz w:val="18"/>
              </w:rPr>
              <w:t>567,810</w:t>
            </w:r>
          </w:p>
        </w:tc>
        <w:tc>
          <w:tcPr>
            <w:tcW w:w="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18"/>
                <w:szCs w:val="18"/>
              </w:rPr>
            </w:pPr>
            <w:r>
              <w:rPr>
                <w:rFonts w:ascii="Times New Roman"/>
                <w:sz w:val="18"/>
              </w:rPr>
              <w:t>0</w:t>
            </w:r>
          </w:p>
        </w:tc>
        <w:tc>
          <w:tcPr>
            <w:tcW w:w="2580"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3" w:right="0"/>
              <w:jc w:val="left"/>
              <w:rPr>
                <w:rFonts w:ascii="宋体" w:hAnsi="宋体" w:cs="宋体" w:eastAsia="宋体" w:hint="default"/>
                <w:sz w:val="18"/>
                <w:szCs w:val="18"/>
              </w:rPr>
            </w:pPr>
            <w:r>
              <w:rPr>
                <w:rFonts w:ascii="宋体" w:hAnsi="宋体" w:cs="宋体" w:eastAsia="宋体" w:hint="default"/>
                <w:sz w:val="18"/>
                <w:szCs w:val="18"/>
              </w:rPr>
              <w:t>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个月内不转让或委托</w:t>
            </w:r>
          </w:p>
        </w:tc>
        <w:tc>
          <w:tcPr>
            <w:tcW w:w="1657" w:type="dxa"/>
            <w:tcBorders>
              <w:top w:val="nil" w:sz="6" w:space="0" w:color="auto"/>
              <w:left w:val="single" w:sz="4" w:space="0" w:color="000000"/>
              <w:bottom w:val="nil" w:sz="6" w:space="0" w:color="auto"/>
              <w:right w:val="single" w:sz="4" w:space="0" w:color="000000"/>
            </w:tcBorders>
          </w:tcPr>
          <w:p>
            <w:pPr>
              <w:pStyle w:val="TableParagraph"/>
              <w:spacing w:line="220" w:lineRule="exact"/>
              <w:ind w:right="1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236" w:hRule="exact"/>
        </w:trPr>
        <w:tc>
          <w:tcPr>
            <w:tcW w:w="844" w:type="dxa"/>
            <w:tcBorders>
              <w:top w:val="nil" w:sz="6" w:space="0" w:color="auto"/>
              <w:left w:val="single" w:sz="4" w:space="0" w:color="000000"/>
              <w:bottom w:val="single" w:sz="4" w:space="0" w:color="000000"/>
              <w:right w:val="single" w:sz="4" w:space="0" w:color="000000"/>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13" w:type="dxa"/>
            <w:tcBorders>
              <w:top w:val="nil" w:sz="6" w:space="0" w:color="auto"/>
              <w:left w:val="single" w:sz="4" w:space="0" w:color="000000"/>
              <w:bottom w:val="single" w:sz="4" w:space="0" w:color="000000"/>
              <w:right w:val="single" w:sz="4" w:space="0" w:color="000000"/>
            </w:tcBorders>
          </w:tcPr>
          <w:p>
            <w:pPr/>
          </w:p>
        </w:tc>
        <w:tc>
          <w:tcPr>
            <w:tcW w:w="875" w:type="dxa"/>
            <w:tcBorders>
              <w:top w:val="nil" w:sz="6" w:space="0" w:color="auto"/>
              <w:left w:val="single" w:sz="4" w:space="0" w:color="000000"/>
              <w:bottom w:val="single" w:sz="4" w:space="0" w:color="000000"/>
              <w:right w:val="single" w:sz="4" w:space="0" w:color="000000"/>
            </w:tcBorders>
          </w:tcPr>
          <w:p>
            <w:pPr/>
          </w:p>
        </w:tc>
        <w:tc>
          <w:tcPr>
            <w:tcW w:w="966" w:type="dxa"/>
            <w:tcBorders>
              <w:top w:val="nil" w:sz="6" w:space="0" w:color="auto"/>
              <w:left w:val="single" w:sz="4" w:space="0" w:color="000000"/>
              <w:bottom w:val="single" w:sz="4" w:space="0" w:color="000000"/>
              <w:right w:val="single" w:sz="4" w:space="0" w:color="000000"/>
            </w:tcBorders>
          </w:tcPr>
          <w:p>
            <w:pPr/>
          </w:p>
        </w:tc>
        <w:tc>
          <w:tcPr>
            <w:tcW w:w="979" w:type="dxa"/>
            <w:tcBorders>
              <w:top w:val="nil" w:sz="6" w:space="0" w:color="auto"/>
              <w:left w:val="single" w:sz="4" w:space="0" w:color="000000"/>
              <w:bottom w:val="single" w:sz="4" w:space="0" w:color="000000"/>
              <w:right w:val="single" w:sz="4" w:space="0" w:color="000000"/>
            </w:tcBorders>
          </w:tcPr>
          <w:p>
            <w:pPr/>
          </w:p>
        </w:tc>
        <w:tc>
          <w:tcPr>
            <w:tcW w:w="2580" w:type="dxa"/>
            <w:tcBorders>
              <w:top w:val="nil" w:sz="6" w:space="0" w:color="auto"/>
              <w:left w:val="single" w:sz="4" w:space="0" w:color="000000"/>
              <w:bottom w:val="single" w:sz="4" w:space="0" w:color="000000"/>
              <w:right w:val="single" w:sz="4" w:space="0" w:color="000000"/>
            </w:tcBorders>
          </w:tcPr>
          <w:p>
            <w:pPr>
              <w:pStyle w:val="TableParagraph"/>
              <w:spacing w:line="202" w:lineRule="exact"/>
              <w:ind w:left="24" w:right="0"/>
              <w:jc w:val="left"/>
              <w:rPr>
                <w:rFonts w:ascii="宋体" w:hAnsi="宋体" w:cs="宋体" w:eastAsia="宋体" w:hint="default"/>
                <w:sz w:val="18"/>
                <w:szCs w:val="18"/>
              </w:rPr>
            </w:pPr>
            <w:r>
              <w:rPr>
                <w:rFonts w:ascii="宋体" w:hAnsi="宋体" w:cs="宋体" w:eastAsia="宋体" w:hint="default"/>
                <w:sz w:val="18"/>
                <w:szCs w:val="18"/>
              </w:rPr>
              <w:t>他人管理其持有股票</w:t>
            </w:r>
          </w:p>
        </w:tc>
        <w:tc>
          <w:tcPr>
            <w:tcW w:w="1657" w:type="dxa"/>
            <w:tcBorders>
              <w:top w:val="nil" w:sz="6" w:space="0" w:color="auto"/>
              <w:left w:val="single" w:sz="4" w:space="0" w:color="000000"/>
              <w:bottom w:val="single" w:sz="4" w:space="0" w:color="000000"/>
              <w:right w:val="single" w:sz="4" w:space="0" w:color="000000"/>
            </w:tcBorders>
          </w:tcPr>
          <w:p>
            <w:pPr/>
          </w:p>
        </w:tc>
      </w:tr>
      <w:tr>
        <w:trPr>
          <w:trHeight w:val="1410" w:hRule="exact"/>
        </w:trPr>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90"/>
              <w:ind w:left="22" w:right="89"/>
              <w:jc w:val="left"/>
              <w:rPr>
                <w:rFonts w:ascii="宋体" w:hAnsi="宋体" w:cs="宋体" w:eastAsia="宋体" w:hint="default"/>
                <w:sz w:val="18"/>
                <w:szCs w:val="18"/>
              </w:rPr>
            </w:pPr>
            <w:r>
              <w:rPr>
                <w:rFonts w:ascii="宋体" w:hAnsi="宋体" w:cs="宋体" w:eastAsia="宋体" w:hint="default"/>
                <w:sz w:val="18"/>
                <w:szCs w:val="18"/>
              </w:rPr>
              <w:t>叶子瑜等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名董 事、监事 和高管人 员</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11,583,324</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z w:val="18"/>
              </w:rPr>
              <w:t>23,166,648</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22"/>
              <w:jc w:val="right"/>
              <w:rPr>
                <w:rFonts w:ascii="Times New Roman" w:hAnsi="Times New Roman" w:cs="Times New Roman" w:eastAsia="Times New Roman" w:hint="default"/>
                <w:sz w:val="18"/>
                <w:szCs w:val="18"/>
              </w:rPr>
            </w:pPr>
            <w:r>
              <w:rPr>
                <w:rFonts w:ascii="Times New Roman"/>
                <w:spacing w:val="-1"/>
                <w:sz w:val="18"/>
              </w:rPr>
              <w:t>11,583,324</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z w:val="18"/>
              </w:rPr>
              <w:t>0</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在公司上市时承诺：其持有股票</w:t>
            </w:r>
          </w:p>
          <w:p>
            <w:pPr>
              <w:pStyle w:val="TableParagraph"/>
              <w:spacing w:line="230" w:lineRule="auto" w:before="7"/>
              <w:ind w:left="24" w:right="24" w:hanging="1"/>
              <w:jc w:val="left"/>
              <w:rPr>
                <w:rFonts w:ascii="宋体" w:hAnsi="宋体" w:cs="宋体" w:eastAsia="宋体" w:hint="default"/>
                <w:sz w:val="18"/>
                <w:szCs w:val="18"/>
              </w:rPr>
            </w:pPr>
            <w:r>
              <w:rPr>
                <w:rFonts w:ascii="宋体" w:hAnsi="宋体" w:cs="宋体" w:eastAsia="宋体" w:hint="default"/>
                <w:sz w:val="18"/>
                <w:szCs w:val="18"/>
              </w:rPr>
              <w:t>自公司上市之日起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 转让，期后在任职期间每年转让 的股份不超过其所持有本公司股 份总数的</w:t>
            </w:r>
            <w:r>
              <w:rPr>
                <w:rFonts w:ascii="宋体" w:hAnsi="宋体" w:cs="宋体" w:eastAsia="宋体" w:hint="default"/>
                <w:spacing w:val="-50"/>
                <w:sz w:val="18"/>
                <w:szCs w:val="18"/>
              </w:rPr>
              <w:t> </w:t>
            </w:r>
            <w:r>
              <w:rPr>
                <w:rFonts w:ascii="Times New Roman" w:hAnsi="Times New Roman" w:cs="Times New Roman" w:eastAsia="Times New Roman" w:hint="default"/>
                <w:spacing w:val="-13"/>
                <w:sz w:val="18"/>
                <w:szCs w:val="18"/>
              </w:rPr>
              <w:t>25%</w:t>
            </w:r>
            <w:r>
              <w:rPr>
                <w:rFonts w:ascii="宋体" w:hAnsi="宋体" w:cs="宋体" w:eastAsia="宋体" w:hint="default"/>
                <w:spacing w:val="-13"/>
                <w:sz w:val="18"/>
                <w:szCs w:val="18"/>
              </w:rPr>
              <w:t>，离职后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个月内 不转让其所持有的本公司股份</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236" w:hRule="exact"/>
        </w:trPr>
        <w:tc>
          <w:tcPr>
            <w:tcW w:w="844"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罗年锋等</w:t>
            </w:r>
          </w:p>
        </w:tc>
        <w:tc>
          <w:tcPr>
            <w:tcW w:w="1013" w:type="dxa"/>
            <w:tcBorders>
              <w:top w:val="single" w:sz="4" w:space="0" w:color="000000"/>
              <w:left w:val="single" w:sz="4" w:space="0" w:color="000000"/>
              <w:bottom w:val="nil" w:sz="6" w:space="0" w:color="auto"/>
              <w:right w:val="single" w:sz="4" w:space="0" w:color="000000"/>
            </w:tcBorders>
          </w:tcPr>
          <w:p>
            <w:pPr/>
          </w:p>
        </w:tc>
        <w:tc>
          <w:tcPr>
            <w:tcW w:w="875" w:type="dxa"/>
            <w:tcBorders>
              <w:top w:val="single" w:sz="4" w:space="0" w:color="000000"/>
              <w:left w:val="single" w:sz="4" w:space="0" w:color="000000"/>
              <w:bottom w:val="nil" w:sz="6" w:space="0" w:color="auto"/>
              <w:right w:val="single" w:sz="4" w:space="0" w:color="000000"/>
            </w:tcBorders>
          </w:tcPr>
          <w:p>
            <w:pPr/>
          </w:p>
        </w:tc>
        <w:tc>
          <w:tcPr>
            <w:tcW w:w="966" w:type="dxa"/>
            <w:tcBorders>
              <w:top w:val="single" w:sz="4" w:space="0" w:color="000000"/>
              <w:left w:val="single" w:sz="4" w:space="0" w:color="000000"/>
              <w:bottom w:val="nil" w:sz="6" w:space="0" w:color="auto"/>
              <w:right w:val="single" w:sz="4" w:space="0" w:color="000000"/>
            </w:tcBorders>
          </w:tcPr>
          <w:p>
            <w:pPr/>
          </w:p>
        </w:tc>
        <w:tc>
          <w:tcPr>
            <w:tcW w:w="979" w:type="dxa"/>
            <w:tcBorders>
              <w:top w:val="single" w:sz="4" w:space="0" w:color="000000"/>
              <w:left w:val="single" w:sz="4" w:space="0" w:color="000000"/>
              <w:bottom w:val="nil" w:sz="6" w:space="0" w:color="auto"/>
              <w:right w:val="single" w:sz="4" w:space="0" w:color="000000"/>
            </w:tcBorders>
          </w:tcPr>
          <w:p>
            <w:pPr/>
          </w:p>
        </w:tc>
        <w:tc>
          <w:tcPr>
            <w:tcW w:w="258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在公司上市时承诺：自公司上市</w:t>
            </w:r>
          </w:p>
        </w:tc>
        <w:tc>
          <w:tcPr>
            <w:tcW w:w="1657" w:type="dxa"/>
            <w:tcBorders>
              <w:top w:val="single" w:sz="4" w:space="0" w:color="000000"/>
              <w:left w:val="single" w:sz="4" w:space="0" w:color="000000"/>
              <w:bottom w:val="nil" w:sz="6" w:space="0" w:color="auto"/>
              <w:right w:val="single" w:sz="4" w:space="0" w:color="000000"/>
            </w:tcBorders>
          </w:tcPr>
          <w:p>
            <w:pPr/>
          </w:p>
        </w:tc>
      </w:tr>
      <w:tr>
        <w:trPr>
          <w:trHeight w:val="239" w:hRule="exact"/>
        </w:trPr>
        <w:tc>
          <w:tcPr>
            <w:tcW w:w="844"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名自然</w:t>
            </w:r>
          </w:p>
        </w:tc>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18"/>
                <w:szCs w:val="18"/>
              </w:rPr>
            </w:pPr>
            <w:r>
              <w:rPr>
                <w:rFonts w:ascii="Times New Roman"/>
                <w:sz w:val="18"/>
              </w:rPr>
              <w:t>7,343,676</w:t>
            </w:r>
          </w:p>
        </w:tc>
        <w:tc>
          <w:tcPr>
            <w:tcW w:w="8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18"/>
                <w:szCs w:val="18"/>
              </w:rPr>
            </w:pPr>
            <w:r>
              <w:rPr>
                <w:rFonts w:ascii="Times New Roman"/>
                <w:sz w:val="18"/>
              </w:rPr>
              <w:t>14,687,352</w:t>
            </w:r>
          </w:p>
        </w:tc>
        <w:tc>
          <w:tcPr>
            <w:tcW w:w="9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18"/>
                <w:szCs w:val="18"/>
              </w:rPr>
            </w:pPr>
            <w:r>
              <w:rPr>
                <w:rFonts w:ascii="Times New Roman"/>
                <w:sz w:val="18"/>
              </w:rPr>
              <w:t>7,343,676</w:t>
            </w:r>
          </w:p>
        </w:tc>
        <w:tc>
          <w:tcPr>
            <w:tcW w:w="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18"/>
                <w:szCs w:val="18"/>
              </w:rPr>
            </w:pPr>
            <w:r>
              <w:rPr>
                <w:rFonts w:ascii="Times New Roman"/>
                <w:sz w:val="18"/>
              </w:rPr>
              <w:t>0</w:t>
            </w:r>
          </w:p>
        </w:tc>
        <w:tc>
          <w:tcPr>
            <w:tcW w:w="2580"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24" w:right="0"/>
              <w:jc w:val="left"/>
              <w:rPr>
                <w:rFonts w:ascii="宋体" w:hAnsi="宋体" w:cs="宋体" w:eastAsia="宋体" w:hint="default"/>
                <w:sz w:val="18"/>
                <w:szCs w:val="18"/>
              </w:rPr>
            </w:pPr>
            <w:r>
              <w:rPr>
                <w:rFonts w:ascii="宋体" w:hAnsi="宋体" w:cs="宋体" w:eastAsia="宋体" w:hint="default"/>
                <w:sz w:val="18"/>
                <w:szCs w:val="18"/>
              </w:rPr>
              <w:t>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个月内不转让或委托</w:t>
            </w:r>
          </w:p>
        </w:tc>
        <w:tc>
          <w:tcPr>
            <w:tcW w:w="1657" w:type="dxa"/>
            <w:tcBorders>
              <w:top w:val="nil" w:sz="6" w:space="0" w:color="auto"/>
              <w:left w:val="single" w:sz="4" w:space="0" w:color="000000"/>
              <w:bottom w:val="nil" w:sz="6" w:space="0" w:color="auto"/>
              <w:right w:val="single" w:sz="4" w:space="0" w:color="000000"/>
            </w:tcBorders>
          </w:tcPr>
          <w:p>
            <w:pPr>
              <w:pStyle w:val="TableParagraph"/>
              <w:spacing w:line="220" w:lineRule="exact"/>
              <w:ind w:right="1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235" w:hRule="exact"/>
        </w:trPr>
        <w:tc>
          <w:tcPr>
            <w:tcW w:w="844" w:type="dxa"/>
            <w:tcBorders>
              <w:top w:val="nil" w:sz="6" w:space="0" w:color="auto"/>
              <w:left w:val="single" w:sz="4" w:space="0" w:color="000000"/>
              <w:bottom w:val="single" w:sz="4" w:space="0" w:color="000000"/>
              <w:right w:val="single" w:sz="4" w:space="0" w:color="000000"/>
            </w:tcBorders>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人股东</w:t>
            </w:r>
          </w:p>
        </w:tc>
        <w:tc>
          <w:tcPr>
            <w:tcW w:w="1013" w:type="dxa"/>
            <w:tcBorders>
              <w:top w:val="nil" w:sz="6" w:space="0" w:color="auto"/>
              <w:left w:val="single" w:sz="4" w:space="0" w:color="000000"/>
              <w:bottom w:val="single" w:sz="4" w:space="0" w:color="000000"/>
              <w:right w:val="single" w:sz="4" w:space="0" w:color="000000"/>
            </w:tcBorders>
          </w:tcPr>
          <w:p>
            <w:pPr/>
          </w:p>
        </w:tc>
        <w:tc>
          <w:tcPr>
            <w:tcW w:w="875" w:type="dxa"/>
            <w:tcBorders>
              <w:top w:val="nil" w:sz="6" w:space="0" w:color="auto"/>
              <w:left w:val="single" w:sz="4" w:space="0" w:color="000000"/>
              <w:bottom w:val="single" w:sz="4" w:space="0" w:color="000000"/>
              <w:right w:val="single" w:sz="4" w:space="0" w:color="000000"/>
            </w:tcBorders>
          </w:tcPr>
          <w:p>
            <w:pPr/>
          </w:p>
        </w:tc>
        <w:tc>
          <w:tcPr>
            <w:tcW w:w="966" w:type="dxa"/>
            <w:tcBorders>
              <w:top w:val="nil" w:sz="6" w:space="0" w:color="auto"/>
              <w:left w:val="single" w:sz="4" w:space="0" w:color="000000"/>
              <w:bottom w:val="single" w:sz="4" w:space="0" w:color="000000"/>
              <w:right w:val="single" w:sz="4" w:space="0" w:color="000000"/>
            </w:tcBorders>
          </w:tcPr>
          <w:p>
            <w:pPr/>
          </w:p>
        </w:tc>
        <w:tc>
          <w:tcPr>
            <w:tcW w:w="979" w:type="dxa"/>
            <w:tcBorders>
              <w:top w:val="nil" w:sz="6" w:space="0" w:color="auto"/>
              <w:left w:val="single" w:sz="4" w:space="0" w:color="000000"/>
              <w:bottom w:val="single" w:sz="4" w:space="0" w:color="000000"/>
              <w:right w:val="single" w:sz="4" w:space="0" w:color="000000"/>
            </w:tcBorders>
          </w:tcPr>
          <w:p>
            <w:pPr/>
          </w:p>
        </w:tc>
        <w:tc>
          <w:tcPr>
            <w:tcW w:w="2580" w:type="dxa"/>
            <w:tcBorders>
              <w:top w:val="nil" w:sz="6" w:space="0" w:color="auto"/>
              <w:left w:val="single" w:sz="4" w:space="0" w:color="000000"/>
              <w:bottom w:val="single" w:sz="4" w:space="0" w:color="000000"/>
              <w:right w:val="single" w:sz="4" w:space="0" w:color="000000"/>
            </w:tcBorders>
          </w:tcPr>
          <w:p>
            <w:pPr>
              <w:pStyle w:val="TableParagraph"/>
              <w:spacing w:line="201" w:lineRule="exact"/>
              <w:ind w:left="24" w:right="0"/>
              <w:jc w:val="left"/>
              <w:rPr>
                <w:rFonts w:ascii="宋体" w:hAnsi="宋体" w:cs="宋体" w:eastAsia="宋体" w:hint="default"/>
                <w:sz w:val="18"/>
                <w:szCs w:val="18"/>
              </w:rPr>
            </w:pPr>
            <w:r>
              <w:rPr>
                <w:rFonts w:ascii="宋体" w:hAnsi="宋体" w:cs="宋体" w:eastAsia="宋体" w:hint="default"/>
                <w:sz w:val="18"/>
                <w:szCs w:val="18"/>
              </w:rPr>
              <w:t>他人管理其持有股票</w:t>
            </w:r>
          </w:p>
        </w:tc>
        <w:tc>
          <w:tcPr>
            <w:tcW w:w="1657" w:type="dxa"/>
            <w:tcBorders>
              <w:top w:val="nil" w:sz="6" w:space="0" w:color="auto"/>
              <w:left w:val="single" w:sz="4" w:space="0" w:color="000000"/>
              <w:bottom w:val="single" w:sz="4" w:space="0" w:color="000000"/>
              <w:right w:val="single" w:sz="4" w:space="0" w:color="000000"/>
            </w:tcBorders>
          </w:tcPr>
          <w:p>
            <w:pPr/>
          </w:p>
        </w:tc>
      </w:tr>
      <w:tr>
        <w:trPr>
          <w:trHeight w:val="244" w:hRule="exact"/>
        </w:trPr>
        <w:tc>
          <w:tcPr>
            <w:tcW w:w="8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3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106,559,010</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69,916,620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106,559,010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143,201,400</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after="0" w:line="205" w:lineRule="exact"/>
        <w:jc w:val="center"/>
        <w:rPr>
          <w:rFonts w:ascii="宋体" w:hAnsi="宋体" w:cs="宋体" w:eastAsia="宋体" w:hint="default"/>
          <w:sz w:val="18"/>
          <w:szCs w:val="18"/>
        </w:rPr>
        <w:sectPr>
          <w:type w:val="continuous"/>
          <w:pgSz w:w="11910" w:h="16840"/>
          <w:pgMar w:top="1600" w:bottom="280" w:left="1200" w:right="1180"/>
        </w:sectPr>
      </w:pPr>
    </w:p>
    <w:p>
      <w:pPr>
        <w:spacing w:line="240" w:lineRule="auto" w:before="1"/>
        <w:rPr>
          <w:rFonts w:ascii="宋体" w:hAnsi="宋体" w:cs="宋体" w:eastAsia="宋体" w:hint="default"/>
          <w:sz w:val="19"/>
          <w:szCs w:val="19"/>
        </w:rPr>
      </w:pPr>
    </w:p>
    <w:p>
      <w:pPr>
        <w:pStyle w:val="BodyText"/>
        <w:spacing w:line="280" w:lineRule="auto" w:before="35"/>
        <w:ind w:right="102" w:hanging="1"/>
        <w:jc w:val="left"/>
      </w:pPr>
      <w:r>
        <w:rPr>
          <w:spacing w:val="-11"/>
        </w:rPr>
        <w:t>注：（</w:t>
      </w:r>
      <w:r>
        <w:rPr>
          <w:rFonts w:ascii="Times New Roman" w:hAnsi="Times New Roman" w:cs="Times New Roman" w:eastAsia="Times New Roman" w:hint="default"/>
          <w:spacing w:val="-11"/>
        </w:rPr>
        <w:t>1</w:t>
      </w:r>
      <w:r>
        <w:rPr>
          <w:spacing w:val="-11"/>
        </w:rPr>
        <w:t>）本年增加限售股数系报告期内实施</w:t>
      </w:r>
      <w:r>
        <w:rPr>
          <w:spacing w:val="-44"/>
        </w:rPr>
        <w:t> </w:t>
      </w:r>
      <w:r>
        <w:rPr>
          <w:rFonts w:ascii="Times New Roman" w:hAnsi="Times New Roman" w:cs="Times New Roman" w:eastAsia="Times New Roman" w:hint="default"/>
          <w:spacing w:val="-1"/>
        </w:rPr>
        <w:t>2007</w:t>
      </w:r>
      <w:r>
        <w:rPr>
          <w:rFonts w:ascii="Times New Roman" w:hAnsi="Times New Roman" w:cs="Times New Roman" w:eastAsia="Times New Roman" w:hint="default"/>
          <w:spacing w:val="8"/>
        </w:rPr>
        <w:t> </w:t>
      </w:r>
      <w:r>
        <w:rPr/>
        <w:t>年度公司利润分配及资本公积金转增方案，</w:t>
      </w:r>
      <w:r>
        <w:rPr>
          <w:spacing w:val="-103"/>
        </w:rPr>
        <w:t> </w:t>
      </w:r>
      <w:r>
        <w:rPr/>
        <w:t>原限售股份对应增加的送转股部分。</w:t>
      </w:r>
    </w:p>
    <w:p>
      <w:pPr>
        <w:pStyle w:val="BodyText"/>
        <w:spacing w:line="240" w:lineRule="auto" w:before="149"/>
        <w:ind w:right="102"/>
        <w:jc w:val="left"/>
        <w:rPr>
          <w:rFonts w:ascii="Times New Roman" w:hAnsi="Times New Roman" w:cs="Times New Roman" w:eastAsia="Times New Roman" w:hint="default"/>
        </w:rPr>
      </w:pPr>
      <w:r>
        <w:rPr>
          <w:spacing w:val="-2"/>
        </w:rPr>
        <w:t>（</w:t>
      </w:r>
      <w:r>
        <w:rPr>
          <w:rFonts w:ascii="Times New Roman" w:hAnsi="Times New Roman" w:cs="Times New Roman" w:eastAsia="Times New Roman" w:hint="default"/>
          <w:spacing w:val="-2"/>
        </w:rPr>
        <w:t>2</w:t>
      </w:r>
      <w:r>
        <w:rPr>
          <w:spacing w:val="-2"/>
        </w:rPr>
        <w:t>）根据公司上市时承诺，除控股股东广州无线电集团有限公司所持公司股票</w:t>
      </w:r>
      <w:r>
        <w:rPr>
          <w:spacing w:val="-21"/>
        </w:rPr>
        <w:t> </w:t>
      </w:r>
      <w:r>
        <w:rPr>
          <w:rFonts w:ascii="Times New Roman" w:hAnsi="Times New Roman" w:cs="Times New Roman" w:eastAsia="Times New Roman" w:hint="default"/>
          <w:spacing w:val="-1"/>
        </w:rPr>
        <w:t>143,201,400</w:t>
      </w:r>
    </w:p>
    <w:p>
      <w:pPr>
        <w:pStyle w:val="BodyText"/>
        <w:spacing w:line="280" w:lineRule="auto"/>
        <w:ind w:right="215"/>
        <w:jc w:val="left"/>
      </w:pPr>
      <w:r>
        <w:rPr>
          <w:spacing w:val="-4"/>
        </w:rPr>
        <w:t>股外，其余发起人股份共计</w:t>
      </w:r>
      <w:r>
        <w:rPr>
          <w:spacing w:val="-53"/>
        </w:rPr>
        <w:t> </w:t>
      </w:r>
      <w:r>
        <w:rPr>
          <w:rFonts w:ascii="Times New Roman" w:hAnsi="Times New Roman" w:cs="Times New Roman" w:eastAsia="Times New Roman" w:hint="default"/>
        </w:rPr>
        <w:t>69,916,620</w:t>
      </w:r>
      <w:r>
        <w:rPr>
          <w:rFonts w:ascii="Times New Roman" w:hAnsi="Times New Roman" w:cs="Times New Roman" w:eastAsia="Times New Roman" w:hint="default"/>
          <w:spacing w:val="1"/>
        </w:rPr>
        <w:t> </w:t>
      </w:r>
      <w:r>
        <w:rPr>
          <w:spacing w:val="-5"/>
        </w:rPr>
        <w:t>股一年锁定承诺期届满，于</w:t>
      </w:r>
      <w:r>
        <w:rPr>
          <w:spacing w:val="-53"/>
        </w:rPr>
        <w:t> </w:t>
      </w:r>
      <w:r>
        <w:rPr>
          <w:rFonts w:ascii="Times New Roman" w:hAnsi="Times New Roman" w:cs="Times New Roman" w:eastAsia="Times New Roman" w:hint="default"/>
        </w:rPr>
        <w:t>2008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13 </w:t>
      </w:r>
      <w:r>
        <w:rPr/>
        <w:t>日解除限 售。</w:t>
      </w:r>
    </w:p>
    <w:p>
      <w:pPr>
        <w:spacing w:line="240" w:lineRule="auto" w:before="1"/>
        <w:rPr>
          <w:rFonts w:ascii="宋体" w:hAnsi="宋体" w:cs="宋体" w:eastAsia="宋体" w:hint="default"/>
          <w:sz w:val="29"/>
          <w:szCs w:val="29"/>
        </w:rPr>
      </w:pPr>
    </w:p>
    <w:p>
      <w:pPr>
        <w:pStyle w:val="Heading2"/>
        <w:spacing w:line="240" w:lineRule="auto"/>
        <w:ind w:right="102"/>
        <w:jc w:val="left"/>
        <w:rPr>
          <w:b w:val="0"/>
          <w:bCs w:val="0"/>
        </w:rPr>
      </w:pPr>
      <w:r>
        <w:rPr/>
        <w:t>二、股票发行与上市情况</w:t>
      </w:r>
      <w:r>
        <w:rPr>
          <w:b w:val="0"/>
          <w:bCs w:val="0"/>
        </w:rPr>
      </w:r>
    </w:p>
    <w:p>
      <w:pPr>
        <w:pStyle w:val="BodyText"/>
        <w:spacing w:line="280" w:lineRule="auto" w:before="127"/>
        <w:ind w:right="111" w:firstLine="419"/>
        <w:jc w:val="both"/>
      </w:pPr>
      <w:r>
        <w:rPr>
          <w:rFonts w:ascii="Times New Roman" w:hAnsi="Times New Roman" w:cs="Times New Roman" w:eastAsia="Times New Roman" w:hint="default"/>
        </w:rPr>
        <w:t>1</w:t>
      </w:r>
      <w:r>
        <w:rPr/>
        <w:t>、经中国证券监督管理委员会证监发行字</w:t>
      </w:r>
      <w:r>
        <w:rPr>
          <w:rFonts w:ascii="Times New Roman" w:hAnsi="Times New Roman" w:cs="Times New Roman" w:eastAsia="Times New Roman" w:hint="default"/>
        </w:rPr>
        <w:t>[2007]188</w:t>
      </w:r>
      <w:r>
        <w:rPr>
          <w:rFonts w:ascii="Times New Roman" w:hAnsi="Times New Roman" w:cs="Times New Roman" w:eastAsia="Times New Roman" w:hint="default"/>
          <w:spacing w:val="-4"/>
        </w:rPr>
        <w:t> </w:t>
      </w:r>
      <w:r>
        <w:rPr/>
        <w:t>号文核准，公司于</w:t>
      </w:r>
      <w:r>
        <w:rPr>
          <w:spacing w:val="-5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27 </w:t>
      </w:r>
      <w:r>
        <w:rPr/>
        <w:t>日、</w:t>
      </w:r>
      <w:r>
        <w:rPr>
          <w:rFonts w:ascii="Times New Roman" w:hAnsi="Times New Roman" w:cs="Times New Roman" w:eastAsia="Times New Roman" w:hint="default"/>
        </w:rPr>
        <w:t>30 </w:t>
      </w:r>
      <w:r>
        <w:rPr/>
        <w:t>日采用网下向询价对象配售与网上资金申购定价发行相结合的方式，向社会首次公</w:t>
      </w:r>
      <w:r>
        <w:rPr>
          <w:spacing w:val="-99"/>
        </w:rPr>
        <w:t> </w:t>
      </w:r>
      <w:r>
        <w:rPr>
          <w:spacing w:val="-99"/>
        </w:rPr>
      </w:r>
      <w:r>
        <w:rPr/>
        <w:t>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9"/>
        </w:rPr>
        <w:t> </w:t>
      </w:r>
      <w:r>
        <w:rPr/>
        <w:t>股）</w:t>
      </w:r>
      <w:r>
        <w:rPr>
          <w:rFonts w:ascii="Times New Roman" w:hAnsi="Times New Roman" w:cs="Times New Roman" w:eastAsia="Times New Roman" w:hint="default"/>
        </w:rPr>
        <w:t>3600</w:t>
      </w:r>
      <w:r>
        <w:rPr>
          <w:rFonts w:ascii="Times New Roman" w:hAnsi="Times New Roman" w:cs="Times New Roman" w:eastAsia="Times New Roman" w:hint="default"/>
          <w:spacing w:val="9"/>
        </w:rPr>
        <w:t> </w:t>
      </w:r>
      <w:r>
        <w:rPr/>
        <w:t>万股，每股面值</w:t>
      </w:r>
      <w:r>
        <w:rPr>
          <w:spacing w:val="-43"/>
        </w:rPr>
        <w:t> </w:t>
      </w:r>
      <w:r>
        <w:rPr>
          <w:rFonts w:ascii="Times New Roman" w:hAnsi="Times New Roman" w:cs="Times New Roman" w:eastAsia="Times New Roman" w:hint="default"/>
        </w:rPr>
        <w:t>1.00</w:t>
      </w:r>
      <w:r>
        <w:rPr>
          <w:rFonts w:ascii="Times New Roman" w:hAnsi="Times New Roman" w:cs="Times New Roman" w:eastAsia="Times New Roman" w:hint="default"/>
          <w:spacing w:val="10"/>
        </w:rPr>
        <w:t> </w:t>
      </w:r>
      <w:r>
        <w:rPr/>
        <w:t>元，发行价格每股</w:t>
      </w:r>
      <w:r>
        <w:rPr>
          <w:spacing w:val="-43"/>
        </w:rPr>
        <w:t> </w:t>
      </w:r>
      <w:r>
        <w:rPr>
          <w:rFonts w:ascii="Times New Roman" w:hAnsi="Times New Roman" w:cs="Times New Roman" w:eastAsia="Times New Roman" w:hint="default"/>
        </w:rPr>
        <w:t>16.88</w:t>
      </w:r>
      <w:r>
        <w:rPr>
          <w:rFonts w:ascii="Times New Roman" w:hAnsi="Times New Roman" w:cs="Times New Roman" w:eastAsia="Times New Roman" w:hint="default"/>
          <w:spacing w:val="9"/>
        </w:rPr>
        <w:t> </w:t>
      </w:r>
      <w:r>
        <w:rPr/>
        <w:t>元，其中 网下配售</w:t>
      </w:r>
      <w:r>
        <w:rPr>
          <w:spacing w:val="-51"/>
        </w:rPr>
        <w:t> </w:t>
      </w:r>
      <w:r>
        <w:rPr>
          <w:rFonts w:ascii="Times New Roman" w:hAnsi="Times New Roman" w:cs="Times New Roman" w:eastAsia="Times New Roman" w:hint="default"/>
          <w:spacing w:val="-1"/>
        </w:rPr>
        <w:t>720</w:t>
      </w:r>
      <w:r>
        <w:rPr>
          <w:rFonts w:ascii="Times New Roman" w:hAnsi="Times New Roman" w:cs="Times New Roman" w:eastAsia="Times New Roman" w:hint="default"/>
          <w:spacing w:val="2"/>
        </w:rPr>
        <w:t> </w:t>
      </w:r>
      <w:r>
        <w:rPr>
          <w:spacing w:val="-6"/>
        </w:rPr>
        <w:t>万股，配售发行结果已刊登在</w:t>
      </w:r>
      <w:r>
        <w:rPr>
          <w:spacing w:val="-51"/>
        </w:rPr>
        <w:t> </w:t>
      </w:r>
      <w:r>
        <w:rPr>
          <w:rFonts w:ascii="Times New Roman" w:hAnsi="Times New Roman" w:cs="Times New Roman" w:eastAsia="Times New Roman" w:hint="default"/>
          <w:spacing w:val="-1"/>
        </w:rPr>
        <w:t>2007</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27"/>
        </w:rPr>
        <w:t>日《中国证券报》、《上海证券报》、</w:t>
      </w:r>
    </w:p>
    <w:p>
      <w:pPr>
        <w:pStyle w:val="BodyText"/>
        <w:spacing w:line="240" w:lineRule="auto" w:before="10"/>
        <w:ind w:right="102"/>
        <w:jc w:val="left"/>
      </w:pPr>
      <w:r>
        <w:rPr/>
        <w:t>《证券时报》和巨潮资讯网（</w:t>
      </w:r>
      <w:hyperlink r:id="rId10">
        <w:r>
          <w:rPr>
            <w:rFonts w:ascii="Times New Roman" w:hAnsi="Times New Roman" w:cs="Times New Roman" w:eastAsia="Times New Roman" w:hint="default"/>
          </w:rPr>
          <w:t>www.cninfo.com.cn</w:t>
        </w:r>
      </w:hyperlink>
      <w:r>
        <w:rPr/>
        <w:t>）上。公司股本由 </w:t>
      </w:r>
      <w:r>
        <w:rPr>
          <w:rFonts w:ascii="Times New Roman" w:hAnsi="Times New Roman" w:cs="Times New Roman" w:eastAsia="Times New Roman" w:hint="default"/>
        </w:rPr>
        <w:t>10,655.901</w:t>
      </w:r>
      <w:r>
        <w:rPr>
          <w:rFonts w:ascii="Times New Roman" w:hAnsi="Times New Roman" w:cs="Times New Roman" w:eastAsia="Times New Roman" w:hint="default"/>
          <w:spacing w:val="21"/>
        </w:rPr>
        <w:t> </w:t>
      </w:r>
      <w:r>
        <w:rPr/>
        <w:t>万股增加到</w:t>
      </w:r>
    </w:p>
    <w:p>
      <w:pPr>
        <w:pStyle w:val="BodyText"/>
        <w:spacing w:line="240" w:lineRule="auto"/>
        <w:ind w:right="102"/>
        <w:jc w:val="left"/>
      </w:pPr>
      <w:r>
        <w:rPr>
          <w:rFonts w:ascii="Times New Roman" w:hAnsi="Times New Roman" w:cs="Times New Roman" w:eastAsia="Times New Roman" w:hint="default"/>
        </w:rPr>
        <w:t>14,255.901</w:t>
      </w:r>
      <w:r>
        <w:rPr>
          <w:rFonts w:ascii="Times New Roman" w:hAnsi="Times New Roman" w:cs="Times New Roman" w:eastAsia="Times New Roman" w:hint="default"/>
          <w:spacing w:val="-6"/>
        </w:rPr>
        <w:t> </w:t>
      </w:r>
      <w:r>
        <w:rPr/>
        <w:t>万股。</w:t>
      </w:r>
    </w:p>
    <w:p>
      <w:pPr>
        <w:pStyle w:val="BodyText"/>
        <w:spacing w:line="280" w:lineRule="auto" w:before="169"/>
        <w:ind w:right="216" w:firstLine="420"/>
        <w:jc w:val="both"/>
      </w:pPr>
      <w:r>
        <w:rPr>
          <w:rFonts w:ascii="Times New Roman" w:hAnsi="Times New Roman" w:cs="Times New Roman" w:eastAsia="Times New Roman" w:hint="default"/>
        </w:rPr>
        <w:t>2</w:t>
      </w:r>
      <w:r>
        <w:rPr/>
        <w:t>、经深圳证券交易所《关于广州广电运通金融电子股份有限公司人民币普通股股票上 </w:t>
      </w:r>
      <w:r>
        <w:rPr>
          <w:spacing w:val="-10"/>
        </w:rPr>
        <w:t>市的通知》（深证上［</w:t>
      </w:r>
      <w:r>
        <w:rPr>
          <w:rFonts w:ascii="Times New Roman" w:hAnsi="Times New Roman" w:cs="Times New Roman" w:eastAsia="Times New Roman" w:hint="default"/>
          <w:spacing w:val="-10"/>
        </w:rPr>
        <w:t>2007</w:t>
      </w:r>
      <w:r>
        <w:rPr>
          <w:spacing w:val="-10"/>
        </w:rPr>
        <w:t>］</w:t>
      </w:r>
      <w:r>
        <w:rPr>
          <w:rFonts w:ascii="Times New Roman" w:hAnsi="Times New Roman" w:cs="Times New Roman" w:eastAsia="Times New Roman" w:hint="default"/>
          <w:spacing w:val="-10"/>
        </w:rPr>
        <w:t>124</w:t>
      </w:r>
      <w:r>
        <w:rPr>
          <w:rFonts w:ascii="Times New Roman" w:hAnsi="Times New Roman" w:cs="Times New Roman" w:eastAsia="Times New Roman" w:hint="default"/>
          <w:spacing w:val="9"/>
        </w:rPr>
        <w:t> </w:t>
      </w:r>
      <w:r>
        <w:rPr>
          <w:spacing w:val="-4"/>
        </w:rPr>
        <w:t>号）批准，公司公开发行的</w:t>
      </w:r>
      <w:r>
        <w:rPr>
          <w:spacing w:val="-44"/>
        </w:rPr>
        <w:t> </w:t>
      </w:r>
      <w:r>
        <w:rPr>
          <w:rFonts w:ascii="Times New Roman" w:hAnsi="Times New Roman" w:cs="Times New Roman" w:eastAsia="Times New Roman" w:hint="default"/>
          <w:spacing w:val="-1"/>
        </w:rPr>
        <w:t>3,600</w:t>
      </w:r>
      <w:r>
        <w:rPr>
          <w:rFonts w:ascii="Times New Roman" w:hAnsi="Times New Roman" w:cs="Times New Roman" w:eastAsia="Times New Roman" w:hint="default"/>
          <w:spacing w:val="9"/>
        </w:rPr>
        <w:t> </w:t>
      </w:r>
      <w:r>
        <w:rPr>
          <w:spacing w:val="-1"/>
        </w:rPr>
        <w:t>万股人民币普通股股票在</w:t>
      </w:r>
      <w:r>
        <w:rPr>
          <w:spacing w:val="-102"/>
        </w:rPr>
        <w:t> </w:t>
      </w:r>
      <w:r>
        <w:rPr>
          <w:spacing w:val="-102"/>
        </w:rPr>
      </w:r>
      <w:r>
        <w:rPr/>
        <w:t>深圳证券交易所上市。其中，网上定价发行的</w:t>
      </w:r>
      <w:r>
        <w:rPr>
          <w:spacing w:val="-60"/>
        </w:rPr>
        <w:t> </w:t>
      </w:r>
      <w:r>
        <w:rPr>
          <w:rFonts w:ascii="Times New Roman" w:hAnsi="Times New Roman" w:cs="Times New Roman" w:eastAsia="Times New Roman" w:hint="default"/>
        </w:rPr>
        <w:t>2,880</w:t>
      </w:r>
      <w:r>
        <w:rPr>
          <w:rFonts w:ascii="Times New Roman" w:hAnsi="Times New Roman" w:cs="Times New Roman" w:eastAsia="Times New Roman" w:hint="default"/>
          <w:spacing w:val="-7"/>
        </w:rPr>
        <w:t> </w:t>
      </w:r>
      <w:r>
        <w:rPr/>
        <w:t>万股于</w:t>
      </w:r>
      <w:r>
        <w:rPr>
          <w:spacing w:val="-6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w:t>
      </w:r>
      <w:r>
        <w:rPr>
          <w:spacing w:val="-61"/>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w:t>
      </w:r>
      <w:r>
        <w:rPr>
          <w:spacing w:val="-61"/>
        </w:rPr>
        <w:t> </w:t>
      </w:r>
      <w:r>
        <w:rPr>
          <w:rFonts w:ascii="Times New Roman" w:hAnsi="Times New Roman" w:cs="Times New Roman" w:eastAsia="Times New Roman" w:hint="default"/>
        </w:rPr>
        <w:t>13</w:t>
      </w:r>
      <w:r>
        <w:rPr>
          <w:rFonts w:ascii="Times New Roman" w:hAnsi="Times New Roman" w:cs="Times New Roman" w:eastAsia="Times New Roman" w:hint="default"/>
          <w:spacing w:val="-7"/>
        </w:rPr>
        <w:t> </w:t>
      </w:r>
      <w:r>
        <w:rPr/>
        <w:t>日挂牌交易，网</w:t>
      </w:r>
    </w:p>
    <w:p>
      <w:pPr>
        <w:pStyle w:val="BodyText"/>
        <w:spacing w:line="240" w:lineRule="auto" w:before="10"/>
        <w:ind w:right="102"/>
        <w:jc w:val="left"/>
      </w:pPr>
      <w:r>
        <w:rPr/>
        <w:t>下向询价对象询价配售的</w:t>
      </w:r>
      <w:r>
        <w:rPr>
          <w:spacing w:val="-54"/>
        </w:rPr>
        <w:t> </w:t>
      </w:r>
      <w:r>
        <w:rPr>
          <w:rFonts w:ascii="Times New Roman" w:hAnsi="Times New Roman" w:cs="Times New Roman" w:eastAsia="Times New Roman" w:hint="default"/>
        </w:rPr>
        <w:t>720</w:t>
      </w:r>
      <w:r>
        <w:rPr>
          <w:rFonts w:ascii="Times New Roman" w:hAnsi="Times New Roman" w:cs="Times New Roman" w:eastAsia="Times New Roman" w:hint="default"/>
          <w:spacing w:val="-1"/>
        </w:rPr>
        <w:t> </w:t>
      </w:r>
      <w:r>
        <w:rPr/>
        <w:t>万股锁定三个月后于</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日上市流通。</w:t>
      </w:r>
    </w:p>
    <w:p>
      <w:pPr>
        <w:pStyle w:val="BodyText"/>
        <w:spacing w:line="240" w:lineRule="auto" w:before="169"/>
        <w:ind w:left="560" w:right="102"/>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49"/>
        </w:rPr>
        <w:t> </w:t>
      </w:r>
      <w:r>
        <w:rPr>
          <w:rFonts w:ascii="Times New Roman" w:hAnsi="Times New Roman" w:cs="Times New Roman" w:eastAsia="Times New Roman" w:hint="default"/>
        </w:rPr>
        <w:t>18</w:t>
      </w:r>
      <w:r>
        <w:rPr>
          <w:rFonts w:ascii="Times New Roman" w:hAnsi="Times New Roman" w:cs="Times New Roman" w:eastAsia="Times New Roman" w:hint="default"/>
          <w:spacing w:val="6"/>
        </w:rPr>
        <w:t> </w:t>
      </w:r>
      <w:r>
        <w:rPr/>
        <w:t>日，公司</w:t>
      </w:r>
      <w:r>
        <w:rPr>
          <w:spacing w:val="-4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年度股东大会审议通过了《关于公司</w:t>
      </w:r>
      <w:r>
        <w:rPr>
          <w:spacing w:val="-4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年度利润</w:t>
      </w:r>
    </w:p>
    <w:p>
      <w:pPr>
        <w:pStyle w:val="BodyText"/>
        <w:spacing w:line="240" w:lineRule="auto"/>
        <w:ind w:right="102"/>
        <w:jc w:val="left"/>
      </w:pPr>
      <w:r>
        <w:rPr/>
        <w:t>分配及资本公积金转增股本的议案</w:t>
      </w:r>
      <w:r>
        <w:rPr>
          <w:spacing w:val="-106"/>
        </w:rPr>
        <w:t>》</w:t>
      </w:r>
      <w:r>
        <w:rPr/>
        <w:t>：以</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07</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r>
        <w:rPr>
          <w:spacing w:val="-2"/>
        </w:rPr>
        <w:t>公</w:t>
      </w:r>
      <w:r>
        <w:rPr/>
        <w:t>司总股本</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42</w:t>
      </w:r>
      <w:r>
        <w:rPr>
          <w:rFonts w:ascii="Times New Roman" w:hAnsi="Times New Roman" w:cs="Times New Roman" w:eastAsia="Times New Roman" w:hint="default"/>
        </w:rPr>
        <w:t>,5</w:t>
      </w:r>
      <w:r>
        <w:rPr>
          <w:rFonts w:ascii="Times New Roman" w:hAnsi="Times New Roman" w:cs="Times New Roman" w:eastAsia="Times New Roman" w:hint="default"/>
          <w:spacing w:val="-1"/>
        </w:rPr>
        <w:t>5</w:t>
      </w:r>
      <w:r>
        <w:rPr>
          <w:rFonts w:ascii="Times New Roman" w:hAnsi="Times New Roman" w:cs="Times New Roman" w:eastAsia="Times New Roman" w:hint="default"/>
        </w:rPr>
        <w:t>9</w:t>
      </w:r>
      <w:r>
        <w:rPr>
          <w:rFonts w:ascii="Times New Roman" w:hAnsi="Times New Roman" w:cs="Times New Roman" w:eastAsia="Times New Roman" w:hint="default"/>
          <w:spacing w:val="-1"/>
        </w:rPr>
        <w:t>,</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股</w:t>
      </w:r>
      <w:r>
        <w:rPr>
          <w:spacing w:val="-2"/>
        </w:rPr>
        <w:t>为</w:t>
      </w:r>
      <w:r>
        <w:rPr/>
        <w:t>基</w:t>
      </w:r>
    </w:p>
    <w:p>
      <w:pPr>
        <w:pStyle w:val="BodyText"/>
        <w:spacing w:line="240" w:lineRule="auto"/>
        <w:ind w:right="102"/>
        <w:jc w:val="left"/>
        <w:rPr>
          <w:rFonts w:ascii="Times New Roman" w:hAnsi="Times New Roman" w:cs="Times New Roman" w:eastAsia="Times New Roman" w:hint="default"/>
        </w:rPr>
      </w:pPr>
      <w:r>
        <w:rPr/>
        <w:t>数</w:t>
      </w:r>
      <w:r>
        <w:rPr>
          <w:spacing w:val="-105"/>
        </w:rPr>
        <w:t>，</w:t>
      </w:r>
      <w:r>
        <w:rPr/>
        <w:t>以资本</w:t>
      </w:r>
      <w:r>
        <w:rPr>
          <w:spacing w:val="-2"/>
        </w:rPr>
        <w:t>公</w:t>
      </w:r>
      <w:r>
        <w:rPr/>
        <w:t>积金转增股本</w:t>
      </w:r>
      <w:r>
        <w:rPr>
          <w:spacing w:val="-105"/>
        </w:rPr>
        <w:t>，</w:t>
      </w:r>
      <w:r>
        <w:rPr/>
        <w:t>向全体</w:t>
      </w:r>
      <w:r>
        <w:rPr>
          <w:spacing w:val="-2"/>
        </w:rPr>
        <w:t>股</w:t>
      </w:r>
      <w:r>
        <w:rPr/>
        <w:t>东每</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股</w:t>
      </w:r>
      <w:r>
        <w:rPr>
          <w:spacing w:val="-2"/>
        </w:rPr>
        <w:t>转</w:t>
      </w:r>
      <w:r>
        <w:rPr/>
        <w:t>增</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spacing w:val="-2"/>
        </w:rPr>
        <w:t>股</w:t>
      </w:r>
      <w:r>
        <w:rPr>
          <w:spacing w:val="-105"/>
        </w:rPr>
        <w:t>，</w:t>
      </w:r>
      <w:r>
        <w:rPr>
          <w:spacing w:val="-2"/>
        </w:rPr>
        <w:t>转</w:t>
      </w:r>
      <w:r>
        <w:rPr/>
        <w:t>增后公司总股本由</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4</w:t>
      </w:r>
      <w:r>
        <w:rPr>
          <w:rFonts w:ascii="Times New Roman" w:hAnsi="Times New Roman" w:cs="Times New Roman" w:eastAsia="Times New Roman" w:hint="default"/>
        </w:rPr>
        <w:t>2,</w:t>
      </w:r>
      <w:r>
        <w:rPr>
          <w:rFonts w:ascii="Times New Roman" w:hAnsi="Times New Roman" w:cs="Times New Roman" w:eastAsia="Times New Roman" w:hint="default"/>
          <w:spacing w:val="-1"/>
        </w:rPr>
        <w:t>5</w:t>
      </w:r>
      <w:r>
        <w:rPr>
          <w:rFonts w:ascii="Times New Roman" w:hAnsi="Times New Roman" w:cs="Times New Roman" w:eastAsia="Times New Roman" w:hint="default"/>
        </w:rPr>
        <w:t>59</w:t>
      </w:r>
      <w:r>
        <w:rPr>
          <w:rFonts w:ascii="Times New Roman" w:hAnsi="Times New Roman" w:cs="Times New Roman" w:eastAsia="Times New Roman" w:hint="default"/>
          <w:spacing w:val="-1"/>
        </w:rPr>
        <w:t>,</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p>
    <w:p>
      <w:pPr>
        <w:pStyle w:val="BodyText"/>
        <w:spacing w:line="240" w:lineRule="auto" w:before="49"/>
        <w:ind w:right="102"/>
        <w:jc w:val="left"/>
      </w:pPr>
      <w:r>
        <w:rPr/>
        <w:t>股增加为</w:t>
      </w:r>
      <w:r>
        <w:rPr>
          <w:spacing w:val="-56"/>
        </w:rPr>
        <w:t> </w:t>
      </w:r>
      <w:r>
        <w:rPr>
          <w:rFonts w:ascii="Times New Roman" w:hAnsi="Times New Roman" w:cs="Times New Roman" w:eastAsia="Times New Roman" w:hint="default"/>
        </w:rPr>
        <w:t>285,118,020</w:t>
      </w:r>
      <w:r>
        <w:rPr>
          <w:rFonts w:ascii="Times New Roman" w:hAnsi="Times New Roman" w:cs="Times New Roman" w:eastAsia="Times New Roman" w:hint="default"/>
          <w:spacing w:val="-3"/>
        </w:rPr>
        <w:t> </w:t>
      </w:r>
      <w:r>
        <w:rPr/>
        <w:t>股。</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57"/>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日，该方案实施完毕。</w:t>
      </w:r>
    </w:p>
    <w:p>
      <w:pPr>
        <w:pStyle w:val="BodyText"/>
        <w:spacing w:line="240" w:lineRule="auto" w:before="170"/>
        <w:ind w:left="559" w:right="102"/>
        <w:jc w:val="left"/>
        <w:rPr>
          <w:rFonts w:ascii="Times New Roman" w:hAnsi="Times New Roman" w:cs="Times New Roman" w:eastAsia="Times New Roman" w:hint="default"/>
        </w:rPr>
      </w:pPr>
      <w:r>
        <w:rPr>
          <w:rFonts w:ascii="Times New Roman" w:hAnsi="Times New Roman" w:cs="Times New Roman" w:eastAsia="Times New Roman" w:hint="default"/>
        </w:rPr>
        <w:t>4</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日，除控股股东广州无线电集团有限公司所持公司股票</w:t>
      </w:r>
      <w:r>
        <w:rPr>
          <w:spacing w:val="-53"/>
        </w:rPr>
        <w:t> </w:t>
      </w:r>
      <w:r>
        <w:rPr>
          <w:rFonts w:ascii="Times New Roman" w:hAnsi="Times New Roman" w:cs="Times New Roman" w:eastAsia="Times New Roman" w:hint="default"/>
        </w:rPr>
        <w:t>143,201,400</w:t>
      </w:r>
    </w:p>
    <w:p>
      <w:pPr>
        <w:pStyle w:val="BodyText"/>
        <w:spacing w:line="240" w:lineRule="auto"/>
        <w:ind w:left="139" w:right="102"/>
        <w:jc w:val="left"/>
      </w:pPr>
      <w:r>
        <w:rPr>
          <w:spacing w:val="12"/>
        </w:rPr>
        <w:t>股外，其余发起人股票共计 </w:t>
      </w:r>
      <w:r>
        <w:rPr>
          <w:rFonts w:ascii="Times New Roman" w:hAnsi="Times New Roman" w:cs="Times New Roman" w:eastAsia="Times New Roman" w:hint="default"/>
        </w:rPr>
        <w:t>69,916,620 </w:t>
      </w:r>
      <w:r>
        <w:rPr>
          <w:rFonts w:ascii="Times New Roman" w:hAnsi="Times New Roman" w:cs="Times New Roman" w:eastAsia="Times New Roman" w:hint="default"/>
          <w:spacing w:val="14"/>
        </w:rPr>
        <w:t> </w:t>
      </w:r>
      <w:r>
        <w:rPr>
          <w:spacing w:val="13"/>
        </w:rPr>
        <w:t>股一年锁定承诺期届满，全部解除限售，其中</w:t>
      </w:r>
      <w:r>
        <w:rPr/>
      </w:r>
    </w:p>
    <w:p>
      <w:pPr>
        <w:pStyle w:val="BodyText"/>
        <w:spacing w:line="240" w:lineRule="auto" w:before="49"/>
        <w:ind w:right="102"/>
        <w:jc w:val="left"/>
      </w:pPr>
      <w:r>
        <w:rPr>
          <w:rFonts w:ascii="Times New Roman" w:hAnsi="Times New Roman" w:cs="Times New Roman" w:eastAsia="Times New Roman" w:hint="default"/>
        </w:rPr>
        <w:t>52,021,144 </w:t>
      </w:r>
      <w:r>
        <w:rPr/>
        <w:t>股在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年上市流通。限售股解禁后，公司总股本不变，股权结构变化为：限</w:t>
      </w:r>
    </w:p>
    <w:p>
      <w:pPr>
        <w:pStyle w:val="BodyText"/>
        <w:spacing w:line="280" w:lineRule="auto"/>
        <w:ind w:left="139" w:right="216"/>
        <w:jc w:val="left"/>
      </w:pPr>
      <w:r>
        <w:rPr/>
        <w:t>售股份为</w:t>
      </w:r>
      <w:r>
        <w:rPr>
          <w:spacing w:val="-57"/>
        </w:rPr>
        <w:t> </w:t>
      </w:r>
      <w:r>
        <w:rPr>
          <w:rFonts w:ascii="Times New Roman" w:hAnsi="Times New Roman" w:cs="Times New Roman" w:eastAsia="Times New Roman" w:hint="default"/>
        </w:rPr>
        <w:t>143,201,400</w:t>
      </w:r>
      <w:r>
        <w:rPr>
          <w:rFonts w:ascii="Times New Roman" w:hAnsi="Times New Roman" w:cs="Times New Roman" w:eastAsia="Times New Roman" w:hint="default"/>
          <w:spacing w:val="45"/>
        </w:rPr>
        <w:t> </w:t>
      </w:r>
      <w:r>
        <w:rPr/>
        <w:t>股，占股份总数的</w:t>
      </w:r>
      <w:r>
        <w:rPr>
          <w:spacing w:val="-57"/>
        </w:rPr>
        <w:t> </w:t>
      </w:r>
      <w:r>
        <w:rPr>
          <w:rFonts w:ascii="Times New Roman" w:hAnsi="Times New Roman" w:cs="Times New Roman" w:eastAsia="Times New Roman" w:hint="default"/>
        </w:rPr>
        <w:t>50.23%</w:t>
      </w:r>
      <w:r>
        <w:rPr/>
        <w:t>；无限售条件股份为</w:t>
      </w:r>
      <w:r>
        <w:rPr>
          <w:spacing w:val="-57"/>
        </w:rPr>
        <w:t> </w:t>
      </w:r>
      <w:r>
        <w:rPr>
          <w:rFonts w:ascii="Times New Roman" w:hAnsi="Times New Roman" w:cs="Times New Roman" w:eastAsia="Times New Roman" w:hint="default"/>
        </w:rPr>
        <w:t>141,916,620</w:t>
      </w:r>
      <w:r>
        <w:rPr>
          <w:rFonts w:ascii="Times New Roman" w:hAnsi="Times New Roman" w:cs="Times New Roman" w:eastAsia="Times New Roman" w:hint="default"/>
          <w:spacing w:val="-3"/>
        </w:rPr>
        <w:t> </w:t>
      </w:r>
      <w:r>
        <w:rPr/>
        <w:t>股，占股 份总数的</w:t>
      </w:r>
      <w:r>
        <w:rPr>
          <w:spacing w:val="-55"/>
        </w:rPr>
        <w:t> </w:t>
      </w:r>
      <w:r>
        <w:rPr>
          <w:rFonts w:ascii="Times New Roman" w:hAnsi="Times New Roman" w:cs="Times New Roman" w:eastAsia="Times New Roman" w:hint="default"/>
        </w:rPr>
        <w:t>49.77%</w:t>
      </w:r>
      <w:r>
        <w:rPr/>
        <w:t>。</w:t>
      </w:r>
    </w:p>
    <w:p>
      <w:pPr>
        <w:pStyle w:val="BodyText"/>
        <w:spacing w:line="240" w:lineRule="auto" w:before="129"/>
        <w:ind w:left="559" w:right="102"/>
        <w:jc w:val="left"/>
      </w:pPr>
      <w:r>
        <w:rPr>
          <w:rFonts w:ascii="Times New Roman" w:hAnsi="Times New Roman" w:cs="Times New Roman" w:eastAsia="Times New Roman" w:hint="default"/>
        </w:rPr>
        <w:t>5</w:t>
      </w:r>
      <w:r>
        <w:rPr/>
        <w:t>、公司无内部职工股。</w:t>
      </w:r>
    </w:p>
    <w:p>
      <w:pPr>
        <w:spacing w:line="240" w:lineRule="auto" w:before="7"/>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400" w:footer="982" w:top="1100" w:bottom="1180" w:left="1660" w:right="1580"/>
        </w:sectPr>
      </w:pPr>
    </w:p>
    <w:p>
      <w:pPr>
        <w:pStyle w:val="Heading2"/>
        <w:spacing w:line="240" w:lineRule="auto" w:before="13"/>
        <w:ind w:right="0"/>
        <w:jc w:val="left"/>
        <w:rPr>
          <w:b w:val="0"/>
          <w:bCs w:val="0"/>
        </w:rPr>
      </w:pPr>
      <w:r>
        <w:rPr>
          <w:w w:val="95"/>
        </w:rPr>
        <w:t>三、股东和实际控制人情况</w:t>
      </w:r>
      <w:r>
        <w:rPr>
          <w:b w:val="0"/>
          <w:bCs w:val="0"/>
        </w:rPr>
      </w:r>
    </w:p>
    <w:p>
      <w:pPr>
        <w:pStyle w:val="BodyText"/>
        <w:spacing w:line="240" w:lineRule="auto" w:before="128"/>
        <w:ind w:right="0"/>
        <w:jc w:val="left"/>
      </w:pPr>
      <w:r>
        <w:rPr/>
        <w:t>（一）股东数量和持股情况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before="0"/>
        <w:ind w:right="0"/>
        <w:jc w:val="left"/>
      </w:pPr>
      <w:r>
        <w:rPr/>
        <w:t>单位：股</w:t>
      </w:r>
    </w:p>
    <w:p>
      <w:pPr>
        <w:spacing w:after="0" w:line="240" w:lineRule="auto"/>
        <w:jc w:val="left"/>
        <w:sectPr>
          <w:type w:val="continuous"/>
          <w:pgSz w:w="11910" w:h="16840"/>
          <w:pgMar w:top="1600" w:bottom="280" w:left="1660" w:right="1580"/>
          <w:cols w:num="2" w:equalWidth="0">
            <w:col w:w="3512" w:space="3534"/>
            <w:col w:w="1624"/>
          </w:cols>
        </w:sectPr>
      </w:pPr>
    </w:p>
    <w:p>
      <w:pPr>
        <w:spacing w:line="240" w:lineRule="auto" w:before="7"/>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595"/>
        <w:gridCol w:w="661"/>
        <w:gridCol w:w="1332"/>
        <w:gridCol w:w="912"/>
        <w:gridCol w:w="1129"/>
        <w:gridCol w:w="1211"/>
        <w:gridCol w:w="1440"/>
      </w:tblGrid>
      <w:tr>
        <w:trPr>
          <w:trHeight w:val="244" w:hRule="exact"/>
        </w:trPr>
        <w:tc>
          <w:tcPr>
            <w:tcW w:w="15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437" w:right="0"/>
              <w:jc w:val="left"/>
              <w:rPr>
                <w:rFonts w:ascii="宋体" w:hAnsi="宋体" w:cs="宋体" w:eastAsia="宋体" w:hint="default"/>
                <w:sz w:val="18"/>
                <w:szCs w:val="18"/>
              </w:rPr>
            </w:pPr>
            <w:r>
              <w:rPr>
                <w:rFonts w:ascii="宋体" w:hAnsi="宋体" w:cs="宋体" w:eastAsia="宋体" w:hint="default"/>
                <w:sz w:val="18"/>
                <w:szCs w:val="18"/>
              </w:rPr>
              <w:t>股东总数</w:t>
            </w:r>
          </w:p>
        </w:tc>
        <w:tc>
          <w:tcPr>
            <w:tcW w:w="6685" w:type="dxa"/>
            <w:gridSpan w:val="6"/>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7,558</w:t>
            </w:r>
          </w:p>
        </w:tc>
      </w:tr>
      <w:tr>
        <w:trPr>
          <w:trHeight w:val="301" w:hRule="exact"/>
        </w:trPr>
        <w:tc>
          <w:tcPr>
            <w:tcW w:w="8280"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9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360" w:hRule="exact"/>
        </w:trPr>
        <w:tc>
          <w:tcPr>
            <w:tcW w:w="2256"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3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left="30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left="9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left="199"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7" w:lineRule="exact"/>
              <w:ind w:left="150" w:right="0" w:hanging="90"/>
              <w:jc w:val="left"/>
              <w:rPr>
                <w:rFonts w:ascii="宋体" w:hAnsi="宋体" w:cs="宋体" w:eastAsia="宋体" w:hint="default"/>
                <w:sz w:val="18"/>
                <w:szCs w:val="18"/>
              </w:rPr>
            </w:pPr>
            <w:r>
              <w:rPr>
                <w:rFonts w:ascii="宋体" w:hAnsi="宋体" w:cs="宋体" w:eastAsia="宋体" w:hint="default"/>
                <w:sz w:val="18"/>
                <w:szCs w:val="18"/>
              </w:rPr>
              <w:t>持有有限售条</w:t>
            </w:r>
          </w:p>
          <w:p>
            <w:pPr>
              <w:pStyle w:val="TableParagraph"/>
              <w:spacing w:line="234" w:lineRule="exact"/>
              <w:ind w:left="150" w:right="0"/>
              <w:jc w:val="left"/>
              <w:rPr>
                <w:rFonts w:ascii="宋体" w:hAnsi="宋体" w:cs="宋体" w:eastAsia="宋体" w:hint="default"/>
                <w:sz w:val="18"/>
                <w:szCs w:val="18"/>
              </w:rPr>
            </w:pPr>
            <w:r>
              <w:rPr>
                <w:rFonts w:ascii="宋体" w:hAnsi="宋体" w:cs="宋体" w:eastAsia="宋体" w:hint="default"/>
                <w:sz w:val="18"/>
                <w:szCs w:val="18"/>
              </w:rPr>
              <w:t>件股份数量</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7" w:lineRule="exact"/>
              <w:ind w:right="0"/>
              <w:jc w:val="center"/>
              <w:rPr>
                <w:rFonts w:ascii="宋体" w:hAnsi="宋体" w:cs="宋体" w:eastAsia="宋体" w:hint="default"/>
                <w:sz w:val="18"/>
                <w:szCs w:val="18"/>
              </w:rPr>
            </w:pPr>
            <w:r>
              <w:rPr>
                <w:rFonts w:ascii="宋体" w:hAnsi="宋体" w:cs="宋体" w:eastAsia="宋体" w:hint="default"/>
                <w:sz w:val="18"/>
                <w:szCs w:val="18"/>
              </w:rPr>
              <w:t>质押或冻结的股</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份数量</w:t>
            </w:r>
          </w:p>
        </w:tc>
      </w:tr>
      <w:tr>
        <w:trPr>
          <w:trHeight w:val="303" w:hRule="exact"/>
        </w:trPr>
        <w:tc>
          <w:tcPr>
            <w:tcW w:w="2256" w:type="dxa"/>
            <w:gridSpan w:val="2"/>
            <w:tcBorders>
              <w:top w:val="single" w:sz="51" w:space="0" w:color="DCDCDC"/>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1332" w:type="dxa"/>
            <w:tcBorders>
              <w:top w:val="single" w:sz="51" w:space="0" w:color="DCDCDC"/>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12" w:type="dxa"/>
            <w:tcBorders>
              <w:top w:val="single" w:sz="51" w:space="0" w:color="DCDCDC"/>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50.23%</w:t>
            </w:r>
          </w:p>
        </w:tc>
        <w:tc>
          <w:tcPr>
            <w:tcW w:w="1129" w:type="dxa"/>
            <w:tcBorders>
              <w:top w:val="single" w:sz="51" w:space="0" w:color="DCDCDC"/>
              <w:left w:val="single" w:sz="4" w:space="0" w:color="000000"/>
              <w:bottom w:val="single" w:sz="4" w:space="0" w:color="000000"/>
              <w:right w:val="single" w:sz="13" w:space="0" w:color="DCDCDC"/>
            </w:tcBorders>
          </w:tcPr>
          <w:p>
            <w:pPr>
              <w:pStyle w:val="TableParagraph"/>
              <w:spacing w:line="240" w:lineRule="auto" w:before="8"/>
              <w:ind w:right="10"/>
              <w:jc w:val="right"/>
              <w:rPr>
                <w:rFonts w:ascii="Times New Roman" w:hAnsi="Times New Roman" w:cs="Times New Roman" w:eastAsia="Times New Roman" w:hint="default"/>
                <w:sz w:val="18"/>
                <w:szCs w:val="18"/>
              </w:rPr>
            </w:pPr>
            <w:r>
              <w:rPr>
                <w:rFonts w:ascii="Times New Roman"/>
                <w:sz w:val="18"/>
              </w:rPr>
              <w:t>143,201,400</w:t>
            </w:r>
          </w:p>
        </w:tc>
        <w:tc>
          <w:tcPr>
            <w:tcW w:w="1211" w:type="dxa"/>
            <w:tcBorders>
              <w:top w:val="single" w:sz="4" w:space="0" w:color="000000"/>
              <w:left w:val="single" w:sz="13" w:space="0" w:color="DCDCDC"/>
              <w:bottom w:val="single" w:sz="4" w:space="0" w:color="000000"/>
              <w:right w:val="single" w:sz="9" w:space="0" w:color="DCDCDC"/>
            </w:tcBorders>
          </w:tcPr>
          <w:p>
            <w:pPr>
              <w:pStyle w:val="TableParagraph"/>
              <w:spacing w:line="240" w:lineRule="auto" w:before="67"/>
              <w:ind w:right="14"/>
              <w:jc w:val="right"/>
              <w:rPr>
                <w:rFonts w:ascii="Times New Roman" w:hAnsi="Times New Roman" w:cs="Times New Roman" w:eastAsia="Times New Roman" w:hint="default"/>
                <w:sz w:val="18"/>
                <w:szCs w:val="18"/>
              </w:rPr>
            </w:pPr>
            <w:r>
              <w:rPr>
                <w:rFonts w:ascii="Times New Roman"/>
                <w:sz w:val="18"/>
              </w:rPr>
              <w:t>143,201,400</w:t>
            </w:r>
          </w:p>
        </w:tc>
        <w:tc>
          <w:tcPr>
            <w:tcW w:w="1440" w:type="dxa"/>
            <w:tcBorders>
              <w:top w:val="single" w:sz="4" w:space="0" w:color="000000"/>
              <w:left w:val="single" w:sz="9" w:space="0" w:color="DCDCDC"/>
              <w:bottom w:val="single" w:sz="4" w:space="0" w:color="000000"/>
              <w:right w:val="single" w:sz="10" w:space="0" w:color="DCDCDC"/>
            </w:tcBorders>
          </w:tcPr>
          <w:p>
            <w:pPr>
              <w:pStyle w:val="TableParagraph"/>
              <w:spacing w:line="240" w:lineRule="auto" w:before="67"/>
              <w:ind w:right="15"/>
              <w:jc w:val="right"/>
              <w:rPr>
                <w:rFonts w:ascii="Times New Roman" w:hAnsi="Times New Roman" w:cs="Times New Roman" w:eastAsia="Times New Roman" w:hint="default"/>
                <w:sz w:val="18"/>
                <w:szCs w:val="18"/>
              </w:rPr>
            </w:pPr>
            <w:r>
              <w:rPr>
                <w:rFonts w:ascii="Times New Roman"/>
                <w:sz w:val="18"/>
              </w:rPr>
              <w:t>0</w:t>
            </w:r>
          </w:p>
        </w:tc>
      </w:tr>
      <w:tr>
        <w:trPr>
          <w:trHeight w:val="244" w:hRule="exact"/>
        </w:trPr>
        <w:tc>
          <w:tcPr>
            <w:tcW w:w="22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梅州敬基实业有限公司</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w w:val="95"/>
                <w:sz w:val="18"/>
              </w:rPr>
              <w:t>6.60%</w:t>
            </w:r>
            <w:r>
              <w:rPr>
                <w:rFonts w:ascii="Times New Roman"/>
                <w:sz w:val="18"/>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18,825,110</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w:t>
            </w:r>
          </w:p>
        </w:tc>
      </w:tr>
      <w:tr>
        <w:trPr>
          <w:trHeight w:val="244" w:hRule="exact"/>
        </w:trPr>
        <w:tc>
          <w:tcPr>
            <w:tcW w:w="22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赵友永</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w w:val="95"/>
                <w:sz w:val="18"/>
              </w:rPr>
              <w:t>3.14%</w:t>
            </w:r>
            <w:r>
              <w:rPr>
                <w:rFonts w:ascii="Times New Roman"/>
                <w:sz w:val="18"/>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8,963,500</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w:t>
            </w:r>
          </w:p>
        </w:tc>
      </w:tr>
      <w:tr>
        <w:trPr>
          <w:trHeight w:val="242" w:hRule="exact"/>
        </w:trPr>
        <w:tc>
          <w:tcPr>
            <w:tcW w:w="22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盈富泰克创业投资有限公司</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w w:val="95"/>
                <w:sz w:val="18"/>
              </w:rPr>
              <w:t>2.59%</w:t>
            </w:r>
            <w:r>
              <w:rPr>
                <w:rFonts w:ascii="Times New Roman"/>
                <w:sz w:val="18"/>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7,385,000</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w:t>
            </w:r>
          </w:p>
        </w:tc>
      </w:tr>
      <w:tr>
        <w:trPr>
          <w:trHeight w:val="478" w:hRule="exact"/>
        </w:trPr>
        <w:tc>
          <w:tcPr>
            <w:tcW w:w="22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中国建设银行－博时主题行</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业股票证券投资基金</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18"/>
                <w:szCs w:val="18"/>
              </w:rPr>
            </w:pPr>
            <w:r>
              <w:rPr>
                <w:rFonts w:ascii="Times New Roman"/>
                <w:w w:val="95"/>
                <w:sz w:val="18"/>
              </w:rPr>
              <w:t>2.13%</w:t>
            </w:r>
            <w:r>
              <w:rPr>
                <w:rFonts w:ascii="Times New Roman"/>
                <w:sz w:val="18"/>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18"/>
                <w:szCs w:val="18"/>
              </w:rPr>
            </w:pPr>
            <w:r>
              <w:rPr>
                <w:rFonts w:ascii="Times New Roman"/>
                <w:sz w:val="18"/>
              </w:rPr>
              <w:t>6,068,163</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600" w:bottom="280" w:left="1660" w:right="1580"/>
        </w:sectPr>
      </w:pPr>
    </w:p>
    <w:p>
      <w:pPr>
        <w:spacing w:line="240" w:lineRule="auto" w:before="6"/>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607"/>
        <w:gridCol w:w="649"/>
        <w:gridCol w:w="1332"/>
        <w:gridCol w:w="539"/>
        <w:gridCol w:w="373"/>
        <w:gridCol w:w="1129"/>
        <w:gridCol w:w="838"/>
        <w:gridCol w:w="373"/>
        <w:gridCol w:w="1440"/>
      </w:tblGrid>
      <w:tr>
        <w:trPr>
          <w:trHeight w:val="476" w:hRule="exact"/>
        </w:trPr>
        <w:tc>
          <w:tcPr>
            <w:tcW w:w="22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中国工商银行－南方绩优成</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长股票型证券投资基金</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9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12" w:right="0"/>
              <w:jc w:val="left"/>
              <w:rPr>
                <w:rFonts w:ascii="Times New Roman" w:hAnsi="Times New Roman" w:cs="Times New Roman" w:eastAsia="Times New Roman" w:hint="default"/>
                <w:sz w:val="18"/>
                <w:szCs w:val="18"/>
              </w:rPr>
            </w:pPr>
            <w:r>
              <w:rPr>
                <w:rFonts w:ascii="Times New Roman"/>
                <w:sz w:val="18"/>
              </w:rPr>
              <w:t>2.02%</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18"/>
                <w:szCs w:val="18"/>
              </w:rPr>
            </w:pPr>
            <w:r>
              <w:rPr>
                <w:rFonts w:ascii="Times New Roman"/>
                <w:sz w:val="18"/>
              </w:rPr>
              <w:t>5,759,587</w:t>
            </w:r>
          </w:p>
        </w:tc>
        <w:tc>
          <w:tcPr>
            <w:tcW w:w="1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8" w:hRule="exact"/>
        </w:trPr>
        <w:tc>
          <w:tcPr>
            <w:tcW w:w="22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中国农业银行－交银施罗德</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精选股票证券投资基金</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9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12" w:right="0"/>
              <w:jc w:val="left"/>
              <w:rPr>
                <w:rFonts w:ascii="Times New Roman" w:hAnsi="Times New Roman" w:cs="Times New Roman" w:eastAsia="Times New Roman" w:hint="default"/>
                <w:sz w:val="18"/>
                <w:szCs w:val="18"/>
              </w:rPr>
            </w:pPr>
            <w:r>
              <w:rPr>
                <w:rFonts w:ascii="Times New Roman"/>
                <w:sz w:val="18"/>
              </w:rPr>
              <w:t>1.07%</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18"/>
                <w:szCs w:val="18"/>
              </w:rPr>
            </w:pPr>
            <w:r>
              <w:rPr>
                <w:rFonts w:ascii="Times New Roman"/>
                <w:sz w:val="18"/>
              </w:rPr>
              <w:t>3,060,378</w:t>
            </w:r>
          </w:p>
        </w:tc>
        <w:tc>
          <w:tcPr>
            <w:tcW w:w="1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22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曾  文</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2" w:right="0"/>
              <w:jc w:val="left"/>
              <w:rPr>
                <w:rFonts w:ascii="Times New Roman" w:hAnsi="Times New Roman" w:cs="Times New Roman" w:eastAsia="Times New Roman" w:hint="default"/>
                <w:sz w:val="18"/>
                <w:szCs w:val="18"/>
              </w:rPr>
            </w:pPr>
            <w:r>
              <w:rPr>
                <w:rFonts w:ascii="Times New Roman"/>
                <w:sz w:val="18"/>
              </w:rPr>
              <w:t>1.00%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2,839,050</w:t>
            </w:r>
          </w:p>
        </w:tc>
        <w:tc>
          <w:tcPr>
            <w:tcW w:w="1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w:t>
            </w:r>
          </w:p>
        </w:tc>
      </w:tr>
      <w:tr>
        <w:trPr>
          <w:trHeight w:val="244" w:hRule="exact"/>
        </w:trPr>
        <w:tc>
          <w:tcPr>
            <w:tcW w:w="22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叶子瑜</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2" w:right="0"/>
              <w:jc w:val="left"/>
              <w:rPr>
                <w:rFonts w:ascii="Times New Roman" w:hAnsi="Times New Roman" w:cs="Times New Roman" w:eastAsia="Times New Roman" w:hint="default"/>
                <w:sz w:val="18"/>
                <w:szCs w:val="18"/>
              </w:rPr>
            </w:pPr>
            <w:r>
              <w:rPr>
                <w:rFonts w:ascii="Times New Roman"/>
                <w:sz w:val="18"/>
              </w:rPr>
              <w:t>0.89%</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2,539,050</w:t>
            </w:r>
          </w:p>
        </w:tc>
        <w:tc>
          <w:tcPr>
            <w:tcW w:w="1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w:t>
            </w:r>
          </w:p>
        </w:tc>
      </w:tr>
      <w:tr>
        <w:trPr>
          <w:trHeight w:val="476" w:hRule="exact"/>
        </w:trPr>
        <w:tc>
          <w:tcPr>
            <w:tcW w:w="22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中国平安人寿保险股份有限</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公司－分红－团险分红</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9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12" w:right="0"/>
              <w:jc w:val="left"/>
              <w:rPr>
                <w:rFonts w:ascii="Times New Roman" w:hAnsi="Times New Roman" w:cs="Times New Roman" w:eastAsia="Times New Roman" w:hint="default"/>
                <w:sz w:val="18"/>
                <w:szCs w:val="18"/>
              </w:rPr>
            </w:pPr>
            <w:r>
              <w:rPr>
                <w:rFonts w:ascii="Times New Roman"/>
                <w:sz w:val="18"/>
              </w:rPr>
              <w:t>0.89%</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2,534,251</w:t>
            </w:r>
          </w:p>
        </w:tc>
        <w:tc>
          <w:tcPr>
            <w:tcW w:w="1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3" w:hRule="exact"/>
        </w:trPr>
        <w:tc>
          <w:tcPr>
            <w:tcW w:w="8280"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9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44" w:hRule="exact"/>
        </w:trPr>
        <w:tc>
          <w:tcPr>
            <w:tcW w:w="4127"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34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left="173"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1813"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left="541"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244" w:hRule="exact"/>
        </w:trPr>
        <w:tc>
          <w:tcPr>
            <w:tcW w:w="4127" w:type="dxa"/>
            <w:gridSpan w:val="4"/>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梅州敬基实业有限公司</w:t>
            </w:r>
          </w:p>
        </w:tc>
        <w:tc>
          <w:tcPr>
            <w:tcW w:w="23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02" w:right="0"/>
              <w:jc w:val="left"/>
              <w:rPr>
                <w:rFonts w:ascii="Times New Roman" w:hAnsi="Times New Roman" w:cs="Times New Roman" w:eastAsia="Times New Roman" w:hint="default"/>
                <w:sz w:val="18"/>
                <w:szCs w:val="18"/>
              </w:rPr>
            </w:pPr>
            <w:r>
              <w:rPr>
                <w:rFonts w:ascii="Times New Roman"/>
                <w:sz w:val="18"/>
              </w:rPr>
              <w:t>18,825,110</w:t>
            </w:r>
          </w:p>
        </w:tc>
        <w:tc>
          <w:tcPr>
            <w:tcW w:w="18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6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2" w:hRule="exact"/>
        </w:trPr>
        <w:tc>
          <w:tcPr>
            <w:tcW w:w="4127"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赵友永</w:t>
            </w:r>
          </w:p>
        </w:tc>
        <w:tc>
          <w:tcPr>
            <w:tcW w:w="23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8,963,500</w:t>
            </w:r>
          </w:p>
        </w:tc>
        <w:tc>
          <w:tcPr>
            <w:tcW w:w="18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4" w:hRule="exact"/>
        </w:trPr>
        <w:tc>
          <w:tcPr>
            <w:tcW w:w="4127"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盈富泰克创业投资有限公司</w:t>
            </w:r>
          </w:p>
        </w:tc>
        <w:tc>
          <w:tcPr>
            <w:tcW w:w="23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7,385,000</w:t>
            </w:r>
          </w:p>
        </w:tc>
        <w:tc>
          <w:tcPr>
            <w:tcW w:w="18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4" w:hRule="exact"/>
        </w:trPr>
        <w:tc>
          <w:tcPr>
            <w:tcW w:w="4127"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中国建设银行－博时主题行业股票证券投资基金</w:t>
            </w:r>
          </w:p>
        </w:tc>
        <w:tc>
          <w:tcPr>
            <w:tcW w:w="23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6,068,163</w:t>
            </w:r>
          </w:p>
        </w:tc>
        <w:tc>
          <w:tcPr>
            <w:tcW w:w="18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4" w:hRule="exact"/>
        </w:trPr>
        <w:tc>
          <w:tcPr>
            <w:tcW w:w="4127"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中国工商银行－南方绩优成长股票型证券投资基金</w:t>
            </w:r>
          </w:p>
        </w:tc>
        <w:tc>
          <w:tcPr>
            <w:tcW w:w="23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5,759,587</w:t>
            </w:r>
          </w:p>
        </w:tc>
        <w:tc>
          <w:tcPr>
            <w:tcW w:w="18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4" w:hRule="exact"/>
        </w:trPr>
        <w:tc>
          <w:tcPr>
            <w:tcW w:w="4127"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中国农业银行－交银施罗德精选股票证券投资基金</w:t>
            </w:r>
          </w:p>
        </w:tc>
        <w:tc>
          <w:tcPr>
            <w:tcW w:w="23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3,060,378</w:t>
            </w:r>
          </w:p>
        </w:tc>
        <w:tc>
          <w:tcPr>
            <w:tcW w:w="18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4" w:hRule="exact"/>
        </w:trPr>
        <w:tc>
          <w:tcPr>
            <w:tcW w:w="4127"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曾  文</w:t>
            </w:r>
          </w:p>
        </w:tc>
        <w:tc>
          <w:tcPr>
            <w:tcW w:w="23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2,839,050</w:t>
            </w:r>
          </w:p>
        </w:tc>
        <w:tc>
          <w:tcPr>
            <w:tcW w:w="18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4" w:hRule="exact"/>
        </w:trPr>
        <w:tc>
          <w:tcPr>
            <w:tcW w:w="4127"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叶子瑜</w:t>
            </w:r>
          </w:p>
        </w:tc>
        <w:tc>
          <w:tcPr>
            <w:tcW w:w="23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2,539,050</w:t>
            </w:r>
          </w:p>
        </w:tc>
        <w:tc>
          <w:tcPr>
            <w:tcW w:w="18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2" w:hRule="exact"/>
        </w:trPr>
        <w:tc>
          <w:tcPr>
            <w:tcW w:w="4127"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中国平安人寿保险股份有限公司－分红－团险分红</w:t>
            </w:r>
          </w:p>
        </w:tc>
        <w:tc>
          <w:tcPr>
            <w:tcW w:w="23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2,534,251</w:t>
            </w:r>
          </w:p>
        </w:tc>
        <w:tc>
          <w:tcPr>
            <w:tcW w:w="18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4" w:hRule="exact"/>
        </w:trPr>
        <w:tc>
          <w:tcPr>
            <w:tcW w:w="4127"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博时价值增长证券投资基金</w:t>
            </w:r>
          </w:p>
        </w:tc>
        <w:tc>
          <w:tcPr>
            <w:tcW w:w="23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2,456,272</w:t>
            </w:r>
          </w:p>
        </w:tc>
        <w:tc>
          <w:tcPr>
            <w:tcW w:w="18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1178" w:hRule="exact"/>
        </w:trPr>
        <w:tc>
          <w:tcPr>
            <w:tcW w:w="16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7" w:right="77"/>
              <w:jc w:val="left"/>
              <w:rPr>
                <w:rFonts w:ascii="宋体" w:hAnsi="宋体" w:cs="宋体" w:eastAsia="宋体" w:hint="default"/>
                <w:sz w:val="18"/>
                <w:szCs w:val="18"/>
              </w:rPr>
            </w:pPr>
            <w:r>
              <w:rPr>
                <w:rFonts w:ascii="宋体" w:hAnsi="宋体" w:cs="宋体" w:eastAsia="宋体" w:hint="default"/>
                <w:sz w:val="18"/>
                <w:szCs w:val="18"/>
              </w:rPr>
              <w:t>上述股东关联关系 或一致行动的说明</w:t>
            </w:r>
          </w:p>
        </w:tc>
        <w:tc>
          <w:tcPr>
            <w:tcW w:w="6673" w:type="dxa"/>
            <w:gridSpan w:val="8"/>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2" w:right="0"/>
              <w:jc w:val="left"/>
              <w:rPr>
                <w:rFonts w:ascii="宋体" w:hAnsi="宋体" w:cs="宋体" w:eastAsia="宋体" w:hint="default"/>
                <w:sz w:val="18"/>
                <w:szCs w:val="18"/>
              </w:rPr>
            </w:pPr>
            <w:r>
              <w:rPr>
                <w:rFonts w:ascii="宋体" w:hAnsi="宋体" w:cs="宋体" w:eastAsia="宋体" w:hint="default"/>
                <w:spacing w:val="-2"/>
                <w:sz w:val="18"/>
                <w:szCs w:val="18"/>
              </w:rPr>
              <w:t>公司前十名股东中：公司第一大股东广州无线电集团有限公司持有本公司第四大</w:t>
            </w:r>
          </w:p>
          <w:p>
            <w:pPr>
              <w:pStyle w:val="TableParagraph"/>
              <w:spacing w:line="232" w:lineRule="auto" w:before="5"/>
              <w:ind w:left="22" w:right="-20" w:hanging="1"/>
              <w:jc w:val="left"/>
              <w:rPr>
                <w:rFonts w:ascii="宋体" w:hAnsi="宋体" w:cs="宋体" w:eastAsia="宋体" w:hint="default"/>
                <w:sz w:val="18"/>
                <w:szCs w:val="18"/>
              </w:rPr>
            </w:pPr>
            <w:r>
              <w:rPr>
                <w:rFonts w:ascii="宋体" w:hAnsi="宋体" w:cs="宋体" w:eastAsia="宋体" w:hint="default"/>
                <w:sz w:val="18"/>
                <w:szCs w:val="18"/>
              </w:rPr>
              <w:t>股东盈富泰克创业投资有限公司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10.80%</w:t>
            </w:r>
            <w:r>
              <w:rPr>
                <w:rFonts w:ascii="宋体" w:hAnsi="宋体" w:cs="宋体" w:eastAsia="宋体" w:hint="default"/>
                <w:sz w:val="18"/>
                <w:szCs w:val="18"/>
              </w:rPr>
              <w:t>的股份，存在关联关系；公司第三大股东赵 友永先生为公司第一大股东广州无线电集团有限公司的董事长和第四大股东盈富泰 克创业投资有限公司的董事，存在关联关系；未知其他股东之间是否存在关联关系， 也未知是否属于一致行动人。</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40" w:lineRule="auto" w:before="35"/>
        <w:ind w:right="102"/>
        <w:jc w:val="left"/>
      </w:pPr>
      <w:r>
        <w:rPr/>
        <w:t>（二）控股股东及实际控制人情况介绍</w:t>
      </w:r>
    </w:p>
    <w:p>
      <w:pPr>
        <w:pStyle w:val="BodyText"/>
        <w:spacing w:line="379" w:lineRule="auto" w:before="117"/>
        <w:ind w:left="560" w:right="102"/>
        <w:jc w:val="left"/>
      </w:pPr>
      <w:r>
        <w:rPr>
          <w:rFonts w:ascii="Times New Roman" w:hAnsi="Times New Roman" w:cs="Times New Roman" w:eastAsia="Times New Roman" w:hint="default"/>
        </w:rPr>
        <w:t>1</w:t>
      </w:r>
      <w:r>
        <w:rPr/>
        <w:t>、公司控股股东情况 </w:t>
      </w:r>
      <w:r>
        <w:rPr>
          <w:spacing w:val="-3"/>
        </w:rPr>
        <w:t>报告期内，公司控股股东未发生变化，为广州无线电集团有限公司（以下简称“广电集</w:t>
      </w:r>
    </w:p>
    <w:p>
      <w:pPr>
        <w:pStyle w:val="BodyText"/>
        <w:spacing w:line="235" w:lineRule="exact" w:before="0"/>
        <w:ind w:right="0"/>
        <w:jc w:val="left"/>
      </w:pPr>
      <w:r>
        <w:rPr/>
        <w:t>团</w:t>
      </w:r>
      <w:r>
        <w:rPr>
          <w:spacing w:val="-105"/>
        </w:rPr>
        <w:t>”）</w:t>
      </w:r>
      <w:r>
        <w:rPr>
          <w:spacing w:val="-32"/>
        </w:rPr>
        <w:t>，</w:t>
      </w:r>
      <w:r>
        <w:rPr/>
        <w:t>其</w:t>
      </w:r>
      <w:r>
        <w:rPr>
          <w:spacing w:val="-2"/>
        </w:rPr>
        <w:t>所</w:t>
      </w:r>
      <w:r>
        <w:rPr/>
        <w:t>持有的公司股份无质押</w:t>
      </w:r>
      <w:r>
        <w:rPr>
          <w:spacing w:val="-32"/>
        </w:rPr>
        <w:t>、</w:t>
      </w:r>
      <w:r>
        <w:rPr/>
        <w:t>冻结或托管等情况</w:t>
      </w:r>
      <w:r>
        <w:rPr>
          <w:spacing w:val="-32"/>
        </w:rPr>
        <w:t>。</w:t>
      </w:r>
      <w:r>
        <w:rPr/>
        <w:t>广电集团成立于</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98</w:t>
      </w:r>
      <w:r>
        <w:rPr>
          <w:rFonts w:ascii="Times New Roman" w:hAnsi="Times New Roman" w:cs="Times New Roman" w:eastAsia="Times New Roman" w:hint="default"/>
        </w:rPr>
        <w:t>1 </w:t>
      </w:r>
      <w:r>
        <w:rPr/>
        <w:t>年</w:t>
      </w:r>
      <w:r>
        <w:rPr>
          <w:spacing w:val="-54"/>
        </w:rPr>
        <w:t> </w:t>
      </w:r>
      <w:r>
        <w:rPr>
          <w:rFonts w:ascii="Times New Roman" w:hAnsi="Times New Roman" w:cs="Times New Roman" w:eastAsia="Times New Roman" w:hint="default"/>
        </w:rPr>
        <w:t>2 </w:t>
      </w:r>
      <w:r>
        <w:rPr/>
        <w:t>月</w:t>
      </w:r>
      <w:r>
        <w:rPr>
          <w:spacing w:val="-54"/>
        </w:rPr>
        <w:t> </w:t>
      </w:r>
      <w:r>
        <w:rPr>
          <w:rFonts w:ascii="Times New Roman" w:hAnsi="Times New Roman" w:cs="Times New Roman" w:eastAsia="Times New Roman" w:hint="default"/>
        </w:rPr>
        <w:t>2 </w:t>
      </w:r>
      <w:r>
        <w:rPr/>
        <w:t>日，</w:t>
      </w:r>
    </w:p>
    <w:p>
      <w:pPr>
        <w:pStyle w:val="BodyText"/>
        <w:spacing w:line="295" w:lineRule="auto" w:before="49"/>
        <w:ind w:right="99"/>
        <w:jc w:val="left"/>
      </w:pPr>
      <w:r>
        <w:rPr/>
        <w:t>法定代表人为赵友永，注册资本</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亿元人民币，经营范围包括：经营授权管理的国有资产。 </w:t>
      </w:r>
      <w:r>
        <w:rPr>
          <w:spacing w:val="-3"/>
        </w:rPr>
        <w:t>出口本企业的产品；进出口本企业生产所需的设备及原辅材料；制造、加工通信设备、视频</w:t>
      </w:r>
      <w:r>
        <w:rPr>
          <w:spacing w:val="-80"/>
        </w:rPr>
        <w:t> </w:t>
      </w:r>
      <w:r>
        <w:rPr>
          <w:spacing w:val="-80"/>
        </w:rPr>
      </w:r>
      <w:r>
        <w:rPr/>
        <w:t>产品、音响设备、电工器材、无线电导航设备、电子测量仪器、电子玩具、电子防盗设备、 </w:t>
      </w:r>
      <w:r>
        <w:rPr>
          <w:spacing w:val="-5"/>
        </w:rPr>
        <w:t>计算机及配件、金属结构件、金属切削工具、模具、塑料制品；电子产品及通信设备的设计、</w:t>
      </w:r>
      <w:r>
        <w:rPr>
          <w:spacing w:val="-100"/>
        </w:rPr>
        <w:t> </w:t>
      </w:r>
      <w:r>
        <w:rPr>
          <w:spacing w:val="-100"/>
        </w:rPr>
      </w:r>
      <w:r>
        <w:rPr>
          <w:spacing w:val="-3"/>
        </w:rPr>
        <w:t>安装、维修；电子技术服务；批发和零售贸易（国家专营专控商品除外）；代理进口生产电</w:t>
      </w:r>
      <w:r>
        <w:rPr>
          <w:spacing w:val="-84"/>
        </w:rPr>
        <w:t> </w:t>
      </w:r>
      <w:r>
        <w:rPr>
          <w:spacing w:val="-84"/>
        </w:rPr>
      </w:r>
      <w:r>
        <w:rPr/>
        <w:t>子产品所需的设备及原辅材料；货物运输、车辆维修。</w:t>
      </w:r>
    </w:p>
    <w:p>
      <w:pPr>
        <w:pStyle w:val="BodyText"/>
        <w:spacing w:line="240" w:lineRule="auto" w:before="136"/>
        <w:ind w:left="560" w:right="0"/>
        <w:jc w:val="left"/>
      </w:pPr>
      <w:r>
        <w:rPr>
          <w:spacing w:val="-3"/>
        </w:rPr>
        <w:t>广电集团前身为广州无线电厂，始建于</w:t>
      </w:r>
      <w:r>
        <w:rPr>
          <w:spacing w:val="-48"/>
        </w:rPr>
        <w:t> </w:t>
      </w:r>
      <w:r>
        <w:rPr>
          <w:rFonts w:ascii="Times New Roman" w:hAnsi="Times New Roman" w:cs="Times New Roman" w:eastAsia="Times New Roman" w:hint="default"/>
        </w:rPr>
        <w:t>1956</w:t>
      </w:r>
      <w:r>
        <w:rPr>
          <w:rFonts w:ascii="Times New Roman" w:hAnsi="Times New Roman" w:cs="Times New Roman" w:eastAsia="Times New Roman" w:hint="default"/>
          <w:spacing w:val="5"/>
        </w:rPr>
        <w:t> </w:t>
      </w:r>
      <w:r>
        <w:rPr>
          <w:spacing w:val="-3"/>
        </w:rPr>
        <w:t>年，是我国早期建立的电子军工企业之一，</w:t>
      </w:r>
    </w:p>
    <w:p>
      <w:pPr>
        <w:pStyle w:val="BodyText"/>
        <w:spacing w:line="240" w:lineRule="auto"/>
        <w:ind w:left="139" w:right="102"/>
        <w:jc w:val="left"/>
        <w:rPr>
          <w:rFonts w:ascii="Times New Roman" w:hAnsi="Times New Roman" w:cs="Times New Roman" w:eastAsia="Times New Roman" w:hint="default"/>
        </w:rPr>
      </w:pPr>
      <w:r>
        <w:rPr/>
        <w:t>至今已有</w:t>
      </w:r>
      <w:r>
        <w:rPr>
          <w:spacing w:val="-42"/>
        </w:rPr>
        <w:t> </w:t>
      </w:r>
      <w:r>
        <w:rPr>
          <w:rFonts w:ascii="Times New Roman" w:hAnsi="Times New Roman" w:cs="Times New Roman" w:eastAsia="Times New Roman" w:hint="default"/>
        </w:rPr>
        <w:t>50</w:t>
      </w:r>
      <w:r>
        <w:rPr>
          <w:rFonts w:ascii="Times New Roman" w:hAnsi="Times New Roman" w:cs="Times New Roman" w:eastAsia="Times New Roman" w:hint="default"/>
          <w:spacing w:val="11"/>
        </w:rPr>
        <w:t> </w:t>
      </w:r>
      <w:r>
        <w:rPr/>
        <w:t>多年的发展历史。</w:t>
      </w:r>
      <w:r>
        <w:rPr>
          <w:rFonts w:ascii="Times New Roman" w:hAnsi="Times New Roman" w:cs="Times New Roman" w:eastAsia="Times New Roman" w:hint="default"/>
        </w:rPr>
        <w:t>1994</w:t>
      </w:r>
      <w:r>
        <w:rPr>
          <w:rFonts w:ascii="Times New Roman" w:hAnsi="Times New Roman" w:cs="Times New Roman" w:eastAsia="Times New Roman" w:hint="default"/>
          <w:spacing w:val="10"/>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月，经广州市经济贸易委员会穗经企［</w:t>
      </w:r>
      <w:r>
        <w:rPr>
          <w:rFonts w:ascii="Times New Roman" w:hAnsi="Times New Roman" w:cs="Times New Roman" w:eastAsia="Times New Roman" w:hint="default"/>
        </w:rPr>
        <w:t>1994</w:t>
      </w:r>
      <w:r>
        <w:rPr/>
        <w:t>］</w:t>
      </w:r>
      <w:r>
        <w:rPr>
          <w:rFonts w:ascii="Times New Roman" w:hAnsi="Times New Roman" w:cs="Times New Roman" w:eastAsia="Times New Roman" w:hint="default"/>
        </w:rPr>
        <w:t>67</w:t>
      </w:r>
    </w:p>
    <w:p>
      <w:pPr>
        <w:pStyle w:val="BodyText"/>
        <w:spacing w:line="240" w:lineRule="auto"/>
        <w:ind w:right="102"/>
        <w:jc w:val="left"/>
      </w:pPr>
      <w:r>
        <w:rPr/>
        <w:t>号文批准，广州无线电厂整体改制更名为广州无线电集团有限公司。经过</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多年来的改革</w:t>
      </w:r>
    </w:p>
    <w:p>
      <w:pPr>
        <w:pStyle w:val="BodyText"/>
        <w:spacing w:line="240" w:lineRule="auto"/>
        <w:ind w:right="102"/>
        <w:jc w:val="left"/>
      </w:pPr>
      <w:r>
        <w:rPr>
          <w:spacing w:val="-3"/>
        </w:rPr>
        <w:t>创新、产业调整和技术创新，广电集团已发展成为我国</w:t>
      </w:r>
      <w:r>
        <w:rPr>
          <w:spacing w:val="-50"/>
        </w:rPr>
        <w:t> </w:t>
      </w:r>
      <w:r>
        <w:rPr>
          <w:rFonts w:ascii="Times New Roman" w:hAnsi="Times New Roman" w:cs="Times New Roman" w:eastAsia="Times New Roman" w:hint="default"/>
        </w:rPr>
        <w:t>520</w:t>
      </w:r>
      <w:r>
        <w:rPr>
          <w:rFonts w:ascii="Times New Roman" w:hAnsi="Times New Roman" w:cs="Times New Roman" w:eastAsia="Times New Roman" w:hint="default"/>
          <w:spacing w:val="3"/>
        </w:rPr>
        <w:t> </w:t>
      </w:r>
      <w:r>
        <w:rPr>
          <w:spacing w:val="-4"/>
        </w:rPr>
        <w:t>家重点企业、中国电子</w:t>
      </w:r>
      <w:r>
        <w:rPr>
          <w:spacing w:val="-50"/>
        </w:rPr>
        <w:t> </w:t>
      </w:r>
      <w:r>
        <w:rPr>
          <w:rFonts w:ascii="Times New Roman" w:hAnsi="Times New Roman" w:cs="Times New Roman" w:eastAsia="Times New Roman" w:hint="default"/>
        </w:rPr>
        <w:t>100</w:t>
      </w:r>
      <w:r>
        <w:rPr>
          <w:rFonts w:ascii="Times New Roman" w:hAnsi="Times New Roman" w:cs="Times New Roman" w:eastAsia="Times New Roman" w:hint="default"/>
          <w:spacing w:val="3"/>
        </w:rPr>
        <w:t> </w:t>
      </w:r>
      <w:r>
        <w:rPr/>
        <w:t>强企</w:t>
      </w:r>
    </w:p>
    <w:p>
      <w:pPr>
        <w:pStyle w:val="BodyText"/>
        <w:spacing w:line="240" w:lineRule="auto" w:before="49"/>
        <w:ind w:right="0"/>
        <w:jc w:val="left"/>
      </w:pPr>
      <w:r>
        <w:rPr>
          <w:spacing w:val="-3"/>
        </w:rPr>
        <w:t>业、广东省技术创新优势企业和广东省 </w:t>
      </w:r>
      <w:r>
        <w:rPr>
          <w:rFonts w:ascii="Times New Roman" w:hAnsi="Times New Roman" w:cs="Times New Roman" w:eastAsia="Times New Roman" w:hint="default"/>
        </w:rPr>
        <w:t>20</w:t>
      </w:r>
      <w:r>
        <w:rPr>
          <w:rFonts w:ascii="Times New Roman" w:hAnsi="Times New Roman" w:cs="Times New Roman" w:eastAsia="Times New Roman" w:hint="default"/>
          <w:spacing w:val="-30"/>
        </w:rPr>
        <w:t> </w:t>
      </w:r>
      <w:r>
        <w:rPr>
          <w:spacing w:val="-3"/>
        </w:rPr>
        <w:t>家重点装备集团之一，拥有国家级企业技术中心、</w:t>
      </w:r>
    </w:p>
    <w:p>
      <w:pPr>
        <w:pStyle w:val="BodyText"/>
        <w:spacing w:line="240" w:lineRule="auto"/>
        <w:ind w:left="139" w:right="102"/>
        <w:jc w:val="left"/>
      </w:pPr>
      <w:r>
        <w:rPr>
          <w:spacing w:val="-3"/>
        </w:rPr>
        <w:t>博士后科研工作站。目前，广电集团控股及参股企业</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spacing w:val="-4"/>
        </w:rPr>
        <w:t>家，其中软件企业</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spacing w:val="-4"/>
        </w:rPr>
        <w:t>家（国家重点软</w:t>
      </w:r>
    </w:p>
    <w:p>
      <w:pPr>
        <w:pStyle w:val="BodyText"/>
        <w:spacing w:line="288" w:lineRule="auto"/>
        <w:ind w:left="139" w:right="216"/>
        <w:jc w:val="both"/>
      </w:pPr>
      <w:r>
        <w:rPr/>
        <w:t>件企业</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spacing w:val="-3"/>
        </w:rPr>
        <w:t>家）。广电集团下属企业主营业务涉及无线电通信、金融电子、机械加工、房地产</w:t>
      </w:r>
      <w:r>
        <w:rPr/>
        <w:t> </w:t>
      </w:r>
      <w:r>
        <w:rPr>
          <w:spacing w:val="-3"/>
        </w:rPr>
        <w:t>开发和进出口贸易等，使广电集团成为集科、工、贸于一体的综合性、控股型的高科技企业</w:t>
      </w:r>
      <w:r>
        <w:rPr>
          <w:spacing w:val="-80"/>
        </w:rPr>
        <w:t> </w:t>
      </w:r>
      <w:r>
        <w:rPr>
          <w:spacing w:val="-80"/>
        </w:rPr>
      </w:r>
      <w:r>
        <w:rPr/>
        <w:t>集团。</w:t>
      </w:r>
    </w:p>
    <w:p>
      <w:pPr>
        <w:spacing w:after="0" w:line="288" w:lineRule="auto"/>
        <w:jc w:val="both"/>
        <w:sectPr>
          <w:pgSz w:w="11910" w:h="16840"/>
          <w:pgMar w:header="400" w:footer="982" w:top="1100" w:bottom="1180" w:left="1660" w:right="1580"/>
        </w:sectPr>
      </w:pPr>
    </w:p>
    <w:p>
      <w:pPr>
        <w:spacing w:line="240" w:lineRule="auto" w:before="1"/>
        <w:rPr>
          <w:rFonts w:ascii="宋体" w:hAnsi="宋体" w:cs="宋体" w:eastAsia="宋体" w:hint="default"/>
          <w:sz w:val="19"/>
          <w:szCs w:val="19"/>
        </w:rPr>
      </w:pPr>
    </w:p>
    <w:p>
      <w:pPr>
        <w:pStyle w:val="BodyText"/>
        <w:spacing w:line="280" w:lineRule="auto" w:before="35"/>
        <w:ind w:left="1500" w:right="1069"/>
        <w:jc w:val="left"/>
      </w:pPr>
      <w:bookmarkStart w:name="_bookmark3" w:id="4"/>
      <w:bookmarkEnd w:id="4"/>
      <w:r>
        <w:rPr/>
      </w:r>
      <w:r>
        <w:rPr>
          <w:rFonts w:ascii="Times New Roman" w:hAnsi="Times New Roman" w:cs="Times New Roman" w:eastAsia="Times New Roman" w:hint="default"/>
        </w:rPr>
        <w:t>2</w:t>
      </w:r>
      <w:r>
        <w:rPr/>
        <w:t>、公司实际控制人情况 </w:t>
      </w:r>
      <w:r>
        <w:rPr>
          <w:spacing w:val="-3"/>
        </w:rPr>
        <w:t>公司的实际控制人为广州市国资委。广州市国资委根据广州市人民政府授权，依法履行</w:t>
      </w:r>
    </w:p>
    <w:p>
      <w:pPr>
        <w:pStyle w:val="BodyText"/>
        <w:spacing w:line="240" w:lineRule="auto" w:before="29"/>
        <w:ind w:left="1080" w:right="1069"/>
        <w:jc w:val="left"/>
      </w:pPr>
      <w:r>
        <w:rPr/>
        <w:t>出资人职责，对广州市国有资产管理工作进行指导和监督。</w:t>
      </w:r>
    </w:p>
    <w:p>
      <w:pPr>
        <w:spacing w:line="240" w:lineRule="auto" w:before="6"/>
        <w:rPr>
          <w:rFonts w:ascii="宋体" w:hAnsi="宋体" w:cs="宋体" w:eastAsia="宋体" w:hint="default"/>
          <w:sz w:val="23"/>
          <w:szCs w:val="23"/>
        </w:rPr>
      </w:pPr>
    </w:p>
    <w:p>
      <w:pPr>
        <w:pStyle w:val="BodyText"/>
        <w:spacing w:line="280" w:lineRule="auto" w:before="0"/>
        <w:ind w:left="1500" w:right="3694"/>
        <w:jc w:val="left"/>
      </w:pPr>
      <w:r>
        <w:rPr>
          <w:rFonts w:ascii="Times New Roman" w:hAnsi="Times New Roman" w:cs="Times New Roman" w:eastAsia="Times New Roman" w:hint="default"/>
        </w:rPr>
        <w:t>3</w:t>
      </w:r>
      <w:r>
        <w:rPr/>
        <w:t>、控股股东及实际控制人变更情况 本报告期内，公司控股股东及实际控制人没有发生变更。</w:t>
      </w:r>
    </w:p>
    <w:p>
      <w:pPr>
        <w:pStyle w:val="BodyText"/>
        <w:spacing w:line="240" w:lineRule="auto" w:before="150"/>
        <w:ind w:left="1500" w:right="1069"/>
        <w:jc w:val="left"/>
      </w:pPr>
      <w:r>
        <w:rPr>
          <w:rFonts w:ascii="Times New Roman" w:hAnsi="Times New Roman" w:cs="Times New Roman" w:eastAsia="Times New Roman" w:hint="default"/>
        </w:rPr>
        <w:t>4</w:t>
      </w:r>
      <w:r>
        <w:rPr/>
        <w:t>、公司与实际控制人之间的产权和控制关系方框图</w:t>
      </w:r>
    </w:p>
    <w:p>
      <w:pPr>
        <w:spacing w:line="240" w:lineRule="auto" w:before="8"/>
        <w:rPr>
          <w:rFonts w:ascii="宋体" w:hAnsi="宋体" w:cs="宋体" w:eastAsia="宋体" w:hint="default"/>
          <w:sz w:val="15"/>
          <w:szCs w:val="15"/>
        </w:rPr>
      </w:pPr>
    </w:p>
    <w:p>
      <w:pPr>
        <w:spacing w:line="4045" w:lineRule="exact"/>
        <w:ind w:left="1903" w:right="0" w:firstLine="0"/>
        <w:rPr>
          <w:rFonts w:ascii="宋体" w:hAnsi="宋体" w:cs="宋体" w:eastAsia="宋体" w:hint="default"/>
          <w:sz w:val="20"/>
          <w:szCs w:val="20"/>
        </w:rPr>
      </w:pPr>
      <w:r>
        <w:rPr>
          <w:rFonts w:ascii="宋体" w:hAnsi="宋体" w:cs="宋体" w:eastAsia="宋体" w:hint="default"/>
          <w:position w:val="-80"/>
          <w:sz w:val="20"/>
          <w:szCs w:val="20"/>
        </w:rPr>
        <w:drawing>
          <wp:inline distT="0" distB="0" distL="0" distR="0">
            <wp:extent cx="4209433" cy="2568892"/>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1" cstate="print"/>
                    <a:stretch>
                      <a:fillRect/>
                    </a:stretch>
                  </pic:blipFill>
                  <pic:spPr>
                    <a:xfrm>
                      <a:off x="0" y="0"/>
                      <a:ext cx="4209433" cy="2568892"/>
                    </a:xfrm>
                    <a:prstGeom prst="rect">
                      <a:avLst/>
                    </a:prstGeom>
                  </pic:spPr>
                </pic:pic>
              </a:graphicData>
            </a:graphic>
          </wp:inline>
        </w:drawing>
      </w:r>
      <w:r>
        <w:rPr>
          <w:rFonts w:ascii="宋体" w:hAnsi="宋体" w:cs="宋体" w:eastAsia="宋体" w:hint="default"/>
          <w:position w:val="-80"/>
          <w:sz w:val="20"/>
          <w:szCs w:val="20"/>
        </w:rPr>
      </w:r>
    </w:p>
    <w:p>
      <w:pPr>
        <w:spacing w:line="240" w:lineRule="auto" w:before="12"/>
        <w:rPr>
          <w:rFonts w:ascii="宋体" w:hAnsi="宋体" w:cs="宋体" w:eastAsia="宋体" w:hint="default"/>
          <w:sz w:val="21"/>
          <w:szCs w:val="21"/>
        </w:rPr>
      </w:pPr>
    </w:p>
    <w:p>
      <w:pPr>
        <w:pStyle w:val="BodyText"/>
        <w:spacing w:line="280" w:lineRule="auto" w:before="0"/>
        <w:ind w:left="1500" w:right="2840" w:hanging="1"/>
        <w:jc w:val="left"/>
      </w:pPr>
      <w:r>
        <w:rPr>
          <w:rFonts w:ascii="Times New Roman" w:hAnsi="Times New Roman" w:cs="Times New Roman" w:eastAsia="Times New Roman" w:hint="default"/>
        </w:rPr>
        <w:t>5</w:t>
      </w:r>
      <w:r>
        <w:rPr/>
        <w:t>、其他持股在</w:t>
      </w:r>
      <w:r>
        <w:rPr>
          <w:spacing w:val="-54"/>
        </w:rPr>
        <w:t> </w:t>
      </w:r>
      <w:r>
        <w:rPr>
          <w:rFonts w:ascii="Times New Roman" w:hAnsi="Times New Roman" w:cs="Times New Roman" w:eastAsia="Times New Roman" w:hint="default"/>
        </w:rPr>
        <w:t>10%</w:t>
      </w:r>
      <w:r>
        <w:rPr/>
        <w:t>以上的法人股东情况 截止报告期末，本公司无其他持股在</w:t>
      </w:r>
      <w:r>
        <w:rPr>
          <w:spacing w:val="-56"/>
        </w:rPr>
        <w:t> </w:t>
      </w:r>
      <w:r>
        <w:rPr>
          <w:rFonts w:ascii="Times New Roman" w:hAnsi="Times New Roman" w:cs="Times New Roman" w:eastAsia="Times New Roman" w:hint="default"/>
        </w:rPr>
        <w:t>10%</w:t>
      </w:r>
      <w:r>
        <w:rPr/>
        <w:t>以上（含）的法人股东。</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32"/>
          <w:szCs w:val="32"/>
        </w:rPr>
      </w:pPr>
    </w:p>
    <w:p>
      <w:pPr>
        <w:pStyle w:val="Heading1"/>
        <w:spacing w:line="240" w:lineRule="auto" w:before="0"/>
        <w:ind w:left="1940" w:right="1069"/>
        <w:jc w:val="left"/>
        <w:rPr>
          <w:b w:val="0"/>
          <w:bCs w:val="0"/>
        </w:rPr>
      </w:pPr>
      <w:r>
        <w:rPr/>
        <w:t>第四节</w:t>
      </w:r>
      <w:r>
        <w:rPr>
          <w:spacing w:val="-16"/>
        </w:rPr>
        <w:t> </w:t>
      </w:r>
      <w:r>
        <w:rPr/>
        <w:t>董事、监事、高级管理人员和员工情况</w:t>
      </w:r>
      <w:r>
        <w:rPr>
          <w:b w:val="0"/>
          <w:bCs w:val="0"/>
        </w:rPr>
      </w:r>
    </w:p>
    <w:p>
      <w:pPr>
        <w:spacing w:line="240" w:lineRule="auto" w:before="6"/>
        <w:rPr>
          <w:rFonts w:ascii="宋体" w:hAnsi="宋体" w:cs="宋体" w:eastAsia="宋体" w:hint="default"/>
          <w:b/>
          <w:bCs/>
          <w:sz w:val="38"/>
          <w:szCs w:val="38"/>
        </w:rPr>
      </w:pPr>
    </w:p>
    <w:p>
      <w:pPr>
        <w:pStyle w:val="Heading2"/>
        <w:spacing w:line="240" w:lineRule="auto"/>
        <w:ind w:left="1080" w:right="1069"/>
        <w:jc w:val="left"/>
        <w:rPr>
          <w:b w:val="0"/>
          <w:bCs w:val="0"/>
        </w:rPr>
      </w:pPr>
      <w:r>
        <w:rPr/>
        <w:t>一、公司董事、监事、高级管理人员情况</w:t>
      </w:r>
      <w:r>
        <w:rPr>
          <w:b w:val="0"/>
          <w:bCs w:val="0"/>
        </w:rPr>
      </w:r>
    </w:p>
    <w:p>
      <w:pPr>
        <w:pStyle w:val="BodyText"/>
        <w:spacing w:line="240" w:lineRule="auto" w:before="128"/>
        <w:ind w:left="1080" w:right="1069"/>
        <w:jc w:val="left"/>
      </w:pPr>
      <w:r>
        <w:rPr/>
        <w:t>（一）董事、监事、高级管理人员的持股变动及报酬情况</w:t>
      </w: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632"/>
        <w:gridCol w:w="805"/>
        <w:gridCol w:w="252"/>
        <w:gridCol w:w="288"/>
        <w:gridCol w:w="1548"/>
        <w:gridCol w:w="1548"/>
        <w:gridCol w:w="864"/>
        <w:gridCol w:w="900"/>
        <w:gridCol w:w="1385"/>
        <w:gridCol w:w="995"/>
        <w:gridCol w:w="1002"/>
      </w:tblGrid>
      <w:tr>
        <w:trPr>
          <w:trHeight w:val="943" w:hRule="exact"/>
        </w:trPr>
        <w:tc>
          <w:tcPr>
            <w:tcW w:w="6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8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17"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2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29" w:right="30"/>
              <w:jc w:val="left"/>
              <w:rPr>
                <w:rFonts w:ascii="宋体" w:hAnsi="宋体" w:cs="宋体" w:eastAsia="宋体" w:hint="default"/>
                <w:sz w:val="18"/>
                <w:szCs w:val="18"/>
              </w:rPr>
            </w:pPr>
            <w:r>
              <w:rPr>
                <w:rFonts w:ascii="宋体" w:hAnsi="宋体" w:cs="宋体" w:eastAsia="宋体" w:hint="default"/>
                <w:sz w:val="18"/>
                <w:szCs w:val="18"/>
              </w:rPr>
              <w:t>性 别</w:t>
            </w:r>
          </w:p>
        </w:tc>
        <w:tc>
          <w:tcPr>
            <w:tcW w:w="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48" w:right="48"/>
              <w:jc w:val="left"/>
              <w:rPr>
                <w:rFonts w:ascii="宋体" w:hAnsi="宋体" w:cs="宋体" w:eastAsia="宋体" w:hint="default"/>
                <w:sz w:val="18"/>
                <w:szCs w:val="18"/>
              </w:rPr>
            </w:pPr>
            <w:r>
              <w:rPr>
                <w:rFonts w:ascii="宋体" w:hAnsi="宋体" w:cs="宋体" w:eastAsia="宋体" w:hint="default"/>
                <w:sz w:val="18"/>
                <w:szCs w:val="18"/>
              </w:rPr>
              <w:t>年 龄</w:t>
            </w:r>
          </w:p>
        </w:tc>
        <w:tc>
          <w:tcPr>
            <w:tcW w:w="1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8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65" w:right="66"/>
              <w:jc w:val="left"/>
              <w:rPr>
                <w:rFonts w:ascii="宋体" w:hAnsi="宋体" w:cs="宋体" w:eastAsia="宋体" w:hint="default"/>
                <w:sz w:val="18"/>
                <w:szCs w:val="18"/>
              </w:rPr>
            </w:pPr>
            <w:r>
              <w:rPr>
                <w:rFonts w:ascii="宋体" w:hAnsi="宋体" w:cs="宋体" w:eastAsia="宋体" w:hint="default"/>
                <w:sz w:val="18"/>
                <w:szCs w:val="18"/>
              </w:rPr>
              <w:t>年初持股 数（股）</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83" w:right="84"/>
              <w:jc w:val="left"/>
              <w:rPr>
                <w:rFonts w:ascii="宋体" w:hAnsi="宋体" w:cs="宋体" w:eastAsia="宋体" w:hint="default"/>
                <w:sz w:val="18"/>
                <w:szCs w:val="18"/>
              </w:rPr>
            </w:pPr>
            <w:r>
              <w:rPr>
                <w:rFonts w:ascii="宋体" w:hAnsi="宋体" w:cs="宋体" w:eastAsia="宋体" w:hint="default"/>
                <w:sz w:val="18"/>
                <w:szCs w:val="18"/>
              </w:rPr>
              <w:t>年末持股 数（股）</w:t>
            </w:r>
          </w:p>
        </w:tc>
        <w:tc>
          <w:tcPr>
            <w:tcW w:w="13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变动原因</w:t>
            </w:r>
          </w:p>
        </w:tc>
        <w:tc>
          <w:tcPr>
            <w:tcW w:w="9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43" w:right="0"/>
              <w:jc w:val="left"/>
              <w:rPr>
                <w:rFonts w:ascii="宋体" w:hAnsi="宋体" w:cs="宋体" w:eastAsia="宋体" w:hint="default"/>
                <w:sz w:val="18"/>
                <w:szCs w:val="18"/>
              </w:rPr>
            </w:pPr>
            <w:r>
              <w:rPr>
                <w:rFonts w:ascii="宋体" w:hAnsi="宋体" w:cs="宋体" w:eastAsia="宋体" w:hint="default"/>
                <w:sz w:val="18"/>
                <w:szCs w:val="18"/>
              </w:rPr>
              <w:t>报告期内从</w:t>
            </w:r>
          </w:p>
          <w:p>
            <w:pPr>
              <w:pStyle w:val="TableParagraph"/>
              <w:spacing w:line="240" w:lineRule="auto"/>
              <w:ind w:left="133" w:right="41" w:hanging="90"/>
              <w:jc w:val="left"/>
              <w:rPr>
                <w:rFonts w:ascii="宋体" w:hAnsi="宋体" w:cs="宋体" w:eastAsia="宋体" w:hint="default"/>
                <w:sz w:val="18"/>
                <w:szCs w:val="18"/>
              </w:rPr>
            </w:pPr>
            <w:r>
              <w:rPr>
                <w:rFonts w:ascii="宋体" w:hAnsi="宋体" w:cs="宋体" w:eastAsia="宋体" w:hint="default"/>
                <w:sz w:val="18"/>
                <w:szCs w:val="18"/>
              </w:rPr>
              <w:t>公司领取的 报酬总额</w:t>
            </w:r>
          </w:p>
          <w:p>
            <w:pPr>
              <w:pStyle w:val="TableParagraph"/>
              <w:spacing w:line="233" w:lineRule="exact"/>
              <w:ind w:left="13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是否在股东</w:t>
            </w:r>
          </w:p>
          <w:p>
            <w:pPr>
              <w:pStyle w:val="TableParagraph"/>
              <w:spacing w:line="237" w:lineRule="auto"/>
              <w:ind w:left="45" w:right="44"/>
              <w:jc w:val="center"/>
              <w:rPr>
                <w:rFonts w:ascii="宋体" w:hAnsi="宋体" w:cs="宋体" w:eastAsia="宋体" w:hint="default"/>
                <w:sz w:val="18"/>
                <w:szCs w:val="18"/>
              </w:rPr>
            </w:pPr>
            <w:r>
              <w:rPr>
                <w:rFonts w:ascii="宋体" w:hAnsi="宋体" w:cs="宋体" w:eastAsia="宋体" w:hint="default"/>
                <w:sz w:val="18"/>
                <w:szCs w:val="18"/>
              </w:rPr>
              <w:t>单位或其他 关联单位领 取薪酬</w:t>
            </w:r>
          </w:p>
        </w:tc>
      </w:tr>
      <w:tr>
        <w:trPr>
          <w:trHeight w:val="478"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2"/>
              <w:jc w:val="center"/>
              <w:rPr>
                <w:rFonts w:ascii="宋体" w:hAnsi="宋体" w:cs="宋体" w:eastAsia="宋体" w:hint="default"/>
                <w:sz w:val="18"/>
                <w:szCs w:val="18"/>
              </w:rPr>
            </w:pPr>
            <w:r>
              <w:rPr>
                <w:rFonts w:ascii="宋体" w:hAnsi="宋体" w:cs="宋体" w:eastAsia="宋体" w:hint="default"/>
                <w:sz w:val="18"/>
                <w:szCs w:val="18"/>
              </w:rPr>
              <w:t>赵友永</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51</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4,731,750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8,963,500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公积金转增、减</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持部分解禁股</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76"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2"/>
              <w:jc w:val="center"/>
              <w:rPr>
                <w:rFonts w:ascii="宋体" w:hAnsi="宋体" w:cs="宋体" w:eastAsia="宋体" w:hint="default"/>
                <w:sz w:val="18"/>
                <w:szCs w:val="18"/>
              </w:rPr>
            </w:pPr>
            <w:r>
              <w:rPr>
                <w:rFonts w:ascii="宋体" w:hAnsi="宋体" w:cs="宋体" w:eastAsia="宋体" w:hint="default"/>
                <w:sz w:val="18"/>
                <w:szCs w:val="18"/>
              </w:rPr>
              <w:t>叶子瑜</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pacing w:val="9"/>
                <w:sz w:val="18"/>
                <w:szCs w:val="18"/>
              </w:rPr>
              <w:t>董事、总</w:t>
            </w:r>
            <w:r>
              <w:rPr>
                <w:rFonts w:ascii="宋体" w:hAnsi="宋体" w:cs="宋体" w:eastAsia="宋体" w:hint="default"/>
                <w:sz w:val="18"/>
                <w:szCs w:val="18"/>
              </w:rPr>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46</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1,419,525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2,539,050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公积金转增、减</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持部分解禁股</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161.26</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张招兴</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46</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946,350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1,892,700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公积金转增</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76"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2"/>
              <w:jc w:val="center"/>
              <w:rPr>
                <w:rFonts w:ascii="宋体" w:hAnsi="宋体" w:cs="宋体" w:eastAsia="宋体" w:hint="default"/>
                <w:sz w:val="18"/>
                <w:szCs w:val="18"/>
              </w:rPr>
            </w:pPr>
            <w:r>
              <w:rPr>
                <w:rFonts w:ascii="宋体" w:hAnsi="宋体" w:cs="宋体" w:eastAsia="宋体" w:hint="default"/>
                <w:sz w:val="18"/>
                <w:szCs w:val="18"/>
              </w:rPr>
              <w:t>王  俊</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46</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473,175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729,762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公积金转增、减</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持部分解禁股</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44"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张宗贵</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42</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w:t>
            </w:r>
          </w:p>
        </w:tc>
        <w:tc>
          <w:tcPr>
            <w:tcW w:w="1385"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44"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刘维锦</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47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w:t>
            </w:r>
          </w:p>
        </w:tc>
        <w:tc>
          <w:tcPr>
            <w:tcW w:w="1385"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44"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施意耀</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62</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w:t>
            </w:r>
          </w:p>
        </w:tc>
        <w:tc>
          <w:tcPr>
            <w:tcW w:w="1385"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44"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王礼贵</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48</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w:t>
            </w:r>
          </w:p>
        </w:tc>
        <w:tc>
          <w:tcPr>
            <w:tcW w:w="1385"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6.00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罗坚生</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63</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w:t>
            </w:r>
          </w:p>
        </w:tc>
        <w:tc>
          <w:tcPr>
            <w:tcW w:w="1385"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1.50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05" w:lineRule="exact"/>
        <w:jc w:val="center"/>
        <w:rPr>
          <w:rFonts w:ascii="宋体" w:hAnsi="宋体" w:cs="宋体" w:eastAsia="宋体" w:hint="default"/>
          <w:sz w:val="18"/>
          <w:szCs w:val="18"/>
        </w:rPr>
        <w:sectPr>
          <w:pgSz w:w="11910" w:h="16840"/>
          <w:pgMar w:header="400" w:footer="982" w:top="1100" w:bottom="1180" w:left="720" w:right="720"/>
        </w:sectPr>
      </w:pPr>
    </w:p>
    <w:p>
      <w:pPr>
        <w:spacing w:line="240" w:lineRule="auto" w:before="6"/>
        <w:rPr>
          <w:rFonts w:ascii="宋体" w:hAnsi="宋体" w:cs="宋体" w:eastAsia="宋体" w:hint="default"/>
          <w:sz w:val="24"/>
          <w:szCs w:val="24"/>
        </w:rPr>
      </w:pPr>
    </w:p>
    <w:tbl>
      <w:tblPr>
        <w:tblW w:w="0" w:type="auto"/>
        <w:jc w:val="left"/>
        <w:tblInd w:w="117" w:type="dxa"/>
        <w:tblLayout w:type="fixed"/>
        <w:tblCellMar>
          <w:top w:w="0" w:type="dxa"/>
          <w:left w:w="0" w:type="dxa"/>
          <w:bottom w:w="0" w:type="dxa"/>
          <w:right w:w="0" w:type="dxa"/>
        </w:tblCellMar>
        <w:tblLook w:val="01E0"/>
      </w:tblPr>
      <w:tblGrid>
        <w:gridCol w:w="632"/>
        <w:gridCol w:w="805"/>
        <w:gridCol w:w="252"/>
        <w:gridCol w:w="288"/>
        <w:gridCol w:w="1548"/>
        <w:gridCol w:w="1548"/>
        <w:gridCol w:w="864"/>
        <w:gridCol w:w="900"/>
        <w:gridCol w:w="1385"/>
        <w:gridCol w:w="995"/>
        <w:gridCol w:w="1002"/>
      </w:tblGrid>
      <w:tr>
        <w:trPr>
          <w:trHeight w:val="244"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李进一</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 w:right="0"/>
              <w:jc w:val="left"/>
              <w:rPr>
                <w:rFonts w:ascii="Times New Roman" w:hAnsi="Times New Roman" w:cs="Times New Roman" w:eastAsia="Times New Roman" w:hint="default"/>
                <w:sz w:val="18"/>
                <w:szCs w:val="18"/>
              </w:rPr>
            </w:pPr>
            <w:r>
              <w:rPr>
                <w:rFonts w:ascii="Times New Roman"/>
                <w:sz w:val="18"/>
              </w:rPr>
              <w:t>45</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w:t>
            </w:r>
          </w:p>
        </w:tc>
        <w:tc>
          <w:tcPr>
            <w:tcW w:w="1385"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6.00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程  昆</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 w:right="0"/>
              <w:jc w:val="left"/>
              <w:rPr>
                <w:rFonts w:ascii="Times New Roman" w:hAnsi="Times New Roman" w:cs="Times New Roman" w:eastAsia="Times New Roman" w:hint="default"/>
                <w:sz w:val="18"/>
                <w:szCs w:val="18"/>
              </w:rPr>
            </w:pPr>
            <w:r>
              <w:rPr>
                <w:rFonts w:ascii="Times New Roman"/>
                <w:sz w:val="18"/>
              </w:rPr>
              <w:t>43</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w:t>
            </w:r>
          </w:p>
        </w:tc>
        <w:tc>
          <w:tcPr>
            <w:tcW w:w="1385"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4.18</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2"/>
              <w:jc w:val="center"/>
              <w:rPr>
                <w:rFonts w:ascii="宋体" w:hAnsi="宋体" w:cs="宋体" w:eastAsia="宋体" w:hint="default"/>
                <w:sz w:val="18"/>
                <w:szCs w:val="18"/>
              </w:rPr>
            </w:pPr>
            <w:r>
              <w:rPr>
                <w:rFonts w:ascii="宋体" w:hAnsi="宋体" w:cs="宋体" w:eastAsia="宋体" w:hint="default"/>
                <w:sz w:val="18"/>
                <w:szCs w:val="18"/>
              </w:rPr>
              <w:t>祝立新</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pacing w:val="9"/>
                <w:sz w:val="18"/>
                <w:szCs w:val="18"/>
              </w:rPr>
              <w:t>监事会主</w:t>
            </w:r>
            <w:r>
              <w:rPr>
                <w:rFonts w:ascii="宋体" w:hAnsi="宋体" w:cs="宋体" w:eastAsia="宋体" w:hint="default"/>
                <w:sz w:val="18"/>
                <w:szCs w:val="18"/>
              </w:rPr>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席</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74" w:right="0"/>
              <w:jc w:val="left"/>
              <w:rPr>
                <w:rFonts w:ascii="Times New Roman" w:hAnsi="Times New Roman" w:cs="Times New Roman" w:eastAsia="Times New Roman" w:hint="default"/>
                <w:sz w:val="18"/>
                <w:szCs w:val="18"/>
              </w:rPr>
            </w:pPr>
            <w:r>
              <w:rPr>
                <w:rFonts w:ascii="Times New Roman"/>
                <w:sz w:val="18"/>
              </w:rPr>
              <w:t>41</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378,540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637,080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公积金转增、减</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持部分解禁股</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44"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周建康</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 w:right="0"/>
              <w:jc w:val="left"/>
              <w:rPr>
                <w:rFonts w:ascii="Times New Roman" w:hAnsi="Times New Roman" w:cs="Times New Roman" w:eastAsia="Times New Roman" w:hint="default"/>
                <w:sz w:val="18"/>
                <w:szCs w:val="18"/>
              </w:rPr>
            </w:pPr>
            <w:r>
              <w:rPr>
                <w:rFonts w:ascii="Times New Roman"/>
                <w:sz w:val="18"/>
              </w:rPr>
              <w:t>46</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5" w:right="0"/>
              <w:jc w:val="left"/>
              <w:rPr>
                <w:rFonts w:ascii="宋体" w:hAnsi="宋体" w:cs="宋体" w:eastAsia="宋体" w:hint="default"/>
                <w:sz w:val="18"/>
                <w:szCs w:val="18"/>
              </w:rPr>
            </w:pPr>
            <w:r>
              <w:rPr>
                <w:rFonts w:ascii="宋体" w:hAnsi="宋体" w:cs="宋体" w:eastAsia="宋体" w:hint="default"/>
                <w:sz w:val="18"/>
                <w:szCs w:val="18"/>
              </w:rPr>
              <w:t>注①</w:t>
            </w:r>
          </w:p>
        </w:tc>
        <w:tc>
          <w:tcPr>
            <w:tcW w:w="90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76"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2"/>
              <w:jc w:val="center"/>
              <w:rPr>
                <w:rFonts w:ascii="宋体" w:hAnsi="宋体" w:cs="宋体" w:eastAsia="宋体" w:hint="default"/>
                <w:sz w:val="18"/>
                <w:szCs w:val="18"/>
              </w:rPr>
            </w:pPr>
            <w:r>
              <w:rPr>
                <w:rFonts w:ascii="宋体" w:hAnsi="宋体" w:cs="宋体" w:eastAsia="宋体" w:hint="default"/>
                <w:sz w:val="18"/>
                <w:szCs w:val="18"/>
              </w:rPr>
              <w:t>冯丰穗</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工会主席</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4"/>
              <w:jc w:val="center"/>
              <w:rPr>
                <w:rFonts w:ascii="宋体" w:hAnsi="宋体" w:cs="宋体" w:eastAsia="宋体" w:hint="default"/>
                <w:sz w:val="18"/>
                <w:szCs w:val="18"/>
              </w:rPr>
            </w:pPr>
            <w:r>
              <w:rPr>
                <w:rFonts w:ascii="宋体" w:hAnsi="宋体" w:cs="宋体" w:eastAsia="宋体" w:hint="default"/>
                <w:sz w:val="18"/>
                <w:szCs w:val="18"/>
              </w:rPr>
              <w:t>女</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74" w:right="0"/>
              <w:jc w:val="left"/>
              <w:rPr>
                <w:rFonts w:ascii="Times New Roman" w:hAnsi="Times New Roman" w:cs="Times New Roman" w:eastAsia="Times New Roman" w:hint="default"/>
                <w:sz w:val="18"/>
                <w:szCs w:val="18"/>
              </w:rPr>
            </w:pPr>
            <w:r>
              <w:rPr>
                <w:rFonts w:ascii="Times New Roman"/>
                <w:sz w:val="18"/>
              </w:rPr>
              <w:t>44</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189,270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283,904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公积金转增、减</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持部分解禁股</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12.98</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2"/>
              <w:jc w:val="center"/>
              <w:rPr>
                <w:rFonts w:ascii="宋体" w:hAnsi="宋体" w:cs="宋体" w:eastAsia="宋体" w:hint="default"/>
                <w:sz w:val="18"/>
                <w:szCs w:val="18"/>
              </w:rPr>
            </w:pPr>
            <w:r>
              <w:rPr>
                <w:rFonts w:ascii="宋体" w:hAnsi="宋体" w:cs="宋体" w:eastAsia="宋体" w:hint="default"/>
                <w:sz w:val="18"/>
                <w:szCs w:val="18"/>
              </w:rPr>
              <w:t>陈振光</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74" w:right="0"/>
              <w:jc w:val="left"/>
              <w:rPr>
                <w:rFonts w:ascii="Times New Roman" w:hAnsi="Times New Roman" w:cs="Times New Roman" w:eastAsia="Times New Roman" w:hint="default"/>
                <w:sz w:val="18"/>
                <w:szCs w:val="18"/>
              </w:rPr>
            </w:pPr>
            <w:r>
              <w:rPr>
                <w:rFonts w:ascii="Times New Roman"/>
                <w:sz w:val="18"/>
              </w:rPr>
              <w:t>46</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1,419,525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2,177,601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公积金转增、减</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持部分解禁股</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80.57</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束  萌</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 w:right="0"/>
              <w:jc w:val="left"/>
              <w:rPr>
                <w:rFonts w:ascii="Times New Roman" w:hAnsi="Times New Roman" w:cs="Times New Roman" w:eastAsia="Times New Roman" w:hint="default"/>
                <w:sz w:val="18"/>
                <w:szCs w:val="18"/>
              </w:rPr>
            </w:pPr>
            <w:r>
              <w:rPr>
                <w:rFonts w:ascii="Times New Roman"/>
                <w:sz w:val="18"/>
              </w:rPr>
              <w:t>55</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94,635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189,270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公积金转增</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170.03</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曾  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 w:right="0"/>
              <w:jc w:val="left"/>
              <w:rPr>
                <w:rFonts w:ascii="Times New Roman" w:hAnsi="Times New Roman" w:cs="Times New Roman" w:eastAsia="Times New Roman" w:hint="default"/>
                <w:sz w:val="18"/>
                <w:szCs w:val="18"/>
              </w:rPr>
            </w:pPr>
            <w:r>
              <w:rPr>
                <w:rFonts w:ascii="Times New Roman"/>
                <w:sz w:val="18"/>
              </w:rPr>
              <w:t>42</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1,419,525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2,839,050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公积金转增</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80.38</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2"/>
              <w:jc w:val="center"/>
              <w:rPr>
                <w:rFonts w:ascii="宋体" w:hAnsi="宋体" w:cs="宋体" w:eastAsia="宋体" w:hint="default"/>
                <w:sz w:val="18"/>
                <w:szCs w:val="18"/>
              </w:rPr>
            </w:pPr>
            <w:r>
              <w:rPr>
                <w:rFonts w:ascii="宋体" w:hAnsi="宋体" w:cs="宋体" w:eastAsia="宋体" w:hint="default"/>
                <w:sz w:val="18"/>
                <w:szCs w:val="18"/>
              </w:rPr>
              <w:t>陈建良</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74" w:right="0"/>
              <w:jc w:val="left"/>
              <w:rPr>
                <w:rFonts w:ascii="Times New Roman" w:hAnsi="Times New Roman" w:cs="Times New Roman" w:eastAsia="Times New Roman" w:hint="default"/>
                <w:sz w:val="18"/>
                <w:szCs w:val="18"/>
              </w:rPr>
            </w:pPr>
            <w:r>
              <w:rPr>
                <w:rFonts w:ascii="Times New Roman"/>
                <w:sz w:val="18"/>
              </w:rPr>
              <w:t>42</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283,905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425,858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公积金转增、减</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持部分解禁股</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84.42</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李叶东</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 w:right="0"/>
              <w:jc w:val="left"/>
              <w:rPr>
                <w:rFonts w:ascii="Times New Roman" w:hAnsi="Times New Roman" w:cs="Times New Roman" w:eastAsia="Times New Roman" w:hint="default"/>
                <w:sz w:val="18"/>
                <w:szCs w:val="18"/>
              </w:rPr>
            </w:pPr>
            <w:r>
              <w:rPr>
                <w:rFonts w:ascii="Times New Roman"/>
                <w:sz w:val="18"/>
              </w:rPr>
              <w:t>38</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37,854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75,708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公积金转增</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80.62</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2"/>
              <w:jc w:val="center"/>
              <w:rPr>
                <w:rFonts w:ascii="宋体" w:hAnsi="宋体" w:cs="宋体" w:eastAsia="宋体" w:hint="default"/>
                <w:sz w:val="18"/>
                <w:szCs w:val="18"/>
              </w:rPr>
            </w:pPr>
            <w:r>
              <w:rPr>
                <w:rFonts w:ascii="宋体" w:hAnsi="宋体" w:cs="宋体" w:eastAsia="宋体" w:hint="default"/>
                <w:sz w:val="18"/>
                <w:szCs w:val="18"/>
              </w:rPr>
              <w:t>蒋春晨</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74" w:right="0"/>
              <w:jc w:val="left"/>
              <w:rPr>
                <w:rFonts w:ascii="Times New Roman" w:hAnsi="Times New Roman" w:cs="Times New Roman" w:eastAsia="Times New Roman" w:hint="default"/>
                <w:sz w:val="18"/>
                <w:szCs w:val="18"/>
              </w:rPr>
            </w:pPr>
            <w:r>
              <w:rPr>
                <w:rFonts w:ascii="Times New Roman"/>
                <w:sz w:val="18"/>
              </w:rPr>
              <w:t>45</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189,270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283,904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公积金转增、减</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持部分解禁股</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42.57</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2"/>
              <w:jc w:val="center"/>
              <w:rPr>
                <w:rFonts w:ascii="宋体" w:hAnsi="宋体" w:cs="宋体" w:eastAsia="宋体" w:hint="default"/>
                <w:sz w:val="18"/>
                <w:szCs w:val="18"/>
              </w:rPr>
            </w:pPr>
            <w:r>
              <w:rPr>
                <w:rFonts w:ascii="宋体" w:hAnsi="宋体" w:cs="宋体" w:eastAsia="宋体" w:hint="default"/>
                <w:sz w:val="18"/>
                <w:szCs w:val="18"/>
              </w:rPr>
              <w:t>任  斌</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pacing w:val="9"/>
                <w:sz w:val="18"/>
                <w:szCs w:val="18"/>
              </w:rPr>
              <w:t>董事、董</w:t>
            </w:r>
            <w:r>
              <w:rPr>
                <w:rFonts w:ascii="宋体" w:hAnsi="宋体" w:cs="宋体" w:eastAsia="宋体" w:hint="default"/>
                <w:sz w:val="18"/>
                <w:szCs w:val="18"/>
              </w:rPr>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事会秘书</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4"/>
              <w:jc w:val="center"/>
              <w:rPr>
                <w:rFonts w:ascii="宋体" w:hAnsi="宋体" w:cs="宋体" w:eastAsia="宋体" w:hint="default"/>
                <w:sz w:val="18"/>
                <w:szCs w:val="18"/>
              </w:rPr>
            </w:pPr>
            <w:r>
              <w:rPr>
                <w:rFonts w:ascii="宋体" w:hAnsi="宋体" w:cs="宋体" w:eastAsia="宋体" w:hint="default"/>
                <w:sz w:val="18"/>
                <w:szCs w:val="18"/>
              </w:rPr>
              <w:t>女</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74" w:right="0"/>
              <w:jc w:val="left"/>
              <w:rPr>
                <w:rFonts w:ascii="Times New Roman" w:hAnsi="Times New Roman" w:cs="Times New Roman" w:eastAsia="Times New Roman" w:hint="default"/>
                <w:sz w:val="18"/>
                <w:szCs w:val="18"/>
              </w:rPr>
            </w:pPr>
            <w:r>
              <w:rPr>
                <w:rFonts w:ascii="Times New Roman"/>
                <w:sz w:val="18"/>
              </w:rPr>
              <w:t>39</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c>
          <w:tcPr>
            <w:tcW w:w="1385"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33.24</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6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0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11,583,324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21,037,387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763.75</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97" w:lineRule="auto" w:before="84"/>
        <w:ind w:left="1080" w:right="1076"/>
        <w:jc w:val="both"/>
      </w:pPr>
      <w:r>
        <w:rPr>
          <w:spacing w:val="-3"/>
        </w:rPr>
        <w:t>注：①公司监事周建康是公司发起人股东广州藤川科技有限公司的出资人，其通过法人股东</w:t>
      </w:r>
      <w:r>
        <w:rPr>
          <w:spacing w:val="-79"/>
        </w:rPr>
        <w:t> </w:t>
      </w:r>
      <w:r>
        <w:rPr>
          <w:spacing w:val="-79"/>
        </w:rPr>
      </w:r>
      <w:r>
        <w:rPr/>
        <w:t>间接持有公司股份</w:t>
      </w:r>
      <w:r>
        <w:rPr>
          <w:spacing w:val="-55"/>
        </w:rPr>
        <w:t> </w:t>
      </w:r>
      <w:r>
        <w:rPr>
          <w:rFonts w:ascii="Times New Roman" w:hAnsi="Times New Roman" w:cs="Times New Roman" w:eastAsia="Times New Roman" w:hint="default"/>
        </w:rPr>
        <w:t>908,496</w:t>
      </w:r>
      <w:r>
        <w:rPr>
          <w:rFonts w:ascii="Times New Roman" w:hAnsi="Times New Roman" w:cs="Times New Roman" w:eastAsia="Times New Roman" w:hint="default"/>
          <w:spacing w:val="-2"/>
        </w:rPr>
        <w:t> </w:t>
      </w:r>
      <w:r>
        <w:rPr/>
        <w:t>股；</w:t>
      </w:r>
    </w:p>
    <w:p>
      <w:pPr>
        <w:pStyle w:val="BodyText"/>
        <w:spacing w:line="240" w:lineRule="auto" w:before="114"/>
        <w:ind w:left="1079" w:right="0"/>
        <w:jc w:val="both"/>
      </w:pPr>
      <w:r>
        <w:rPr/>
        <w:t>②前独立董事罗坚生因病于</w:t>
      </w:r>
      <w:r>
        <w:rPr>
          <w:spacing w:val="-5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日逝世；前董事张招兴由于工作调任的原因，于</w:t>
      </w:r>
    </w:p>
    <w:p>
      <w:pPr>
        <w:pStyle w:val="BodyText"/>
        <w:spacing w:line="288" w:lineRule="auto"/>
        <w:ind w:left="1079" w:right="1075"/>
        <w:jc w:val="both"/>
      </w:pPr>
      <w:r>
        <w:rPr>
          <w:rFonts w:ascii="Times New Roman" w:hAnsi="Times New Roman" w:cs="Times New Roman" w:eastAsia="Times New Roman" w:hint="default"/>
        </w:rPr>
        <w:t>2008 </w:t>
      </w:r>
      <w:r>
        <w:rPr/>
        <w:t>年</w:t>
      </w:r>
      <w:r>
        <w:rPr>
          <w:spacing w:val="-55"/>
        </w:rPr>
        <w:t> </w:t>
      </w:r>
      <w:r>
        <w:rPr>
          <w:rFonts w:ascii="Times New Roman" w:hAnsi="Times New Roman" w:cs="Times New Roman" w:eastAsia="Times New Roman" w:hint="default"/>
        </w:rPr>
        <w:t>7 </w:t>
      </w:r>
      <w:r>
        <w:rPr/>
        <w:t>月</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日辞去公司董事职务；</w:t>
      </w:r>
      <w:r>
        <w:rPr>
          <w:rFonts w:ascii="Times New Roman" w:hAnsi="Times New Roman" w:cs="Times New Roman" w:eastAsia="Times New Roman" w:hint="default"/>
        </w:rPr>
        <w:t>2009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5 </w:t>
      </w:r>
      <w:r>
        <w:rPr/>
        <w:t>日召开的</w:t>
      </w:r>
      <w:r>
        <w:rPr>
          <w:spacing w:val="-53"/>
        </w:rPr>
        <w:t> </w:t>
      </w:r>
      <w:r>
        <w:rPr>
          <w:rFonts w:ascii="Times New Roman" w:hAnsi="Times New Roman" w:cs="Times New Roman" w:eastAsia="Times New Roman" w:hint="default"/>
        </w:rPr>
        <w:t>2009 </w:t>
      </w:r>
      <w:r>
        <w:rPr/>
        <w:t>年第一次（临时）股东 </w:t>
      </w:r>
      <w:r>
        <w:rPr>
          <w:spacing w:val="2"/>
        </w:rPr>
        <w:t>大会增选张宗贵和公司董事会秘书任斌为公司第二届董事会董事；第一届董事会董事刘维</w:t>
      </w:r>
      <w:r>
        <w:rPr>
          <w:spacing w:val="-85"/>
        </w:rPr>
        <w:t> </w:t>
      </w:r>
      <w:r>
        <w:rPr>
          <w:spacing w:val="-85"/>
        </w:rPr>
      </w:r>
      <w:r>
        <w:rPr/>
        <w:t>锦、施意耀任期届满后不再担任公司董事职务，其他董事、监事和高管人员在</w:t>
      </w:r>
      <w:r>
        <w:rPr>
          <w:spacing w:val="-5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p>
    <w:p>
      <w:pPr>
        <w:pStyle w:val="BodyText"/>
        <w:spacing w:line="240" w:lineRule="auto" w:before="3"/>
        <w:ind w:left="1079" w:right="0"/>
        <w:jc w:val="both"/>
      </w:pP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日召开的</w:t>
      </w:r>
      <w:r>
        <w:rPr>
          <w:spacing w:val="-5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年第一次（临时）股东大会和二届一次董事会上被续聘留任。</w:t>
      </w:r>
    </w:p>
    <w:p>
      <w:pPr>
        <w:spacing w:line="240" w:lineRule="auto" w:before="6"/>
        <w:rPr>
          <w:rFonts w:ascii="宋体" w:hAnsi="宋体" w:cs="宋体" w:eastAsia="宋体" w:hint="default"/>
          <w:sz w:val="31"/>
          <w:szCs w:val="31"/>
        </w:rPr>
      </w:pPr>
    </w:p>
    <w:p>
      <w:pPr>
        <w:pStyle w:val="BodyText"/>
        <w:spacing w:line="240" w:lineRule="auto" w:before="0"/>
        <w:ind w:left="1079" w:right="0"/>
        <w:jc w:val="both"/>
      </w:pPr>
      <w:r>
        <w:rPr/>
        <w:t>（二）公司董事、监事、高级管理人员在股东单位任职情况</w:t>
      </w:r>
    </w:p>
    <w:p>
      <w:pPr>
        <w:spacing w:line="240" w:lineRule="auto" w:before="3"/>
        <w:rPr>
          <w:rFonts w:ascii="宋体" w:hAnsi="宋体" w:cs="宋体" w:eastAsia="宋体" w:hint="default"/>
          <w:sz w:val="22"/>
          <w:szCs w:val="22"/>
        </w:rPr>
      </w:pPr>
    </w:p>
    <w:tbl>
      <w:tblPr>
        <w:tblW w:w="0" w:type="auto"/>
        <w:jc w:val="left"/>
        <w:tblInd w:w="1975" w:type="dxa"/>
        <w:tblLayout w:type="fixed"/>
        <w:tblCellMar>
          <w:top w:w="0" w:type="dxa"/>
          <w:left w:w="0" w:type="dxa"/>
          <w:bottom w:w="0" w:type="dxa"/>
          <w:right w:w="0" w:type="dxa"/>
        </w:tblCellMar>
        <w:tblLook w:val="01E0"/>
      </w:tblPr>
      <w:tblGrid>
        <w:gridCol w:w="916"/>
        <w:gridCol w:w="2520"/>
        <w:gridCol w:w="1440"/>
        <w:gridCol w:w="1620"/>
      </w:tblGrid>
      <w:tr>
        <w:trPr>
          <w:trHeight w:val="304" w:hRule="exact"/>
        </w:trPr>
        <w:tc>
          <w:tcPr>
            <w:tcW w:w="916"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22" w:lineRule="exact"/>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252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任职的股东单位</w:t>
            </w:r>
          </w:p>
        </w:tc>
        <w:tc>
          <w:tcPr>
            <w:tcW w:w="144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62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任职期间</w:t>
            </w:r>
          </w:p>
        </w:tc>
      </w:tr>
      <w:tr>
        <w:trPr>
          <w:trHeight w:val="319"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赵友永</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44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pacing w:val="14"/>
                <w:sz w:val="18"/>
                <w:szCs w:val="18"/>
              </w:rPr>
              <w:t>2002年5</w:t>
            </w:r>
            <w:r>
              <w:rPr>
                <w:rFonts w:ascii="宋体" w:hAnsi="宋体" w:cs="宋体" w:eastAsia="宋体" w:hint="default"/>
                <w:spacing w:val="-43"/>
                <w:sz w:val="18"/>
                <w:szCs w:val="18"/>
              </w:rPr>
              <w:t> </w:t>
            </w:r>
            <w:r>
              <w:rPr>
                <w:rFonts w:ascii="宋体" w:hAnsi="宋体" w:cs="宋体" w:eastAsia="宋体" w:hint="default"/>
                <w:sz w:val="18"/>
                <w:szCs w:val="18"/>
              </w:rPr>
              <w:t>月至今</w:t>
            </w:r>
          </w:p>
        </w:tc>
      </w:tr>
      <w:tr>
        <w:trPr>
          <w:trHeight w:val="487"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张招兴</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260" w:right="0"/>
              <w:jc w:val="left"/>
              <w:rPr>
                <w:rFonts w:ascii="宋体" w:hAnsi="宋体" w:cs="宋体" w:eastAsia="宋体" w:hint="default"/>
                <w:sz w:val="18"/>
                <w:szCs w:val="18"/>
              </w:rPr>
            </w:pPr>
            <w:r>
              <w:rPr>
                <w:rFonts w:ascii="宋体" w:hAnsi="宋体" w:cs="宋体" w:eastAsia="宋体" w:hint="default"/>
                <w:sz w:val="18"/>
                <w:szCs w:val="18"/>
              </w:rPr>
              <w:t>总裁、董事</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237" w:right="0"/>
              <w:jc w:val="left"/>
              <w:rPr>
                <w:rFonts w:ascii="宋体" w:hAnsi="宋体" w:cs="宋体" w:eastAsia="宋体" w:hint="default"/>
                <w:sz w:val="18"/>
                <w:szCs w:val="18"/>
              </w:rPr>
            </w:pPr>
            <w:r>
              <w:rPr>
                <w:rFonts w:ascii="宋体" w:hAnsi="宋体" w:cs="宋体" w:eastAsia="宋体" w:hint="default"/>
                <w:spacing w:val="14"/>
                <w:sz w:val="18"/>
                <w:szCs w:val="18"/>
              </w:rPr>
              <w:t>2002年5</w:t>
            </w:r>
            <w:r>
              <w:rPr>
                <w:rFonts w:ascii="宋体" w:hAnsi="宋体" w:cs="宋体" w:eastAsia="宋体" w:hint="default"/>
                <w:spacing w:val="-46"/>
                <w:sz w:val="18"/>
                <w:szCs w:val="18"/>
              </w:rPr>
              <w:t> </w:t>
            </w:r>
            <w:r>
              <w:rPr>
                <w:rFonts w:ascii="宋体" w:hAnsi="宋体" w:cs="宋体" w:eastAsia="宋体" w:hint="default"/>
                <w:sz w:val="18"/>
                <w:szCs w:val="18"/>
              </w:rPr>
              <w:t>月至</w:t>
            </w:r>
          </w:p>
          <w:p>
            <w:pPr>
              <w:pStyle w:val="TableParagraph"/>
              <w:spacing w:line="235" w:lineRule="exact"/>
              <w:ind w:left="328" w:right="0"/>
              <w:jc w:val="left"/>
              <w:rPr>
                <w:rFonts w:ascii="宋体" w:hAnsi="宋体" w:cs="宋体" w:eastAsia="宋体" w:hint="default"/>
                <w:sz w:val="18"/>
                <w:szCs w:val="18"/>
              </w:rPr>
            </w:pPr>
            <w:r>
              <w:rPr>
                <w:rFonts w:ascii="宋体" w:hAnsi="宋体" w:cs="宋体" w:eastAsia="宋体" w:hint="default"/>
                <w:spacing w:val="18"/>
                <w:sz w:val="18"/>
                <w:szCs w:val="18"/>
              </w:rPr>
              <w:t>2008年7月</w:t>
            </w:r>
            <w:r>
              <w:rPr>
                <w:rFonts w:ascii="宋体" w:hAnsi="宋体" w:cs="宋体" w:eastAsia="宋体" w:hint="default"/>
                <w:spacing w:val="-46"/>
                <w:sz w:val="18"/>
                <w:szCs w:val="18"/>
              </w:rPr>
              <w:t> </w:t>
            </w:r>
            <w:r>
              <w:rPr>
                <w:rFonts w:ascii="宋体" w:hAnsi="宋体" w:cs="宋体" w:eastAsia="宋体" w:hint="default"/>
                <w:sz w:val="18"/>
                <w:szCs w:val="18"/>
              </w:rPr>
            </w:r>
          </w:p>
        </w:tc>
      </w:tr>
      <w:tr>
        <w:trPr>
          <w:trHeight w:val="320"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王  俊</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68"/>
              <w:jc w:val="right"/>
              <w:rPr>
                <w:rFonts w:ascii="宋体" w:hAnsi="宋体" w:cs="宋体" w:eastAsia="宋体" w:hint="default"/>
                <w:sz w:val="18"/>
                <w:szCs w:val="18"/>
              </w:rPr>
            </w:pPr>
            <w:r>
              <w:rPr>
                <w:rFonts w:ascii="宋体" w:hAnsi="宋体" w:cs="宋体" w:eastAsia="宋体" w:hint="default"/>
                <w:sz w:val="18"/>
                <w:szCs w:val="18"/>
              </w:rPr>
              <w:t>副总裁、董事</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pacing w:val="14"/>
                <w:sz w:val="18"/>
                <w:szCs w:val="18"/>
              </w:rPr>
              <w:t>2002年6</w:t>
            </w:r>
            <w:r>
              <w:rPr>
                <w:rFonts w:ascii="宋体" w:hAnsi="宋体" w:cs="宋体" w:eastAsia="宋体" w:hint="default"/>
                <w:spacing w:val="-43"/>
                <w:sz w:val="18"/>
                <w:szCs w:val="18"/>
              </w:rPr>
              <w:t> </w:t>
            </w:r>
            <w:r>
              <w:rPr>
                <w:rFonts w:ascii="宋体" w:hAnsi="宋体" w:cs="宋体" w:eastAsia="宋体" w:hint="default"/>
                <w:sz w:val="18"/>
                <w:szCs w:val="18"/>
              </w:rPr>
              <w:t>月至今</w:t>
            </w:r>
          </w:p>
        </w:tc>
      </w:tr>
      <w:tr>
        <w:trPr>
          <w:trHeight w:val="319"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张宗贵</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hAnsi="宋体" w:cs="宋体" w:eastAsia="宋体" w:hint="default"/>
                <w:spacing w:val="-6"/>
                <w:sz w:val="18"/>
                <w:szCs w:val="18"/>
              </w:rPr>
              <w:t>部长、总裁助理</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pacing w:val="14"/>
                <w:sz w:val="18"/>
                <w:szCs w:val="18"/>
              </w:rPr>
              <w:t>2006年5</w:t>
            </w:r>
            <w:r>
              <w:rPr>
                <w:rFonts w:ascii="宋体" w:hAnsi="宋体" w:cs="宋体" w:eastAsia="宋体" w:hint="default"/>
                <w:spacing w:val="-43"/>
                <w:sz w:val="18"/>
                <w:szCs w:val="18"/>
              </w:rPr>
              <w:t> </w:t>
            </w:r>
            <w:r>
              <w:rPr>
                <w:rFonts w:ascii="宋体" w:hAnsi="宋体" w:cs="宋体" w:eastAsia="宋体" w:hint="default"/>
                <w:sz w:val="18"/>
                <w:szCs w:val="18"/>
              </w:rPr>
              <w:t>月至今</w:t>
            </w:r>
          </w:p>
        </w:tc>
      </w:tr>
      <w:tr>
        <w:trPr>
          <w:trHeight w:val="320"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刘维锦</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盈富泰克创业投资有限公司</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68"/>
              <w:jc w:val="right"/>
              <w:rPr>
                <w:rFonts w:ascii="宋体" w:hAnsi="宋体" w:cs="宋体" w:eastAsia="宋体" w:hint="default"/>
                <w:sz w:val="18"/>
                <w:szCs w:val="18"/>
              </w:rPr>
            </w:pPr>
            <w:r>
              <w:rPr>
                <w:rFonts w:ascii="宋体" w:hAnsi="宋体" w:cs="宋体" w:eastAsia="宋体" w:hint="default"/>
                <w:sz w:val="18"/>
                <w:szCs w:val="18"/>
              </w:rPr>
              <w:t>常务副总经理</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pacing w:val="14"/>
                <w:sz w:val="18"/>
                <w:szCs w:val="18"/>
              </w:rPr>
              <w:t>2000年4</w:t>
            </w:r>
            <w:r>
              <w:rPr>
                <w:rFonts w:ascii="宋体" w:hAnsi="宋体" w:cs="宋体" w:eastAsia="宋体" w:hint="default"/>
                <w:spacing w:val="-43"/>
                <w:sz w:val="18"/>
                <w:szCs w:val="18"/>
              </w:rPr>
              <w:t> </w:t>
            </w:r>
            <w:r>
              <w:rPr>
                <w:rFonts w:ascii="宋体" w:hAnsi="宋体" w:cs="宋体" w:eastAsia="宋体" w:hint="default"/>
                <w:sz w:val="18"/>
                <w:szCs w:val="18"/>
              </w:rPr>
              <w:t>月至今</w:t>
            </w:r>
          </w:p>
        </w:tc>
      </w:tr>
      <w:tr>
        <w:trPr>
          <w:trHeight w:val="320"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施意耀</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梅州敬基实业有限公司</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hAnsi="宋体" w:cs="宋体" w:eastAsia="宋体" w:hint="default"/>
                <w:spacing w:val="-6"/>
                <w:sz w:val="18"/>
                <w:szCs w:val="18"/>
              </w:rPr>
              <w:t>董事长、总经理</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pacing w:val="14"/>
                <w:sz w:val="18"/>
                <w:szCs w:val="18"/>
              </w:rPr>
              <w:t>2006年3</w:t>
            </w:r>
            <w:r>
              <w:rPr>
                <w:rFonts w:ascii="宋体" w:hAnsi="宋体" w:cs="宋体" w:eastAsia="宋体" w:hint="default"/>
                <w:spacing w:val="-43"/>
                <w:sz w:val="18"/>
                <w:szCs w:val="18"/>
              </w:rPr>
              <w:t> </w:t>
            </w:r>
            <w:r>
              <w:rPr>
                <w:rFonts w:ascii="宋体" w:hAnsi="宋体" w:cs="宋体" w:eastAsia="宋体" w:hint="default"/>
                <w:sz w:val="18"/>
                <w:szCs w:val="18"/>
              </w:rPr>
              <w:t>月至今</w:t>
            </w:r>
          </w:p>
        </w:tc>
      </w:tr>
      <w:tr>
        <w:trPr>
          <w:trHeight w:val="319"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周建康</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广州藤川科技有限公司</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hAnsi="宋体" w:cs="宋体" w:eastAsia="宋体" w:hint="default"/>
                <w:spacing w:val="-6"/>
                <w:sz w:val="18"/>
                <w:szCs w:val="18"/>
              </w:rPr>
              <w:t>董事长、总经理</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pacing w:val="14"/>
                <w:sz w:val="18"/>
                <w:szCs w:val="18"/>
              </w:rPr>
              <w:t>1999年7</w:t>
            </w:r>
            <w:r>
              <w:rPr>
                <w:rFonts w:ascii="宋体" w:hAnsi="宋体" w:cs="宋体" w:eastAsia="宋体" w:hint="default"/>
                <w:spacing w:val="-43"/>
                <w:sz w:val="18"/>
                <w:szCs w:val="18"/>
              </w:rPr>
              <w:t> </w:t>
            </w:r>
            <w:r>
              <w:rPr>
                <w:rFonts w:ascii="宋体" w:hAnsi="宋体" w:cs="宋体" w:eastAsia="宋体" w:hint="default"/>
                <w:sz w:val="18"/>
                <w:szCs w:val="18"/>
              </w:rPr>
              <w:t>月至今</w:t>
            </w:r>
          </w:p>
        </w:tc>
      </w:tr>
    </w:tbl>
    <w:p>
      <w:pPr>
        <w:spacing w:line="240" w:lineRule="auto" w:before="2"/>
        <w:rPr>
          <w:rFonts w:ascii="宋体" w:hAnsi="宋体" w:cs="宋体" w:eastAsia="宋体" w:hint="default"/>
          <w:sz w:val="13"/>
          <w:szCs w:val="13"/>
        </w:rPr>
      </w:pPr>
    </w:p>
    <w:p>
      <w:pPr>
        <w:pStyle w:val="BodyText"/>
        <w:spacing w:line="343" w:lineRule="auto" w:before="35"/>
        <w:ind w:left="1500" w:right="1069" w:hanging="420"/>
        <w:jc w:val="left"/>
      </w:pPr>
      <w:r>
        <w:rPr/>
        <w:t>（三）董事、监事和高级管理人员年度报酬情况 1、报酬的决策程序和报酬确定依据：在公司任职的董事、监事未在公司领薪，兼任公</w:t>
      </w:r>
    </w:p>
    <w:p>
      <w:pPr>
        <w:pStyle w:val="BodyText"/>
        <w:spacing w:line="251" w:lineRule="exact" w:before="0"/>
        <w:ind w:left="1080" w:right="0"/>
        <w:jc w:val="both"/>
      </w:pPr>
      <w:r>
        <w:rPr>
          <w:spacing w:val="-3"/>
        </w:rPr>
        <w:t>司董事、监事的高管、员工不以董事、监事职务领取报酬。高管人员按其职务根据公司董事</w:t>
      </w:r>
    </w:p>
    <w:p>
      <w:pPr>
        <w:pStyle w:val="BodyText"/>
        <w:spacing w:line="297" w:lineRule="auto" w:before="66"/>
        <w:ind w:left="1080" w:right="1076"/>
        <w:jc w:val="both"/>
      </w:pPr>
      <w:r>
        <w:rPr>
          <w:spacing w:val="-3"/>
        </w:rPr>
        <w:t>会批准的《高管层年度业绩考核与薪酬管理办法》，在每年年初落实有关考核指标及相关事</w:t>
      </w:r>
      <w:r>
        <w:rPr>
          <w:spacing w:val="-81"/>
        </w:rPr>
        <w:t> </w:t>
      </w:r>
      <w:r>
        <w:rPr>
          <w:spacing w:val="-81"/>
        </w:rPr>
      </w:r>
      <w:r>
        <w:rPr>
          <w:spacing w:val="-3"/>
        </w:rPr>
        <w:t>项，在年度结束后对全年计划完成情况进行考核，由董事会薪酬与考核委员会审议通过相关</w:t>
      </w:r>
      <w:r>
        <w:rPr>
          <w:spacing w:val="-79"/>
        </w:rPr>
        <w:t> </w:t>
      </w:r>
      <w:r>
        <w:rPr>
          <w:spacing w:val="-79"/>
        </w:rPr>
      </w:r>
      <w:r>
        <w:rPr/>
        <w:t>议案后，提交董事会审议，按照考核结果兑现绩效年薪和奖励。</w:t>
      </w:r>
    </w:p>
    <w:p>
      <w:pPr>
        <w:pStyle w:val="BodyText"/>
        <w:spacing w:line="280" w:lineRule="auto" w:before="135"/>
        <w:ind w:left="1080" w:right="1060" w:firstLine="420"/>
        <w:jc w:val="left"/>
      </w:pPr>
      <w:r>
        <w:rPr/>
        <w:t>独立董事津贴按照股东大会决议执行，为每人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万元</w:t>
      </w:r>
      <w:r>
        <w:rPr>
          <w:rFonts w:ascii="Times New Roman" w:hAnsi="Times New Roman" w:cs="Times New Roman" w:eastAsia="Times New Roman" w:hint="default"/>
        </w:rPr>
        <w:t>/</w:t>
      </w:r>
      <w:r>
        <w:rPr/>
        <w:t>年；独立董事参加会议发生的差 旅费，办公费等履职费用由本公司承担。</w:t>
      </w:r>
    </w:p>
    <w:p>
      <w:pPr>
        <w:spacing w:after="0" w:line="280" w:lineRule="auto"/>
        <w:jc w:val="left"/>
        <w:sectPr>
          <w:pgSz w:w="11910" w:h="16840"/>
          <w:pgMar w:header="400" w:footer="982" w:top="1100" w:bottom="1180" w:left="720" w:right="720"/>
        </w:sectPr>
      </w:pPr>
    </w:p>
    <w:p>
      <w:pPr>
        <w:spacing w:line="240" w:lineRule="auto" w:before="1"/>
        <w:rPr>
          <w:rFonts w:ascii="宋体" w:hAnsi="宋体" w:cs="宋体" w:eastAsia="宋体" w:hint="default"/>
          <w:sz w:val="19"/>
          <w:szCs w:val="19"/>
        </w:rPr>
      </w:pPr>
    </w:p>
    <w:p>
      <w:pPr>
        <w:pStyle w:val="BodyText"/>
        <w:spacing w:line="240" w:lineRule="auto" w:before="35"/>
        <w:ind w:left="560" w:right="102"/>
        <w:jc w:val="left"/>
      </w:pPr>
      <w:r>
        <w:rPr>
          <w:rFonts w:ascii="Times New Roman" w:hAnsi="Times New Roman" w:cs="Times New Roman" w:eastAsia="Times New Roman" w:hint="default"/>
        </w:rPr>
        <w:t>2</w:t>
      </w:r>
      <w:r>
        <w:rPr/>
        <w:t>、不在公司领取报酬的董事、监事情况</w:t>
      </w:r>
    </w:p>
    <w:p>
      <w:pPr>
        <w:spacing w:line="240" w:lineRule="auto" w:before="9"/>
        <w:rPr>
          <w:rFonts w:ascii="宋体" w:hAnsi="宋体" w:cs="宋体" w:eastAsia="宋体" w:hint="default"/>
          <w:sz w:val="15"/>
          <w:szCs w:val="15"/>
        </w:rPr>
      </w:pPr>
    </w:p>
    <w:tbl>
      <w:tblPr>
        <w:tblW w:w="0" w:type="auto"/>
        <w:jc w:val="left"/>
        <w:tblInd w:w="876" w:type="dxa"/>
        <w:tblLayout w:type="fixed"/>
        <w:tblCellMar>
          <w:top w:w="0" w:type="dxa"/>
          <w:left w:w="0" w:type="dxa"/>
          <w:bottom w:w="0" w:type="dxa"/>
          <w:right w:w="0" w:type="dxa"/>
        </w:tblCellMar>
        <w:tblLook w:val="01E0"/>
      </w:tblPr>
      <w:tblGrid>
        <w:gridCol w:w="1954"/>
        <w:gridCol w:w="1519"/>
        <w:gridCol w:w="3340"/>
      </w:tblGrid>
      <w:tr>
        <w:trPr>
          <w:trHeight w:val="319" w:hRule="exact"/>
        </w:trPr>
        <w:tc>
          <w:tcPr>
            <w:tcW w:w="195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51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334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领取报酬单位名称</w:t>
            </w:r>
          </w:p>
        </w:tc>
      </w:tr>
      <w:tr>
        <w:trPr>
          <w:trHeight w:val="320" w:hRule="exact"/>
        </w:trPr>
        <w:tc>
          <w:tcPr>
            <w:tcW w:w="19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赵友永</w:t>
            </w:r>
          </w:p>
        </w:tc>
        <w:tc>
          <w:tcPr>
            <w:tcW w:w="15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3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广州无线电集团有限公司</w:t>
            </w:r>
          </w:p>
        </w:tc>
      </w:tr>
      <w:tr>
        <w:trPr>
          <w:trHeight w:val="320" w:hRule="exact"/>
        </w:trPr>
        <w:tc>
          <w:tcPr>
            <w:tcW w:w="19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张招兴</w:t>
            </w:r>
          </w:p>
        </w:tc>
        <w:tc>
          <w:tcPr>
            <w:tcW w:w="15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3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广州无线电集团有限公司</w:t>
            </w:r>
          </w:p>
        </w:tc>
      </w:tr>
      <w:tr>
        <w:trPr>
          <w:trHeight w:val="319" w:hRule="exact"/>
        </w:trPr>
        <w:tc>
          <w:tcPr>
            <w:tcW w:w="19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王  俊</w:t>
            </w:r>
          </w:p>
        </w:tc>
        <w:tc>
          <w:tcPr>
            <w:tcW w:w="15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3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广州无线电集团有限公司</w:t>
            </w:r>
          </w:p>
        </w:tc>
      </w:tr>
      <w:tr>
        <w:trPr>
          <w:trHeight w:val="320" w:hRule="exact"/>
        </w:trPr>
        <w:tc>
          <w:tcPr>
            <w:tcW w:w="19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张宗贵</w:t>
            </w:r>
          </w:p>
        </w:tc>
        <w:tc>
          <w:tcPr>
            <w:tcW w:w="15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3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广州无线电集团有限公司</w:t>
            </w:r>
          </w:p>
        </w:tc>
      </w:tr>
      <w:tr>
        <w:trPr>
          <w:trHeight w:val="320" w:hRule="exact"/>
        </w:trPr>
        <w:tc>
          <w:tcPr>
            <w:tcW w:w="19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刘维锦</w:t>
            </w:r>
          </w:p>
        </w:tc>
        <w:tc>
          <w:tcPr>
            <w:tcW w:w="1519"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3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盈富泰克创业投资有限公司</w:t>
            </w:r>
          </w:p>
        </w:tc>
      </w:tr>
      <w:tr>
        <w:trPr>
          <w:trHeight w:val="319" w:hRule="exact"/>
        </w:trPr>
        <w:tc>
          <w:tcPr>
            <w:tcW w:w="19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施意耀</w:t>
            </w:r>
          </w:p>
        </w:tc>
        <w:tc>
          <w:tcPr>
            <w:tcW w:w="1519"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3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梅州敬基实业有限公司</w:t>
            </w:r>
          </w:p>
        </w:tc>
      </w:tr>
      <w:tr>
        <w:trPr>
          <w:trHeight w:val="320" w:hRule="exact"/>
        </w:trPr>
        <w:tc>
          <w:tcPr>
            <w:tcW w:w="19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周建康</w:t>
            </w:r>
          </w:p>
        </w:tc>
        <w:tc>
          <w:tcPr>
            <w:tcW w:w="15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3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广州藤川科技有限公司</w:t>
            </w:r>
          </w:p>
        </w:tc>
      </w:tr>
      <w:tr>
        <w:trPr>
          <w:trHeight w:val="319" w:hRule="exact"/>
        </w:trPr>
        <w:tc>
          <w:tcPr>
            <w:tcW w:w="19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祝立新</w:t>
            </w:r>
          </w:p>
        </w:tc>
        <w:tc>
          <w:tcPr>
            <w:tcW w:w="15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3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广州海格通信集团股份有限公司</w:t>
            </w:r>
          </w:p>
        </w:tc>
      </w:tr>
    </w:tbl>
    <w:p>
      <w:pPr>
        <w:spacing w:line="240" w:lineRule="auto" w:before="3"/>
        <w:rPr>
          <w:rFonts w:ascii="宋体" w:hAnsi="宋体" w:cs="宋体" w:eastAsia="宋体" w:hint="default"/>
          <w:sz w:val="13"/>
          <w:szCs w:val="13"/>
        </w:rPr>
      </w:pPr>
    </w:p>
    <w:p>
      <w:pPr>
        <w:pStyle w:val="BodyText"/>
        <w:spacing w:line="240" w:lineRule="auto" w:before="35"/>
        <w:ind w:right="102"/>
        <w:jc w:val="left"/>
      </w:pPr>
      <w:r>
        <w:rPr/>
        <w:t>（四）现任董事、监事、高级管理人员最近</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BodyText"/>
        <w:spacing w:line="240" w:lineRule="auto" w:before="101"/>
        <w:ind w:left="560" w:right="102"/>
        <w:jc w:val="left"/>
      </w:pPr>
      <w:r>
        <w:rPr>
          <w:rFonts w:ascii="Times New Roman" w:hAnsi="Times New Roman" w:cs="Times New Roman" w:eastAsia="Times New Roman" w:hint="default"/>
        </w:rPr>
        <w:t>1</w:t>
      </w:r>
      <w:r>
        <w:rPr/>
        <w:t>、第二届董事会成员</w:t>
      </w:r>
    </w:p>
    <w:p>
      <w:pPr>
        <w:pStyle w:val="BodyText"/>
        <w:spacing w:line="295" w:lineRule="auto" w:before="169"/>
        <w:ind w:right="215" w:firstLine="420"/>
        <w:jc w:val="both"/>
      </w:pPr>
      <w:r>
        <w:rPr/>
        <w:t>赵友永先生，中国国籍，</w:t>
      </w:r>
      <w:r>
        <w:rPr>
          <w:rFonts w:ascii="Times New Roman" w:hAnsi="Times New Roman" w:cs="Times New Roman" w:eastAsia="Times New Roman" w:hint="default"/>
        </w:rPr>
        <w:t>51</w:t>
      </w:r>
      <w:r>
        <w:rPr>
          <w:rFonts w:ascii="Times New Roman" w:hAnsi="Times New Roman" w:cs="Times New Roman" w:eastAsia="Times New Roman" w:hint="default"/>
          <w:spacing w:val="6"/>
        </w:rPr>
        <w:t> </w:t>
      </w:r>
      <w:r>
        <w:rPr/>
        <w:t>岁，研究生学历，高级会计师。曾任广州无线电厂财务处 </w:t>
      </w:r>
      <w:r>
        <w:rPr>
          <w:spacing w:val="-3"/>
        </w:rPr>
        <w:t>副处长、处长、副总会计师，广电集团副总经理、总裁、董事长，广州广电运通金融电子有</w:t>
      </w:r>
      <w:r>
        <w:rPr>
          <w:spacing w:val="-81"/>
        </w:rPr>
        <w:t> </w:t>
      </w:r>
      <w:r>
        <w:rPr>
          <w:spacing w:val="-81"/>
        </w:rPr>
      </w:r>
      <w:r>
        <w:rPr>
          <w:spacing w:val="-3"/>
        </w:rPr>
        <w:t>限公司（以下简称“运通电子”）总经理、董事长。现任本公司董事长、广电集团董事长、</w:t>
      </w:r>
      <w:r>
        <w:rPr>
          <w:spacing w:val="-84"/>
        </w:rPr>
        <w:t> </w:t>
      </w:r>
      <w:r>
        <w:rPr>
          <w:spacing w:val="-84"/>
        </w:rPr>
      </w:r>
      <w:r>
        <w:rPr>
          <w:spacing w:val="-3"/>
        </w:rPr>
        <w:t>广州海格通信集团股份有限公司（以下简称“海格通信”）董事长、广州广电房地产开发集</w:t>
      </w:r>
      <w:r>
        <w:rPr>
          <w:spacing w:val="-84"/>
        </w:rPr>
        <w:t> </w:t>
      </w:r>
      <w:r>
        <w:rPr>
          <w:spacing w:val="-84"/>
        </w:rPr>
      </w:r>
      <w:r>
        <w:rPr>
          <w:spacing w:val="-3"/>
        </w:rPr>
        <w:t>团有限公司（以下简称“广电房地产”）董事长、海华电子企业（中国）有限公司（以下简</w:t>
      </w:r>
      <w:r>
        <w:rPr>
          <w:spacing w:val="-84"/>
        </w:rPr>
        <w:t> </w:t>
      </w:r>
      <w:r>
        <w:rPr>
          <w:spacing w:val="-84"/>
        </w:rPr>
      </w:r>
      <w:r>
        <w:rPr>
          <w:spacing w:val="-8"/>
        </w:rPr>
        <w:t>称“海华电子”）董事长、广州穗通金融服务有限公司（以下简称“广州穗通”）董事长、深</w:t>
      </w:r>
      <w:r>
        <w:rPr>
          <w:spacing w:val="-89"/>
        </w:rPr>
        <w:t> </w:t>
      </w:r>
      <w:r>
        <w:rPr>
          <w:spacing w:val="-89"/>
        </w:rPr>
      </w:r>
      <w:r>
        <w:rPr>
          <w:spacing w:val="-3"/>
        </w:rPr>
        <w:t>圳广电银通金融电子科技有限公司（以下简称“深圳银通”）董事、广州海格机械有限公司</w:t>
      </w:r>
    </w:p>
    <w:p>
      <w:pPr>
        <w:pStyle w:val="BodyText"/>
        <w:spacing w:line="297" w:lineRule="auto" w:before="17"/>
        <w:ind w:right="104"/>
        <w:jc w:val="left"/>
      </w:pPr>
      <w:r>
        <w:rPr>
          <w:spacing w:val="-10"/>
        </w:rPr>
        <w:t>（以下简称“海格机械”）董事、广州广电物业管理有限公司（以下简称“广电物业”）董事、</w:t>
      </w:r>
      <w:r>
        <w:rPr>
          <w:spacing w:val="-98"/>
        </w:rPr>
        <w:t> </w:t>
      </w:r>
      <w:r>
        <w:rPr>
          <w:spacing w:val="-98"/>
        </w:rPr>
      </w:r>
      <w:r>
        <w:rPr>
          <w:spacing w:val="-3"/>
        </w:rPr>
        <w:t>广州安费诺电子通信有限公司董事、盈富泰克创业投资有限公司（以下简称“盈富创投”）</w:t>
      </w:r>
      <w:r>
        <w:rPr>
          <w:spacing w:val="-82"/>
        </w:rPr>
        <w:t> </w:t>
      </w:r>
      <w:r>
        <w:rPr>
          <w:spacing w:val="-82"/>
        </w:rPr>
      </w:r>
      <w:r>
        <w:rPr>
          <w:spacing w:val="-3"/>
        </w:rPr>
        <w:t>董事及广州广电计量测试技术有限公司（以下简称“广电计量”）董事。其担任本公司董事</w:t>
      </w:r>
      <w:r>
        <w:rPr>
          <w:spacing w:val="-84"/>
        </w:rPr>
        <w:t> </w:t>
      </w:r>
      <w:r>
        <w:rPr>
          <w:spacing w:val="-84"/>
        </w:rPr>
      </w:r>
      <w:r>
        <w:rPr/>
        <w:t>长的任期为</w:t>
      </w:r>
      <w:r>
        <w:rPr>
          <w:spacing w:val="-54"/>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月至</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p>
    <w:p>
      <w:pPr>
        <w:pStyle w:val="BodyText"/>
        <w:spacing w:line="292" w:lineRule="auto" w:before="114"/>
        <w:ind w:left="139" w:right="215" w:firstLine="420"/>
        <w:jc w:val="both"/>
        <w:rPr>
          <w:rFonts w:ascii="Times New Roman" w:hAnsi="Times New Roman" w:cs="Times New Roman" w:eastAsia="Times New Roman" w:hint="default"/>
        </w:rPr>
      </w:pPr>
      <w:r>
        <w:rPr/>
        <w:t>王俊先生，中国国籍，</w:t>
      </w:r>
      <w:r>
        <w:rPr>
          <w:rFonts w:ascii="Times New Roman" w:hAnsi="Times New Roman" w:cs="Times New Roman" w:eastAsia="Times New Roman" w:hint="default"/>
        </w:rPr>
        <w:t>46</w:t>
      </w:r>
      <w:r>
        <w:rPr>
          <w:rFonts w:ascii="Times New Roman" w:hAnsi="Times New Roman" w:cs="Times New Roman" w:eastAsia="Times New Roman" w:hint="default"/>
          <w:spacing w:val="7"/>
        </w:rPr>
        <w:t> </w:t>
      </w:r>
      <w:r>
        <w:rPr/>
        <w:t>岁，研究生学历，高级会计师。曾任海格通信财务部经理、 </w:t>
      </w:r>
      <w:r>
        <w:rPr>
          <w:spacing w:val="-3"/>
        </w:rPr>
        <w:t>总经理助理，广电集团审计室主审、审计副主任、企业发展策划部副部长、部长。现任本公</w:t>
      </w:r>
      <w:r>
        <w:rPr>
          <w:spacing w:val="-84"/>
        </w:rPr>
        <w:t> </w:t>
      </w:r>
      <w:r>
        <w:rPr>
          <w:spacing w:val="-84"/>
        </w:rPr>
      </w:r>
      <w:r>
        <w:rPr>
          <w:spacing w:val="-3"/>
        </w:rPr>
        <w:t>司董事、广电集团董事和副总裁、广电计量董事长、海格通信董事、广电房地产董事、海华</w:t>
      </w:r>
      <w:r>
        <w:rPr>
          <w:spacing w:val="-84"/>
        </w:rPr>
        <w:t> </w:t>
      </w:r>
      <w:r>
        <w:rPr>
          <w:spacing w:val="-84"/>
        </w:rPr>
      </w:r>
      <w:r>
        <w:rPr>
          <w:spacing w:val="-4"/>
        </w:rPr>
        <w:t>电子董事、海格机械董事、广电物业董事、深圳银通董事。其担任本公司董事的任期为</w:t>
      </w:r>
      <w:r>
        <w:rPr>
          <w:spacing w:val="-53"/>
        </w:rPr>
        <w:t> </w:t>
      </w:r>
      <w:r>
        <w:rPr>
          <w:rFonts w:ascii="Times New Roman" w:hAnsi="Times New Roman" w:cs="Times New Roman" w:eastAsia="Times New Roman" w:hint="default"/>
        </w:rPr>
        <w:t>2005</w:t>
      </w:r>
    </w:p>
    <w:p>
      <w:pPr>
        <w:pStyle w:val="BodyText"/>
        <w:spacing w:line="290" w:lineRule="exact" w:before="0"/>
        <w:ind w:right="102"/>
        <w:jc w:val="left"/>
      </w:pP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月至</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p>
    <w:p>
      <w:pPr>
        <w:pStyle w:val="BodyText"/>
        <w:spacing w:line="292" w:lineRule="auto" w:before="169"/>
        <w:ind w:left="139" w:right="216" w:firstLine="420"/>
        <w:jc w:val="both"/>
        <w:rPr>
          <w:rFonts w:ascii="Times New Roman" w:hAnsi="Times New Roman" w:cs="Times New Roman" w:eastAsia="Times New Roman" w:hint="default"/>
        </w:rPr>
      </w:pPr>
      <w:r>
        <w:rPr/>
        <w:t>张宗贵先生，中国国籍，</w:t>
      </w:r>
      <w:r>
        <w:rPr>
          <w:rFonts w:ascii="Times New Roman" w:hAnsi="Times New Roman" w:cs="Times New Roman" w:eastAsia="Times New Roman" w:hint="default"/>
        </w:rPr>
        <w:t>42</w:t>
      </w:r>
      <w:r>
        <w:rPr>
          <w:rFonts w:ascii="Times New Roman" w:hAnsi="Times New Roman" w:cs="Times New Roman" w:eastAsia="Times New Roman" w:hint="default"/>
          <w:spacing w:val="6"/>
        </w:rPr>
        <w:t> </w:t>
      </w:r>
      <w:r>
        <w:rPr/>
        <w:t>岁，研究生学历，中级经济师。曾任江西铜业公司贵溪冶 </w:t>
      </w:r>
      <w:r>
        <w:rPr>
          <w:spacing w:val="-3"/>
        </w:rPr>
        <w:t>炼厂助理工程师，江西国际信托投资公司投资银行总部四部负责人，江苏大亚股份有限公司</w:t>
      </w:r>
      <w:r>
        <w:rPr>
          <w:spacing w:val="-79"/>
        </w:rPr>
        <w:t> </w:t>
      </w:r>
      <w:r>
        <w:rPr>
          <w:spacing w:val="-79"/>
        </w:rPr>
      </w:r>
      <w:r>
        <w:rPr>
          <w:spacing w:val="-3"/>
        </w:rPr>
        <w:t>投资部项目经理，泰阳证券有限公司投资银行部项目经理，广州融科创业投资顾问有限公司</w:t>
      </w:r>
      <w:r>
        <w:rPr>
          <w:spacing w:val="-79"/>
        </w:rPr>
        <w:t> </w:t>
      </w:r>
      <w:r>
        <w:rPr>
          <w:spacing w:val="-79"/>
        </w:rPr>
      </w:r>
      <w:r>
        <w:rPr>
          <w:spacing w:val="-3"/>
        </w:rPr>
        <w:t>总经理助理，广州机电工业资产经营有限公司资产运营部副经理、规划运营部经理，广电集</w:t>
      </w:r>
      <w:r>
        <w:rPr>
          <w:spacing w:val="-81"/>
        </w:rPr>
        <w:t> </w:t>
      </w:r>
      <w:r>
        <w:rPr>
          <w:spacing w:val="-81"/>
        </w:rPr>
      </w:r>
      <w:r>
        <w:rPr>
          <w:spacing w:val="-4"/>
        </w:rPr>
        <w:t>团发展策划部部长。现任本公司董事、广电集团总裁助理。其担任本公司董事的任期为</w:t>
      </w:r>
      <w:r>
        <w:rPr>
          <w:spacing w:val="-52"/>
        </w:rPr>
        <w:t> </w:t>
      </w:r>
      <w:r>
        <w:rPr>
          <w:rFonts w:ascii="Times New Roman" w:hAnsi="Times New Roman" w:cs="Times New Roman" w:eastAsia="Times New Roman" w:hint="default"/>
        </w:rPr>
        <w:t>2009</w:t>
      </w:r>
    </w:p>
    <w:p>
      <w:pPr>
        <w:pStyle w:val="BodyText"/>
        <w:spacing w:line="290" w:lineRule="exact" w:before="0"/>
        <w:ind w:left="139" w:right="102"/>
        <w:jc w:val="left"/>
      </w:pP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月至</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p>
    <w:p>
      <w:pPr>
        <w:pStyle w:val="BodyText"/>
        <w:spacing w:line="292" w:lineRule="auto" w:before="169"/>
        <w:ind w:left="139" w:right="215" w:firstLine="420"/>
        <w:jc w:val="both"/>
        <w:rPr>
          <w:rFonts w:ascii="Times New Roman" w:hAnsi="Times New Roman" w:cs="Times New Roman" w:eastAsia="Times New Roman" w:hint="default"/>
        </w:rPr>
      </w:pPr>
      <w:r>
        <w:rPr/>
        <w:t>叶子瑜先生，中国国籍，</w:t>
      </w:r>
      <w:r>
        <w:rPr>
          <w:rFonts w:ascii="Times New Roman" w:hAnsi="Times New Roman" w:cs="Times New Roman" w:eastAsia="Times New Roman" w:hint="default"/>
        </w:rPr>
        <w:t>46 </w:t>
      </w:r>
      <w:r>
        <w:rPr/>
        <w:t>岁，研究生学历，高级工程师。曾任国营 </w:t>
      </w:r>
      <w:r>
        <w:rPr>
          <w:rFonts w:ascii="Times New Roman" w:hAnsi="Times New Roman" w:cs="Times New Roman" w:eastAsia="Times New Roman" w:hint="default"/>
        </w:rPr>
        <w:t>750</w:t>
      </w:r>
      <w:r>
        <w:rPr>
          <w:rFonts w:ascii="Times New Roman" w:hAnsi="Times New Roman" w:cs="Times New Roman" w:eastAsia="Times New Roman" w:hint="default"/>
          <w:spacing w:val="6"/>
        </w:rPr>
        <w:t> </w:t>
      </w:r>
      <w:r>
        <w:rPr/>
        <w:t>厂技术工艺 </w:t>
      </w:r>
      <w:r>
        <w:rPr>
          <w:spacing w:val="-3"/>
        </w:rPr>
        <w:t>科助理工程师，海华电子工程师、高级工程师、拓展部经理，广州科苑电子有限公司副总经</w:t>
      </w:r>
      <w:r>
        <w:rPr>
          <w:spacing w:val="-80"/>
        </w:rPr>
        <w:t> </w:t>
      </w:r>
      <w:r>
        <w:rPr>
          <w:spacing w:val="-80"/>
        </w:rPr>
      </w:r>
      <w:r>
        <w:rPr>
          <w:spacing w:val="-3"/>
        </w:rPr>
        <w:t>理，海华电子总工程师，广州无线电集团军工通讯总公司总工程师，运通电子副总经理。现</w:t>
      </w:r>
      <w:r>
        <w:rPr>
          <w:spacing w:val="-80"/>
        </w:rPr>
        <w:t> </w:t>
      </w:r>
      <w:r>
        <w:rPr>
          <w:spacing w:val="-80"/>
        </w:rPr>
      </w:r>
      <w:r>
        <w:rPr>
          <w:spacing w:val="-3"/>
        </w:rPr>
        <w:t>任本公司董事、总经理、深圳银通董事长、广州穗通董事及广电运通国际有限公司（以下简</w:t>
      </w:r>
      <w:r>
        <w:rPr>
          <w:spacing w:val="-80"/>
        </w:rPr>
        <w:t> </w:t>
      </w:r>
      <w:r>
        <w:rPr>
          <w:spacing w:val="-80"/>
        </w:rPr>
      </w:r>
      <w:r>
        <w:rPr>
          <w:spacing w:val="-4"/>
        </w:rPr>
        <w:t>称“运通国际”）董事长。其担任本公司董事、总经理的任期为</w:t>
      </w:r>
      <w:r>
        <w:rPr/>
        <w:t> </w:t>
      </w:r>
      <w:r>
        <w:rPr>
          <w:rFonts w:ascii="Times New Roman" w:hAnsi="Times New Roman" w:cs="Times New Roman" w:eastAsia="Times New Roman" w:hint="default"/>
          <w:spacing w:val="-1"/>
        </w:rPr>
        <w:t>2005</w:t>
      </w:r>
      <w:r>
        <w:rPr>
          <w:rFonts w:ascii="Times New Roman" w:hAnsi="Times New Roman" w:cs="Times New Roman" w:eastAsia="Times New Roman" w:hint="default"/>
        </w:rPr>
        <w:t> </w:t>
      </w:r>
      <w:r>
        <w:rPr/>
        <w:t>年 </w:t>
      </w:r>
      <w:r>
        <w:rPr>
          <w:rFonts w:ascii="Times New Roman" w:hAnsi="Times New Roman" w:cs="Times New Roman" w:eastAsia="Times New Roman" w:hint="default"/>
        </w:rPr>
        <w:t>10 </w:t>
      </w:r>
      <w:r>
        <w:rPr>
          <w:spacing w:val="-1"/>
        </w:rPr>
        <w:t>月至</w:t>
      </w:r>
      <w:r>
        <w:rPr/>
        <w:t> </w:t>
      </w:r>
      <w:r>
        <w:rPr>
          <w:rFonts w:ascii="Times New Roman" w:hAnsi="Times New Roman" w:cs="Times New Roman" w:eastAsia="Times New Roman" w:hint="default"/>
          <w:spacing w:val="-1"/>
        </w:rPr>
        <w:t>2012</w:t>
      </w:r>
      <w:r>
        <w:rPr>
          <w:rFonts w:ascii="Times New Roman" w:hAnsi="Times New Roman" w:cs="Times New Roman" w:eastAsia="Times New Roman" w:hint="default"/>
        </w:rPr>
        <w:t> </w:t>
      </w:r>
      <w:r>
        <w:rPr/>
        <w:t>年</w:t>
      </w:r>
      <w:r>
        <w:rPr>
          <w:spacing w:val="-35"/>
        </w:rPr>
        <w:t> </w:t>
      </w:r>
      <w:r>
        <w:rPr>
          <w:rFonts w:ascii="Times New Roman" w:hAnsi="Times New Roman" w:cs="Times New Roman" w:eastAsia="Times New Roman" w:hint="default"/>
        </w:rPr>
        <w:t>1</w:t>
      </w:r>
    </w:p>
    <w:p>
      <w:pPr>
        <w:spacing w:after="0" w:line="292" w:lineRule="auto"/>
        <w:jc w:val="both"/>
        <w:rPr>
          <w:rFonts w:ascii="Times New Roman" w:hAnsi="Times New Roman" w:cs="Times New Roman" w:eastAsia="Times New Roman" w:hint="default"/>
        </w:rPr>
        <w:sectPr>
          <w:footerReference w:type="default" r:id="rId12"/>
          <w:pgSz w:w="11910" w:h="16840"/>
          <w:pgMar w:footer="982" w:header="400" w:top="1100" w:bottom="1180" w:left="1660" w:right="1580"/>
          <w:pgNumType w:start="11"/>
        </w:sectPr>
      </w:pPr>
    </w:p>
    <w:p>
      <w:pPr>
        <w:spacing w:line="240" w:lineRule="auto" w:before="8"/>
        <w:rPr>
          <w:rFonts w:ascii="Times New Roman" w:hAnsi="Times New Roman" w:cs="Times New Roman" w:eastAsia="Times New Roman" w:hint="default"/>
          <w:sz w:val="21"/>
          <w:szCs w:val="21"/>
        </w:rPr>
      </w:pPr>
    </w:p>
    <w:p>
      <w:pPr>
        <w:pStyle w:val="BodyText"/>
        <w:spacing w:line="240" w:lineRule="auto" w:before="35"/>
        <w:ind w:right="102"/>
        <w:jc w:val="left"/>
      </w:pPr>
      <w:r>
        <w:rPr/>
        <w:t>月。</w:t>
      </w:r>
    </w:p>
    <w:p>
      <w:pPr>
        <w:spacing w:line="240" w:lineRule="auto" w:before="3"/>
        <w:rPr>
          <w:rFonts w:ascii="宋体" w:hAnsi="宋体" w:cs="宋体" w:eastAsia="宋体" w:hint="default"/>
          <w:sz w:val="14"/>
          <w:szCs w:val="14"/>
        </w:rPr>
      </w:pPr>
    </w:p>
    <w:p>
      <w:pPr>
        <w:pStyle w:val="BodyText"/>
        <w:spacing w:line="292" w:lineRule="auto" w:before="0"/>
        <w:ind w:left="139" w:right="216" w:firstLine="420"/>
        <w:jc w:val="both"/>
      </w:pPr>
      <w:r>
        <w:rPr/>
        <w:t>任斌女士，中国国籍，</w:t>
      </w:r>
      <w:r>
        <w:rPr>
          <w:rFonts w:ascii="Times New Roman" w:hAnsi="Times New Roman" w:cs="Times New Roman" w:eastAsia="Times New Roman" w:hint="default"/>
        </w:rPr>
        <w:t>39</w:t>
      </w:r>
      <w:r>
        <w:rPr>
          <w:rFonts w:ascii="Times New Roman" w:hAnsi="Times New Roman" w:cs="Times New Roman" w:eastAsia="Times New Roman" w:hint="default"/>
          <w:spacing w:val="7"/>
        </w:rPr>
        <w:t> </w:t>
      </w:r>
      <w:r>
        <w:rPr/>
        <w:t>岁，本科学历，会计师、经济师、中国注册会计师、中国注 </w:t>
      </w:r>
      <w:r>
        <w:rPr>
          <w:spacing w:val="-3"/>
        </w:rPr>
        <w:t>册资产评估师，具备证券、期货从业资格。曾任新疆独山子石化总厂物业公司财务科主办会</w:t>
      </w:r>
      <w:r>
        <w:rPr>
          <w:spacing w:val="-81"/>
        </w:rPr>
        <w:t> </w:t>
      </w:r>
      <w:r>
        <w:rPr>
          <w:spacing w:val="-81"/>
        </w:rPr>
      </w:r>
      <w:r>
        <w:rPr>
          <w:spacing w:val="-3"/>
        </w:rPr>
        <w:t>计，新疆独山子天利高新技术股份有限公司证券信息部副部长、部长、证券事务代表、董事</w:t>
      </w:r>
      <w:r>
        <w:rPr>
          <w:spacing w:val="-80"/>
        </w:rPr>
        <w:t> </w:t>
      </w:r>
      <w:r>
        <w:rPr>
          <w:spacing w:val="-80"/>
        </w:rPr>
      </w:r>
      <w:r>
        <w:rPr>
          <w:spacing w:val="-3"/>
        </w:rPr>
        <w:t>会秘书。现任本公司董事、董事会秘书及深圳银通董事会秘书。其担任本公司董事的任期为</w:t>
      </w:r>
      <w:r>
        <w:rPr>
          <w:spacing w:val="-81"/>
        </w:rPr>
        <w:t> </w:t>
      </w:r>
      <w:r>
        <w:rPr>
          <w:spacing w:val="-81"/>
        </w:rPr>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月至</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p>
    <w:p>
      <w:pPr>
        <w:pStyle w:val="BodyText"/>
        <w:spacing w:line="292" w:lineRule="auto" w:before="119"/>
        <w:ind w:left="139" w:right="216" w:firstLine="420"/>
        <w:jc w:val="both"/>
      </w:pPr>
      <w:r>
        <w:rPr/>
        <w:t>王礼贵先生，中国国籍，</w:t>
      </w:r>
      <w:r>
        <w:rPr>
          <w:rFonts w:ascii="Times New Roman" w:hAnsi="Times New Roman" w:cs="Times New Roman" w:eastAsia="Times New Roman" w:hint="default"/>
        </w:rPr>
        <w:t>48</w:t>
      </w:r>
      <w:r>
        <w:rPr>
          <w:rFonts w:ascii="Times New Roman" w:hAnsi="Times New Roman" w:cs="Times New Roman" w:eastAsia="Times New Roman" w:hint="default"/>
          <w:spacing w:val="6"/>
        </w:rPr>
        <w:t> </w:t>
      </w:r>
      <w:r>
        <w:rPr/>
        <w:t>岁，研究生学历，高级会计师，中国注册会计师。曾任深 </w:t>
      </w:r>
      <w:r>
        <w:rPr>
          <w:spacing w:val="-3"/>
        </w:rPr>
        <w:t>圳中华会计师事务所所长助理，中国深圳中电投资股份有限公司财务主管、副总会计师、总</w:t>
      </w:r>
      <w:r>
        <w:rPr>
          <w:spacing w:val="-81"/>
        </w:rPr>
        <w:t> </w:t>
      </w:r>
      <w:r>
        <w:rPr>
          <w:spacing w:val="-81"/>
        </w:rPr>
      </w:r>
      <w:r>
        <w:rPr>
          <w:spacing w:val="-3"/>
        </w:rPr>
        <w:t>经理助理、中天华正会计师事务所深圳分所合伙人。现任本公司独立董事、北京立信会计师</w:t>
      </w:r>
      <w:r>
        <w:rPr>
          <w:spacing w:val="-81"/>
        </w:rPr>
        <w:t> </w:t>
      </w:r>
      <w:r>
        <w:rPr>
          <w:spacing w:val="-81"/>
        </w:rPr>
      </w:r>
      <w:r>
        <w:rPr>
          <w:spacing w:val="-3"/>
        </w:rPr>
        <w:t>事务所深圳分所执业会计师及深圳百行税务师事务所总经理。其担任本公司独立董事的任期</w:t>
      </w:r>
      <w:r>
        <w:rPr>
          <w:spacing w:val="-79"/>
        </w:rPr>
        <w:t> </w:t>
      </w:r>
      <w:r>
        <w:rPr>
          <w:spacing w:val="-79"/>
        </w:rPr>
      </w:r>
      <w:r>
        <w:rPr/>
        <w:t>为</w:t>
      </w:r>
      <w:r>
        <w:rPr>
          <w:spacing w:val="-54"/>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月至</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p>
    <w:p>
      <w:pPr>
        <w:pStyle w:val="BodyText"/>
        <w:spacing w:line="285" w:lineRule="auto" w:before="119"/>
        <w:ind w:left="139" w:right="100" w:firstLine="420"/>
        <w:jc w:val="left"/>
      </w:pPr>
      <w:r>
        <w:rPr/>
        <w:t>李进一先生，中国国籍，</w:t>
      </w:r>
      <w:r>
        <w:rPr>
          <w:rFonts w:ascii="Times New Roman" w:hAnsi="Times New Roman" w:cs="Times New Roman" w:eastAsia="Times New Roman" w:hint="default"/>
        </w:rPr>
        <w:t>45</w:t>
      </w:r>
      <w:r>
        <w:rPr>
          <w:rFonts w:ascii="Times New Roman" w:hAnsi="Times New Roman" w:cs="Times New Roman" w:eastAsia="Times New Roman" w:hint="default"/>
          <w:spacing w:val="3"/>
        </w:rPr>
        <w:t> </w:t>
      </w:r>
      <w:r>
        <w:rPr/>
        <w:t>岁，研究生学历，副教授，律师。曾任西南政法大学法律 </w:t>
      </w:r>
      <w:r>
        <w:rPr>
          <w:spacing w:val="-6"/>
        </w:rPr>
        <w:t>系助教，暨南大学经济法学系讲师，暨南大学</w:t>
      </w:r>
      <w:r>
        <w:rPr>
          <w:spacing w:val="-44"/>
        </w:rPr>
        <w:t> </w:t>
      </w:r>
      <w:r>
        <w:rPr>
          <w:rFonts w:ascii="Times New Roman" w:hAnsi="Times New Roman" w:cs="Times New Roman" w:eastAsia="Times New Roman" w:hint="default"/>
        </w:rPr>
        <w:t>MBA</w:t>
      </w:r>
      <w:r>
        <w:rPr>
          <w:rFonts w:ascii="Times New Roman" w:hAnsi="Times New Roman" w:cs="Times New Roman" w:eastAsia="Times New Roman" w:hint="default"/>
          <w:spacing w:val="7"/>
        </w:rPr>
        <w:t> </w:t>
      </w:r>
      <w:r>
        <w:rPr>
          <w:spacing w:val="-3"/>
        </w:rPr>
        <w:t>教育中心副教授。现任本公司独立董事、</w:t>
      </w:r>
      <w:r>
        <w:rPr>
          <w:spacing w:val="-103"/>
        </w:rPr>
        <w:t> </w:t>
      </w:r>
      <w:r>
        <w:rPr>
          <w:spacing w:val="-103"/>
        </w:rPr>
      </w:r>
      <w:r>
        <w:rPr>
          <w:spacing w:val="-3"/>
        </w:rPr>
        <w:t>暨南大学企业管理系副教授及广东信德盛律师事务所执业律师。其担任本公司独立董事的任</w:t>
      </w:r>
      <w:r>
        <w:rPr>
          <w:spacing w:val="-79"/>
        </w:rPr>
        <w:t> </w:t>
      </w:r>
      <w:r>
        <w:rPr>
          <w:spacing w:val="-79"/>
        </w:rPr>
      </w:r>
      <w:r>
        <w:rPr/>
        <w:t>期为</w:t>
      </w:r>
      <w:r>
        <w:rPr>
          <w:spacing w:val="-54"/>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月至</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p>
    <w:p>
      <w:pPr>
        <w:pStyle w:val="BodyText"/>
        <w:spacing w:line="290" w:lineRule="auto" w:before="125"/>
        <w:ind w:left="138" w:right="106" w:firstLine="420"/>
        <w:jc w:val="left"/>
      </w:pPr>
      <w:r>
        <w:rPr>
          <w:spacing w:val="-2"/>
        </w:rPr>
        <w:t>程昆先生，中国国籍，</w:t>
      </w:r>
      <w:r>
        <w:rPr>
          <w:rFonts w:ascii="Times New Roman" w:hAnsi="Times New Roman" w:cs="Times New Roman" w:eastAsia="Times New Roman" w:hint="default"/>
          <w:spacing w:val="-2"/>
        </w:rPr>
        <w:t>43</w:t>
      </w:r>
      <w:r>
        <w:rPr>
          <w:rFonts w:ascii="Times New Roman" w:hAnsi="Times New Roman" w:cs="Times New Roman" w:eastAsia="Times New Roman" w:hint="default"/>
          <w:spacing w:val="25"/>
        </w:rPr>
        <w:t> </w:t>
      </w:r>
      <w:r>
        <w:rPr>
          <w:spacing w:val="-2"/>
        </w:rPr>
        <w:t>岁，教授，博士学历，曾任华南农业大学经济管理学院教员、</w:t>
      </w:r>
      <w:r>
        <w:rPr/>
        <w:t> </w:t>
      </w:r>
      <w:r>
        <w:rPr>
          <w:spacing w:val="-3"/>
        </w:rPr>
        <w:t>讲师、副教授。现任本公司独立董事、华南农业大学经济管理学院副院长，兼任广州市农工</w:t>
      </w:r>
      <w:r>
        <w:rPr>
          <w:spacing w:val="-80"/>
        </w:rPr>
        <w:t> </w:t>
      </w:r>
      <w:r>
        <w:rPr>
          <w:spacing w:val="-80"/>
        </w:rPr>
      </w:r>
      <w:r>
        <w:rPr/>
        <w:t>商集团有限公司的独立董事。其担任本公司独立董事的任期为</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月至</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p>
    <w:p>
      <w:pPr>
        <w:pStyle w:val="BodyText"/>
        <w:spacing w:line="240" w:lineRule="auto" w:before="120"/>
        <w:ind w:left="558" w:right="102"/>
        <w:jc w:val="left"/>
      </w:pPr>
      <w:r>
        <w:rPr>
          <w:rFonts w:ascii="Times New Roman" w:hAnsi="Times New Roman" w:cs="Times New Roman" w:eastAsia="Times New Roman" w:hint="default"/>
        </w:rPr>
        <w:t>2</w:t>
      </w:r>
      <w:r>
        <w:rPr/>
        <w:t>、第二届监事会成员</w:t>
      </w:r>
    </w:p>
    <w:p>
      <w:pPr>
        <w:pStyle w:val="BodyText"/>
        <w:spacing w:line="290" w:lineRule="auto" w:before="170"/>
        <w:ind w:left="138" w:right="107" w:firstLine="420"/>
        <w:jc w:val="left"/>
      </w:pPr>
      <w:r>
        <w:rPr>
          <w:spacing w:val="-2"/>
        </w:rPr>
        <w:t>祝立新先生，中国国籍，</w:t>
      </w:r>
      <w:r>
        <w:rPr>
          <w:rFonts w:ascii="Times New Roman" w:hAnsi="Times New Roman" w:cs="Times New Roman" w:eastAsia="Times New Roman" w:hint="default"/>
          <w:spacing w:val="-2"/>
        </w:rPr>
        <w:t>41</w:t>
      </w:r>
      <w:r>
        <w:rPr>
          <w:rFonts w:ascii="Times New Roman" w:hAnsi="Times New Roman" w:cs="Times New Roman" w:eastAsia="Times New Roman" w:hint="default"/>
          <w:spacing w:val="24"/>
        </w:rPr>
        <w:t> </w:t>
      </w:r>
      <w:r>
        <w:rPr>
          <w:spacing w:val="-2"/>
        </w:rPr>
        <w:t>岁，研究生学历，会计师。曾任广州无线电厂广电部会计，</w:t>
      </w:r>
      <w:r>
        <w:rPr/>
        <w:t> </w:t>
      </w:r>
      <w:r>
        <w:rPr>
          <w:spacing w:val="-3"/>
        </w:rPr>
        <w:t>广电集团审计室副主任、财务部副部长、部长、总裁助理。现任本公司监事会主席、海格通</w:t>
      </w:r>
      <w:r>
        <w:rPr>
          <w:spacing w:val="-84"/>
        </w:rPr>
        <w:t> </w:t>
      </w:r>
      <w:r>
        <w:rPr>
          <w:spacing w:val="-84"/>
        </w:rPr>
      </w:r>
      <w:r>
        <w:rPr/>
        <w:t>信副总经理。其担任本公司监事会主席的任期为</w:t>
      </w:r>
      <w:r>
        <w:rPr>
          <w:spacing w:val="-54"/>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月至</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p>
    <w:p>
      <w:pPr>
        <w:pStyle w:val="BodyText"/>
        <w:spacing w:line="292" w:lineRule="auto" w:before="120"/>
        <w:ind w:left="137" w:right="217" w:firstLine="420"/>
        <w:jc w:val="both"/>
      </w:pPr>
      <w:r>
        <w:rPr/>
        <w:t>周建康先生，中国国籍，</w:t>
      </w:r>
      <w:r>
        <w:rPr>
          <w:rFonts w:ascii="Times New Roman" w:hAnsi="Times New Roman" w:cs="Times New Roman" w:eastAsia="Times New Roman" w:hint="default"/>
        </w:rPr>
        <w:t>46</w:t>
      </w:r>
      <w:r>
        <w:rPr>
          <w:rFonts w:ascii="Times New Roman" w:hAnsi="Times New Roman" w:cs="Times New Roman" w:eastAsia="Times New Roman" w:hint="default"/>
          <w:spacing w:val="6"/>
        </w:rPr>
        <w:t> </w:t>
      </w:r>
      <w:r>
        <w:rPr/>
        <w:t>岁，本科学历，高级工程师。曾任广州无线电厂设计二所 </w:t>
      </w:r>
      <w:r>
        <w:rPr>
          <w:spacing w:val="-3"/>
        </w:rPr>
        <w:t>三室技术员、广电部一室副主任、主任，广电集团电子一厂副总工程师、副厂长、厂长。现</w:t>
      </w:r>
      <w:r>
        <w:rPr>
          <w:spacing w:val="-81"/>
        </w:rPr>
        <w:t> </w:t>
      </w:r>
      <w:r>
        <w:rPr>
          <w:spacing w:val="-81"/>
        </w:rPr>
      </w:r>
      <w:r>
        <w:rPr>
          <w:spacing w:val="-3"/>
        </w:rPr>
        <w:t>任本公司监事、广州藤川董事长和总经理及深圳藤川科技有限公司董事长。其担任本公司监</w:t>
      </w:r>
      <w:r>
        <w:rPr>
          <w:spacing w:val="-79"/>
        </w:rPr>
        <w:t> </w:t>
      </w:r>
      <w:r>
        <w:rPr>
          <w:spacing w:val="-79"/>
        </w:rPr>
      </w:r>
      <w:r>
        <w:rPr/>
        <w:t>事的任期为</w:t>
      </w:r>
      <w:r>
        <w:rPr>
          <w:spacing w:val="-54"/>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月至</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p>
    <w:p>
      <w:pPr>
        <w:pStyle w:val="BodyText"/>
        <w:spacing w:line="288" w:lineRule="auto" w:before="119"/>
        <w:ind w:left="137" w:right="214" w:firstLine="420"/>
        <w:jc w:val="both"/>
      </w:pPr>
      <w:r>
        <w:rPr/>
        <w:t>冯丰穗女士，中国国籍，</w:t>
      </w:r>
      <w:r>
        <w:rPr>
          <w:rFonts w:ascii="Times New Roman" w:hAnsi="Times New Roman" w:cs="Times New Roman" w:eastAsia="Times New Roman" w:hint="default"/>
        </w:rPr>
        <w:t>44</w:t>
      </w:r>
      <w:r>
        <w:rPr>
          <w:rFonts w:ascii="Times New Roman" w:hAnsi="Times New Roman" w:cs="Times New Roman" w:eastAsia="Times New Roman" w:hint="default"/>
          <w:spacing w:val="6"/>
        </w:rPr>
        <w:t> </w:t>
      </w:r>
      <w:r>
        <w:rPr/>
        <w:t>岁，本科学历，会计师。曾任广州市糖烟酒公司宣传科干 </w:t>
      </w:r>
      <w:r>
        <w:rPr>
          <w:spacing w:val="-3"/>
        </w:rPr>
        <w:t>事，广电集团印制板厂行政主管、出纳、会计主管，运通电子人力资源部主管、副经理、经</w:t>
      </w:r>
      <w:r>
        <w:rPr>
          <w:spacing w:val="-81"/>
        </w:rPr>
        <w:t> </w:t>
      </w:r>
      <w:r>
        <w:rPr>
          <w:spacing w:val="-81"/>
        </w:rPr>
      </w:r>
      <w:r>
        <w:rPr/>
        <w:t>理。现任本公司职工监事及工会主席。其担任本公司监事的任期为</w:t>
      </w:r>
      <w:r>
        <w:rPr>
          <w:spacing w:val="-53"/>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月至</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p>
    <w:p>
      <w:pPr>
        <w:pStyle w:val="BodyText"/>
        <w:spacing w:line="240" w:lineRule="auto" w:before="3"/>
        <w:ind w:right="102"/>
        <w:jc w:val="left"/>
      </w:pPr>
      <w:r>
        <w:rPr>
          <w:rFonts w:ascii="Times New Roman" w:hAnsi="Times New Roman" w:cs="Times New Roman" w:eastAsia="Times New Roman" w:hint="default"/>
        </w:rPr>
        <w:t>1 </w:t>
      </w:r>
      <w:r>
        <w:rPr/>
        <w:t>月。</w:t>
      </w:r>
    </w:p>
    <w:p>
      <w:pPr>
        <w:pStyle w:val="BodyText"/>
        <w:spacing w:line="379" w:lineRule="auto" w:before="170"/>
        <w:ind w:left="560" w:right="102"/>
        <w:jc w:val="left"/>
      </w:pPr>
      <w:r>
        <w:rPr>
          <w:rFonts w:ascii="Times New Roman" w:hAnsi="Times New Roman" w:cs="Times New Roman" w:eastAsia="Times New Roman" w:hint="default"/>
        </w:rPr>
        <w:t>3</w:t>
      </w:r>
      <w:r>
        <w:rPr/>
        <w:t>、高级管理人员 </w:t>
      </w:r>
      <w:r>
        <w:rPr>
          <w:spacing w:val="-6"/>
        </w:rPr>
        <w:t>叶子瑜先生，本公司总经理，简历参阅本年度报告“第四节、二、（一）董事会成员”。</w:t>
      </w:r>
    </w:p>
    <w:p>
      <w:pPr>
        <w:pStyle w:val="BodyText"/>
        <w:spacing w:line="292" w:lineRule="auto" w:before="64"/>
        <w:ind w:left="139" w:right="100" w:firstLine="420"/>
        <w:jc w:val="left"/>
      </w:pPr>
      <w:r>
        <w:rPr/>
        <w:t>陈振光先生，中国国籍，</w:t>
      </w:r>
      <w:r>
        <w:rPr>
          <w:rFonts w:ascii="Times New Roman" w:hAnsi="Times New Roman" w:cs="Times New Roman" w:eastAsia="Times New Roman" w:hint="default"/>
        </w:rPr>
        <w:t>46 </w:t>
      </w:r>
      <w:r>
        <w:rPr/>
        <w:t>岁，研究生学历，工程师。曾任国营 </w:t>
      </w:r>
      <w:r>
        <w:rPr>
          <w:rFonts w:ascii="Times New Roman" w:hAnsi="Times New Roman" w:cs="Times New Roman" w:eastAsia="Times New Roman" w:hint="default"/>
        </w:rPr>
        <w:t>750</w:t>
      </w:r>
      <w:r>
        <w:rPr>
          <w:rFonts w:ascii="Times New Roman" w:hAnsi="Times New Roman" w:cs="Times New Roman" w:eastAsia="Times New Roman" w:hint="default"/>
          <w:spacing w:val="7"/>
        </w:rPr>
        <w:t> </w:t>
      </w:r>
      <w:r>
        <w:rPr/>
        <w:t>厂收录机分厂技 </w:t>
      </w:r>
      <w:r>
        <w:rPr>
          <w:spacing w:val="-5"/>
        </w:rPr>
        <w:t>术员，海华电子工程师，广电集团军工通讯总公司工程师，运通电子总经理助理、副总经理。</w:t>
      </w:r>
      <w:r>
        <w:rPr>
          <w:spacing w:val="-100"/>
        </w:rPr>
        <w:t> </w:t>
      </w:r>
      <w:r>
        <w:rPr>
          <w:spacing w:val="-100"/>
        </w:rPr>
      </w:r>
      <w:r>
        <w:rPr>
          <w:spacing w:val="-3"/>
        </w:rPr>
        <w:t>现任本公司副总经理、深圳银通董事及广州穗通董事、总经理。其担任本公司副总经理的任</w:t>
      </w:r>
      <w:r>
        <w:rPr>
          <w:spacing w:val="-81"/>
        </w:rPr>
        <w:t> </w:t>
      </w:r>
      <w:r>
        <w:rPr>
          <w:spacing w:val="-81"/>
        </w:rPr>
      </w:r>
      <w:r>
        <w:rPr/>
        <w:t>期为</w:t>
      </w:r>
      <w:r>
        <w:rPr>
          <w:spacing w:val="-54"/>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月至</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p>
    <w:p>
      <w:pPr>
        <w:spacing w:after="0" w:line="292" w:lineRule="auto"/>
        <w:jc w:val="left"/>
        <w:sectPr>
          <w:pgSz w:w="11910" w:h="16840"/>
          <w:pgMar w:header="400" w:footer="982" w:top="1100" w:bottom="1180" w:left="1660" w:right="1580"/>
        </w:sectPr>
      </w:pPr>
    </w:p>
    <w:p>
      <w:pPr>
        <w:spacing w:line="240" w:lineRule="auto" w:before="1"/>
        <w:rPr>
          <w:rFonts w:ascii="宋体" w:hAnsi="宋体" w:cs="宋体" w:eastAsia="宋体" w:hint="default"/>
          <w:sz w:val="19"/>
          <w:szCs w:val="19"/>
        </w:rPr>
      </w:pPr>
    </w:p>
    <w:p>
      <w:pPr>
        <w:pStyle w:val="BodyText"/>
        <w:spacing w:line="292" w:lineRule="auto" w:before="35"/>
        <w:ind w:left="139" w:right="216" w:firstLine="420"/>
        <w:jc w:val="both"/>
      </w:pPr>
      <w:r>
        <w:rPr/>
        <w:t>曾文先生，中国国籍，拥有新西兰居留权，</w:t>
      </w:r>
      <w:r>
        <w:rPr>
          <w:rFonts w:ascii="Times New Roman" w:hAnsi="Times New Roman" w:cs="Times New Roman" w:eastAsia="Times New Roman" w:hint="default"/>
        </w:rPr>
        <w:t>42</w:t>
      </w:r>
      <w:r>
        <w:rPr>
          <w:rFonts w:ascii="Times New Roman" w:hAnsi="Times New Roman" w:cs="Times New Roman" w:eastAsia="Times New Roman" w:hint="default"/>
          <w:spacing w:val="6"/>
        </w:rPr>
        <w:t> </w:t>
      </w:r>
      <w:r>
        <w:rPr/>
        <w:t>岁，本科学历，工程师。曾任福建建筑 </w:t>
      </w:r>
      <w:r>
        <w:rPr>
          <w:spacing w:val="-3"/>
        </w:rPr>
        <w:t>工程专科学校教师，福建实达电脑有限公司产品经理，广州文东电子有限公司市场总监，吉</w:t>
      </w:r>
      <w:r>
        <w:rPr>
          <w:spacing w:val="-81"/>
        </w:rPr>
        <w:t> </w:t>
      </w:r>
      <w:r>
        <w:rPr>
          <w:spacing w:val="-81"/>
        </w:rPr>
      </w:r>
      <w:r>
        <w:rPr>
          <w:spacing w:val="-3"/>
        </w:rPr>
        <w:t>山通讯科技有限公司市场总监，长天国际控股有限公司华南区总监，深圳奥尊电脑公司金融</w:t>
      </w:r>
      <w:r>
        <w:rPr>
          <w:spacing w:val="-79"/>
        </w:rPr>
        <w:t> </w:t>
      </w:r>
      <w:r>
        <w:rPr>
          <w:spacing w:val="-79"/>
        </w:rPr>
      </w:r>
      <w:r>
        <w:rPr>
          <w:spacing w:val="-3"/>
        </w:rPr>
        <w:t>事业部副总经理，运通电子市场总监、副总经理。现任本公司副总经理。其担任本公司副总</w:t>
      </w:r>
      <w:r>
        <w:rPr>
          <w:spacing w:val="-80"/>
        </w:rPr>
        <w:t> </w:t>
      </w:r>
      <w:r>
        <w:rPr>
          <w:spacing w:val="-80"/>
        </w:rPr>
      </w:r>
      <w:r>
        <w:rPr/>
        <w:t>经理的任期为</w:t>
      </w:r>
      <w:r>
        <w:rPr>
          <w:spacing w:val="-54"/>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月至</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p>
    <w:p>
      <w:pPr>
        <w:pStyle w:val="BodyText"/>
        <w:spacing w:line="292" w:lineRule="auto" w:before="118"/>
        <w:ind w:left="139" w:right="217" w:firstLine="420"/>
        <w:jc w:val="both"/>
      </w:pPr>
      <w:r>
        <w:rPr/>
        <w:t>束萌先生，中国国籍，</w:t>
      </w:r>
      <w:r>
        <w:rPr>
          <w:rFonts w:ascii="Times New Roman" w:hAnsi="Times New Roman" w:cs="Times New Roman" w:eastAsia="Times New Roman" w:hint="default"/>
        </w:rPr>
        <w:t>55</w:t>
      </w:r>
      <w:r>
        <w:rPr>
          <w:rFonts w:ascii="Times New Roman" w:hAnsi="Times New Roman" w:cs="Times New Roman" w:eastAsia="Times New Roman" w:hint="default"/>
          <w:spacing w:val="7"/>
        </w:rPr>
        <w:t> </w:t>
      </w:r>
      <w:r>
        <w:rPr/>
        <w:t>岁，本科学历，高级工程师。曾任安徽凤阳县化肥厂电工， </w:t>
      </w:r>
      <w:r>
        <w:rPr>
          <w:spacing w:val="-3"/>
        </w:rPr>
        <w:t>淮南矿业学院教师，中国农业银行安徽省分行副科长、副处长、处长，北京龙翔达信息技术</w:t>
      </w:r>
      <w:r>
        <w:rPr>
          <w:spacing w:val="-80"/>
        </w:rPr>
        <w:t> </w:t>
      </w:r>
      <w:r>
        <w:rPr>
          <w:spacing w:val="-80"/>
        </w:rPr>
      </w:r>
      <w:r>
        <w:rPr>
          <w:spacing w:val="-3"/>
        </w:rPr>
        <w:t>有限公司副总经理，运通电子副总经理。现任本公司副总经理、深圳银通董事。其担任本公</w:t>
      </w:r>
      <w:r>
        <w:rPr>
          <w:spacing w:val="-80"/>
        </w:rPr>
        <w:t> </w:t>
      </w:r>
      <w:r>
        <w:rPr>
          <w:spacing w:val="-80"/>
        </w:rPr>
      </w:r>
      <w:r>
        <w:rPr/>
        <w:t>司副总经理的任期为</w:t>
      </w:r>
      <w:r>
        <w:rPr>
          <w:spacing w:val="-55"/>
        </w:rPr>
        <w:t> </w:t>
      </w:r>
      <w:r>
        <w:rPr>
          <w:rFonts w:ascii="Times New Roman" w:hAnsi="Times New Roman" w:cs="Times New Roman" w:eastAsia="Times New Roman" w:hint="default"/>
        </w:rPr>
        <w:t>2005</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月至</w:t>
      </w:r>
      <w:r>
        <w:rPr>
          <w:spacing w:val="-5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p>
    <w:p>
      <w:pPr>
        <w:pStyle w:val="BodyText"/>
        <w:spacing w:line="280" w:lineRule="auto" w:before="118"/>
        <w:ind w:left="138" w:right="217" w:firstLine="420"/>
        <w:jc w:val="both"/>
        <w:rPr>
          <w:rFonts w:ascii="Times New Roman" w:hAnsi="Times New Roman" w:cs="Times New Roman" w:eastAsia="Times New Roman" w:hint="default"/>
        </w:rPr>
      </w:pPr>
      <w:r>
        <w:rPr/>
        <w:t>陈建良先生，中国国籍，</w:t>
      </w:r>
      <w:r>
        <w:rPr>
          <w:rFonts w:ascii="Times New Roman" w:hAnsi="Times New Roman" w:cs="Times New Roman" w:eastAsia="Times New Roman" w:hint="default"/>
        </w:rPr>
        <w:t>42</w:t>
      </w:r>
      <w:r>
        <w:rPr>
          <w:rFonts w:ascii="Times New Roman" w:hAnsi="Times New Roman" w:cs="Times New Roman" w:eastAsia="Times New Roman" w:hint="default"/>
          <w:spacing w:val="1"/>
        </w:rPr>
        <w:t> </w:t>
      </w:r>
      <w:r>
        <w:rPr/>
        <w:t>岁，本科学历。</w:t>
      </w:r>
      <w:r>
        <w:rPr>
          <w:rFonts w:ascii="Times New Roman" w:hAnsi="Times New Roman" w:cs="Times New Roman" w:eastAsia="Times New Roman" w:hint="default"/>
        </w:rPr>
        <w:t>1991</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月毕业于西安电子科技大学电子 </w:t>
      </w:r>
      <w:r>
        <w:rPr>
          <w:spacing w:val="-3"/>
        </w:rPr>
        <w:t>设备结构专业。</w:t>
      </w:r>
      <w:r>
        <w:rPr>
          <w:rFonts w:ascii="Times New Roman" w:hAnsi="Times New Roman" w:cs="Times New Roman" w:eastAsia="Times New Roman" w:hint="default"/>
          <w:spacing w:val="-3"/>
        </w:rPr>
        <w:t>1991</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月至</w:t>
      </w:r>
      <w:r>
        <w:rPr>
          <w:spacing w:val="-56"/>
        </w:rPr>
        <w:t> </w:t>
      </w:r>
      <w:r>
        <w:rPr>
          <w:rFonts w:ascii="Times New Roman" w:hAnsi="Times New Roman" w:cs="Times New Roman" w:eastAsia="Times New Roman" w:hint="default"/>
        </w:rPr>
        <w:t>1999</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月先后任广州无线电厂电视机分厂结构设计师、设 计室主任和采购部经理。</w:t>
      </w:r>
      <w:r>
        <w:rPr>
          <w:rFonts w:ascii="Times New Roman" w:hAnsi="Times New Roman" w:cs="Times New Roman" w:eastAsia="Times New Roman" w:hint="default"/>
        </w:rPr>
        <w:t>1999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t>月起先后担任运通电子结构设计部经理、物料部经理和 </w:t>
      </w:r>
      <w:r>
        <w:rPr>
          <w:spacing w:val="-7"/>
        </w:rPr>
        <w:t>公司总经理助理。现任本公司副总经理。其担任本公司副总经理的任期为</w:t>
      </w:r>
      <w:r>
        <w:rPr>
          <w:spacing w:val="-59"/>
        </w:rPr>
        <w:t> </w:t>
      </w:r>
      <w:r>
        <w:rPr>
          <w:rFonts w:ascii="Times New Roman" w:hAnsi="Times New Roman" w:cs="Times New Roman" w:eastAsia="Times New Roman" w:hint="default"/>
          <w:spacing w:val="-1"/>
        </w:rPr>
        <w:t>2007</w:t>
      </w:r>
      <w:r>
        <w:rPr>
          <w:rFonts w:ascii="Times New Roman" w:hAnsi="Times New Roman" w:cs="Times New Roman" w:eastAsia="Times New Roman" w:hint="default"/>
          <w:spacing w:val="-6"/>
        </w:rPr>
        <w:t> </w:t>
      </w:r>
      <w:r>
        <w:rPr/>
        <w:t>年</w:t>
      </w:r>
      <w:r>
        <w:rPr>
          <w:spacing w:val="-60"/>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月至</w:t>
      </w:r>
      <w:r>
        <w:rPr>
          <w:spacing w:val="-60"/>
        </w:rPr>
        <w:t> </w:t>
      </w:r>
      <w:r>
        <w:rPr>
          <w:rFonts w:ascii="Times New Roman" w:hAnsi="Times New Roman" w:cs="Times New Roman" w:eastAsia="Times New Roman" w:hint="default"/>
        </w:rPr>
        <w:t>2012</w:t>
      </w:r>
    </w:p>
    <w:p>
      <w:pPr>
        <w:pStyle w:val="BodyText"/>
        <w:spacing w:line="240" w:lineRule="auto" w:before="10"/>
        <w:ind w:left="138" w:right="102"/>
        <w:jc w:val="left"/>
      </w:pPr>
      <w:r>
        <w:rPr/>
        <w:t>年</w:t>
      </w:r>
      <w:r>
        <w:rPr>
          <w:spacing w:val="-53"/>
        </w:rPr>
        <w:t> </w:t>
      </w:r>
      <w:r>
        <w:rPr>
          <w:rFonts w:ascii="Times New Roman" w:hAnsi="Times New Roman" w:cs="Times New Roman" w:eastAsia="Times New Roman" w:hint="default"/>
        </w:rPr>
        <w:t>1 </w:t>
      </w:r>
      <w:r>
        <w:rPr/>
        <w:t>月。</w:t>
      </w:r>
    </w:p>
    <w:p>
      <w:pPr>
        <w:pStyle w:val="BodyText"/>
        <w:spacing w:line="292" w:lineRule="auto" w:before="170"/>
        <w:ind w:left="138" w:right="217" w:firstLine="420"/>
        <w:jc w:val="both"/>
      </w:pPr>
      <w:r>
        <w:rPr/>
        <w:t>李叶东先生，中国国籍，</w:t>
      </w:r>
      <w:r>
        <w:rPr>
          <w:rFonts w:ascii="Times New Roman" w:hAnsi="Times New Roman" w:cs="Times New Roman" w:eastAsia="Times New Roman" w:hint="default"/>
        </w:rPr>
        <w:t>38</w:t>
      </w:r>
      <w:r>
        <w:rPr>
          <w:rFonts w:ascii="Times New Roman" w:hAnsi="Times New Roman" w:cs="Times New Roman" w:eastAsia="Times New Roman" w:hint="default"/>
          <w:spacing w:val="6"/>
        </w:rPr>
        <w:t> </w:t>
      </w:r>
      <w:r>
        <w:rPr/>
        <w:t>岁，本科学历。曾任合肥天鹅空调器科技有限公司助理工 </w:t>
      </w:r>
      <w:r>
        <w:rPr>
          <w:spacing w:val="-3"/>
        </w:rPr>
        <w:t>程师，东莞大同机械有限公司工程部副经理，顺德科达自动化有限公司项目主管，广州神通</w:t>
      </w:r>
      <w:r>
        <w:rPr>
          <w:spacing w:val="-81"/>
        </w:rPr>
        <w:t> </w:t>
      </w:r>
      <w:r>
        <w:rPr>
          <w:spacing w:val="-81"/>
        </w:rPr>
      </w:r>
      <w:r>
        <w:rPr>
          <w:spacing w:val="-3"/>
        </w:rPr>
        <w:t>电信科技有限公司工程师，运通电子硬件工程师、硬件开发部模块组主任、海外客户服务部</w:t>
      </w:r>
      <w:r>
        <w:rPr>
          <w:spacing w:val="-81"/>
        </w:rPr>
        <w:t> </w:t>
      </w:r>
      <w:r>
        <w:rPr>
          <w:spacing w:val="-81"/>
        </w:rPr>
      </w:r>
      <w:r>
        <w:rPr>
          <w:spacing w:val="-3"/>
        </w:rPr>
        <w:t>副经理、经理和公司总经理助理。现任本公司副总经理及运通国际董事。其担任本公司副总</w:t>
      </w:r>
      <w:r>
        <w:rPr>
          <w:spacing w:val="-81"/>
        </w:rPr>
        <w:t> </w:t>
      </w:r>
      <w:r>
        <w:rPr>
          <w:spacing w:val="-81"/>
        </w:rPr>
      </w:r>
      <w:r>
        <w:rPr/>
        <w:t>经理的任期为</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月至</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p>
    <w:p>
      <w:pPr>
        <w:pStyle w:val="BodyText"/>
        <w:spacing w:line="292" w:lineRule="auto" w:before="119"/>
        <w:ind w:left="138" w:right="106" w:firstLine="420"/>
        <w:jc w:val="left"/>
      </w:pPr>
      <w:r>
        <w:rPr>
          <w:spacing w:val="-2"/>
        </w:rPr>
        <w:t>蒋春晨先生，中国国籍，</w:t>
      </w:r>
      <w:r>
        <w:rPr>
          <w:rFonts w:ascii="Times New Roman" w:hAnsi="Times New Roman" w:cs="Times New Roman" w:eastAsia="Times New Roman" w:hint="default"/>
          <w:spacing w:val="-2"/>
        </w:rPr>
        <w:t>45</w:t>
      </w:r>
      <w:r>
        <w:rPr>
          <w:rFonts w:ascii="Times New Roman" w:hAnsi="Times New Roman" w:cs="Times New Roman" w:eastAsia="Times New Roman" w:hint="default"/>
          <w:spacing w:val="24"/>
        </w:rPr>
        <w:t> </w:t>
      </w:r>
      <w:r>
        <w:rPr>
          <w:spacing w:val="-2"/>
        </w:rPr>
        <w:t>岁，本科学历，会计师，中国注册会计师协会非执业会员。</w:t>
      </w:r>
      <w:r>
        <w:rPr/>
        <w:t> </w:t>
      </w:r>
      <w:r>
        <w:rPr>
          <w:spacing w:val="-3"/>
        </w:rPr>
        <w:t>曾任江西电视机厂主办会计，赣新电视有限公司财务主管，中国人寿保险公司吉安分公司会</w:t>
      </w:r>
      <w:r>
        <w:rPr>
          <w:spacing w:val="-79"/>
        </w:rPr>
        <w:t> </w:t>
      </w:r>
      <w:r>
        <w:rPr>
          <w:spacing w:val="-79"/>
        </w:rPr>
      </w:r>
      <w:r>
        <w:rPr>
          <w:spacing w:val="-3"/>
        </w:rPr>
        <w:t>计师，广电集团审计师，运通电子财务部经理。现任本公司财务负责人、财务总监，深圳银</w:t>
      </w:r>
      <w:r>
        <w:rPr>
          <w:spacing w:val="-84"/>
        </w:rPr>
        <w:t> </w:t>
      </w:r>
      <w:r>
        <w:rPr>
          <w:spacing w:val="-84"/>
        </w:rPr>
      </w:r>
      <w:r>
        <w:rPr/>
        <w:t>通监事、广州穗通监事及运通国际董事、财务总监。其担任本公司财务负责人（财务总监） 的任期为</w:t>
      </w:r>
      <w:r>
        <w:rPr>
          <w:spacing w:val="-55"/>
        </w:rPr>
        <w:t> </w:t>
      </w:r>
      <w:r>
        <w:rPr>
          <w:rFonts w:ascii="Times New Roman" w:hAnsi="Times New Roman" w:cs="Times New Roman" w:eastAsia="Times New Roman" w:hint="default"/>
        </w:rPr>
        <w:t>2005</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月至</w:t>
      </w:r>
      <w:r>
        <w:rPr>
          <w:spacing w:val="-5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p>
    <w:p>
      <w:pPr>
        <w:pStyle w:val="BodyText"/>
        <w:spacing w:line="240" w:lineRule="auto" w:before="119"/>
        <w:ind w:left="558" w:right="0"/>
        <w:jc w:val="left"/>
      </w:pPr>
      <w:r>
        <w:rPr/>
        <w:t>任斌女士</w:t>
      </w:r>
      <w:r>
        <w:rPr>
          <w:spacing w:val="-34"/>
        </w:rPr>
        <w:t>，</w:t>
      </w:r>
      <w:r>
        <w:rPr/>
        <w:t>本公司董事会秘书</w:t>
      </w:r>
      <w:r>
        <w:rPr>
          <w:spacing w:val="-34"/>
        </w:rPr>
        <w:t>，</w:t>
      </w:r>
      <w:r>
        <w:rPr/>
        <w:t>简历参阅本年度报</w:t>
      </w:r>
      <w:r>
        <w:rPr>
          <w:spacing w:val="-34"/>
        </w:rPr>
        <w:t>告</w:t>
      </w:r>
      <w:r>
        <w:rPr/>
        <w:t>“第四节</w:t>
      </w:r>
      <w:r>
        <w:rPr>
          <w:spacing w:val="-33"/>
        </w:rPr>
        <w:t>、</w:t>
      </w:r>
      <w:r>
        <w:rPr/>
        <w:t>二</w:t>
      </w:r>
      <w:r>
        <w:rPr>
          <w:spacing w:val="-138"/>
        </w:rPr>
        <w:t>、</w:t>
      </w:r>
      <w:r>
        <w:rPr/>
        <w:t>（一</w:t>
      </w:r>
      <w:r>
        <w:rPr>
          <w:spacing w:val="-34"/>
        </w:rPr>
        <w:t>）</w:t>
      </w:r>
      <w:r>
        <w:rPr/>
        <w:t>董事会成员</w:t>
      </w:r>
      <w:r>
        <w:rPr>
          <w:spacing w:val="-105"/>
        </w:rPr>
        <w:t>”</w:t>
      </w:r>
      <w:r>
        <w:rPr/>
        <w:t>。</w:t>
      </w:r>
    </w:p>
    <w:p>
      <w:pPr>
        <w:spacing w:line="240" w:lineRule="auto" w:before="0"/>
        <w:rPr>
          <w:rFonts w:ascii="宋体" w:hAnsi="宋体" w:cs="宋体" w:eastAsia="宋体" w:hint="default"/>
          <w:sz w:val="20"/>
          <w:szCs w:val="20"/>
        </w:rPr>
      </w:pPr>
    </w:p>
    <w:p>
      <w:pPr>
        <w:pStyle w:val="BodyText"/>
        <w:spacing w:line="240" w:lineRule="auto" w:before="165"/>
        <w:ind w:left="348" w:right="102"/>
        <w:jc w:val="left"/>
      </w:pPr>
      <w:r>
        <w:rPr/>
        <w:t>（五）报告期内董事、监事、高级管理人员变动情况</w:t>
      </w:r>
    </w:p>
    <w:p>
      <w:pPr>
        <w:spacing w:line="240" w:lineRule="auto" w:before="2"/>
        <w:rPr>
          <w:rFonts w:ascii="宋体" w:hAnsi="宋体" w:cs="宋体" w:eastAsia="宋体" w:hint="default"/>
          <w:sz w:val="14"/>
          <w:szCs w:val="14"/>
        </w:rPr>
      </w:pPr>
    </w:p>
    <w:p>
      <w:pPr>
        <w:pStyle w:val="BodyText"/>
        <w:spacing w:line="240" w:lineRule="auto" w:before="0"/>
        <w:ind w:left="558" w:right="102"/>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日，公司发布关于独立董事罗坚生病逝的公告。</w:t>
      </w:r>
    </w:p>
    <w:p>
      <w:pPr>
        <w:pStyle w:val="BodyText"/>
        <w:spacing w:line="280" w:lineRule="auto" w:before="49"/>
        <w:ind w:left="139" w:right="217" w:firstLine="420"/>
        <w:jc w:val="both"/>
      </w:pPr>
      <w:r>
        <w:rPr>
          <w:rFonts w:ascii="Times New Roman" w:hAnsi="Times New Roman" w:cs="Times New Roman" w:eastAsia="Times New Roman" w:hint="default"/>
          <w:spacing w:val="-5"/>
        </w:rPr>
        <w:t>2</w:t>
      </w:r>
      <w:r>
        <w:rPr>
          <w:spacing w:val="-5"/>
        </w:rPr>
        <w:t>、</w:t>
      </w:r>
      <w:r>
        <w:rPr>
          <w:rFonts w:ascii="Times New Roman" w:hAnsi="Times New Roman" w:cs="Times New Roman" w:eastAsia="Times New Roman" w:hint="default"/>
          <w:spacing w:val="-5"/>
        </w:rPr>
        <w:t>2008</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spacing w:val="-4"/>
        </w:rPr>
        <w:t>日，公司召开</w:t>
      </w:r>
      <w:r>
        <w:rPr>
          <w:spacing w:val="-5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spacing w:val="-3"/>
        </w:rPr>
        <w:t>年度股东大会，审议通过了《关于增补独立董事</w:t>
      </w:r>
      <w:r>
        <w:rPr/>
        <w:t> </w:t>
      </w:r>
      <w:r>
        <w:rPr>
          <w:spacing w:val="-4"/>
        </w:rPr>
        <w:t>的议案》，会议选举程昆先生为公司第一届董事会独立董事。</w:t>
      </w:r>
    </w:p>
    <w:p>
      <w:pPr>
        <w:pStyle w:val="BodyText"/>
        <w:spacing w:line="280" w:lineRule="auto" w:before="29"/>
        <w:ind w:left="139" w:right="217" w:firstLine="42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11"/>
        </w:rPr>
        <w:t> </w:t>
      </w:r>
      <w:r>
        <w:rPr/>
        <w:t>年</w:t>
      </w:r>
      <w:r>
        <w:rPr>
          <w:spacing w:val="-43"/>
        </w:rPr>
        <w:t> </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t>月</w:t>
      </w:r>
      <w:r>
        <w:rPr>
          <w:spacing w:val="-42"/>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日，公司第一届董事会同意张招兴先生因职务调整辞去公司董事职 务。</w:t>
      </w:r>
    </w:p>
    <w:p>
      <w:pPr>
        <w:pStyle w:val="BodyText"/>
        <w:spacing w:line="280" w:lineRule="auto" w:before="30"/>
        <w:ind w:left="139" w:right="216" w:firstLine="420"/>
        <w:jc w:val="both"/>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2008</w:t>
      </w:r>
      <w:r>
        <w:rPr>
          <w:rFonts w:ascii="Times New Roman" w:hAnsi="Times New Roman" w:cs="Times New Roman" w:eastAsia="Times New Roman" w:hint="default"/>
          <w:spacing w:val="-8"/>
        </w:rPr>
        <w:t> </w:t>
      </w: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61"/>
        </w:rPr>
        <w:t> </w:t>
      </w:r>
      <w:r>
        <w:rPr>
          <w:rFonts w:ascii="Times New Roman" w:hAnsi="Times New Roman" w:cs="Times New Roman" w:eastAsia="Times New Roman" w:hint="default"/>
        </w:rPr>
        <w:t>18</w:t>
      </w:r>
      <w:r>
        <w:rPr>
          <w:rFonts w:ascii="Times New Roman" w:hAnsi="Times New Roman" w:cs="Times New Roman" w:eastAsia="Times New Roman" w:hint="default"/>
          <w:spacing w:val="-7"/>
        </w:rPr>
        <w:t> </w:t>
      </w:r>
      <w:r>
        <w:rPr/>
        <w:t>日，公司召开第一届董事会第二十一次（临时）会议和第一届监事 </w:t>
      </w:r>
      <w:r>
        <w:rPr>
          <w:spacing w:val="-3"/>
        </w:rPr>
        <w:t>会第十五次（临时）会议，审议通过了《关于选举公司第二届董事会非独立董事的议案》、</w:t>
      </w:r>
    </w:p>
    <w:p>
      <w:pPr>
        <w:pStyle w:val="BodyText"/>
        <w:spacing w:line="292" w:lineRule="auto" w:before="30"/>
        <w:ind w:left="139" w:right="100"/>
        <w:jc w:val="left"/>
      </w:pPr>
      <w:r>
        <w:rPr>
          <w:spacing w:val="-3"/>
        </w:rPr>
        <w:t>《关于选举公司第二届董事会独立董事的议案》和《关于选举公司第二届监事会非职工监事</w:t>
      </w:r>
      <w:r>
        <w:rPr>
          <w:spacing w:val="-79"/>
        </w:rPr>
        <w:t> </w:t>
      </w:r>
      <w:r>
        <w:rPr>
          <w:spacing w:val="-79"/>
        </w:rPr>
      </w:r>
      <w:r>
        <w:rPr>
          <w:spacing w:val="-12"/>
        </w:rPr>
        <w:t>的议案》，以上议案提交公司</w:t>
      </w:r>
      <w:r>
        <w:rPr>
          <w:spacing w:val="-52"/>
        </w:rPr>
        <w:t> </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1"/>
        </w:rPr>
        <w:t> </w:t>
      </w:r>
      <w:r>
        <w:rPr>
          <w:spacing w:val="-2"/>
        </w:rPr>
        <w:t>年第一次临时股东大会审议通过，选举产生了公司第二届</w:t>
      </w:r>
      <w:r>
        <w:rPr>
          <w:spacing w:val="-103"/>
        </w:rPr>
        <w:t> </w:t>
      </w:r>
      <w:r>
        <w:rPr>
          <w:spacing w:val="-103"/>
        </w:rPr>
      </w:r>
      <w:r>
        <w:rPr>
          <w:spacing w:val="-5"/>
        </w:rPr>
        <w:t>董事会董事为：赵友永先生、王俊先生、叶子瑜先生、张宗贵先生、任斌女士、王礼贵先生、</w:t>
      </w:r>
      <w:r>
        <w:rPr>
          <w:spacing w:val="-102"/>
        </w:rPr>
        <w:t> </w:t>
      </w:r>
      <w:r>
        <w:rPr>
          <w:spacing w:val="-102"/>
        </w:rPr>
      </w:r>
      <w:r>
        <w:rPr/>
        <w:t>李进一先生和程昆先生；选举产生了公司第二届监事会监事为：祝立新先生和周建康先生， 同时公司第一届职代会第二次会议选举冯丰穗女士为职工代表监事。</w:t>
      </w:r>
    </w:p>
    <w:p>
      <w:pPr>
        <w:spacing w:after="0" w:line="292" w:lineRule="auto"/>
        <w:jc w:val="left"/>
        <w:sectPr>
          <w:pgSz w:w="11910" w:h="16840"/>
          <w:pgMar w:header="400" w:footer="982" w:top="1100" w:bottom="1180" w:left="1660" w:right="1580"/>
        </w:sectPr>
      </w:pPr>
    </w:p>
    <w:p>
      <w:pPr>
        <w:spacing w:line="240" w:lineRule="auto" w:before="12"/>
        <w:rPr>
          <w:rFonts w:ascii="宋体" w:hAnsi="宋体" w:cs="宋体" w:eastAsia="宋体" w:hint="default"/>
          <w:sz w:val="19"/>
          <w:szCs w:val="19"/>
        </w:rPr>
      </w:pPr>
    </w:p>
    <w:p>
      <w:pPr>
        <w:pStyle w:val="Heading2"/>
        <w:spacing w:line="240" w:lineRule="auto" w:before="13"/>
        <w:ind w:right="1090"/>
        <w:jc w:val="left"/>
        <w:rPr>
          <w:b w:val="0"/>
          <w:bCs w:val="0"/>
        </w:rPr>
      </w:pPr>
      <w:r>
        <w:rPr/>
        <w:t>二、公司员工情况</w:t>
      </w:r>
      <w:r>
        <w:rPr>
          <w:b w:val="0"/>
          <w:bCs w:val="0"/>
        </w:rPr>
      </w:r>
    </w:p>
    <w:p>
      <w:pPr>
        <w:pStyle w:val="BodyText"/>
        <w:spacing w:line="280" w:lineRule="auto" w:before="128"/>
        <w:ind w:left="139" w:right="135" w:firstLine="420"/>
        <w:jc w:val="left"/>
      </w:pPr>
      <w:r>
        <w:rPr>
          <w:rFonts w:ascii="Times New Roman" w:hAnsi="Times New Roman" w:cs="Times New Roman" w:eastAsia="Times New Roman" w:hint="default"/>
          <w:spacing w:val="-8"/>
        </w:rPr>
        <w:t>1</w:t>
      </w:r>
      <w:r>
        <w:rPr>
          <w:spacing w:val="-8"/>
        </w:rPr>
        <w:t>、截至</w:t>
      </w:r>
      <w:r>
        <w:rPr>
          <w:spacing w:val="-5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日，与公司签订正式劳动用工合同的员工人数为</w:t>
      </w:r>
      <w:r>
        <w:rPr>
          <w:spacing w:val="-58"/>
        </w:rPr>
        <w:t> </w:t>
      </w:r>
      <w:r>
        <w:rPr>
          <w:rFonts w:ascii="Times New Roman" w:hAnsi="Times New Roman" w:cs="Times New Roman" w:eastAsia="Times New Roman" w:hint="default"/>
        </w:rPr>
        <w:t>880</w:t>
      </w:r>
      <w:r>
        <w:rPr>
          <w:rFonts w:ascii="Times New Roman" w:hAnsi="Times New Roman" w:cs="Times New Roman" w:eastAsia="Times New Roman" w:hint="default"/>
          <w:spacing w:val="-5"/>
        </w:rPr>
        <w:t> </w:t>
      </w:r>
      <w:r>
        <w:rPr>
          <w:spacing w:val="-9"/>
        </w:rPr>
        <w:t>人（不含</w:t>
      </w:r>
      <w:r>
        <w:rPr/>
        <w:t> </w:t>
      </w:r>
      <w:r>
        <w:rPr>
          <w:spacing w:val="-6"/>
        </w:rPr>
        <w:t>子公司）。其专业构成、教育程度情况如下：</w:t>
      </w:r>
    </w:p>
    <w:p>
      <w:pPr>
        <w:spacing w:line="240" w:lineRule="auto" w:before="2"/>
        <w:rPr>
          <w:rFonts w:ascii="宋体" w:hAnsi="宋体" w:cs="宋体" w:eastAsia="宋体" w:hint="default"/>
          <w:sz w:val="14"/>
          <w:szCs w:val="14"/>
        </w:rPr>
      </w:pPr>
    </w:p>
    <w:tbl>
      <w:tblPr>
        <w:tblW w:w="0" w:type="auto"/>
        <w:jc w:val="left"/>
        <w:tblInd w:w="1118" w:type="dxa"/>
        <w:tblLayout w:type="fixed"/>
        <w:tblCellMar>
          <w:top w:w="0" w:type="dxa"/>
          <w:left w:w="0" w:type="dxa"/>
          <w:bottom w:w="0" w:type="dxa"/>
          <w:right w:w="0" w:type="dxa"/>
        </w:tblCellMar>
        <w:tblLook w:val="01E0"/>
      </w:tblPr>
      <w:tblGrid>
        <w:gridCol w:w="1160"/>
        <w:gridCol w:w="1520"/>
        <w:gridCol w:w="1160"/>
        <w:gridCol w:w="2479"/>
      </w:tblGrid>
      <w:tr>
        <w:trPr>
          <w:trHeight w:val="341" w:hRule="exact"/>
        </w:trPr>
        <w:tc>
          <w:tcPr>
            <w:tcW w:w="1160" w:type="dxa"/>
            <w:tcBorders>
              <w:top w:val="single" w:sz="12" w:space="0" w:color="000000"/>
              <w:left w:val="single" w:sz="12" w:space="0" w:color="000000"/>
              <w:bottom w:val="single" w:sz="17" w:space="0" w:color="000000"/>
              <w:right w:val="single" w:sz="8" w:space="0" w:color="000000"/>
            </w:tcBorders>
            <w:shd w:val="clear" w:color="auto" w:fill="C0C0C0"/>
          </w:tcPr>
          <w:p>
            <w:pPr>
              <w:pStyle w:val="TableParagraph"/>
              <w:spacing w:line="261" w:lineRule="exact"/>
              <w:ind w:left="145" w:right="0"/>
              <w:jc w:val="left"/>
              <w:rPr>
                <w:rFonts w:ascii="宋体" w:hAnsi="宋体" w:cs="宋体" w:eastAsia="宋体" w:hint="default"/>
                <w:sz w:val="21"/>
                <w:szCs w:val="21"/>
              </w:rPr>
            </w:pPr>
            <w:r>
              <w:rPr>
                <w:rFonts w:ascii="宋体" w:hAnsi="宋体" w:cs="宋体" w:eastAsia="宋体" w:hint="default"/>
                <w:sz w:val="21"/>
                <w:szCs w:val="21"/>
              </w:rPr>
              <w:t>分类类别</w:t>
            </w:r>
          </w:p>
        </w:tc>
        <w:tc>
          <w:tcPr>
            <w:tcW w:w="1520" w:type="dxa"/>
            <w:tcBorders>
              <w:top w:val="single" w:sz="12" w:space="0" w:color="000000"/>
              <w:left w:val="single" w:sz="8" w:space="0" w:color="000000"/>
              <w:bottom w:val="single" w:sz="17" w:space="0" w:color="000000"/>
              <w:right w:val="single" w:sz="8" w:space="0" w:color="000000"/>
            </w:tcBorders>
            <w:shd w:val="clear" w:color="auto" w:fill="C0C0C0"/>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类别项目</w:t>
            </w:r>
          </w:p>
        </w:tc>
        <w:tc>
          <w:tcPr>
            <w:tcW w:w="1160" w:type="dxa"/>
            <w:tcBorders>
              <w:top w:val="single" w:sz="12" w:space="0" w:color="000000"/>
              <w:left w:val="single" w:sz="8" w:space="0" w:color="000000"/>
              <w:bottom w:val="single" w:sz="17" w:space="0" w:color="000000"/>
              <w:right w:val="single" w:sz="8" w:space="0" w:color="000000"/>
            </w:tcBorders>
            <w:shd w:val="clear" w:color="auto" w:fill="C0C0C0"/>
          </w:tcPr>
          <w:p>
            <w:pPr>
              <w:pStyle w:val="TableParagraph"/>
              <w:spacing w:line="261" w:lineRule="exact"/>
              <w:ind w:left="98" w:right="-6"/>
              <w:jc w:val="center"/>
              <w:rPr>
                <w:rFonts w:ascii="宋体" w:hAnsi="宋体" w:cs="宋体" w:eastAsia="宋体" w:hint="default"/>
                <w:sz w:val="21"/>
                <w:szCs w:val="21"/>
              </w:rPr>
            </w:pPr>
            <w:r>
              <w:rPr>
                <w:rFonts w:ascii="宋体" w:hAnsi="宋体" w:cs="宋体" w:eastAsia="宋体" w:hint="default"/>
                <w:sz w:val="21"/>
                <w:szCs w:val="21"/>
              </w:rPr>
              <w:t>人数（人）</w:t>
            </w:r>
          </w:p>
        </w:tc>
        <w:tc>
          <w:tcPr>
            <w:tcW w:w="2479" w:type="dxa"/>
            <w:tcBorders>
              <w:top w:val="single" w:sz="12" w:space="0" w:color="000000"/>
              <w:left w:val="single" w:sz="8" w:space="0" w:color="000000"/>
              <w:bottom w:val="single" w:sz="17" w:space="0" w:color="000000"/>
              <w:right w:val="single" w:sz="12" w:space="0" w:color="000000"/>
            </w:tcBorders>
            <w:shd w:val="clear" w:color="auto" w:fill="C0C0C0"/>
          </w:tcPr>
          <w:p>
            <w:pPr>
              <w:pStyle w:val="TableParagraph"/>
              <w:spacing w:line="277" w:lineRule="exact"/>
              <w:ind w:left="51" w:right="0"/>
              <w:jc w:val="center"/>
              <w:rPr>
                <w:rFonts w:ascii="宋体" w:hAnsi="宋体" w:cs="宋体" w:eastAsia="宋体" w:hint="default"/>
                <w:sz w:val="21"/>
                <w:szCs w:val="21"/>
              </w:rPr>
            </w:pPr>
            <w:r>
              <w:rPr>
                <w:rFonts w:ascii="宋体" w:hAnsi="宋体" w:cs="宋体" w:eastAsia="宋体" w:hint="default"/>
                <w:sz w:val="21"/>
                <w:szCs w:val="21"/>
              </w:rPr>
              <w:t>占公司总人数比例（</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tc>
      </w:tr>
      <w:tr>
        <w:trPr>
          <w:trHeight w:val="344" w:hRule="exact"/>
        </w:trPr>
        <w:tc>
          <w:tcPr>
            <w:tcW w:w="1160" w:type="dxa"/>
            <w:vMerge w:val="restart"/>
            <w:tcBorders>
              <w:top w:val="single" w:sz="8" w:space="0" w:color="C0C0C0"/>
              <w:left w:val="single" w:sz="12"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145" w:right="0"/>
              <w:jc w:val="left"/>
              <w:rPr>
                <w:rFonts w:ascii="宋体" w:hAnsi="宋体" w:cs="宋体" w:eastAsia="宋体" w:hint="default"/>
                <w:sz w:val="21"/>
                <w:szCs w:val="21"/>
              </w:rPr>
            </w:pPr>
            <w:r>
              <w:rPr>
                <w:rFonts w:ascii="宋体" w:hAnsi="宋体" w:cs="宋体" w:eastAsia="宋体" w:hint="default"/>
                <w:sz w:val="21"/>
                <w:szCs w:val="21"/>
              </w:rPr>
              <w:t>专业构成</w:t>
            </w:r>
          </w:p>
        </w:tc>
        <w:tc>
          <w:tcPr>
            <w:tcW w:w="1520" w:type="dxa"/>
            <w:tcBorders>
              <w:top w:val="single" w:sz="8" w:space="0" w:color="C0C0C0"/>
              <w:left w:val="single" w:sz="8" w:space="0" w:color="000000"/>
              <w:bottom w:val="single" w:sz="8" w:space="0" w:color="000000"/>
              <w:right w:val="single" w:sz="8" w:space="0" w:color="000000"/>
            </w:tcBorders>
          </w:tcPr>
          <w:p>
            <w:pPr>
              <w:pStyle w:val="TableParagraph"/>
              <w:spacing w:line="240" w:lineRule="auto" w:before="2"/>
              <w:ind w:right="1"/>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1160" w:type="dxa"/>
            <w:tcBorders>
              <w:top w:val="single" w:sz="8" w:space="0" w:color="C0C0C0"/>
              <w:left w:val="single" w:sz="8" w:space="0" w:color="000000"/>
              <w:bottom w:val="single" w:sz="8" w:space="0" w:color="000000"/>
              <w:right w:val="single" w:sz="8" w:space="0" w:color="000000"/>
            </w:tcBorders>
          </w:tcPr>
          <w:p>
            <w:pPr>
              <w:pStyle w:val="TableParagraph"/>
              <w:spacing w:line="240" w:lineRule="auto" w:before="80"/>
              <w:ind w:right="0"/>
              <w:jc w:val="center"/>
              <w:rPr>
                <w:rFonts w:ascii="Times New Roman" w:hAnsi="Times New Roman" w:cs="Times New Roman" w:eastAsia="Times New Roman" w:hint="default"/>
                <w:sz w:val="21"/>
                <w:szCs w:val="21"/>
              </w:rPr>
            </w:pPr>
            <w:r>
              <w:rPr>
                <w:rFonts w:ascii="Times New Roman"/>
                <w:sz w:val="21"/>
              </w:rPr>
              <w:t>212</w:t>
            </w:r>
          </w:p>
        </w:tc>
        <w:tc>
          <w:tcPr>
            <w:tcW w:w="2479" w:type="dxa"/>
            <w:tcBorders>
              <w:top w:val="single" w:sz="8" w:space="0" w:color="C0C0C0"/>
              <w:left w:val="single" w:sz="8" w:space="0" w:color="000000"/>
              <w:bottom w:val="single" w:sz="8" w:space="0" w:color="000000"/>
              <w:right w:val="single" w:sz="12" w:space="0" w:color="000000"/>
            </w:tcBorders>
          </w:tcPr>
          <w:p>
            <w:pPr>
              <w:pStyle w:val="TableParagraph"/>
              <w:spacing w:line="240" w:lineRule="auto" w:before="80"/>
              <w:ind w:left="7" w:right="0"/>
              <w:jc w:val="center"/>
              <w:rPr>
                <w:rFonts w:ascii="Times New Roman" w:hAnsi="Times New Roman" w:cs="Times New Roman" w:eastAsia="Times New Roman" w:hint="default"/>
                <w:sz w:val="21"/>
                <w:szCs w:val="21"/>
              </w:rPr>
            </w:pPr>
            <w:r>
              <w:rPr>
                <w:rFonts w:ascii="Times New Roman"/>
                <w:sz w:val="21"/>
              </w:rPr>
              <w:t>24.09</w:t>
            </w:r>
          </w:p>
        </w:tc>
      </w:tr>
      <w:tr>
        <w:trPr>
          <w:trHeight w:val="320"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pacing w:val="-3"/>
                <w:sz w:val="21"/>
              </w:rPr>
              <w:t>119</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7"/>
              <w:ind w:left="7" w:right="0"/>
              <w:jc w:val="center"/>
              <w:rPr>
                <w:rFonts w:ascii="Times New Roman" w:hAnsi="Times New Roman" w:cs="Times New Roman" w:eastAsia="Times New Roman" w:hint="default"/>
                <w:sz w:val="21"/>
                <w:szCs w:val="21"/>
              </w:rPr>
            </w:pPr>
            <w:r>
              <w:rPr>
                <w:rFonts w:ascii="Times New Roman"/>
                <w:sz w:val="21"/>
              </w:rPr>
              <w:t>13.52</w:t>
            </w:r>
          </w:p>
        </w:tc>
      </w:tr>
      <w:tr>
        <w:trPr>
          <w:trHeight w:val="319"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研发人员</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386</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7"/>
              <w:ind w:left="7" w:right="0"/>
              <w:jc w:val="center"/>
              <w:rPr>
                <w:rFonts w:ascii="Times New Roman" w:hAnsi="Times New Roman" w:cs="Times New Roman" w:eastAsia="Times New Roman" w:hint="default"/>
                <w:sz w:val="21"/>
                <w:szCs w:val="21"/>
              </w:rPr>
            </w:pPr>
            <w:r>
              <w:rPr>
                <w:rFonts w:ascii="Times New Roman"/>
                <w:sz w:val="21"/>
              </w:rPr>
              <w:t>43.86</w:t>
            </w:r>
          </w:p>
        </w:tc>
      </w:tr>
      <w:tr>
        <w:trPr>
          <w:trHeight w:val="320"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海外技术人员</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
              <w:jc w:val="center"/>
              <w:rPr>
                <w:rFonts w:ascii="Times New Roman" w:hAnsi="Times New Roman" w:cs="Times New Roman" w:eastAsia="Times New Roman" w:hint="default"/>
                <w:sz w:val="21"/>
                <w:szCs w:val="21"/>
              </w:rPr>
            </w:pPr>
            <w:r>
              <w:rPr>
                <w:rFonts w:ascii="Times New Roman"/>
                <w:sz w:val="21"/>
              </w:rPr>
              <w:t>56</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7"/>
              <w:ind w:left="6" w:right="0"/>
              <w:jc w:val="center"/>
              <w:rPr>
                <w:rFonts w:ascii="Times New Roman" w:hAnsi="Times New Roman" w:cs="Times New Roman" w:eastAsia="Times New Roman" w:hint="default"/>
                <w:sz w:val="21"/>
                <w:szCs w:val="21"/>
              </w:rPr>
            </w:pPr>
            <w:r>
              <w:rPr>
                <w:rFonts w:ascii="Times New Roman"/>
                <w:sz w:val="21"/>
              </w:rPr>
              <w:t>6.36</w:t>
            </w:r>
          </w:p>
        </w:tc>
      </w:tr>
      <w:tr>
        <w:trPr>
          <w:trHeight w:val="320"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
              <w:jc w:val="center"/>
              <w:rPr>
                <w:rFonts w:ascii="Times New Roman" w:hAnsi="Times New Roman" w:cs="Times New Roman" w:eastAsia="Times New Roman" w:hint="default"/>
                <w:sz w:val="21"/>
                <w:szCs w:val="21"/>
              </w:rPr>
            </w:pPr>
            <w:r>
              <w:rPr>
                <w:rFonts w:ascii="Times New Roman"/>
                <w:sz w:val="21"/>
              </w:rPr>
              <w:t>13</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7"/>
              <w:ind w:left="6" w:right="0"/>
              <w:jc w:val="center"/>
              <w:rPr>
                <w:rFonts w:ascii="Times New Roman" w:hAnsi="Times New Roman" w:cs="Times New Roman" w:eastAsia="Times New Roman" w:hint="default"/>
                <w:sz w:val="21"/>
                <w:szCs w:val="21"/>
              </w:rPr>
            </w:pPr>
            <w:r>
              <w:rPr>
                <w:rFonts w:ascii="Times New Roman"/>
                <w:sz w:val="21"/>
              </w:rPr>
              <w:t>1.48</w:t>
            </w:r>
          </w:p>
        </w:tc>
      </w:tr>
      <w:tr>
        <w:trPr>
          <w:trHeight w:val="319"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
              <w:jc w:val="center"/>
              <w:rPr>
                <w:rFonts w:ascii="Times New Roman" w:hAnsi="Times New Roman" w:cs="Times New Roman" w:eastAsia="Times New Roman" w:hint="default"/>
                <w:sz w:val="21"/>
                <w:szCs w:val="21"/>
              </w:rPr>
            </w:pPr>
            <w:r>
              <w:rPr>
                <w:rFonts w:ascii="Times New Roman"/>
                <w:sz w:val="21"/>
              </w:rPr>
              <w:t>94</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7"/>
              <w:ind w:left="7" w:right="0"/>
              <w:jc w:val="center"/>
              <w:rPr>
                <w:rFonts w:ascii="Times New Roman" w:hAnsi="Times New Roman" w:cs="Times New Roman" w:eastAsia="Times New Roman" w:hint="default"/>
                <w:sz w:val="21"/>
                <w:szCs w:val="21"/>
              </w:rPr>
            </w:pPr>
            <w:r>
              <w:rPr>
                <w:rFonts w:ascii="Times New Roman"/>
                <w:sz w:val="21"/>
              </w:rPr>
              <w:t>10.68</w:t>
            </w:r>
          </w:p>
        </w:tc>
      </w:tr>
      <w:tr>
        <w:trPr>
          <w:trHeight w:val="320" w:hRule="exact"/>
        </w:trPr>
        <w:tc>
          <w:tcPr>
            <w:tcW w:w="1160" w:type="dxa"/>
            <w:vMerge/>
            <w:tcBorders>
              <w:left w:val="single" w:sz="12" w:space="0" w:color="000000"/>
              <w:bottom w:val="single" w:sz="8"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0"/>
              <w:jc w:val="center"/>
              <w:rPr>
                <w:rFonts w:ascii="Times New Roman" w:hAnsi="Times New Roman" w:cs="Times New Roman" w:eastAsia="Times New Roman" w:hint="default"/>
                <w:sz w:val="21"/>
                <w:szCs w:val="21"/>
              </w:rPr>
            </w:pPr>
            <w:r>
              <w:rPr>
                <w:rFonts w:ascii="Times New Roman"/>
                <w:b/>
                <w:sz w:val="21"/>
              </w:rPr>
              <w:t>880</w:t>
            </w:r>
            <w:r>
              <w:rPr>
                <w:rFonts w:ascii="Times New Roman"/>
                <w:sz w:val="21"/>
              </w:rPr>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8"/>
              <w:ind w:left="5" w:right="0"/>
              <w:jc w:val="center"/>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r>
      <w:tr>
        <w:trPr>
          <w:trHeight w:val="320" w:hRule="exact"/>
        </w:trPr>
        <w:tc>
          <w:tcPr>
            <w:tcW w:w="1160" w:type="dxa"/>
            <w:vMerge w:val="restart"/>
            <w:tcBorders>
              <w:top w:val="single" w:sz="8" w:space="0" w:color="000000"/>
              <w:left w:val="single" w:sz="12"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left="145" w:right="0"/>
              <w:jc w:val="left"/>
              <w:rPr>
                <w:rFonts w:ascii="宋体" w:hAnsi="宋体" w:cs="宋体" w:eastAsia="宋体" w:hint="default"/>
                <w:sz w:val="21"/>
                <w:szCs w:val="21"/>
              </w:rPr>
            </w:pPr>
            <w:r>
              <w:rPr>
                <w:rFonts w:ascii="宋体" w:hAnsi="宋体" w:cs="宋体" w:eastAsia="宋体" w:hint="default"/>
                <w:sz w:val="21"/>
                <w:szCs w:val="21"/>
              </w:rPr>
              <w:t>教育程度</w:t>
            </w: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研究生及以上</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pacing w:val="-5"/>
                <w:sz w:val="21"/>
              </w:rPr>
              <w:t>111</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7"/>
              <w:ind w:left="7" w:right="0"/>
              <w:jc w:val="center"/>
              <w:rPr>
                <w:rFonts w:ascii="Times New Roman" w:hAnsi="Times New Roman" w:cs="Times New Roman" w:eastAsia="Times New Roman" w:hint="default"/>
                <w:sz w:val="21"/>
                <w:szCs w:val="21"/>
              </w:rPr>
            </w:pPr>
            <w:r>
              <w:rPr>
                <w:rFonts w:ascii="Times New Roman"/>
                <w:sz w:val="21"/>
              </w:rPr>
              <w:t>12.61</w:t>
            </w:r>
          </w:p>
        </w:tc>
      </w:tr>
      <w:tr>
        <w:trPr>
          <w:trHeight w:val="330"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本科及大专</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sz w:val="21"/>
              </w:rPr>
              <w:t>593</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8"/>
              <w:ind w:left="7" w:right="0"/>
              <w:jc w:val="center"/>
              <w:rPr>
                <w:rFonts w:ascii="Times New Roman" w:hAnsi="Times New Roman" w:cs="Times New Roman" w:eastAsia="Times New Roman" w:hint="default"/>
                <w:sz w:val="21"/>
                <w:szCs w:val="21"/>
              </w:rPr>
            </w:pPr>
            <w:r>
              <w:rPr>
                <w:rFonts w:ascii="Times New Roman"/>
                <w:sz w:val="21"/>
              </w:rPr>
              <w:t>67.39</w:t>
            </w:r>
          </w:p>
        </w:tc>
      </w:tr>
      <w:tr>
        <w:trPr>
          <w:trHeight w:val="330"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sz w:val="21"/>
                <w:szCs w:val="21"/>
              </w:rPr>
              <w:t>中专</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sz w:val="21"/>
              </w:rPr>
              <w:t>144</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8"/>
              <w:ind w:left="7" w:right="0"/>
              <w:jc w:val="center"/>
              <w:rPr>
                <w:rFonts w:ascii="Times New Roman" w:hAnsi="Times New Roman" w:cs="Times New Roman" w:eastAsia="Times New Roman" w:hint="default"/>
                <w:sz w:val="21"/>
                <w:szCs w:val="21"/>
              </w:rPr>
            </w:pPr>
            <w:r>
              <w:rPr>
                <w:rFonts w:ascii="Times New Roman"/>
                <w:sz w:val="21"/>
              </w:rPr>
              <w:t>16.36</w:t>
            </w:r>
          </w:p>
        </w:tc>
      </w:tr>
      <w:tr>
        <w:trPr>
          <w:trHeight w:val="330"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sz w:val="21"/>
                <w:szCs w:val="21"/>
              </w:rPr>
              <w:t>中专以下</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1"/>
              <w:jc w:val="center"/>
              <w:rPr>
                <w:rFonts w:ascii="Times New Roman" w:hAnsi="Times New Roman" w:cs="Times New Roman" w:eastAsia="Times New Roman" w:hint="default"/>
                <w:sz w:val="21"/>
                <w:szCs w:val="21"/>
              </w:rPr>
            </w:pPr>
            <w:r>
              <w:rPr>
                <w:rFonts w:ascii="Times New Roman"/>
                <w:sz w:val="21"/>
              </w:rPr>
              <w:t>32</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8"/>
              <w:ind w:left="6" w:right="0"/>
              <w:jc w:val="center"/>
              <w:rPr>
                <w:rFonts w:ascii="Times New Roman" w:hAnsi="Times New Roman" w:cs="Times New Roman" w:eastAsia="Times New Roman" w:hint="default"/>
                <w:sz w:val="21"/>
                <w:szCs w:val="21"/>
              </w:rPr>
            </w:pPr>
            <w:r>
              <w:rPr>
                <w:rFonts w:ascii="Times New Roman"/>
                <w:sz w:val="21"/>
              </w:rPr>
              <w:t>3.64</w:t>
            </w:r>
          </w:p>
        </w:tc>
      </w:tr>
      <w:tr>
        <w:trPr>
          <w:trHeight w:val="335" w:hRule="exact"/>
        </w:trPr>
        <w:tc>
          <w:tcPr>
            <w:tcW w:w="1160" w:type="dxa"/>
            <w:vMerge/>
            <w:tcBorders>
              <w:left w:val="single" w:sz="12" w:space="0" w:color="000000"/>
              <w:bottom w:val="single" w:sz="12" w:space="0" w:color="000000"/>
              <w:right w:val="single" w:sz="8" w:space="0" w:color="000000"/>
            </w:tcBorders>
          </w:tcPr>
          <w:p>
            <w:pPr/>
          </w:p>
        </w:tc>
        <w:tc>
          <w:tcPr>
            <w:tcW w:w="1520" w:type="dxa"/>
            <w:tcBorders>
              <w:top w:val="single" w:sz="8" w:space="0" w:color="000000"/>
              <w:left w:val="single" w:sz="8" w:space="0" w:color="000000"/>
              <w:bottom w:val="single" w:sz="12" w:space="0" w:color="000000"/>
              <w:right w:val="single" w:sz="8" w:space="0" w:color="000000"/>
            </w:tcBorders>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16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9"/>
              <w:ind w:right="0"/>
              <w:jc w:val="center"/>
              <w:rPr>
                <w:rFonts w:ascii="Times New Roman" w:hAnsi="Times New Roman" w:cs="Times New Roman" w:eastAsia="Times New Roman" w:hint="default"/>
                <w:sz w:val="21"/>
                <w:szCs w:val="21"/>
              </w:rPr>
            </w:pPr>
            <w:r>
              <w:rPr>
                <w:rFonts w:ascii="Times New Roman"/>
                <w:b/>
                <w:sz w:val="21"/>
              </w:rPr>
              <w:t>880</w:t>
            </w:r>
            <w:r>
              <w:rPr>
                <w:rFonts w:ascii="Times New Roman"/>
                <w:sz w:val="21"/>
              </w:rPr>
            </w:r>
          </w:p>
        </w:tc>
        <w:tc>
          <w:tcPr>
            <w:tcW w:w="2479"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69"/>
              <w:ind w:left="5" w:right="0"/>
              <w:jc w:val="center"/>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r>
    </w:tbl>
    <w:p>
      <w:pPr>
        <w:spacing w:line="240" w:lineRule="auto" w:before="1"/>
        <w:rPr>
          <w:rFonts w:ascii="宋体" w:hAnsi="宋体" w:cs="宋体" w:eastAsia="宋体" w:hint="default"/>
          <w:sz w:val="13"/>
          <w:szCs w:val="13"/>
        </w:rPr>
      </w:pPr>
    </w:p>
    <w:p>
      <w:pPr>
        <w:pStyle w:val="BodyText"/>
        <w:spacing w:line="240" w:lineRule="auto" w:before="35"/>
        <w:ind w:left="561" w:right="1090"/>
        <w:jc w:val="left"/>
      </w:pPr>
      <w:r>
        <w:rPr/>
        <w:t>公司没有需承担费用的离退休职工。</w:t>
      </w:r>
    </w:p>
    <w:p>
      <w:pPr>
        <w:spacing w:line="240" w:lineRule="auto" w:before="5"/>
        <w:rPr>
          <w:rFonts w:ascii="宋体" w:hAnsi="宋体" w:cs="宋体" w:eastAsia="宋体" w:hint="default"/>
          <w:sz w:val="27"/>
          <w:szCs w:val="27"/>
        </w:rPr>
      </w:pPr>
    </w:p>
    <w:p>
      <w:pPr>
        <w:pStyle w:val="BodyText"/>
        <w:spacing w:line="280" w:lineRule="auto" w:before="0"/>
        <w:ind w:left="139" w:right="130" w:firstLine="420"/>
        <w:jc w:val="left"/>
      </w:pPr>
      <w:r>
        <w:rPr>
          <w:rFonts w:ascii="Times New Roman" w:hAnsi="Times New Roman" w:cs="Times New Roman" w:eastAsia="Times New Roman" w:hint="default"/>
        </w:rPr>
        <w:t>2</w:t>
      </w:r>
      <w:r>
        <w:rPr/>
        <w:t>、截至</w:t>
      </w:r>
      <w:r>
        <w:rPr>
          <w:spacing w:val="-5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日，公司全资子公司深圳银通的员工人数为</w:t>
      </w:r>
      <w:r>
        <w:rPr>
          <w:spacing w:val="-53"/>
        </w:rPr>
        <w:t> </w:t>
      </w:r>
      <w:r>
        <w:rPr>
          <w:rFonts w:ascii="Times New Roman" w:hAnsi="Times New Roman" w:cs="Times New Roman" w:eastAsia="Times New Roman" w:hint="default"/>
        </w:rPr>
        <w:t>1202</w:t>
      </w:r>
      <w:r>
        <w:rPr>
          <w:rFonts w:ascii="Times New Roman" w:hAnsi="Times New Roman" w:cs="Times New Roman" w:eastAsia="Times New Roman" w:hint="default"/>
          <w:spacing w:val="1"/>
        </w:rPr>
        <w:t> </w:t>
      </w:r>
      <w:r>
        <w:rPr/>
        <w:t>人。其专业 构成、教育程度情况如下：</w:t>
      </w:r>
    </w:p>
    <w:p>
      <w:pPr>
        <w:spacing w:line="240" w:lineRule="auto" w:before="1"/>
        <w:rPr>
          <w:rFonts w:ascii="宋体" w:hAnsi="宋体" w:cs="宋体" w:eastAsia="宋体" w:hint="default"/>
          <w:sz w:val="14"/>
          <w:szCs w:val="14"/>
        </w:rPr>
      </w:pPr>
    </w:p>
    <w:tbl>
      <w:tblPr>
        <w:tblW w:w="0" w:type="auto"/>
        <w:jc w:val="left"/>
        <w:tblInd w:w="1118" w:type="dxa"/>
        <w:tblLayout w:type="fixed"/>
        <w:tblCellMar>
          <w:top w:w="0" w:type="dxa"/>
          <w:left w:w="0" w:type="dxa"/>
          <w:bottom w:w="0" w:type="dxa"/>
          <w:right w:w="0" w:type="dxa"/>
        </w:tblCellMar>
        <w:tblLook w:val="01E0"/>
      </w:tblPr>
      <w:tblGrid>
        <w:gridCol w:w="1160"/>
        <w:gridCol w:w="1520"/>
        <w:gridCol w:w="1160"/>
        <w:gridCol w:w="2479"/>
      </w:tblGrid>
      <w:tr>
        <w:trPr>
          <w:trHeight w:val="341" w:hRule="exact"/>
        </w:trPr>
        <w:tc>
          <w:tcPr>
            <w:tcW w:w="1160" w:type="dxa"/>
            <w:tcBorders>
              <w:top w:val="single" w:sz="12" w:space="0" w:color="000000"/>
              <w:left w:val="single" w:sz="12" w:space="0" w:color="000000"/>
              <w:bottom w:val="single" w:sz="17" w:space="0" w:color="000000"/>
              <w:right w:val="single" w:sz="8" w:space="0" w:color="000000"/>
            </w:tcBorders>
            <w:shd w:val="clear" w:color="auto" w:fill="C0C0C0"/>
          </w:tcPr>
          <w:p>
            <w:pPr>
              <w:pStyle w:val="TableParagraph"/>
              <w:spacing w:line="261" w:lineRule="exact"/>
              <w:ind w:left="145" w:right="0"/>
              <w:jc w:val="left"/>
              <w:rPr>
                <w:rFonts w:ascii="宋体" w:hAnsi="宋体" w:cs="宋体" w:eastAsia="宋体" w:hint="default"/>
                <w:sz w:val="21"/>
                <w:szCs w:val="21"/>
              </w:rPr>
            </w:pPr>
            <w:r>
              <w:rPr>
                <w:rFonts w:ascii="宋体" w:hAnsi="宋体" w:cs="宋体" w:eastAsia="宋体" w:hint="default"/>
                <w:sz w:val="21"/>
                <w:szCs w:val="21"/>
              </w:rPr>
              <w:t>分类类别</w:t>
            </w:r>
          </w:p>
        </w:tc>
        <w:tc>
          <w:tcPr>
            <w:tcW w:w="1520" w:type="dxa"/>
            <w:tcBorders>
              <w:top w:val="single" w:sz="12" w:space="0" w:color="000000"/>
              <w:left w:val="single" w:sz="8" w:space="0" w:color="000000"/>
              <w:bottom w:val="single" w:sz="17" w:space="0" w:color="000000"/>
              <w:right w:val="single" w:sz="8" w:space="0" w:color="000000"/>
            </w:tcBorders>
            <w:shd w:val="clear" w:color="auto" w:fill="C0C0C0"/>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类别项目</w:t>
            </w:r>
          </w:p>
        </w:tc>
        <w:tc>
          <w:tcPr>
            <w:tcW w:w="1160" w:type="dxa"/>
            <w:tcBorders>
              <w:top w:val="single" w:sz="12" w:space="0" w:color="000000"/>
              <w:left w:val="single" w:sz="8" w:space="0" w:color="000000"/>
              <w:bottom w:val="single" w:sz="17" w:space="0" w:color="000000"/>
              <w:right w:val="single" w:sz="8" w:space="0" w:color="000000"/>
            </w:tcBorders>
            <w:shd w:val="clear" w:color="auto" w:fill="C0C0C0"/>
          </w:tcPr>
          <w:p>
            <w:pPr>
              <w:pStyle w:val="TableParagraph"/>
              <w:spacing w:line="261" w:lineRule="exact"/>
              <w:ind w:left="98" w:right="-6"/>
              <w:jc w:val="center"/>
              <w:rPr>
                <w:rFonts w:ascii="宋体" w:hAnsi="宋体" w:cs="宋体" w:eastAsia="宋体" w:hint="default"/>
                <w:sz w:val="21"/>
                <w:szCs w:val="21"/>
              </w:rPr>
            </w:pPr>
            <w:r>
              <w:rPr>
                <w:rFonts w:ascii="宋体" w:hAnsi="宋体" w:cs="宋体" w:eastAsia="宋体" w:hint="default"/>
                <w:sz w:val="21"/>
                <w:szCs w:val="21"/>
              </w:rPr>
              <w:t>人数（人）</w:t>
            </w:r>
          </w:p>
        </w:tc>
        <w:tc>
          <w:tcPr>
            <w:tcW w:w="2479" w:type="dxa"/>
            <w:tcBorders>
              <w:top w:val="single" w:sz="12" w:space="0" w:color="000000"/>
              <w:left w:val="single" w:sz="8" w:space="0" w:color="000000"/>
              <w:bottom w:val="single" w:sz="17" w:space="0" w:color="000000"/>
              <w:right w:val="single" w:sz="12" w:space="0" w:color="000000"/>
            </w:tcBorders>
            <w:shd w:val="clear" w:color="auto" w:fill="C0C0C0"/>
          </w:tcPr>
          <w:p>
            <w:pPr>
              <w:pStyle w:val="TableParagraph"/>
              <w:spacing w:line="277" w:lineRule="exact"/>
              <w:ind w:left="51" w:right="0"/>
              <w:jc w:val="center"/>
              <w:rPr>
                <w:rFonts w:ascii="宋体" w:hAnsi="宋体" w:cs="宋体" w:eastAsia="宋体" w:hint="default"/>
                <w:sz w:val="21"/>
                <w:szCs w:val="21"/>
              </w:rPr>
            </w:pPr>
            <w:r>
              <w:rPr>
                <w:rFonts w:ascii="宋体" w:hAnsi="宋体" w:cs="宋体" w:eastAsia="宋体" w:hint="default"/>
                <w:sz w:val="21"/>
                <w:szCs w:val="21"/>
              </w:rPr>
              <w:t>占公司总人数比例（</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tc>
      </w:tr>
      <w:tr>
        <w:trPr>
          <w:trHeight w:val="343" w:hRule="exact"/>
        </w:trPr>
        <w:tc>
          <w:tcPr>
            <w:tcW w:w="1160" w:type="dxa"/>
            <w:vMerge w:val="restart"/>
            <w:tcBorders>
              <w:top w:val="single" w:sz="26" w:space="0" w:color="C0C0C0"/>
              <w:left w:val="single" w:sz="12"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45" w:right="0"/>
              <w:jc w:val="left"/>
              <w:rPr>
                <w:rFonts w:ascii="宋体" w:hAnsi="宋体" w:cs="宋体" w:eastAsia="宋体" w:hint="default"/>
                <w:sz w:val="21"/>
                <w:szCs w:val="21"/>
              </w:rPr>
            </w:pPr>
            <w:r>
              <w:rPr>
                <w:rFonts w:ascii="宋体" w:hAnsi="宋体" w:cs="宋体" w:eastAsia="宋体" w:hint="default"/>
                <w:sz w:val="21"/>
                <w:szCs w:val="21"/>
              </w:rPr>
              <w:t>专业构成</w:t>
            </w:r>
          </w:p>
        </w:tc>
        <w:tc>
          <w:tcPr>
            <w:tcW w:w="1520" w:type="dxa"/>
            <w:tcBorders>
              <w:top w:val="single" w:sz="26" w:space="0" w:color="C0C0C0"/>
              <w:left w:val="single" w:sz="8" w:space="0" w:color="000000"/>
              <w:bottom w:val="single" w:sz="8" w:space="0" w:color="000000"/>
              <w:right w:val="single" w:sz="8"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1160" w:type="dxa"/>
            <w:tcBorders>
              <w:top w:val="single" w:sz="26" w:space="0" w:color="C0C0C0"/>
              <w:left w:val="single" w:sz="8" w:space="0" w:color="000000"/>
              <w:bottom w:val="single" w:sz="8" w:space="0" w:color="000000"/>
              <w:right w:val="single" w:sz="8" w:space="0" w:color="000000"/>
            </w:tcBorders>
          </w:tcPr>
          <w:p>
            <w:pPr>
              <w:pStyle w:val="TableParagraph"/>
              <w:spacing w:line="240" w:lineRule="auto" w:before="58"/>
              <w:ind w:right="1"/>
              <w:jc w:val="center"/>
              <w:rPr>
                <w:rFonts w:ascii="Times New Roman" w:hAnsi="Times New Roman" w:cs="Times New Roman" w:eastAsia="Times New Roman" w:hint="default"/>
                <w:sz w:val="21"/>
                <w:szCs w:val="21"/>
              </w:rPr>
            </w:pPr>
            <w:r>
              <w:rPr>
                <w:rFonts w:ascii="Times New Roman"/>
                <w:sz w:val="21"/>
              </w:rPr>
              <w:t>68</w:t>
            </w:r>
          </w:p>
        </w:tc>
        <w:tc>
          <w:tcPr>
            <w:tcW w:w="2479" w:type="dxa"/>
            <w:tcBorders>
              <w:top w:val="single" w:sz="26" w:space="0" w:color="C0C0C0"/>
              <w:left w:val="single" w:sz="8" w:space="0" w:color="000000"/>
              <w:bottom w:val="single" w:sz="8" w:space="0" w:color="000000"/>
              <w:right w:val="single" w:sz="12" w:space="0" w:color="000000"/>
            </w:tcBorders>
          </w:tcPr>
          <w:p>
            <w:pPr>
              <w:pStyle w:val="TableParagraph"/>
              <w:spacing w:line="240" w:lineRule="auto" w:before="58"/>
              <w:ind w:left="6" w:right="0"/>
              <w:jc w:val="center"/>
              <w:rPr>
                <w:rFonts w:ascii="Times New Roman" w:hAnsi="Times New Roman" w:cs="Times New Roman" w:eastAsia="Times New Roman" w:hint="default"/>
                <w:sz w:val="21"/>
                <w:szCs w:val="21"/>
              </w:rPr>
            </w:pPr>
            <w:r>
              <w:rPr>
                <w:rFonts w:ascii="Times New Roman"/>
                <w:sz w:val="21"/>
              </w:rPr>
              <w:t>5.66</w:t>
            </w:r>
          </w:p>
        </w:tc>
      </w:tr>
      <w:tr>
        <w:trPr>
          <w:trHeight w:val="320"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
              <w:jc w:val="center"/>
              <w:rPr>
                <w:rFonts w:ascii="Times New Roman" w:hAnsi="Times New Roman" w:cs="Times New Roman" w:eastAsia="Times New Roman" w:hint="default"/>
                <w:sz w:val="21"/>
                <w:szCs w:val="21"/>
              </w:rPr>
            </w:pPr>
            <w:r>
              <w:rPr>
                <w:rFonts w:ascii="Times New Roman"/>
                <w:sz w:val="21"/>
              </w:rPr>
              <w:t>69</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7"/>
              <w:ind w:left="6" w:right="0"/>
              <w:jc w:val="center"/>
              <w:rPr>
                <w:rFonts w:ascii="Times New Roman" w:hAnsi="Times New Roman" w:cs="Times New Roman" w:eastAsia="Times New Roman" w:hint="default"/>
                <w:sz w:val="21"/>
                <w:szCs w:val="21"/>
              </w:rPr>
            </w:pPr>
            <w:r>
              <w:rPr>
                <w:rFonts w:ascii="Times New Roman"/>
                <w:sz w:val="21"/>
              </w:rPr>
              <w:t>5.74</w:t>
            </w:r>
          </w:p>
        </w:tc>
      </w:tr>
      <w:tr>
        <w:trPr>
          <w:trHeight w:val="320"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营运人员</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
              <w:jc w:val="center"/>
              <w:rPr>
                <w:rFonts w:ascii="Times New Roman" w:hAnsi="Times New Roman" w:cs="Times New Roman" w:eastAsia="Times New Roman" w:hint="default"/>
                <w:sz w:val="21"/>
                <w:szCs w:val="21"/>
              </w:rPr>
            </w:pPr>
            <w:r>
              <w:rPr>
                <w:rFonts w:ascii="Times New Roman"/>
                <w:sz w:val="21"/>
              </w:rPr>
              <w:t>81</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7"/>
              <w:ind w:left="6" w:right="0"/>
              <w:jc w:val="center"/>
              <w:rPr>
                <w:rFonts w:ascii="Times New Roman" w:hAnsi="Times New Roman" w:cs="Times New Roman" w:eastAsia="Times New Roman" w:hint="default"/>
                <w:sz w:val="21"/>
                <w:szCs w:val="21"/>
              </w:rPr>
            </w:pPr>
            <w:r>
              <w:rPr>
                <w:rFonts w:ascii="Times New Roman"/>
                <w:sz w:val="21"/>
              </w:rPr>
              <w:t>6.74</w:t>
            </w:r>
          </w:p>
        </w:tc>
      </w:tr>
      <w:tr>
        <w:trPr>
          <w:trHeight w:val="319"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服务工程师</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984</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7"/>
              <w:ind w:left="7" w:right="0"/>
              <w:jc w:val="center"/>
              <w:rPr>
                <w:rFonts w:ascii="Times New Roman" w:hAnsi="Times New Roman" w:cs="Times New Roman" w:eastAsia="Times New Roman" w:hint="default"/>
                <w:sz w:val="21"/>
                <w:szCs w:val="21"/>
              </w:rPr>
            </w:pPr>
            <w:r>
              <w:rPr>
                <w:rFonts w:ascii="Times New Roman"/>
                <w:sz w:val="21"/>
              </w:rPr>
              <w:t>81.86</w:t>
            </w:r>
          </w:p>
        </w:tc>
      </w:tr>
      <w:tr>
        <w:trPr>
          <w:trHeight w:val="320" w:hRule="exact"/>
        </w:trPr>
        <w:tc>
          <w:tcPr>
            <w:tcW w:w="1160" w:type="dxa"/>
            <w:vMerge/>
            <w:tcBorders>
              <w:left w:val="single" w:sz="12" w:space="0" w:color="000000"/>
              <w:bottom w:val="single" w:sz="8"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0"/>
              <w:jc w:val="center"/>
              <w:rPr>
                <w:rFonts w:ascii="Times New Roman" w:hAnsi="Times New Roman" w:cs="Times New Roman" w:eastAsia="Times New Roman" w:hint="default"/>
                <w:sz w:val="21"/>
                <w:szCs w:val="21"/>
              </w:rPr>
            </w:pPr>
            <w:r>
              <w:rPr>
                <w:rFonts w:ascii="Times New Roman"/>
                <w:b/>
                <w:sz w:val="21"/>
              </w:rPr>
              <w:t>1202</w:t>
            </w:r>
            <w:r>
              <w:rPr>
                <w:rFonts w:ascii="Times New Roman"/>
                <w:sz w:val="21"/>
              </w:rPr>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8"/>
              <w:ind w:left="5" w:right="0"/>
              <w:jc w:val="center"/>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r>
      <w:tr>
        <w:trPr>
          <w:trHeight w:val="320" w:hRule="exact"/>
        </w:trPr>
        <w:tc>
          <w:tcPr>
            <w:tcW w:w="1160" w:type="dxa"/>
            <w:vMerge w:val="restart"/>
            <w:tcBorders>
              <w:top w:val="single" w:sz="8" w:space="0" w:color="000000"/>
              <w:left w:val="single" w:sz="12"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left="145" w:right="0"/>
              <w:jc w:val="left"/>
              <w:rPr>
                <w:rFonts w:ascii="宋体" w:hAnsi="宋体" w:cs="宋体" w:eastAsia="宋体" w:hint="default"/>
                <w:sz w:val="21"/>
                <w:szCs w:val="21"/>
              </w:rPr>
            </w:pPr>
            <w:r>
              <w:rPr>
                <w:rFonts w:ascii="宋体" w:hAnsi="宋体" w:cs="宋体" w:eastAsia="宋体" w:hint="default"/>
                <w:sz w:val="21"/>
                <w:szCs w:val="21"/>
              </w:rPr>
              <w:t>教育程度</w:t>
            </w: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研究生及以上</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
              <w:jc w:val="center"/>
              <w:rPr>
                <w:rFonts w:ascii="Times New Roman" w:hAnsi="Times New Roman" w:cs="Times New Roman" w:eastAsia="Times New Roman" w:hint="default"/>
                <w:sz w:val="21"/>
                <w:szCs w:val="21"/>
              </w:rPr>
            </w:pPr>
            <w:r>
              <w:rPr>
                <w:rFonts w:ascii="Times New Roman"/>
                <w:sz w:val="21"/>
              </w:rPr>
              <w:t>8</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7"/>
              <w:ind w:left="6" w:right="0"/>
              <w:jc w:val="center"/>
              <w:rPr>
                <w:rFonts w:ascii="Times New Roman" w:hAnsi="Times New Roman" w:cs="Times New Roman" w:eastAsia="Times New Roman" w:hint="default"/>
                <w:sz w:val="21"/>
                <w:szCs w:val="21"/>
              </w:rPr>
            </w:pPr>
            <w:r>
              <w:rPr>
                <w:rFonts w:ascii="Times New Roman"/>
                <w:sz w:val="21"/>
              </w:rPr>
              <w:t>0.67</w:t>
            </w:r>
          </w:p>
        </w:tc>
      </w:tr>
      <w:tr>
        <w:trPr>
          <w:trHeight w:val="330"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本科及大专</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sz w:val="21"/>
              </w:rPr>
              <w:t>1052</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8"/>
              <w:ind w:left="7" w:right="0"/>
              <w:jc w:val="center"/>
              <w:rPr>
                <w:rFonts w:ascii="Times New Roman" w:hAnsi="Times New Roman" w:cs="Times New Roman" w:eastAsia="Times New Roman" w:hint="default"/>
                <w:sz w:val="21"/>
                <w:szCs w:val="21"/>
              </w:rPr>
            </w:pPr>
            <w:r>
              <w:rPr>
                <w:rFonts w:ascii="Times New Roman"/>
                <w:sz w:val="21"/>
              </w:rPr>
              <w:t>87.52</w:t>
            </w:r>
          </w:p>
        </w:tc>
      </w:tr>
      <w:tr>
        <w:trPr>
          <w:trHeight w:val="330"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sz w:val="21"/>
                <w:szCs w:val="21"/>
              </w:rPr>
              <w:t>中专</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sz w:val="21"/>
              </w:rPr>
              <w:t>132</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8"/>
              <w:ind w:left="7" w:right="0"/>
              <w:jc w:val="center"/>
              <w:rPr>
                <w:rFonts w:ascii="Times New Roman" w:hAnsi="Times New Roman" w:cs="Times New Roman" w:eastAsia="Times New Roman" w:hint="default"/>
                <w:sz w:val="21"/>
                <w:szCs w:val="21"/>
              </w:rPr>
            </w:pPr>
            <w:r>
              <w:rPr>
                <w:rFonts w:ascii="Times New Roman"/>
                <w:sz w:val="21"/>
              </w:rPr>
              <w:t>10.98</w:t>
            </w:r>
          </w:p>
        </w:tc>
      </w:tr>
      <w:tr>
        <w:trPr>
          <w:trHeight w:val="330"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sz w:val="21"/>
                <w:szCs w:val="21"/>
              </w:rPr>
              <w:t>中专以下</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1"/>
              <w:jc w:val="center"/>
              <w:rPr>
                <w:rFonts w:ascii="Times New Roman" w:hAnsi="Times New Roman" w:cs="Times New Roman" w:eastAsia="Times New Roman" w:hint="default"/>
                <w:sz w:val="21"/>
                <w:szCs w:val="21"/>
              </w:rPr>
            </w:pPr>
            <w:r>
              <w:rPr>
                <w:rFonts w:ascii="Times New Roman"/>
                <w:sz w:val="21"/>
              </w:rPr>
              <w:t>10</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8"/>
              <w:ind w:left="6" w:right="0"/>
              <w:jc w:val="center"/>
              <w:rPr>
                <w:rFonts w:ascii="Times New Roman" w:hAnsi="Times New Roman" w:cs="Times New Roman" w:eastAsia="Times New Roman" w:hint="default"/>
                <w:sz w:val="21"/>
                <w:szCs w:val="21"/>
              </w:rPr>
            </w:pPr>
            <w:r>
              <w:rPr>
                <w:rFonts w:ascii="Times New Roman"/>
                <w:sz w:val="21"/>
              </w:rPr>
              <w:t>0.83</w:t>
            </w:r>
          </w:p>
        </w:tc>
      </w:tr>
      <w:tr>
        <w:trPr>
          <w:trHeight w:val="335" w:hRule="exact"/>
        </w:trPr>
        <w:tc>
          <w:tcPr>
            <w:tcW w:w="1160" w:type="dxa"/>
            <w:vMerge/>
            <w:tcBorders>
              <w:left w:val="single" w:sz="12" w:space="0" w:color="000000"/>
              <w:bottom w:val="single" w:sz="12" w:space="0" w:color="000000"/>
              <w:right w:val="single" w:sz="8" w:space="0" w:color="000000"/>
            </w:tcBorders>
          </w:tcPr>
          <w:p>
            <w:pPr/>
          </w:p>
        </w:tc>
        <w:tc>
          <w:tcPr>
            <w:tcW w:w="1520" w:type="dxa"/>
            <w:tcBorders>
              <w:top w:val="single" w:sz="8" w:space="0" w:color="000000"/>
              <w:left w:val="single" w:sz="8" w:space="0" w:color="000000"/>
              <w:bottom w:val="single" w:sz="12" w:space="0" w:color="000000"/>
              <w:right w:val="single" w:sz="8" w:space="0" w:color="000000"/>
            </w:tcBorders>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16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9"/>
              <w:ind w:right="0"/>
              <w:jc w:val="center"/>
              <w:rPr>
                <w:rFonts w:ascii="Times New Roman" w:hAnsi="Times New Roman" w:cs="Times New Roman" w:eastAsia="Times New Roman" w:hint="default"/>
                <w:sz w:val="21"/>
                <w:szCs w:val="21"/>
              </w:rPr>
            </w:pPr>
            <w:r>
              <w:rPr>
                <w:rFonts w:ascii="Times New Roman"/>
                <w:b/>
                <w:sz w:val="21"/>
              </w:rPr>
              <w:t>1202</w:t>
            </w:r>
            <w:r>
              <w:rPr>
                <w:rFonts w:ascii="Times New Roman"/>
                <w:sz w:val="21"/>
              </w:rPr>
            </w:r>
          </w:p>
        </w:tc>
        <w:tc>
          <w:tcPr>
            <w:tcW w:w="2479"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69"/>
              <w:ind w:left="5" w:right="0"/>
              <w:jc w:val="center"/>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r>
    </w:tbl>
    <w:p>
      <w:pPr>
        <w:spacing w:line="240" w:lineRule="auto" w:before="1"/>
        <w:rPr>
          <w:rFonts w:ascii="宋体" w:hAnsi="宋体" w:cs="宋体" w:eastAsia="宋体" w:hint="default"/>
          <w:sz w:val="13"/>
          <w:szCs w:val="13"/>
        </w:rPr>
      </w:pPr>
    </w:p>
    <w:p>
      <w:pPr>
        <w:pStyle w:val="BodyText"/>
        <w:spacing w:line="240" w:lineRule="auto" w:before="35"/>
        <w:ind w:left="561" w:right="1090"/>
        <w:jc w:val="left"/>
      </w:pPr>
      <w:r>
        <w:rPr/>
        <w:t>深圳银通公司没有需承担费用的离退休职工。</w:t>
      </w:r>
    </w:p>
    <w:p>
      <w:pPr>
        <w:spacing w:after="0" w:line="240" w:lineRule="auto"/>
        <w:jc w:val="left"/>
        <w:sectPr>
          <w:pgSz w:w="11910" w:h="16840"/>
          <w:pgMar w:header="400" w:footer="982" w:top="1100" w:bottom="1180" w:left="166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1"/>
        <w:spacing w:line="240" w:lineRule="auto"/>
        <w:ind w:left="2766" w:right="102"/>
        <w:jc w:val="left"/>
        <w:rPr>
          <w:b w:val="0"/>
          <w:bCs w:val="0"/>
        </w:rPr>
      </w:pPr>
      <w:bookmarkStart w:name="_bookmark4" w:id="5"/>
      <w:bookmarkEnd w:id="5"/>
      <w:r>
        <w:rPr>
          <w:b w:val="0"/>
          <w:bCs w:val="0"/>
        </w:rPr>
      </w:r>
      <w:r>
        <w:rPr/>
        <w:t>第五节</w:t>
      </w:r>
      <w:r>
        <w:rPr>
          <w:spacing w:val="-1"/>
        </w:rPr>
        <w:t> </w:t>
      </w:r>
      <w:r>
        <w:rPr/>
        <w:t>公司治理结构</w:t>
      </w:r>
      <w:r>
        <w:rPr>
          <w:b w:val="0"/>
          <w:bCs w:val="0"/>
        </w:rPr>
      </w:r>
    </w:p>
    <w:p>
      <w:pPr>
        <w:spacing w:line="240" w:lineRule="auto" w:before="6"/>
        <w:rPr>
          <w:rFonts w:ascii="宋体" w:hAnsi="宋体" w:cs="宋体" w:eastAsia="宋体" w:hint="default"/>
          <w:b/>
          <w:bCs/>
          <w:sz w:val="38"/>
          <w:szCs w:val="38"/>
        </w:rPr>
      </w:pPr>
    </w:p>
    <w:p>
      <w:pPr>
        <w:pStyle w:val="Heading2"/>
        <w:spacing w:line="240" w:lineRule="auto"/>
        <w:ind w:right="102"/>
        <w:jc w:val="left"/>
        <w:rPr>
          <w:b w:val="0"/>
          <w:bCs w:val="0"/>
        </w:rPr>
      </w:pPr>
      <w:r>
        <w:rPr/>
        <w:t>一、公司治理情况</w:t>
      </w:r>
      <w:r>
        <w:rPr>
          <w:b w:val="0"/>
          <w:bCs w:val="0"/>
        </w:rPr>
      </w:r>
    </w:p>
    <w:p>
      <w:pPr>
        <w:pStyle w:val="BodyText"/>
        <w:spacing w:line="297" w:lineRule="auto" w:before="128"/>
        <w:ind w:left="139" w:right="216" w:firstLine="420"/>
        <w:jc w:val="both"/>
      </w:pPr>
      <w:r>
        <w:rPr>
          <w:spacing w:val="-18"/>
        </w:rPr>
        <w:t>报告期内，公司严格按照《公司法》、《证券法》、《上市公司治理准则》、《深圳证券交易</w:t>
      </w:r>
      <w:r>
        <w:rPr/>
        <w:t> </w:t>
      </w:r>
      <w:r>
        <w:rPr>
          <w:spacing w:val="-3"/>
        </w:rPr>
        <w:t>所股票上市规则》和中国证监会有关法律法规等要求，不断地完善法人治理结构，建立和健</w:t>
      </w:r>
      <w:r>
        <w:rPr>
          <w:spacing w:val="-81"/>
        </w:rPr>
        <w:t> </w:t>
      </w:r>
      <w:r>
        <w:rPr>
          <w:spacing w:val="-81"/>
        </w:rPr>
      </w:r>
      <w:r>
        <w:rPr>
          <w:spacing w:val="-3"/>
        </w:rPr>
        <w:t>全内部管理和控制制度，进一步规范公司运作，提高公司治理水平。截至报告期末，公司治</w:t>
      </w:r>
      <w:r>
        <w:rPr>
          <w:spacing w:val="-80"/>
        </w:rPr>
        <w:t> </w:t>
      </w:r>
      <w:r>
        <w:rPr>
          <w:spacing w:val="-80"/>
        </w:rPr>
      </w:r>
      <w:r>
        <w:rPr/>
        <w:t>理实际情况基本符合中国证监会发布的有关上市公司治理的规范性文件的要求。</w:t>
      </w:r>
    </w:p>
    <w:p>
      <w:pPr>
        <w:pStyle w:val="BodyText"/>
        <w:spacing w:line="295" w:lineRule="auto" w:before="135"/>
        <w:ind w:left="139" w:right="100" w:firstLine="420"/>
        <w:jc w:val="left"/>
      </w:pPr>
      <w:r>
        <w:rPr>
          <w:rFonts w:ascii="Times New Roman" w:hAnsi="Times New Roman" w:cs="Times New Roman" w:eastAsia="Times New Roman" w:hint="default"/>
        </w:rPr>
        <w:t>1</w:t>
      </w:r>
      <w:r>
        <w:rPr/>
        <w:t>、关于股东与股东大会：公司自上市以来召开的股东大会均由董事会召集召开，并按 </w:t>
      </w:r>
      <w:r>
        <w:rPr>
          <w:spacing w:val="-5"/>
        </w:rPr>
        <w:t>照《公司章程》规定由董事长主持，股东大会均请见证律师进行现场见证。股东大会的召集、</w:t>
      </w:r>
      <w:r>
        <w:rPr>
          <w:spacing w:val="-100"/>
        </w:rPr>
        <w:t> </w:t>
      </w:r>
      <w:r>
        <w:rPr>
          <w:spacing w:val="-100"/>
        </w:rPr>
      </w:r>
      <w:r>
        <w:rPr>
          <w:spacing w:val="-13"/>
        </w:rPr>
        <w:t>召开程序符合《公司法》、《上市公司股东大会规则》、深交所中小企业板的相关要求以及《公</w:t>
      </w:r>
      <w:r>
        <w:rPr>
          <w:spacing w:val="-75"/>
        </w:rPr>
        <w:t> </w:t>
      </w:r>
      <w:r>
        <w:rPr>
          <w:spacing w:val="-75"/>
        </w:rPr>
      </w:r>
      <w:r>
        <w:rPr>
          <w:spacing w:val="-8"/>
        </w:rPr>
        <w:t>司章程》规定。按照《公司法》、《公司章程》的规定应由股东大会审议的重大事项，均通过</w:t>
      </w:r>
      <w:r>
        <w:rPr>
          <w:spacing w:val="-84"/>
        </w:rPr>
        <w:t> </w:t>
      </w:r>
      <w:r>
        <w:rPr>
          <w:spacing w:val="-84"/>
        </w:rPr>
      </w:r>
      <w:r>
        <w:rPr>
          <w:spacing w:val="-3"/>
        </w:rPr>
        <w:t>股东大会审议，不存在绕过股东大会的情况，也不存在先实施后审议的情况。股东大会提案</w:t>
      </w:r>
      <w:r>
        <w:rPr>
          <w:spacing w:val="-81"/>
        </w:rPr>
        <w:t> </w:t>
      </w:r>
      <w:r>
        <w:rPr>
          <w:spacing w:val="-81"/>
        </w:rPr>
      </w:r>
      <w:r>
        <w:rPr>
          <w:spacing w:val="-3"/>
        </w:rPr>
        <w:t>的审议均符合程序，在审议过程中，大会主持人、出席会议的公司董事、监事及其他高级管</w:t>
      </w:r>
      <w:r>
        <w:rPr>
          <w:spacing w:val="-80"/>
        </w:rPr>
        <w:t> </w:t>
      </w:r>
      <w:r>
        <w:rPr>
          <w:spacing w:val="-80"/>
        </w:rPr>
      </w:r>
      <w:r>
        <w:rPr>
          <w:spacing w:val="-3"/>
        </w:rPr>
        <w:t>理人员能够认真听取所有参会股东的意见和建议，平等对待所有股东，确保中小股东的话语</w:t>
      </w:r>
      <w:r>
        <w:rPr>
          <w:spacing w:val="-79"/>
        </w:rPr>
        <w:t> </w:t>
      </w:r>
      <w:r>
        <w:rPr>
          <w:spacing w:val="-79"/>
        </w:rPr>
      </w:r>
      <w:r>
        <w:rPr/>
        <w:t>权。</w:t>
      </w:r>
    </w:p>
    <w:p>
      <w:pPr>
        <w:pStyle w:val="BodyText"/>
        <w:spacing w:line="295" w:lineRule="auto" w:before="136"/>
        <w:ind w:right="215" w:firstLine="419"/>
        <w:jc w:val="both"/>
      </w:pPr>
      <w:r>
        <w:rPr>
          <w:rFonts w:ascii="Times New Roman" w:hAnsi="Times New Roman" w:cs="Times New Roman" w:eastAsia="Times New Roman" w:hint="default"/>
          <w:spacing w:val="-6"/>
        </w:rPr>
        <w:t>2</w:t>
      </w:r>
      <w:r>
        <w:rPr>
          <w:spacing w:val="-6"/>
        </w:rPr>
        <w:t>、关于董事与董事会：公司能严格按照《公司法》、《公司章程》的规定和程序选举董</w:t>
      </w:r>
      <w:r>
        <w:rPr/>
        <w:t> </w:t>
      </w:r>
      <w:r>
        <w:rPr>
          <w:spacing w:val="-3"/>
        </w:rPr>
        <w:t>事，并根据《关于在上市公司建立独立董事制度的指导意见》引入独立董事，建立了《独立</w:t>
      </w:r>
      <w:r>
        <w:rPr>
          <w:spacing w:val="-84"/>
        </w:rPr>
        <w:t> </w:t>
      </w:r>
      <w:r>
        <w:rPr>
          <w:spacing w:val="-84"/>
        </w:rPr>
      </w:r>
      <w:r>
        <w:rPr>
          <w:spacing w:val="-3"/>
        </w:rPr>
        <w:t>董事工作制度》，董事会的人数和人员构成符合法律法规的要求；公司董事会会议的召集、</w:t>
      </w:r>
      <w:r>
        <w:rPr>
          <w:spacing w:val="-84"/>
        </w:rPr>
        <w:t> </w:t>
      </w:r>
      <w:r>
        <w:rPr>
          <w:spacing w:val="-84"/>
        </w:rPr>
      </w:r>
      <w:r>
        <w:rPr>
          <w:spacing w:val="-8"/>
        </w:rPr>
        <w:t>召开程序符合《深圳证券交易所股票上市规则》、《公司章程》及《董事会议事规则》的相关</w:t>
      </w:r>
      <w:r>
        <w:rPr>
          <w:spacing w:val="-86"/>
        </w:rPr>
        <w:t> </w:t>
      </w:r>
      <w:r>
        <w:rPr>
          <w:spacing w:val="-86"/>
        </w:rPr>
      </w:r>
      <w:r>
        <w:rPr>
          <w:spacing w:val="-3"/>
        </w:rPr>
        <w:t>规定；公司在董事会下设置审计、提名、薪酬与考核等专门委员会，并制订各委员会的工作</w:t>
      </w:r>
      <w:r>
        <w:rPr>
          <w:spacing w:val="-80"/>
        </w:rPr>
        <w:t> </w:t>
      </w:r>
      <w:r>
        <w:rPr>
          <w:spacing w:val="-80"/>
        </w:rPr>
      </w:r>
      <w:r>
        <w:rPr>
          <w:spacing w:val="-3"/>
        </w:rPr>
        <w:t>规则，各委员会职责明确，整体运作情况良好，确保董事会高效运作和科学决策；公司全体</w:t>
      </w:r>
      <w:r>
        <w:rPr>
          <w:spacing w:val="-80"/>
        </w:rPr>
        <w:t> </w:t>
      </w:r>
      <w:r>
        <w:rPr>
          <w:spacing w:val="-80"/>
        </w:rPr>
      </w:r>
      <w:r>
        <w:rPr>
          <w:spacing w:val="-3"/>
        </w:rPr>
        <w:t>董事都能勤勉尽责，认真履行《公司章程》赋予的职权，并积极参加公司历次董事会，对公</w:t>
      </w:r>
      <w:r>
        <w:rPr>
          <w:spacing w:val="-84"/>
        </w:rPr>
        <w:t> </w:t>
      </w:r>
      <w:r>
        <w:rPr>
          <w:spacing w:val="-84"/>
        </w:rPr>
      </w:r>
      <w:r>
        <w:rPr>
          <w:spacing w:val="-3"/>
        </w:rPr>
        <w:t>司董事会的科学决策、促进公司的良性发展起到了积极的作用，在董事会会议投票表决重大</w:t>
      </w:r>
      <w:r>
        <w:rPr>
          <w:spacing w:val="-79"/>
        </w:rPr>
        <w:t> </w:t>
      </w:r>
      <w:r>
        <w:rPr>
          <w:spacing w:val="-79"/>
        </w:rPr>
      </w:r>
      <w:r>
        <w:rPr>
          <w:spacing w:val="-3"/>
        </w:rPr>
        <w:t>事项或其他对公司有重大影响的事项时，严格遵循公司董事会议事规则的有关审议规定，审</w:t>
      </w:r>
      <w:r>
        <w:rPr>
          <w:spacing w:val="-79"/>
        </w:rPr>
        <w:t> </w:t>
      </w:r>
      <w:r>
        <w:rPr>
          <w:spacing w:val="-79"/>
        </w:rPr>
      </w:r>
      <w:r>
        <w:rPr/>
        <w:t>慎决策，切实维护了中小股东的利益。</w:t>
      </w:r>
    </w:p>
    <w:p>
      <w:pPr>
        <w:pStyle w:val="BodyText"/>
        <w:spacing w:line="292" w:lineRule="auto" w:before="136"/>
        <w:ind w:right="215" w:firstLine="419"/>
        <w:jc w:val="both"/>
      </w:pPr>
      <w:r>
        <w:rPr>
          <w:rFonts w:ascii="Times New Roman" w:hAnsi="Times New Roman" w:cs="Times New Roman" w:eastAsia="Times New Roman" w:hint="default"/>
          <w:spacing w:val="-6"/>
        </w:rPr>
        <w:t>3</w:t>
      </w:r>
      <w:r>
        <w:rPr>
          <w:spacing w:val="-6"/>
        </w:rPr>
        <w:t>、关于监事与监事会：公司严格按照《公司法》、《公司章程》等有关规定选举监事，</w:t>
      </w:r>
      <w:r>
        <w:rPr/>
        <w:t> </w:t>
      </w:r>
      <w:r>
        <w:rPr>
          <w:spacing w:val="-3"/>
        </w:rPr>
        <w:t>监事会的人数及构成符合有关法律法规的要求。公司监事会会议的召集、召开程序符合《深</w:t>
      </w:r>
      <w:r>
        <w:rPr>
          <w:spacing w:val="-81"/>
        </w:rPr>
        <w:t> </w:t>
      </w:r>
      <w:r>
        <w:rPr>
          <w:spacing w:val="-81"/>
        </w:rPr>
      </w:r>
      <w:r>
        <w:rPr>
          <w:spacing w:val="-13"/>
        </w:rPr>
        <w:t>圳证券交易所股票上市规则》、《公司章程》、《监事会议事规则》的有关规定。公司监事能够</w:t>
      </w:r>
      <w:r>
        <w:rPr>
          <w:spacing w:val="-78"/>
        </w:rPr>
        <w:t> </w:t>
      </w:r>
      <w:r>
        <w:rPr>
          <w:spacing w:val="-78"/>
        </w:rPr>
      </w:r>
      <w:r>
        <w:rPr>
          <w:spacing w:val="-3"/>
        </w:rPr>
        <w:t>按照《监事会议事规则》等要求，认真履行自己的职责，对公司重大事项、关联交易、财务</w:t>
      </w:r>
      <w:r>
        <w:rPr>
          <w:spacing w:val="-81"/>
        </w:rPr>
        <w:t> </w:t>
      </w:r>
      <w:r>
        <w:rPr>
          <w:spacing w:val="-81"/>
        </w:rPr>
      </w:r>
      <w:r>
        <w:rPr/>
        <w:t>状况、董事和经理的履职情况等进行有效监督并发表独立意见，确保公司规范运作。</w:t>
      </w:r>
    </w:p>
    <w:p>
      <w:pPr>
        <w:pStyle w:val="BodyText"/>
        <w:spacing w:line="292" w:lineRule="auto" w:before="139"/>
        <w:ind w:right="215" w:firstLine="420"/>
        <w:jc w:val="both"/>
      </w:pPr>
      <w:r>
        <w:rPr>
          <w:rFonts w:ascii="Times New Roman" w:hAnsi="Times New Roman" w:cs="Times New Roman" w:eastAsia="Times New Roman" w:hint="default"/>
        </w:rPr>
        <w:t>4</w:t>
      </w:r>
      <w:r>
        <w:rPr/>
        <w:t>、关于独立性：公司拥有独立的业务和经营自主能力，在业务、人员、资产、机构、 </w:t>
      </w:r>
      <w:r>
        <w:rPr>
          <w:spacing w:val="-3"/>
        </w:rPr>
        <w:t>财务上独立于控股股东，公司董事会、监事会和内部经营机构能够独立运作；公司控股股东</w:t>
      </w:r>
      <w:r>
        <w:rPr>
          <w:spacing w:val="-81"/>
        </w:rPr>
        <w:t> </w:t>
      </w:r>
      <w:r>
        <w:rPr>
          <w:spacing w:val="-81"/>
        </w:rPr>
      </w:r>
      <w:r>
        <w:rPr>
          <w:spacing w:val="-3"/>
        </w:rPr>
        <w:t>行为规范，对公司依法通过股东大会行使出资人的权利，没有超越股东大会直接或间接干预</w:t>
      </w:r>
      <w:r>
        <w:rPr>
          <w:spacing w:val="-79"/>
        </w:rPr>
        <w:t> </w:t>
      </w:r>
      <w:r>
        <w:rPr>
          <w:spacing w:val="-79"/>
        </w:rPr>
      </w:r>
      <w:r>
        <w:rPr>
          <w:spacing w:val="-3"/>
        </w:rPr>
        <w:t>公司的决策和经营活动；此外，公司不存在控股股东占用公司资金的现象，公司也无为控股</w:t>
      </w:r>
      <w:r>
        <w:rPr>
          <w:spacing w:val="-81"/>
        </w:rPr>
        <w:t> </w:t>
      </w:r>
      <w:r>
        <w:rPr>
          <w:spacing w:val="-81"/>
        </w:rPr>
      </w:r>
      <w:r>
        <w:rPr/>
        <w:t>股东及其子公司提供担保的情形。</w:t>
      </w:r>
    </w:p>
    <w:p>
      <w:pPr>
        <w:pStyle w:val="BodyText"/>
        <w:spacing w:line="240" w:lineRule="auto" w:before="139"/>
        <w:ind w:left="560" w:right="102"/>
        <w:jc w:val="left"/>
      </w:pPr>
      <w:r>
        <w:rPr>
          <w:rFonts w:ascii="Times New Roman" w:hAnsi="Times New Roman" w:cs="Times New Roman" w:eastAsia="Times New Roman" w:hint="default"/>
        </w:rPr>
        <w:t>5</w:t>
      </w:r>
      <w:r>
        <w:rPr/>
        <w:t>、关于绩效评价和激励约束机制：公司已建立企业绩效评价激励体系，经营者的收入</w:t>
      </w:r>
    </w:p>
    <w:p>
      <w:pPr>
        <w:spacing w:after="0" w:line="240" w:lineRule="auto"/>
        <w:jc w:val="left"/>
        <w:sectPr>
          <w:pgSz w:w="11910" w:h="16840"/>
          <w:pgMar w:header="400" w:footer="982" w:top="1100" w:bottom="1180" w:left="1660" w:right="1580"/>
        </w:sectPr>
      </w:pPr>
    </w:p>
    <w:p>
      <w:pPr>
        <w:spacing w:line="240" w:lineRule="auto" w:before="1"/>
        <w:rPr>
          <w:rFonts w:ascii="宋体" w:hAnsi="宋体" w:cs="宋体" w:eastAsia="宋体" w:hint="default"/>
          <w:sz w:val="19"/>
          <w:szCs w:val="19"/>
        </w:rPr>
      </w:pPr>
    </w:p>
    <w:p>
      <w:pPr>
        <w:pStyle w:val="BodyText"/>
        <w:spacing w:line="297" w:lineRule="auto" w:before="35"/>
        <w:ind w:right="102"/>
        <w:jc w:val="left"/>
      </w:pPr>
      <w:r>
        <w:rPr>
          <w:spacing w:val="-3"/>
        </w:rPr>
        <w:t>与企业经营业绩挂钩，高级管理人员的聘任公开、透明，合法合规，大大激发了员工的积极</w:t>
      </w:r>
      <w:r>
        <w:rPr>
          <w:spacing w:val="-80"/>
        </w:rPr>
        <w:t> </w:t>
      </w:r>
      <w:r>
        <w:rPr>
          <w:spacing w:val="-80"/>
        </w:rPr>
      </w:r>
      <w:r>
        <w:rPr/>
        <w:t>性和创造性，提升了公司的核心竞争力。公司目前尚未开展股权激励。</w:t>
      </w:r>
    </w:p>
    <w:p>
      <w:pPr>
        <w:pStyle w:val="BodyText"/>
        <w:spacing w:line="280" w:lineRule="auto" w:before="134"/>
        <w:ind w:right="216" w:firstLine="420"/>
        <w:jc w:val="both"/>
      </w:pPr>
      <w:r>
        <w:rPr>
          <w:rFonts w:ascii="Times New Roman" w:hAnsi="Times New Roman" w:cs="Times New Roman" w:eastAsia="Times New Roman" w:hint="default"/>
        </w:rPr>
        <w:t>6</w:t>
      </w:r>
      <w:r>
        <w:rPr/>
        <w:t>、关于相关利益者：公司充分尊重和维护相关利益者的合法权益，实现社会、股东、 公司、员工等各方利益的协调平衡，共同推动公司持续、稳健发展。</w:t>
      </w:r>
    </w:p>
    <w:p>
      <w:pPr>
        <w:pStyle w:val="BodyText"/>
        <w:spacing w:line="292" w:lineRule="auto" w:before="150"/>
        <w:ind w:left="139" w:right="105" w:firstLine="420"/>
        <w:jc w:val="left"/>
      </w:pPr>
      <w:r>
        <w:rPr>
          <w:rFonts w:ascii="Times New Roman" w:hAnsi="Times New Roman" w:cs="Times New Roman" w:eastAsia="Times New Roman" w:hint="default"/>
          <w:spacing w:val="-16"/>
        </w:rPr>
        <w:t>7</w:t>
      </w:r>
      <w:r>
        <w:rPr>
          <w:spacing w:val="-16"/>
        </w:rPr>
        <w:t>、关于信息披露与透明度：公司严格按照《公司章程》、《重大信息内部报告制度》、《信</w:t>
      </w:r>
      <w:r>
        <w:rPr/>
        <w:t> </w:t>
      </w:r>
      <w:r>
        <w:rPr>
          <w:spacing w:val="-3"/>
        </w:rPr>
        <w:t>息披露管理办法》等相关制度开展信息披露工作。对公司的生产经营可能产生重大影响，对</w:t>
      </w:r>
      <w:r>
        <w:rPr>
          <w:spacing w:val="-81"/>
        </w:rPr>
        <w:t> </w:t>
      </w:r>
      <w:r>
        <w:rPr>
          <w:spacing w:val="-81"/>
        </w:rPr>
      </w:r>
      <w:r>
        <w:rPr/>
        <w:t>公司股价有重大影响的信息，公司均主动、及时、真实地进行披露，并注重加强公司董事、 </w:t>
      </w:r>
      <w:r>
        <w:rPr>
          <w:spacing w:val="-3"/>
        </w:rPr>
        <w:t>监事、高管及相关人员的主动信息披露意识。此外，公司制订了《投资者关系管理制度》、</w:t>
      </w:r>
    </w:p>
    <w:p>
      <w:pPr>
        <w:pStyle w:val="BodyText"/>
        <w:spacing w:line="240" w:lineRule="auto" w:before="20"/>
        <w:ind w:left="139" w:right="0"/>
        <w:jc w:val="left"/>
      </w:pPr>
      <w:r>
        <w:rPr/>
        <w:t>《接待和推广工作制度</w:t>
      </w:r>
      <w:r>
        <w:rPr>
          <w:spacing w:val="-100"/>
        </w:rPr>
        <w:t>》</w:t>
      </w:r>
      <w:r>
        <w:rPr/>
        <w:t>等内控制度规范公司投资者关系管理</w:t>
      </w:r>
      <w:r>
        <w:rPr>
          <w:spacing w:val="-100"/>
        </w:rPr>
        <w:t>，</w:t>
      </w:r>
      <w:r>
        <w:rPr/>
        <w:t>维护所有投资者的合法权益。</w:t>
      </w:r>
    </w:p>
    <w:p>
      <w:pPr>
        <w:spacing w:line="240" w:lineRule="auto" w:before="0"/>
        <w:rPr>
          <w:rFonts w:ascii="宋体" w:hAnsi="宋体" w:cs="宋体" w:eastAsia="宋体" w:hint="default"/>
          <w:sz w:val="20"/>
          <w:szCs w:val="20"/>
        </w:rPr>
      </w:pPr>
    </w:p>
    <w:p>
      <w:pPr>
        <w:pStyle w:val="Heading2"/>
        <w:spacing w:line="240" w:lineRule="auto" w:before="153"/>
        <w:ind w:right="102"/>
        <w:jc w:val="left"/>
        <w:rPr>
          <w:b w:val="0"/>
          <w:bCs w:val="0"/>
        </w:rPr>
      </w:pPr>
      <w:r>
        <w:rPr/>
        <w:t>二、公司董事履行职责情况</w:t>
      </w:r>
      <w:r>
        <w:rPr>
          <w:b w:val="0"/>
          <w:bCs w:val="0"/>
        </w:rPr>
      </w:r>
    </w:p>
    <w:p>
      <w:pPr>
        <w:pStyle w:val="BodyText"/>
        <w:spacing w:line="297" w:lineRule="auto" w:before="128"/>
        <w:ind w:right="216" w:firstLine="420"/>
        <w:jc w:val="both"/>
      </w:pPr>
      <w:r>
        <w:rPr>
          <w:spacing w:val="-3"/>
        </w:rPr>
        <w:t>报告期内，公司全体董事严格按照《中小企业板块上市公司董事行为指引》的要求，诚</w:t>
      </w:r>
      <w:r>
        <w:rPr/>
        <w:t> </w:t>
      </w:r>
      <w:r>
        <w:rPr>
          <w:spacing w:val="-3"/>
        </w:rPr>
        <w:t>实守信、勤勉、独立的履行职责，积极出席公司的相关会议，认真审议各项董事会议案，并</w:t>
      </w:r>
      <w:r>
        <w:rPr>
          <w:spacing w:val="-84"/>
        </w:rPr>
        <w:t> </w:t>
      </w:r>
      <w:r>
        <w:rPr>
          <w:spacing w:val="-84"/>
        </w:rPr>
      </w:r>
      <w:r>
        <w:rPr>
          <w:spacing w:val="-3"/>
        </w:rPr>
        <w:t>发挥各自的专长，审慎决策，切实保护公司和投资者的利益。公司董事积极参加相关知识的</w:t>
      </w:r>
      <w:r>
        <w:rPr>
          <w:spacing w:val="-81"/>
        </w:rPr>
        <w:t> </w:t>
      </w:r>
      <w:r>
        <w:rPr>
          <w:spacing w:val="-81"/>
        </w:rPr>
      </w:r>
      <w:r>
        <w:rPr/>
        <w:t>培训，熟悉有关法律法规。</w:t>
      </w:r>
    </w:p>
    <w:p>
      <w:pPr>
        <w:pStyle w:val="BodyText"/>
        <w:spacing w:line="297" w:lineRule="auto" w:before="135"/>
        <w:ind w:right="216" w:firstLine="420"/>
        <w:jc w:val="both"/>
      </w:pPr>
      <w:r>
        <w:rPr>
          <w:spacing w:val="-3"/>
        </w:rPr>
        <w:t>公司独立董事能够严格按照有关法律、法规及《公司章程》的规定，本着对公司、投资</w:t>
      </w:r>
      <w:r>
        <w:rPr/>
        <w:t> </w:t>
      </w:r>
      <w:r>
        <w:rPr>
          <w:spacing w:val="-3"/>
        </w:rPr>
        <w:t>者负责的态度，勤勉尽责、忠实履行职务，积极出席相关会议，深入公司现场调查，了解生</w:t>
      </w:r>
      <w:r>
        <w:rPr>
          <w:spacing w:val="-84"/>
        </w:rPr>
        <w:t> </w:t>
      </w:r>
      <w:r>
        <w:rPr>
          <w:spacing w:val="-84"/>
        </w:rPr>
      </w:r>
      <w:r>
        <w:rPr>
          <w:spacing w:val="-3"/>
        </w:rPr>
        <w:t>产经营状况和内部控制的建设及董事会决议执行情况，并时刻关注外部环境变化对公司造成</w:t>
      </w:r>
      <w:r>
        <w:rPr>
          <w:spacing w:val="-79"/>
        </w:rPr>
        <w:t> </w:t>
      </w:r>
      <w:r>
        <w:rPr>
          <w:spacing w:val="-79"/>
        </w:rPr>
      </w:r>
      <w:r>
        <w:rPr>
          <w:spacing w:val="-3"/>
        </w:rPr>
        <w:t>的影响，为公司未来经营和发展提出合理化的意见和建议。对公司的关联交易、对外担保事</w:t>
      </w:r>
      <w:r>
        <w:rPr>
          <w:spacing w:val="-81"/>
        </w:rPr>
        <w:t> </w:t>
      </w:r>
      <w:r>
        <w:rPr>
          <w:spacing w:val="-81"/>
        </w:rPr>
      </w:r>
      <w:r>
        <w:rPr>
          <w:spacing w:val="-3"/>
        </w:rPr>
        <w:t>项、变更募集资金投向、高管聘任和薪酬考核、内部控制情况及续聘审计机构等相关事项发</w:t>
      </w:r>
      <w:r>
        <w:rPr>
          <w:spacing w:val="-81"/>
        </w:rPr>
        <w:t> </w:t>
      </w:r>
      <w:r>
        <w:rPr>
          <w:spacing w:val="-81"/>
        </w:rPr>
      </w:r>
      <w:r>
        <w:rPr>
          <w:spacing w:val="-3"/>
        </w:rPr>
        <w:t>表独立意见。报告期内公司独立董事未对公司董事会审议的各项议案及其他相关事项提出异</w:t>
      </w:r>
      <w:r>
        <w:rPr>
          <w:spacing w:val="-79"/>
        </w:rPr>
        <w:t> </w:t>
      </w:r>
      <w:r>
        <w:rPr>
          <w:spacing w:val="-79"/>
        </w:rPr>
      </w:r>
      <w:r>
        <w:rPr/>
        <w:t>议。</w:t>
      </w:r>
    </w:p>
    <w:p>
      <w:pPr>
        <w:pStyle w:val="BodyText"/>
        <w:spacing w:line="297" w:lineRule="auto" w:before="135"/>
        <w:ind w:right="215" w:firstLine="420"/>
        <w:jc w:val="both"/>
      </w:pPr>
      <w:r>
        <w:rPr>
          <w:spacing w:val="-3"/>
        </w:rPr>
        <w:t>报告期内，公司董事长严格按照法律、法规和《公司章程》等要求，依法行使权力，履</w:t>
      </w:r>
      <w:r>
        <w:rPr/>
        <w:t> </w:t>
      </w:r>
      <w:r>
        <w:rPr>
          <w:spacing w:val="-3"/>
        </w:rPr>
        <w:t>行职责，积极推动公司内部各项制度的制订和完善，加强董事会建设，依法召集、主持董事</w:t>
      </w:r>
      <w:r>
        <w:rPr>
          <w:spacing w:val="-80"/>
        </w:rPr>
        <w:t> </w:t>
      </w:r>
      <w:r>
        <w:rPr>
          <w:spacing w:val="-80"/>
        </w:rPr>
      </w:r>
      <w:r>
        <w:rPr>
          <w:spacing w:val="-3"/>
        </w:rPr>
        <w:t>会会议，保证了报告期内历次董事会会议能够正常、依法召开，并积极督促公司执行董事会</w:t>
      </w:r>
      <w:r>
        <w:rPr>
          <w:spacing w:val="-81"/>
        </w:rPr>
        <w:t> </w:t>
      </w:r>
      <w:r>
        <w:rPr>
          <w:spacing w:val="-81"/>
        </w:rPr>
      </w:r>
      <w:r>
        <w:rPr>
          <w:spacing w:val="-3"/>
        </w:rPr>
        <w:t>决议的有关事项；同时，公司董事长为各董事履行职责创造了良好的工作条件，充分保证了</w:t>
      </w:r>
      <w:r>
        <w:rPr>
          <w:spacing w:val="-81"/>
        </w:rPr>
        <w:t> </w:t>
      </w:r>
      <w:r>
        <w:rPr>
          <w:spacing w:val="-81"/>
        </w:rPr>
      </w:r>
      <w:r>
        <w:rPr/>
        <w:t>各董事的知情权。</w:t>
      </w:r>
    </w:p>
    <w:p>
      <w:pPr>
        <w:pStyle w:val="BodyText"/>
        <w:spacing w:line="297" w:lineRule="auto" w:before="135"/>
        <w:ind w:right="216" w:firstLine="420"/>
        <w:jc w:val="both"/>
      </w:pPr>
      <w:r>
        <w:rPr>
          <w:spacing w:val="-3"/>
        </w:rPr>
        <w:t>报告期内，公司全体董事均亲自出席了董事会，未有授权和缺席的情形，各董事出席董</w:t>
      </w:r>
      <w:r>
        <w:rPr/>
        <w:t> 事会会议情况见下表：</w:t>
      </w:r>
    </w:p>
    <w:p>
      <w:pPr>
        <w:spacing w:line="240" w:lineRule="auto" w:before="1"/>
        <w:rPr>
          <w:rFonts w:ascii="宋体" w:hAnsi="宋体" w:cs="宋体" w:eastAsia="宋体" w:hint="default"/>
          <w:sz w:val="13"/>
          <w:szCs w:val="13"/>
        </w:rPr>
      </w:pPr>
    </w:p>
    <w:tbl>
      <w:tblPr>
        <w:tblW w:w="0" w:type="auto"/>
        <w:jc w:val="left"/>
        <w:tblInd w:w="287" w:type="dxa"/>
        <w:tblLayout w:type="fixed"/>
        <w:tblCellMar>
          <w:top w:w="0" w:type="dxa"/>
          <w:left w:w="0" w:type="dxa"/>
          <w:bottom w:w="0" w:type="dxa"/>
          <w:right w:w="0" w:type="dxa"/>
        </w:tblCellMar>
        <w:tblLook w:val="01E0"/>
      </w:tblPr>
      <w:tblGrid>
        <w:gridCol w:w="982"/>
        <w:gridCol w:w="980"/>
        <w:gridCol w:w="766"/>
        <w:gridCol w:w="816"/>
        <w:gridCol w:w="1344"/>
        <w:gridCol w:w="841"/>
        <w:gridCol w:w="779"/>
        <w:gridCol w:w="1494"/>
      </w:tblGrid>
      <w:tr>
        <w:trPr>
          <w:trHeight w:val="476" w:hRule="exact"/>
        </w:trPr>
        <w:tc>
          <w:tcPr>
            <w:tcW w:w="9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董事姓名</w:t>
            </w:r>
          </w:p>
        </w:tc>
        <w:tc>
          <w:tcPr>
            <w:tcW w:w="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right="125"/>
              <w:jc w:val="right"/>
              <w:rPr>
                <w:rFonts w:ascii="宋体" w:hAnsi="宋体" w:cs="宋体" w:eastAsia="宋体" w:hint="default"/>
                <w:sz w:val="18"/>
                <w:szCs w:val="18"/>
              </w:rPr>
            </w:pPr>
            <w:r>
              <w:rPr>
                <w:rFonts w:ascii="宋体" w:hAnsi="宋体" w:cs="宋体" w:eastAsia="宋体" w:hint="default"/>
                <w:sz w:val="18"/>
                <w:szCs w:val="18"/>
              </w:rPr>
              <w:t>具体职务</w:t>
            </w:r>
          </w:p>
        </w:tc>
        <w:tc>
          <w:tcPr>
            <w:tcW w:w="7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98" w:right="0" w:hanging="90"/>
              <w:jc w:val="left"/>
              <w:rPr>
                <w:rFonts w:ascii="宋体" w:hAnsi="宋体" w:cs="宋体" w:eastAsia="宋体" w:hint="default"/>
                <w:sz w:val="18"/>
                <w:szCs w:val="18"/>
              </w:rPr>
            </w:pPr>
            <w:r>
              <w:rPr>
                <w:rFonts w:ascii="宋体" w:hAnsi="宋体" w:cs="宋体" w:eastAsia="宋体" w:hint="default"/>
                <w:sz w:val="18"/>
                <w:szCs w:val="18"/>
              </w:rPr>
              <w:t>应出席</w:t>
            </w:r>
          </w:p>
          <w:p>
            <w:pPr>
              <w:pStyle w:val="TableParagraph"/>
              <w:spacing w:line="234" w:lineRule="exact"/>
              <w:ind w:left="198" w:right="0"/>
              <w:jc w:val="left"/>
              <w:rPr>
                <w:rFonts w:ascii="宋体" w:hAnsi="宋体" w:cs="宋体" w:eastAsia="宋体" w:hint="default"/>
                <w:sz w:val="18"/>
                <w:szCs w:val="18"/>
              </w:rPr>
            </w:pPr>
            <w:r>
              <w:rPr>
                <w:rFonts w:ascii="宋体" w:hAnsi="宋体" w:cs="宋体" w:eastAsia="宋体" w:hint="default"/>
                <w:sz w:val="18"/>
                <w:szCs w:val="18"/>
              </w:rPr>
              <w:t>次数</w:t>
            </w:r>
          </w:p>
        </w:tc>
        <w:tc>
          <w:tcPr>
            <w:tcW w:w="8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现场出席</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次数</w:t>
            </w:r>
          </w:p>
        </w:tc>
        <w:tc>
          <w:tcPr>
            <w:tcW w:w="13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以通讯方式参加</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会议次数</w:t>
            </w:r>
          </w:p>
        </w:tc>
        <w:tc>
          <w:tcPr>
            <w:tcW w:w="8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委托出席</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次数</w:t>
            </w:r>
          </w:p>
        </w:tc>
        <w:tc>
          <w:tcPr>
            <w:tcW w:w="7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4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201" w:right="0" w:hanging="90"/>
              <w:jc w:val="left"/>
              <w:rPr>
                <w:rFonts w:ascii="宋体" w:hAnsi="宋体" w:cs="宋体" w:eastAsia="宋体" w:hint="default"/>
                <w:sz w:val="18"/>
                <w:szCs w:val="18"/>
              </w:rPr>
            </w:pPr>
            <w:r>
              <w:rPr>
                <w:rFonts w:ascii="宋体" w:hAnsi="宋体" w:cs="宋体" w:eastAsia="宋体" w:hint="default"/>
                <w:sz w:val="18"/>
                <w:szCs w:val="18"/>
              </w:rPr>
              <w:t>是否连续两次未</w:t>
            </w:r>
          </w:p>
          <w:p>
            <w:pPr>
              <w:pStyle w:val="TableParagraph"/>
              <w:spacing w:line="234" w:lineRule="exact"/>
              <w:ind w:left="201" w:right="0"/>
              <w:jc w:val="left"/>
              <w:rPr>
                <w:rFonts w:ascii="宋体" w:hAnsi="宋体" w:cs="宋体" w:eastAsia="宋体" w:hint="default"/>
                <w:sz w:val="18"/>
                <w:szCs w:val="18"/>
              </w:rPr>
            </w:pPr>
            <w:r>
              <w:rPr>
                <w:rFonts w:ascii="宋体" w:hAnsi="宋体" w:cs="宋体" w:eastAsia="宋体" w:hint="default"/>
                <w:sz w:val="18"/>
                <w:szCs w:val="18"/>
              </w:rPr>
              <w:t>亲自出席会议</w:t>
            </w:r>
          </w:p>
        </w:tc>
      </w:tr>
      <w:tr>
        <w:trPr>
          <w:trHeight w:val="244"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赵友永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31"/>
              <w:jc w:val="right"/>
              <w:rPr>
                <w:rFonts w:ascii="Times New Roman" w:hAnsi="Times New Roman" w:cs="Times New Roman" w:eastAsia="Times New Roman" w:hint="default"/>
                <w:sz w:val="18"/>
                <w:szCs w:val="18"/>
              </w:rPr>
            </w:pPr>
            <w:r>
              <w:rPr>
                <w:rFonts w:ascii="Times New Roman"/>
                <w:sz w:val="18"/>
              </w:rPr>
              <w:t>8</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7" w:right="0"/>
              <w:jc w:val="left"/>
              <w:rPr>
                <w:rFonts w:ascii="Times New Roman" w:hAnsi="Times New Roman" w:cs="Times New Roman" w:eastAsia="Times New Roman" w:hint="default"/>
                <w:sz w:val="18"/>
                <w:szCs w:val="18"/>
              </w:rPr>
            </w:pPr>
            <w:r>
              <w:rPr>
                <w:rFonts w:ascii="Times New Roman"/>
                <w:sz w:val="18"/>
              </w:rPr>
              <w:t>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6</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9" w:right="0"/>
              <w:jc w:val="left"/>
              <w:rPr>
                <w:rFonts w:ascii="Times New Roman" w:hAnsi="Times New Roman" w:cs="Times New Roman" w:eastAsia="Times New Roman" w:hint="default"/>
                <w:sz w:val="18"/>
                <w:szCs w:val="18"/>
              </w:rPr>
            </w:pPr>
            <w:r>
              <w:rPr>
                <w:rFonts w:ascii="Times New Roman"/>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0</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张招兴</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2"/>
              <w:jc w:val="right"/>
              <w:rPr>
                <w:rFonts w:ascii="宋体" w:hAnsi="宋体" w:cs="宋体" w:eastAsia="宋体" w:hint="default"/>
                <w:sz w:val="18"/>
                <w:szCs w:val="18"/>
              </w:rPr>
            </w:pPr>
            <w:r>
              <w:rPr>
                <w:rFonts w:ascii="宋体" w:hAnsi="宋体" w:cs="宋体" w:eastAsia="宋体" w:hint="default"/>
                <w:spacing w:val="-14"/>
                <w:sz w:val="18"/>
                <w:szCs w:val="18"/>
              </w:rPr>
              <w:t>董事（离职</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tabs>
                <w:tab w:pos="332" w:val="left" w:leader="none"/>
              </w:tabs>
              <w:spacing w:line="219" w:lineRule="exact"/>
              <w:ind w:left="-124" w:right="331"/>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5</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7" w:right="0"/>
              <w:jc w:val="left"/>
              <w:rPr>
                <w:rFonts w:ascii="Times New Roman" w:hAnsi="Times New Roman" w:cs="Times New Roman" w:eastAsia="Times New Roman" w:hint="default"/>
                <w:sz w:val="18"/>
                <w:szCs w:val="18"/>
              </w:rPr>
            </w:pPr>
            <w:r>
              <w:rPr>
                <w:rFonts w:ascii="Times New Roman"/>
                <w:sz w:val="18"/>
              </w:rPr>
              <w:t>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4</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9" w:right="0"/>
              <w:jc w:val="left"/>
              <w:rPr>
                <w:rFonts w:ascii="Times New Roman" w:hAnsi="Times New Roman" w:cs="Times New Roman" w:eastAsia="Times New Roman" w:hint="default"/>
                <w:sz w:val="18"/>
                <w:szCs w:val="18"/>
              </w:rPr>
            </w:pPr>
            <w:r>
              <w:rPr>
                <w:rFonts w:ascii="Times New Roman"/>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0</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王  俊</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31"/>
              <w:jc w:val="right"/>
              <w:rPr>
                <w:rFonts w:ascii="Times New Roman" w:hAnsi="Times New Roman" w:cs="Times New Roman" w:eastAsia="Times New Roman" w:hint="default"/>
                <w:sz w:val="18"/>
                <w:szCs w:val="18"/>
              </w:rPr>
            </w:pPr>
            <w:r>
              <w:rPr>
                <w:rFonts w:ascii="Times New Roman"/>
                <w:sz w:val="18"/>
              </w:rPr>
              <w:t>8</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7" w:right="0"/>
              <w:jc w:val="left"/>
              <w:rPr>
                <w:rFonts w:ascii="Times New Roman" w:hAnsi="Times New Roman" w:cs="Times New Roman" w:eastAsia="Times New Roman" w:hint="default"/>
                <w:sz w:val="18"/>
                <w:szCs w:val="18"/>
              </w:rPr>
            </w:pPr>
            <w:r>
              <w:rPr>
                <w:rFonts w:ascii="Times New Roman"/>
                <w:sz w:val="18"/>
              </w:rPr>
              <w:t>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6</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9" w:right="0"/>
              <w:jc w:val="left"/>
              <w:rPr>
                <w:rFonts w:ascii="Times New Roman" w:hAnsi="Times New Roman" w:cs="Times New Roman" w:eastAsia="Times New Roman" w:hint="default"/>
                <w:sz w:val="18"/>
                <w:szCs w:val="18"/>
              </w:rPr>
            </w:pPr>
            <w:r>
              <w:rPr>
                <w:rFonts w:ascii="Times New Roman"/>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0</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叶子瑜</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31"/>
              <w:jc w:val="right"/>
              <w:rPr>
                <w:rFonts w:ascii="Times New Roman" w:hAnsi="Times New Roman" w:cs="Times New Roman" w:eastAsia="Times New Roman" w:hint="default"/>
                <w:sz w:val="18"/>
                <w:szCs w:val="18"/>
              </w:rPr>
            </w:pPr>
            <w:r>
              <w:rPr>
                <w:rFonts w:ascii="Times New Roman"/>
                <w:sz w:val="18"/>
              </w:rPr>
              <w:t>8</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7" w:right="0"/>
              <w:jc w:val="left"/>
              <w:rPr>
                <w:rFonts w:ascii="Times New Roman" w:hAnsi="Times New Roman" w:cs="Times New Roman" w:eastAsia="Times New Roman" w:hint="default"/>
                <w:sz w:val="18"/>
                <w:szCs w:val="18"/>
              </w:rPr>
            </w:pPr>
            <w:r>
              <w:rPr>
                <w:rFonts w:ascii="Times New Roman"/>
                <w:sz w:val="18"/>
              </w:rPr>
              <w:t>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6</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9" w:right="0"/>
              <w:jc w:val="left"/>
              <w:rPr>
                <w:rFonts w:ascii="Times New Roman" w:hAnsi="Times New Roman" w:cs="Times New Roman" w:eastAsia="Times New Roman" w:hint="default"/>
                <w:sz w:val="18"/>
                <w:szCs w:val="18"/>
              </w:rPr>
            </w:pPr>
            <w:r>
              <w:rPr>
                <w:rFonts w:ascii="Times New Roman"/>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0</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刘维锦</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31"/>
              <w:jc w:val="right"/>
              <w:rPr>
                <w:rFonts w:ascii="Times New Roman" w:hAnsi="Times New Roman" w:cs="Times New Roman" w:eastAsia="Times New Roman" w:hint="default"/>
                <w:sz w:val="18"/>
                <w:szCs w:val="18"/>
              </w:rPr>
            </w:pPr>
            <w:r>
              <w:rPr>
                <w:rFonts w:ascii="Times New Roman"/>
                <w:sz w:val="18"/>
              </w:rPr>
              <w:t>8</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7" w:right="0"/>
              <w:jc w:val="left"/>
              <w:rPr>
                <w:rFonts w:ascii="Times New Roman" w:hAnsi="Times New Roman" w:cs="Times New Roman" w:eastAsia="Times New Roman" w:hint="default"/>
                <w:sz w:val="18"/>
                <w:szCs w:val="18"/>
              </w:rPr>
            </w:pPr>
            <w:r>
              <w:rPr>
                <w:rFonts w:ascii="Times New Roman"/>
                <w:sz w:val="18"/>
              </w:rPr>
              <w:t>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6</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9" w:right="0"/>
              <w:jc w:val="left"/>
              <w:rPr>
                <w:rFonts w:ascii="Times New Roman" w:hAnsi="Times New Roman" w:cs="Times New Roman" w:eastAsia="Times New Roman" w:hint="default"/>
                <w:sz w:val="18"/>
                <w:szCs w:val="18"/>
              </w:rPr>
            </w:pPr>
            <w:r>
              <w:rPr>
                <w:rFonts w:ascii="Times New Roman"/>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0</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施意耀</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31"/>
              <w:jc w:val="right"/>
              <w:rPr>
                <w:rFonts w:ascii="Times New Roman" w:hAnsi="Times New Roman" w:cs="Times New Roman" w:eastAsia="Times New Roman" w:hint="default"/>
                <w:sz w:val="18"/>
                <w:szCs w:val="18"/>
              </w:rPr>
            </w:pPr>
            <w:r>
              <w:rPr>
                <w:rFonts w:ascii="Times New Roman"/>
                <w:sz w:val="18"/>
              </w:rPr>
              <w:t>8</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7" w:right="0"/>
              <w:jc w:val="left"/>
              <w:rPr>
                <w:rFonts w:ascii="Times New Roman" w:hAnsi="Times New Roman" w:cs="Times New Roman" w:eastAsia="Times New Roman" w:hint="default"/>
                <w:sz w:val="18"/>
                <w:szCs w:val="18"/>
              </w:rPr>
            </w:pPr>
            <w:r>
              <w:rPr>
                <w:rFonts w:ascii="Times New Roman"/>
                <w:sz w:val="18"/>
              </w:rPr>
              <w:t>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6</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9" w:right="0"/>
              <w:jc w:val="left"/>
              <w:rPr>
                <w:rFonts w:ascii="Times New Roman" w:hAnsi="Times New Roman" w:cs="Times New Roman" w:eastAsia="Times New Roman" w:hint="default"/>
                <w:sz w:val="18"/>
                <w:szCs w:val="18"/>
              </w:rPr>
            </w:pPr>
            <w:r>
              <w:rPr>
                <w:rFonts w:ascii="Times New Roman"/>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0</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王礼贵</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3"/>
              <w:jc w:val="right"/>
              <w:rPr>
                <w:rFonts w:ascii="宋体" w:hAnsi="宋体" w:cs="宋体" w:eastAsia="宋体" w:hint="default"/>
                <w:sz w:val="18"/>
                <w:szCs w:val="18"/>
              </w:rPr>
            </w:pPr>
            <w:r>
              <w:rPr>
                <w:rFonts w:ascii="宋体" w:hAnsi="宋体" w:cs="宋体" w:eastAsia="宋体" w:hint="default"/>
                <w:sz w:val="18"/>
                <w:szCs w:val="18"/>
              </w:rPr>
              <w:t>独立董事</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31"/>
              <w:jc w:val="right"/>
              <w:rPr>
                <w:rFonts w:ascii="Times New Roman" w:hAnsi="Times New Roman" w:cs="Times New Roman" w:eastAsia="Times New Roman" w:hint="default"/>
                <w:sz w:val="18"/>
                <w:szCs w:val="18"/>
              </w:rPr>
            </w:pPr>
            <w:r>
              <w:rPr>
                <w:rFonts w:ascii="Times New Roman"/>
                <w:sz w:val="18"/>
              </w:rPr>
              <w:t>8</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7" w:right="0"/>
              <w:jc w:val="left"/>
              <w:rPr>
                <w:rFonts w:ascii="Times New Roman" w:hAnsi="Times New Roman" w:cs="Times New Roman" w:eastAsia="Times New Roman" w:hint="default"/>
                <w:sz w:val="18"/>
                <w:szCs w:val="18"/>
              </w:rPr>
            </w:pPr>
            <w:r>
              <w:rPr>
                <w:rFonts w:ascii="Times New Roman"/>
                <w:sz w:val="18"/>
              </w:rPr>
              <w:t>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6</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9" w:right="0"/>
              <w:jc w:val="left"/>
              <w:rPr>
                <w:rFonts w:ascii="Times New Roman" w:hAnsi="Times New Roman" w:cs="Times New Roman" w:eastAsia="Times New Roman" w:hint="default"/>
                <w:sz w:val="18"/>
                <w:szCs w:val="18"/>
              </w:rPr>
            </w:pPr>
            <w:r>
              <w:rPr>
                <w:rFonts w:ascii="Times New Roman"/>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0</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罗坚生</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hAnsi="宋体" w:cs="宋体" w:eastAsia="宋体" w:hint="default"/>
                <w:sz w:val="18"/>
                <w:szCs w:val="18"/>
              </w:rPr>
              <w:t>独立董事</w:t>
            </w:r>
          </w:p>
          <w:p>
            <w:pPr>
              <w:pStyle w:val="TableParagraph"/>
              <w:spacing w:line="234" w:lineRule="exact"/>
              <w:ind w:left="124" w:right="0"/>
              <w:jc w:val="left"/>
              <w:rPr>
                <w:rFonts w:ascii="宋体" w:hAnsi="宋体" w:cs="宋体" w:eastAsia="宋体" w:hint="default"/>
                <w:sz w:val="18"/>
                <w:szCs w:val="18"/>
              </w:rPr>
            </w:pPr>
            <w:r>
              <w:rPr>
                <w:rFonts w:ascii="宋体" w:hAnsi="宋体" w:cs="宋体" w:eastAsia="宋体" w:hint="default"/>
                <w:sz w:val="18"/>
                <w:szCs w:val="18"/>
              </w:rPr>
              <w:t>（病逝）</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31"/>
              <w:jc w:val="right"/>
              <w:rPr>
                <w:rFonts w:ascii="Times New Roman" w:hAnsi="Times New Roman" w:cs="Times New Roman" w:eastAsia="Times New Roman" w:hint="default"/>
                <w:sz w:val="18"/>
                <w:szCs w:val="18"/>
              </w:rPr>
            </w:pPr>
            <w:r>
              <w:rPr>
                <w:rFonts w:ascii="Times New Roman"/>
                <w:sz w:val="18"/>
              </w:rPr>
              <w:t>1</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57" w:right="0"/>
              <w:jc w:val="left"/>
              <w:rPr>
                <w:rFonts w:ascii="Times New Roman" w:hAnsi="Times New Roman" w:cs="Times New Roman" w:eastAsia="Times New Roman" w:hint="default"/>
                <w:sz w:val="18"/>
                <w:szCs w:val="18"/>
              </w:rPr>
            </w:pPr>
            <w:r>
              <w:rPr>
                <w:rFonts w:ascii="Times New Roman"/>
                <w:sz w:val="18"/>
              </w:rPr>
              <w:t>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1</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69" w:right="0"/>
              <w:jc w:val="left"/>
              <w:rPr>
                <w:rFonts w:ascii="Times New Roman" w:hAnsi="Times New Roman" w:cs="Times New Roman" w:eastAsia="Times New Roman" w:hint="default"/>
                <w:sz w:val="18"/>
                <w:szCs w:val="18"/>
              </w:rPr>
            </w:pPr>
            <w:r>
              <w:rPr>
                <w:rFonts w:ascii="Times New Roman"/>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0</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李进一</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3"/>
              <w:jc w:val="right"/>
              <w:rPr>
                <w:rFonts w:ascii="宋体" w:hAnsi="宋体" w:cs="宋体" w:eastAsia="宋体" w:hint="default"/>
                <w:sz w:val="18"/>
                <w:szCs w:val="18"/>
              </w:rPr>
            </w:pPr>
            <w:r>
              <w:rPr>
                <w:rFonts w:ascii="宋体" w:hAnsi="宋体" w:cs="宋体" w:eastAsia="宋体" w:hint="default"/>
                <w:sz w:val="18"/>
                <w:szCs w:val="18"/>
              </w:rPr>
              <w:t>独立董事</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31"/>
              <w:jc w:val="right"/>
              <w:rPr>
                <w:rFonts w:ascii="Times New Roman" w:hAnsi="Times New Roman" w:cs="Times New Roman" w:eastAsia="Times New Roman" w:hint="default"/>
                <w:sz w:val="18"/>
                <w:szCs w:val="18"/>
              </w:rPr>
            </w:pPr>
            <w:r>
              <w:rPr>
                <w:rFonts w:ascii="Times New Roman"/>
                <w:sz w:val="18"/>
              </w:rPr>
              <w:t>8</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7" w:right="0"/>
              <w:jc w:val="left"/>
              <w:rPr>
                <w:rFonts w:ascii="Times New Roman" w:hAnsi="Times New Roman" w:cs="Times New Roman" w:eastAsia="Times New Roman" w:hint="default"/>
                <w:sz w:val="18"/>
                <w:szCs w:val="18"/>
              </w:rPr>
            </w:pPr>
            <w:r>
              <w:rPr>
                <w:rFonts w:ascii="Times New Roman"/>
                <w:sz w:val="18"/>
              </w:rPr>
              <w:t>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6</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9" w:right="0"/>
              <w:jc w:val="left"/>
              <w:rPr>
                <w:rFonts w:ascii="Times New Roman" w:hAnsi="Times New Roman" w:cs="Times New Roman" w:eastAsia="Times New Roman" w:hint="default"/>
                <w:sz w:val="18"/>
                <w:szCs w:val="18"/>
              </w:rPr>
            </w:pPr>
            <w:r>
              <w:rPr>
                <w:rFonts w:ascii="Times New Roman"/>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0</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程  昆</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3"/>
              <w:jc w:val="right"/>
              <w:rPr>
                <w:rFonts w:ascii="宋体" w:hAnsi="宋体" w:cs="宋体" w:eastAsia="宋体" w:hint="default"/>
                <w:sz w:val="18"/>
                <w:szCs w:val="18"/>
              </w:rPr>
            </w:pPr>
            <w:r>
              <w:rPr>
                <w:rFonts w:ascii="宋体" w:hAnsi="宋体" w:cs="宋体" w:eastAsia="宋体" w:hint="default"/>
                <w:sz w:val="18"/>
                <w:szCs w:val="18"/>
              </w:rPr>
              <w:t>独立董事</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31"/>
              <w:jc w:val="right"/>
              <w:rPr>
                <w:rFonts w:ascii="Times New Roman" w:hAnsi="Times New Roman" w:cs="Times New Roman" w:eastAsia="Times New Roman" w:hint="default"/>
                <w:sz w:val="18"/>
                <w:szCs w:val="18"/>
              </w:rPr>
            </w:pPr>
            <w:r>
              <w:rPr>
                <w:rFonts w:ascii="Times New Roman"/>
                <w:sz w:val="18"/>
              </w:rPr>
              <w:t>5</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7" w:right="0"/>
              <w:jc w:val="left"/>
              <w:rPr>
                <w:rFonts w:ascii="Times New Roman" w:hAnsi="Times New Roman" w:cs="Times New Roman" w:eastAsia="Times New Roman" w:hint="default"/>
                <w:sz w:val="18"/>
                <w:szCs w:val="18"/>
              </w:rPr>
            </w:pPr>
            <w:r>
              <w:rPr>
                <w:rFonts w:ascii="Times New Roman"/>
                <w:sz w:val="18"/>
              </w:rPr>
              <w:t>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4</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9" w:right="0"/>
              <w:jc w:val="left"/>
              <w:rPr>
                <w:rFonts w:ascii="Times New Roman" w:hAnsi="Times New Roman" w:cs="Times New Roman" w:eastAsia="Times New Roman" w:hint="default"/>
                <w:sz w:val="18"/>
                <w:szCs w:val="18"/>
              </w:rPr>
            </w:pPr>
            <w:r>
              <w:rPr>
                <w:rFonts w:ascii="Times New Roman"/>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0</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05" w:lineRule="exact"/>
        <w:jc w:val="center"/>
        <w:rPr>
          <w:rFonts w:ascii="宋体" w:hAnsi="宋体" w:cs="宋体" w:eastAsia="宋体" w:hint="default"/>
          <w:sz w:val="18"/>
          <w:szCs w:val="18"/>
        </w:rPr>
        <w:sectPr>
          <w:pgSz w:w="11910" w:h="16840"/>
          <w:pgMar w:header="400" w:footer="982" w:top="1100" w:bottom="1180" w:left="1660" w:right="1580"/>
        </w:sectPr>
      </w:pPr>
    </w:p>
    <w:p>
      <w:pPr>
        <w:spacing w:line="240" w:lineRule="auto" w:before="12"/>
        <w:rPr>
          <w:rFonts w:ascii="宋体" w:hAnsi="宋体" w:cs="宋体" w:eastAsia="宋体" w:hint="default"/>
          <w:sz w:val="19"/>
          <w:szCs w:val="19"/>
        </w:rPr>
      </w:pPr>
    </w:p>
    <w:p>
      <w:pPr>
        <w:pStyle w:val="Heading2"/>
        <w:spacing w:line="240" w:lineRule="auto" w:before="13"/>
        <w:ind w:right="0"/>
        <w:jc w:val="both"/>
        <w:rPr>
          <w:b w:val="0"/>
          <w:bCs w:val="0"/>
        </w:rPr>
      </w:pPr>
      <w:r>
        <w:rPr>
          <w:spacing w:val="-4"/>
        </w:rPr>
        <w:t>三、公司与控股股东在业务、人员、资产、机构、财务等方面的情况</w:t>
      </w:r>
      <w:r>
        <w:rPr>
          <w:b w:val="0"/>
          <w:bCs w:val="0"/>
        </w:rPr>
      </w:r>
    </w:p>
    <w:p>
      <w:pPr>
        <w:pStyle w:val="BodyText"/>
        <w:spacing w:line="297" w:lineRule="auto" w:before="128"/>
        <w:ind w:right="102" w:firstLine="420"/>
        <w:jc w:val="left"/>
      </w:pPr>
      <w:r>
        <w:rPr>
          <w:spacing w:val="-3"/>
        </w:rPr>
        <w:t>报告期内，公司与控股股东在业务、人员、资产、机构、财务等方面相互独立，公司具</w:t>
      </w:r>
      <w:r>
        <w:rPr/>
        <w:t> 有独立完整的业务及自主经营能力。</w:t>
      </w:r>
    </w:p>
    <w:p>
      <w:pPr>
        <w:pStyle w:val="BodyText"/>
        <w:spacing w:line="379" w:lineRule="auto" w:before="135"/>
        <w:ind w:left="560" w:right="102"/>
        <w:jc w:val="left"/>
      </w:pPr>
      <w:r>
        <w:rPr>
          <w:rFonts w:ascii="Times New Roman" w:hAnsi="Times New Roman" w:cs="Times New Roman" w:eastAsia="Times New Roman" w:hint="default"/>
        </w:rPr>
        <w:t>1</w:t>
      </w:r>
      <w:r>
        <w:rPr/>
        <w:t>、业务独立情况 </w:t>
      </w:r>
      <w:r>
        <w:rPr>
          <w:spacing w:val="-3"/>
        </w:rPr>
        <w:t>公司拥有独立的采购、生产和销售系统，具有独立完整的主营业务和面向市场独立经营</w:t>
      </w:r>
    </w:p>
    <w:p>
      <w:pPr>
        <w:pStyle w:val="BodyText"/>
        <w:spacing w:line="218" w:lineRule="exact" w:before="0"/>
        <w:ind w:right="0"/>
        <w:jc w:val="both"/>
      </w:pPr>
      <w:r>
        <w:rPr/>
        <w:t>的能力，不存在对股东单位的业务依赖。</w:t>
      </w:r>
    </w:p>
    <w:p>
      <w:pPr>
        <w:spacing w:line="240" w:lineRule="auto" w:before="3"/>
        <w:rPr>
          <w:rFonts w:ascii="宋体" w:hAnsi="宋体" w:cs="宋体" w:eastAsia="宋体" w:hint="default"/>
          <w:sz w:val="14"/>
          <w:szCs w:val="14"/>
        </w:rPr>
      </w:pPr>
    </w:p>
    <w:p>
      <w:pPr>
        <w:pStyle w:val="BodyText"/>
        <w:spacing w:line="379" w:lineRule="auto" w:before="0"/>
        <w:ind w:left="560" w:right="102"/>
        <w:jc w:val="left"/>
      </w:pPr>
      <w:r>
        <w:rPr>
          <w:rFonts w:ascii="Times New Roman" w:hAnsi="Times New Roman" w:cs="Times New Roman" w:eastAsia="Times New Roman" w:hint="default"/>
        </w:rPr>
        <w:t>2</w:t>
      </w:r>
      <w:r>
        <w:rPr/>
        <w:t>、人员独立情况 </w:t>
      </w:r>
      <w:r>
        <w:rPr>
          <w:spacing w:val="-3"/>
        </w:rPr>
        <w:t>公司总经理、副总经理、财务负责人、董事会秘书等高级管理人员和营销负责人、核心</w:t>
      </w:r>
    </w:p>
    <w:p>
      <w:pPr>
        <w:pStyle w:val="BodyText"/>
        <w:spacing w:line="218" w:lineRule="exact" w:before="0"/>
        <w:ind w:right="0"/>
        <w:jc w:val="both"/>
      </w:pPr>
      <w:r>
        <w:rPr>
          <w:spacing w:val="-3"/>
        </w:rPr>
        <w:t>技术人员均专职在本公司及控股子公司工作，未在控股股东广电集团、实际控制人广州市国</w:t>
      </w:r>
    </w:p>
    <w:p>
      <w:pPr>
        <w:pStyle w:val="BodyText"/>
        <w:spacing w:line="297" w:lineRule="auto" w:before="66"/>
        <w:ind w:right="216"/>
        <w:jc w:val="both"/>
      </w:pPr>
      <w:r>
        <w:rPr>
          <w:spacing w:val="-3"/>
        </w:rPr>
        <w:t>资委及其控制的其他企业中担任其他职务，也未在控股股东、实际控制人及其控制的其他企</w:t>
      </w:r>
      <w:r>
        <w:rPr>
          <w:spacing w:val="-79"/>
        </w:rPr>
        <w:t> </w:t>
      </w:r>
      <w:r>
        <w:rPr>
          <w:spacing w:val="-79"/>
        </w:rPr>
      </w:r>
      <w:r>
        <w:rPr>
          <w:spacing w:val="-3"/>
        </w:rPr>
        <w:t>业领薪。公司拥有独立的员工队伍，并已建立完善的劳动用工和人事管理制度，公司拥有独</w:t>
      </w:r>
      <w:r>
        <w:rPr>
          <w:spacing w:val="-81"/>
        </w:rPr>
        <w:t> </w:t>
      </w:r>
      <w:r>
        <w:rPr>
          <w:spacing w:val="-81"/>
        </w:rPr>
      </w:r>
      <w:r>
        <w:rPr/>
        <w:t>立的劳动用工权利，不存在受控股股东干涉的现象。</w:t>
      </w:r>
    </w:p>
    <w:p>
      <w:pPr>
        <w:pStyle w:val="BodyText"/>
        <w:spacing w:line="379" w:lineRule="auto" w:before="134"/>
        <w:ind w:left="560" w:right="102"/>
        <w:jc w:val="left"/>
      </w:pPr>
      <w:r>
        <w:rPr>
          <w:rFonts w:ascii="Times New Roman" w:hAnsi="Times New Roman" w:cs="Times New Roman" w:eastAsia="Times New Roman" w:hint="default"/>
        </w:rPr>
        <w:t>3</w:t>
      </w:r>
      <w:r>
        <w:rPr/>
        <w:t>、资产独立情况 </w:t>
      </w:r>
      <w:r>
        <w:rPr>
          <w:spacing w:val="-3"/>
        </w:rPr>
        <w:t>公司拥有独立完整的采购、生产、销售系统及配套设施，拥有独立的生产经营设备以及</w:t>
      </w:r>
    </w:p>
    <w:p>
      <w:pPr>
        <w:pStyle w:val="BodyText"/>
        <w:spacing w:line="219" w:lineRule="exact" w:before="0"/>
        <w:ind w:right="0"/>
        <w:jc w:val="both"/>
      </w:pPr>
      <w:r>
        <w:rPr>
          <w:spacing w:val="-3"/>
        </w:rPr>
        <w:t>商标权、专利权等无形资产。随着公司新工业园区的落成并陆续投入使用，公司拥有独立于</w:t>
      </w:r>
    </w:p>
    <w:p>
      <w:pPr>
        <w:pStyle w:val="BodyText"/>
        <w:spacing w:line="297" w:lineRule="auto" w:before="64"/>
        <w:ind w:right="216"/>
        <w:jc w:val="both"/>
      </w:pPr>
      <w:r>
        <w:rPr>
          <w:spacing w:val="-3"/>
        </w:rPr>
        <w:t>控股股东的生产经营场所，形成独立完整的资产结构。另外，公司根据经营需要目前仍向控</w:t>
      </w:r>
      <w:r>
        <w:rPr>
          <w:spacing w:val="-81"/>
        </w:rPr>
        <w:t> </w:t>
      </w:r>
      <w:r>
        <w:rPr>
          <w:spacing w:val="-81"/>
        </w:rPr>
      </w:r>
      <w:r>
        <w:rPr>
          <w:spacing w:val="-3"/>
        </w:rPr>
        <w:t>股股东广电集团租赁部分办公场地，公司就房屋租赁事宜与广电集团签署了相关协议并经公</w:t>
      </w:r>
      <w:r>
        <w:rPr>
          <w:spacing w:val="-79"/>
        </w:rPr>
        <w:t> </w:t>
      </w:r>
      <w:r>
        <w:rPr>
          <w:spacing w:val="-79"/>
        </w:rPr>
      </w:r>
      <w:r>
        <w:rPr>
          <w:spacing w:val="-3"/>
        </w:rPr>
        <w:t>司董事会批准，价格公允合理，权利义务明确。此外，公司不存在股东单位及其他关联方违</w:t>
      </w:r>
      <w:r>
        <w:rPr>
          <w:spacing w:val="-80"/>
        </w:rPr>
        <w:t> </w:t>
      </w:r>
      <w:r>
        <w:rPr>
          <w:spacing w:val="-80"/>
        </w:rPr>
      </w:r>
      <w:r>
        <w:rPr>
          <w:spacing w:val="-3"/>
        </w:rPr>
        <w:t>规占用本公司资金、资产和其他资源的情况；不存在以承包、委托经营、租赁或其他类似方</w:t>
      </w:r>
      <w:r>
        <w:rPr>
          <w:spacing w:val="-80"/>
        </w:rPr>
        <w:t> </w:t>
      </w:r>
      <w:r>
        <w:rPr>
          <w:spacing w:val="-80"/>
        </w:rPr>
      </w:r>
      <w:r>
        <w:rPr>
          <w:spacing w:val="-3"/>
        </w:rPr>
        <w:t>式，依赖股东单位及其他关联方进行生产经营的情况，具有开展生产经营所必备的独立完整</w:t>
      </w:r>
      <w:r>
        <w:rPr>
          <w:spacing w:val="-79"/>
        </w:rPr>
        <w:t> </w:t>
      </w:r>
      <w:r>
        <w:rPr>
          <w:spacing w:val="-79"/>
        </w:rPr>
      </w:r>
      <w:r>
        <w:rPr/>
        <w:t>的资产。</w:t>
      </w:r>
    </w:p>
    <w:p>
      <w:pPr>
        <w:pStyle w:val="BodyText"/>
        <w:spacing w:line="379" w:lineRule="auto" w:before="134"/>
        <w:ind w:left="560" w:right="102"/>
        <w:jc w:val="left"/>
      </w:pPr>
      <w:r>
        <w:rPr>
          <w:rFonts w:ascii="Times New Roman" w:hAnsi="Times New Roman" w:cs="Times New Roman" w:eastAsia="Times New Roman" w:hint="default"/>
        </w:rPr>
        <w:t>4</w:t>
      </w:r>
      <w:r>
        <w:rPr/>
        <w:t>、财务独立情况 </w:t>
      </w:r>
      <w:r>
        <w:rPr>
          <w:spacing w:val="-3"/>
        </w:rPr>
        <w:t>公司有独立的财务会计部门，建立了独立的会计核算体系和财务管理制度，独立进行财</w:t>
      </w:r>
    </w:p>
    <w:p>
      <w:pPr>
        <w:pStyle w:val="BodyText"/>
        <w:spacing w:line="219" w:lineRule="exact" w:before="0"/>
        <w:ind w:right="0"/>
        <w:jc w:val="both"/>
      </w:pPr>
      <w:r>
        <w:rPr>
          <w:spacing w:val="-3"/>
        </w:rPr>
        <w:t>务决策；公司独立开设银行账户，独立纳税；公司的资金使用按照《公司章程》及相关制度</w:t>
      </w:r>
    </w:p>
    <w:p>
      <w:pPr>
        <w:pStyle w:val="BodyText"/>
        <w:spacing w:line="391" w:lineRule="auto" w:before="66"/>
        <w:ind w:left="560" w:right="102" w:hanging="420"/>
        <w:jc w:val="left"/>
      </w:pPr>
      <w:r>
        <w:rPr/>
        <w:t>的规定在授权范围内独立决策，不存在股东单位干预公司资金使用的情况。 </w:t>
      </w:r>
      <w:r>
        <w:rPr>
          <w:rFonts w:ascii="Times New Roman" w:hAnsi="Times New Roman" w:cs="Times New Roman" w:eastAsia="Times New Roman" w:hint="default"/>
        </w:rPr>
        <w:t>5</w:t>
      </w:r>
      <w:r>
        <w:rPr/>
        <w:t>、机构独立情况 </w:t>
      </w:r>
      <w:r>
        <w:rPr>
          <w:spacing w:val="-3"/>
        </w:rPr>
        <w:t>公司目前建立了较为完善的法人治理结构，实行董事会领导下的总经理负责制，下设管</w:t>
      </w:r>
    </w:p>
    <w:p>
      <w:pPr>
        <w:pStyle w:val="BodyText"/>
        <w:spacing w:line="209" w:lineRule="exact" w:before="0"/>
        <w:ind w:right="0"/>
        <w:jc w:val="both"/>
      </w:pPr>
      <w:r>
        <w:rPr>
          <w:spacing w:val="-3"/>
        </w:rPr>
        <w:t>理部门、研发中心、制造中心、营销中心和客户服务部门，按照公司的管理制度，在公司管</w:t>
      </w:r>
    </w:p>
    <w:p>
      <w:pPr>
        <w:pStyle w:val="BodyText"/>
        <w:spacing w:line="297" w:lineRule="auto" w:before="64"/>
        <w:ind w:right="216"/>
        <w:jc w:val="both"/>
      </w:pPr>
      <w:r>
        <w:rPr>
          <w:spacing w:val="-3"/>
        </w:rPr>
        <w:t>理层的领导下运作，与控股股东不存在任何隶属关系。公司各机构具有独立性，不存在与控</w:t>
      </w:r>
      <w:r>
        <w:rPr>
          <w:spacing w:val="-81"/>
        </w:rPr>
        <w:t> </w:t>
      </w:r>
      <w:r>
        <w:rPr>
          <w:spacing w:val="-81"/>
        </w:rPr>
      </w:r>
      <w:r>
        <w:rPr/>
        <w:t>股股东人员任职重叠的情形。</w:t>
      </w:r>
    </w:p>
    <w:p>
      <w:pPr>
        <w:spacing w:line="240" w:lineRule="auto" w:before="12"/>
        <w:rPr>
          <w:rFonts w:ascii="宋体" w:hAnsi="宋体" w:cs="宋体" w:eastAsia="宋体" w:hint="default"/>
          <w:sz w:val="27"/>
          <w:szCs w:val="27"/>
        </w:rPr>
      </w:pPr>
    </w:p>
    <w:p>
      <w:pPr>
        <w:pStyle w:val="Heading2"/>
        <w:spacing w:line="240" w:lineRule="auto"/>
        <w:ind w:right="0"/>
        <w:jc w:val="both"/>
        <w:rPr>
          <w:b w:val="0"/>
          <w:bCs w:val="0"/>
        </w:rPr>
      </w:pPr>
      <w:r>
        <w:rPr/>
        <w:t>四、公司内部控制制度的建立和健全情况</w:t>
      </w:r>
      <w:r>
        <w:rPr>
          <w:b w:val="0"/>
          <w:bCs w:val="0"/>
        </w:rPr>
      </w:r>
    </w:p>
    <w:p>
      <w:pPr>
        <w:pStyle w:val="BodyText"/>
        <w:spacing w:line="297" w:lineRule="auto" w:before="127"/>
        <w:ind w:right="102" w:firstLine="419"/>
        <w:jc w:val="left"/>
      </w:pPr>
      <w:r>
        <w:rPr>
          <w:spacing w:val="-11"/>
        </w:rPr>
        <w:t>公司根据《公司法》、《上市公司章程指引》和其他有关法律法规并结合公司的实际情况，</w:t>
      </w:r>
      <w:r>
        <w:rPr/>
        <w:t> </w:t>
      </w:r>
      <w:r>
        <w:rPr>
          <w:spacing w:val="-3"/>
        </w:rPr>
        <w:t>逐步建立、健全各项内部控制制度，形成较为完善的法人治理结构。股东大会是公司的最高</w:t>
      </w:r>
      <w:r>
        <w:rPr>
          <w:spacing w:val="-81"/>
        </w:rPr>
        <w:t> </w:t>
      </w:r>
      <w:r>
        <w:rPr>
          <w:spacing w:val="-81"/>
        </w:rPr>
      </w:r>
      <w:r>
        <w:rPr>
          <w:spacing w:val="-3"/>
        </w:rPr>
        <w:t>权力机构，董事会是公司的常设决策机构。董事会及其下设的专门委员会发挥职能，负责拟</w:t>
      </w:r>
      <w:r>
        <w:rPr>
          <w:spacing w:val="-81"/>
        </w:rPr>
        <w:t> </w:t>
      </w:r>
      <w:r>
        <w:rPr>
          <w:spacing w:val="-81"/>
        </w:rPr>
      </w:r>
      <w:r>
        <w:rPr>
          <w:spacing w:val="-3"/>
        </w:rPr>
        <w:t>定公司的经营战略和批准各项重大决策，高管人员负责执行董事会决议和日常经营活动，高</w:t>
      </w:r>
    </w:p>
    <w:p>
      <w:pPr>
        <w:spacing w:after="0" w:line="297" w:lineRule="auto"/>
        <w:jc w:val="left"/>
        <w:sectPr>
          <w:pgSz w:w="11910" w:h="16840"/>
          <w:pgMar w:header="400" w:footer="982" w:top="1100" w:bottom="1180" w:left="1660" w:right="1580"/>
        </w:sectPr>
      </w:pPr>
    </w:p>
    <w:p>
      <w:pPr>
        <w:spacing w:line="240" w:lineRule="auto" w:before="1"/>
        <w:rPr>
          <w:rFonts w:ascii="宋体" w:hAnsi="宋体" w:cs="宋体" w:eastAsia="宋体" w:hint="default"/>
          <w:sz w:val="19"/>
          <w:szCs w:val="19"/>
        </w:rPr>
      </w:pPr>
    </w:p>
    <w:p>
      <w:pPr>
        <w:pStyle w:val="BodyText"/>
        <w:spacing w:line="297" w:lineRule="auto" w:before="35"/>
        <w:ind w:right="100" w:hanging="1"/>
        <w:jc w:val="left"/>
      </w:pPr>
      <w:r>
        <w:rPr>
          <w:spacing w:val="-5"/>
        </w:rPr>
        <w:t>管人员和董事会之间的权责关系明确。同时，公司制定了各项基本管理制度，包括组织管理、</w:t>
      </w:r>
      <w:r>
        <w:rPr>
          <w:spacing w:val="-100"/>
        </w:rPr>
        <w:t> </w:t>
      </w:r>
      <w:r>
        <w:rPr>
          <w:spacing w:val="-100"/>
        </w:rPr>
      </w:r>
      <w:r>
        <w:rPr>
          <w:spacing w:val="-3"/>
        </w:rPr>
        <w:t>营销管理、生产管理、技术管理、行政管理、财务管理、质量管理等方面的管理制度，有效</w:t>
      </w:r>
      <w:r>
        <w:rPr>
          <w:spacing w:val="-82"/>
        </w:rPr>
        <w:t> </w:t>
      </w:r>
      <w:r>
        <w:rPr>
          <w:spacing w:val="-82"/>
        </w:rPr>
      </w:r>
      <w:r>
        <w:rPr/>
        <w:t>地保证了公司运作的规范化、制度化和法制化。</w:t>
      </w:r>
    </w:p>
    <w:p>
      <w:pPr>
        <w:pStyle w:val="BodyText"/>
        <w:spacing w:line="240" w:lineRule="auto" w:before="135"/>
        <w:ind w:left="560" w:right="102"/>
        <w:jc w:val="left"/>
      </w:pPr>
      <w:r>
        <w:rPr/>
        <w:t>公司贯彻</w:t>
      </w:r>
      <w:r>
        <w:rPr>
          <w:spacing w:val="1"/>
        </w:rPr>
        <w:t>执</w:t>
      </w:r>
      <w:r>
        <w:rPr/>
        <w:t>行国家统</w:t>
      </w:r>
      <w:r>
        <w:rPr>
          <w:spacing w:val="1"/>
        </w:rPr>
        <w:t>一</w:t>
      </w:r>
      <w:r>
        <w:rPr/>
        <w:t>的财务会</w:t>
      </w:r>
      <w:r>
        <w:rPr>
          <w:spacing w:val="1"/>
        </w:rPr>
        <w:t>计</w:t>
      </w:r>
      <w:r>
        <w:rPr/>
        <w:t>制度，加</w:t>
      </w:r>
      <w:r>
        <w:rPr>
          <w:spacing w:val="1"/>
        </w:rPr>
        <w:t>强</w:t>
      </w:r>
      <w:r>
        <w:rPr/>
        <w:t>财务管理</w:t>
      </w:r>
      <w:r>
        <w:rPr>
          <w:spacing w:val="1"/>
        </w:rPr>
        <w:t>和</w:t>
      </w:r>
      <w:r>
        <w:rPr/>
        <w:t>经济核算</w:t>
      </w:r>
      <w:r>
        <w:rPr>
          <w:spacing w:val="1"/>
        </w:rPr>
        <w:t>，</w:t>
      </w:r>
      <w:r>
        <w:rPr/>
        <w:t>按照《会</w:t>
      </w:r>
      <w:r>
        <w:rPr>
          <w:spacing w:val="1"/>
        </w:rPr>
        <w:t>计</w:t>
      </w:r>
      <w:r>
        <w:rPr/>
        <w:t>法</w:t>
      </w:r>
      <w:r>
        <w:rPr>
          <w:spacing w:val="-104"/>
        </w:rPr>
        <w:t>》</w:t>
      </w:r>
      <w:r>
        <w:rPr/>
        <w:t>、</w:t>
      </w:r>
    </w:p>
    <w:p>
      <w:pPr>
        <w:pStyle w:val="BodyText"/>
        <w:spacing w:line="297" w:lineRule="auto" w:before="66"/>
        <w:ind w:right="99"/>
        <w:jc w:val="left"/>
      </w:pPr>
      <w:r>
        <w:rPr>
          <w:spacing w:val="-3"/>
        </w:rPr>
        <w:t>《企业会计准则》等有关规定，结合公司实际制定了一套完善的内部会计控制制度，具体包</w:t>
      </w:r>
      <w:r>
        <w:rPr>
          <w:spacing w:val="-81"/>
        </w:rPr>
        <w:t> </w:t>
      </w:r>
      <w:r>
        <w:rPr>
          <w:spacing w:val="-81"/>
        </w:rPr>
      </w:r>
      <w:r>
        <w:rPr>
          <w:spacing w:val="-3"/>
        </w:rPr>
        <w:t>括资金筹集管理、往来款项管理、存货管理、固定资产管理、在建工程管理、无形资产和其</w:t>
      </w:r>
      <w:r>
        <w:rPr>
          <w:spacing w:val="-84"/>
        </w:rPr>
        <w:t> </w:t>
      </w:r>
      <w:r>
        <w:rPr>
          <w:spacing w:val="-84"/>
        </w:rPr>
      </w:r>
      <w:r>
        <w:rPr>
          <w:spacing w:val="-3"/>
        </w:rPr>
        <w:t>他资产管理、对外投资管理、成本费用管理等各个方面。公司在费用预算管理、物资采购管</w:t>
      </w:r>
      <w:r>
        <w:rPr>
          <w:spacing w:val="-80"/>
        </w:rPr>
        <w:t> </w:t>
      </w:r>
      <w:r>
        <w:rPr>
          <w:spacing w:val="-80"/>
        </w:rPr>
      </w:r>
      <w:r>
        <w:rPr>
          <w:spacing w:val="-3"/>
        </w:rPr>
        <w:t>理、会计电算化管理、销售收款管理等方面作了具体规定，并明确了授权及签章等内部控制</w:t>
      </w:r>
      <w:r>
        <w:rPr>
          <w:spacing w:val="-81"/>
        </w:rPr>
        <w:t> </w:t>
      </w:r>
      <w:r>
        <w:rPr>
          <w:spacing w:val="-81"/>
        </w:rPr>
      </w:r>
      <w:r>
        <w:rPr>
          <w:spacing w:val="-10"/>
        </w:rPr>
        <w:t>环节，符合《企业会计准则》、《企业会计制度》及相关法律法规的规定。在实际经营过程中，</w:t>
      </w:r>
      <w:r>
        <w:rPr>
          <w:spacing w:val="-97"/>
        </w:rPr>
        <w:t> </w:t>
      </w:r>
      <w:r>
        <w:rPr>
          <w:spacing w:val="-97"/>
        </w:rPr>
      </w:r>
      <w:r>
        <w:rPr>
          <w:spacing w:val="-5"/>
        </w:rPr>
        <w:t>公司严格执行逐级审批流程及各级审批权限，确保授权、签章等内部控制环节得到有效执行。</w:t>
      </w:r>
    </w:p>
    <w:p>
      <w:pPr>
        <w:pStyle w:val="BodyText"/>
        <w:spacing w:line="297" w:lineRule="auto" w:before="135"/>
        <w:ind w:right="104" w:firstLine="420"/>
        <w:jc w:val="left"/>
      </w:pPr>
      <w:r>
        <w:rPr>
          <w:spacing w:val="-3"/>
        </w:rPr>
        <w:t>根据有关法律法规和规章制度的要求，公司设立了审计部，配备了专职审计人员，制定</w:t>
      </w:r>
      <w:r>
        <w:rPr/>
        <w:t> 了公司《内部审计管理制度》并予以实施。审计部对董事会负责，向审计委员会报告工作， </w:t>
      </w:r>
      <w:r>
        <w:rPr>
          <w:spacing w:val="-3"/>
        </w:rPr>
        <w:t>独立行使审计职权，不受其它部门和个人的干涉。审计部主要对公司及下属单位重大资金的</w:t>
      </w:r>
      <w:r>
        <w:rPr>
          <w:spacing w:val="-79"/>
        </w:rPr>
        <w:t> </w:t>
      </w:r>
      <w:r>
        <w:rPr>
          <w:spacing w:val="-79"/>
        </w:rPr>
      </w:r>
      <w:r>
        <w:rPr>
          <w:spacing w:val="-3"/>
        </w:rPr>
        <w:t>使用、募集资金的使用与管理、成本费用、经济效益、内部控制、财务制度、财务状况等情</w:t>
      </w:r>
      <w:r>
        <w:rPr>
          <w:spacing w:val="-81"/>
        </w:rPr>
        <w:t> </w:t>
      </w:r>
      <w:r>
        <w:rPr>
          <w:spacing w:val="-81"/>
        </w:rPr>
      </w:r>
      <w:r>
        <w:rPr/>
        <w:t>况进行内部审计。报告期内，公司内部稽核、内控体制完备、有效，运行正常。</w:t>
      </w:r>
    </w:p>
    <w:p>
      <w:pPr>
        <w:pStyle w:val="BodyText"/>
        <w:spacing w:line="297" w:lineRule="auto" w:before="134"/>
        <w:ind w:right="215" w:firstLine="420"/>
        <w:jc w:val="both"/>
      </w:pPr>
      <w:r>
        <w:rPr>
          <w:spacing w:val="-3"/>
        </w:rPr>
        <w:t>公司制定了《信息披露管理制度》，规定董事长为信息披露工作第一责任人，董事会秘</w:t>
      </w:r>
      <w:r>
        <w:rPr/>
        <w:t> </w:t>
      </w:r>
      <w:r>
        <w:rPr>
          <w:spacing w:val="-3"/>
        </w:rPr>
        <w:t>书为信息披露工作主要责任人，负责管理信息披露事务。公司证券部为信息披露事务的日常</w:t>
      </w:r>
      <w:r>
        <w:rPr>
          <w:spacing w:val="-79"/>
        </w:rPr>
        <w:t> </w:t>
      </w:r>
      <w:r>
        <w:rPr>
          <w:spacing w:val="-79"/>
        </w:rPr>
      </w:r>
      <w:r>
        <w:rPr>
          <w:spacing w:val="-3"/>
        </w:rPr>
        <w:t>工作部门，由董事会秘书直接领导。董事会秘书是投资者关系活动的负责人，做到了未经董</w:t>
      </w:r>
      <w:r>
        <w:rPr>
          <w:spacing w:val="-81"/>
        </w:rPr>
        <w:t> </w:t>
      </w:r>
      <w:r>
        <w:rPr>
          <w:spacing w:val="-81"/>
        </w:rPr>
      </w:r>
      <w:r>
        <w:rPr/>
        <w:t>事会秘书同意，任何人不得进行投资者关系活动，不得泄露公司未公开信息。</w:t>
      </w:r>
    </w:p>
    <w:p>
      <w:pPr>
        <w:pStyle w:val="BodyText"/>
        <w:spacing w:line="379" w:lineRule="auto" w:before="135"/>
        <w:ind w:left="560" w:right="104"/>
        <w:jc w:val="left"/>
      </w:pPr>
      <w:r>
        <w:rPr>
          <w:rFonts w:ascii="Times New Roman" w:hAnsi="Times New Roman" w:cs="Times New Roman" w:eastAsia="Times New Roman" w:hint="default"/>
        </w:rPr>
        <w:t>1</w:t>
      </w:r>
      <w:r>
        <w:rPr/>
        <w:t>、董事会对内部控制的自我评价 董事会审计委员会对公司内部控制进行了认真的自查和分析，认为：通过不断的建立、</w:t>
      </w:r>
    </w:p>
    <w:p>
      <w:pPr>
        <w:pStyle w:val="BodyText"/>
        <w:spacing w:line="219" w:lineRule="exact" w:before="0"/>
        <w:ind w:right="102"/>
        <w:jc w:val="left"/>
      </w:pPr>
      <w:r>
        <w:rPr>
          <w:spacing w:val="-3"/>
        </w:rPr>
        <w:t>健全和完善，公司现行的内部控制制度已较为完整、系统、合理、合法，符合我国有关法规</w:t>
      </w:r>
    </w:p>
    <w:p>
      <w:pPr>
        <w:pStyle w:val="BodyText"/>
        <w:spacing w:line="297" w:lineRule="auto" w:before="64"/>
        <w:ind w:right="215"/>
        <w:jc w:val="both"/>
      </w:pPr>
      <w:r>
        <w:rPr>
          <w:spacing w:val="-3"/>
        </w:rPr>
        <w:t>和证券监管部门的要求和适应公司不断发展的业务需要，内部控制制度基本覆盖了公司生产</w:t>
      </w:r>
      <w:r>
        <w:rPr>
          <w:spacing w:val="-79"/>
        </w:rPr>
        <w:t> </w:t>
      </w:r>
      <w:r>
        <w:rPr>
          <w:spacing w:val="-79"/>
        </w:rPr>
      </w:r>
      <w:r>
        <w:rPr>
          <w:spacing w:val="-3"/>
        </w:rPr>
        <w:t>经营管理的各个方面和环节；已建立的各项内部控制制度均得到充分有效的执行和落实，合</w:t>
      </w:r>
      <w:r>
        <w:rPr>
          <w:spacing w:val="-79"/>
        </w:rPr>
        <w:t> </w:t>
      </w:r>
      <w:r>
        <w:rPr>
          <w:spacing w:val="-79"/>
        </w:rPr>
      </w:r>
      <w:r>
        <w:rPr>
          <w:spacing w:val="-3"/>
        </w:rPr>
        <w:t>理保证了公司各项生产经营管理活动的顺利进行，对经营风险起到有效的控制作用，能够保</w:t>
      </w:r>
      <w:r>
        <w:rPr>
          <w:spacing w:val="-79"/>
        </w:rPr>
        <w:t> </w:t>
      </w:r>
      <w:r>
        <w:rPr>
          <w:spacing w:val="-79"/>
        </w:rPr>
      </w:r>
      <w:r>
        <w:rPr>
          <w:spacing w:val="-3"/>
        </w:rPr>
        <w:t>证财务信息的真实性、可靠性、完整性，确保公司财产的安全、完整，切实保护公司和投资</w:t>
      </w:r>
      <w:r>
        <w:rPr>
          <w:spacing w:val="-84"/>
        </w:rPr>
        <w:t> </w:t>
      </w:r>
      <w:r>
        <w:rPr>
          <w:spacing w:val="-84"/>
        </w:rPr>
      </w:r>
      <w:r>
        <w:rPr/>
        <w:t>者的利益。</w:t>
      </w:r>
    </w:p>
    <w:p>
      <w:pPr>
        <w:pStyle w:val="BodyText"/>
        <w:spacing w:line="280" w:lineRule="auto" w:before="135"/>
        <w:ind w:right="215" w:firstLine="420"/>
        <w:jc w:val="both"/>
      </w:pPr>
      <w:r>
        <w:rPr/>
        <w:t>《董事会关于</w:t>
      </w:r>
      <w:r>
        <w:rPr>
          <w:spacing w:val="-5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年度内部控制的自我评价报告》刊登在</w:t>
      </w:r>
      <w:r>
        <w:rPr>
          <w:spacing w:val="-5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日巨潮资讯 网</w:t>
      </w:r>
      <w:r>
        <w:rPr>
          <w:spacing w:val="-65"/>
        </w:rPr>
        <w:t> </w:t>
      </w: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12"/>
        </w:rPr>
        <w:t> </w:t>
      </w:r>
      <w:r>
        <w:rPr/>
        <w:t>上。</w:t>
      </w:r>
    </w:p>
    <w:p>
      <w:pPr>
        <w:pStyle w:val="BodyText"/>
        <w:spacing w:line="240" w:lineRule="auto" w:before="130"/>
        <w:ind w:left="559" w:right="102"/>
        <w:jc w:val="left"/>
      </w:pPr>
      <w:r>
        <w:rPr>
          <w:rFonts w:ascii="Times New Roman" w:hAnsi="Times New Roman" w:cs="Times New Roman" w:eastAsia="Times New Roman" w:hint="default"/>
        </w:rPr>
        <w:t>2</w:t>
      </w:r>
      <w:r>
        <w:rPr/>
        <w:t>、会计师事务所的审核意见</w:t>
      </w:r>
    </w:p>
    <w:p>
      <w:pPr>
        <w:pStyle w:val="BodyText"/>
        <w:spacing w:line="280" w:lineRule="auto" w:before="170"/>
        <w:ind w:right="216" w:firstLine="420"/>
        <w:jc w:val="both"/>
      </w:pPr>
      <w:r>
        <w:rPr/>
        <w:t>立信羊城会计师事务所有限公司对截至</w:t>
      </w:r>
      <w:r>
        <w:rPr>
          <w:spacing w:val="-5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日止与财务报表相关的内部控 </w:t>
      </w:r>
      <w:r>
        <w:rPr>
          <w:spacing w:val="-2"/>
        </w:rPr>
        <w:t>制有效性进行了审核，并出具了</w:t>
      </w:r>
      <w:r>
        <w:rPr>
          <w:rFonts w:ascii="Times New Roman" w:hAnsi="Times New Roman" w:cs="Times New Roman" w:eastAsia="Times New Roman" w:hint="default"/>
          <w:spacing w:val="-2"/>
        </w:rPr>
        <w:t>(2009)</w:t>
      </w:r>
      <w:r>
        <w:rPr>
          <w:spacing w:val="-2"/>
        </w:rPr>
        <w:t>羊专审字第</w:t>
      </w:r>
      <w:r>
        <w:rPr>
          <w:spacing w:val="-46"/>
        </w:rPr>
        <w:t> </w:t>
      </w:r>
      <w:r>
        <w:rPr>
          <w:rFonts w:ascii="Times New Roman" w:hAnsi="Times New Roman" w:cs="Times New Roman" w:eastAsia="Times New Roman" w:hint="default"/>
          <w:spacing w:val="-1"/>
        </w:rPr>
        <w:t>15768</w:t>
      </w:r>
      <w:r>
        <w:rPr>
          <w:rFonts w:ascii="Times New Roman" w:hAnsi="Times New Roman" w:cs="Times New Roman" w:eastAsia="Times New Roman" w:hint="default"/>
          <w:spacing w:val="7"/>
        </w:rPr>
        <w:t> </w:t>
      </w:r>
      <w:r>
        <w:rPr>
          <w:spacing w:val="-13"/>
        </w:rPr>
        <w:t>号《内部控制鉴证报告》，认为“贵</w:t>
      </w:r>
      <w:r>
        <w:rPr>
          <w:spacing w:val="-103"/>
        </w:rPr>
        <w:t> </w:t>
      </w:r>
      <w:r>
        <w:rPr>
          <w:spacing w:val="-103"/>
        </w:rPr>
      </w:r>
      <w:r>
        <w:rPr/>
        <w:t>公司董事会按照关于公司内部控制的自我评价报告设定的标准于</w:t>
      </w:r>
      <w:r>
        <w:rPr>
          <w:spacing w:val="-52"/>
        </w:rPr>
        <w:t> </w:t>
      </w:r>
      <w:r>
        <w:rPr>
          <w:rFonts w:ascii="Times New Roman" w:hAnsi="Times New Roman" w:cs="Times New Roman" w:eastAsia="Times New Roman" w:hint="default"/>
        </w:rPr>
        <w:t>2008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31 </w:t>
      </w:r>
      <w:r>
        <w:rPr/>
        <w:t>日在所有 </w:t>
      </w:r>
      <w:r>
        <w:rPr>
          <w:spacing w:val="-5"/>
        </w:rPr>
        <w:t>重大方面保持了与会计报表相关的有效的内部控制。”</w:t>
      </w:r>
    </w:p>
    <w:p>
      <w:pPr>
        <w:pStyle w:val="BodyText"/>
        <w:spacing w:line="280" w:lineRule="auto" w:before="150"/>
        <w:ind w:right="216" w:firstLine="420"/>
        <w:jc w:val="both"/>
      </w:pPr>
      <w:r>
        <w:rPr>
          <w:spacing w:val="-4"/>
        </w:rPr>
        <w:t>立信羊城会计师事务所出具的《内部控制鉴证报告》刊登在</w:t>
      </w:r>
      <w:r>
        <w:rPr>
          <w:spacing w:val="-5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日巨潮资讯 网</w:t>
      </w:r>
      <w:r>
        <w:rPr>
          <w:spacing w:val="-65"/>
        </w:rPr>
        <w:t> </w:t>
      </w: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12"/>
        </w:rPr>
        <w:t> </w:t>
      </w:r>
      <w:r>
        <w:rPr/>
        <w:t>上。</w:t>
      </w:r>
    </w:p>
    <w:p>
      <w:pPr>
        <w:pStyle w:val="BodyText"/>
        <w:spacing w:line="240" w:lineRule="auto" w:before="130"/>
        <w:ind w:left="559" w:right="102"/>
        <w:jc w:val="left"/>
      </w:pPr>
      <w:r>
        <w:rPr>
          <w:rFonts w:ascii="Times New Roman" w:hAnsi="Times New Roman" w:cs="Times New Roman" w:eastAsia="Times New Roman" w:hint="default"/>
        </w:rPr>
        <w:t>3</w:t>
      </w:r>
      <w:r>
        <w:rPr/>
        <w:t>、保荐机构的核查意见</w:t>
      </w:r>
    </w:p>
    <w:p>
      <w:pPr>
        <w:spacing w:after="0" w:line="240" w:lineRule="auto"/>
        <w:jc w:val="left"/>
        <w:sectPr>
          <w:pgSz w:w="11910" w:h="16840"/>
          <w:pgMar w:header="400" w:footer="982" w:top="1100" w:bottom="1180" w:left="1660" w:right="1580"/>
        </w:sectPr>
      </w:pPr>
    </w:p>
    <w:p>
      <w:pPr>
        <w:spacing w:line="240" w:lineRule="auto" w:before="1"/>
        <w:rPr>
          <w:rFonts w:ascii="宋体" w:hAnsi="宋体" w:cs="宋体" w:eastAsia="宋体" w:hint="default"/>
          <w:sz w:val="19"/>
          <w:szCs w:val="19"/>
        </w:rPr>
      </w:pPr>
    </w:p>
    <w:p>
      <w:pPr>
        <w:pStyle w:val="BodyText"/>
        <w:spacing w:line="297" w:lineRule="auto" w:before="35"/>
        <w:ind w:left="340" w:right="336" w:firstLine="420"/>
        <w:jc w:val="both"/>
      </w:pPr>
      <w:r>
        <w:rPr>
          <w:spacing w:val="-3"/>
        </w:rPr>
        <w:t>光大证券股份有限公司（以下简称“光大证券”）对公司内部控制的完整性、合理性及</w:t>
      </w:r>
      <w:r>
        <w:rPr/>
        <w:t> </w:t>
      </w:r>
      <w:r>
        <w:rPr>
          <w:spacing w:val="-3"/>
        </w:rPr>
        <w:t>有效性进行了核查，认为：公司现有的内部控制制度符合我国有关法规和证券监管部门的要</w:t>
      </w:r>
      <w:r>
        <w:rPr>
          <w:spacing w:val="-79"/>
        </w:rPr>
        <w:t> </w:t>
      </w:r>
      <w:r>
        <w:rPr>
          <w:spacing w:val="-79"/>
        </w:rPr>
      </w:r>
      <w:r>
        <w:rPr>
          <w:spacing w:val="-3"/>
        </w:rPr>
        <w:t>求，在所有重大方面保持了与企业业务及管理相关的有效的内部控制。公司内部控制的自我</w:t>
      </w:r>
      <w:r>
        <w:rPr>
          <w:spacing w:val="-79"/>
        </w:rPr>
        <w:t> </w:t>
      </w:r>
      <w:r>
        <w:rPr>
          <w:spacing w:val="-79"/>
        </w:rPr>
      </w:r>
      <w:r>
        <w:rPr/>
        <w:t>评价报告真实、客观地反映了其内部控制制度的建设及运行情况。</w:t>
      </w:r>
    </w:p>
    <w:p>
      <w:pPr>
        <w:pStyle w:val="BodyText"/>
        <w:spacing w:line="280" w:lineRule="auto" w:before="135"/>
        <w:ind w:left="340" w:right="336" w:firstLine="420"/>
        <w:jc w:val="both"/>
      </w:pPr>
      <w:r>
        <w:rPr>
          <w:spacing w:val="-4"/>
        </w:rPr>
        <w:t>光大证券对公司《内部控制自我评价报告》的独立意见刊登在</w:t>
      </w:r>
      <w:r>
        <w:rPr>
          <w:spacing w:val="-5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日巨潮资 讯网</w:t>
      </w:r>
      <w:r>
        <w:rPr>
          <w:spacing w:val="-65"/>
        </w:rPr>
        <w:t> </w:t>
      </w: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13"/>
        </w:rPr>
        <w:t> </w:t>
      </w:r>
      <w:r>
        <w:rPr/>
        <w:t>上。</w:t>
      </w:r>
    </w:p>
    <w:p>
      <w:pPr>
        <w:spacing w:line="240" w:lineRule="auto" w:before="0"/>
        <w:rPr>
          <w:rFonts w:ascii="宋体" w:hAnsi="宋体" w:cs="宋体" w:eastAsia="宋体" w:hint="default"/>
          <w:sz w:val="22"/>
          <w:szCs w:val="22"/>
        </w:rPr>
      </w:pPr>
    </w:p>
    <w:p>
      <w:pPr>
        <w:pStyle w:val="Heading2"/>
        <w:spacing w:line="240" w:lineRule="auto" w:before="193"/>
        <w:ind w:left="340" w:right="136"/>
        <w:jc w:val="left"/>
        <w:rPr>
          <w:b w:val="0"/>
          <w:bCs w:val="0"/>
        </w:rPr>
      </w:pPr>
      <w:r>
        <w:rPr/>
        <w:t>五、高级管理人员的考评及激励情况</w:t>
      </w:r>
      <w:r>
        <w:rPr>
          <w:b w:val="0"/>
          <w:bCs w:val="0"/>
        </w:rPr>
      </w:r>
    </w:p>
    <w:p>
      <w:pPr>
        <w:pStyle w:val="BodyText"/>
        <w:spacing w:line="297" w:lineRule="auto" w:before="128"/>
        <w:ind w:left="340" w:right="336" w:firstLine="420"/>
        <w:jc w:val="both"/>
      </w:pPr>
      <w:r>
        <w:rPr>
          <w:spacing w:val="-3"/>
        </w:rPr>
        <w:t>公司建立了完善的高级管理人员绩效考评体系和薪酬制度，并制定了《高管层年度业绩</w:t>
      </w:r>
      <w:r>
        <w:rPr/>
        <w:t> </w:t>
      </w:r>
      <w:r>
        <w:rPr>
          <w:spacing w:val="-3"/>
        </w:rPr>
        <w:t>考核与薪酬管理办法》，规定高级管理人员的工作绩效与其收入直接挂钩。每年年初，公司</w:t>
      </w:r>
      <w:r>
        <w:rPr>
          <w:spacing w:val="-84"/>
        </w:rPr>
        <w:t> </w:t>
      </w:r>
      <w:r>
        <w:rPr>
          <w:spacing w:val="-84"/>
        </w:rPr>
      </w:r>
      <w:r>
        <w:rPr>
          <w:spacing w:val="-3"/>
        </w:rPr>
        <w:t>与高管层分别签订年度经营责任书，落实有关考核指标及相关事项，在年度结束后对全年计</w:t>
      </w:r>
      <w:r>
        <w:rPr>
          <w:spacing w:val="-79"/>
        </w:rPr>
        <w:t> </w:t>
      </w:r>
      <w:r>
        <w:rPr>
          <w:spacing w:val="-79"/>
        </w:rPr>
      </w:r>
      <w:r>
        <w:rPr/>
        <w:t>划完成情况进行考核，按照考核结果兑现绩效年薪和奖励。</w:t>
      </w:r>
    </w:p>
    <w:p>
      <w:pPr>
        <w:pStyle w:val="BodyText"/>
        <w:spacing w:line="240" w:lineRule="auto" w:before="135"/>
        <w:ind w:left="760" w:right="136"/>
        <w:jc w:val="left"/>
      </w:pPr>
      <w:r>
        <w:rPr/>
        <w:t>公司目前还没有实施股权激励。</w:t>
      </w:r>
    </w:p>
    <w:p>
      <w:pPr>
        <w:spacing w:line="240" w:lineRule="auto" w:before="0"/>
        <w:rPr>
          <w:rFonts w:ascii="宋体" w:hAnsi="宋体" w:cs="宋体" w:eastAsia="宋体" w:hint="default"/>
          <w:sz w:val="20"/>
          <w:szCs w:val="20"/>
        </w:rPr>
      </w:pPr>
    </w:p>
    <w:p>
      <w:pPr>
        <w:pStyle w:val="Heading2"/>
        <w:spacing w:line="240" w:lineRule="auto" w:before="154"/>
        <w:ind w:left="340" w:right="136"/>
        <w:jc w:val="left"/>
        <w:rPr>
          <w:b w:val="0"/>
          <w:bCs w:val="0"/>
        </w:rPr>
      </w:pPr>
      <w:r>
        <w:rPr/>
        <w:t>六、公司内部审计制度的建立和执行情况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0"/>
          <w:szCs w:val="10"/>
        </w:rPr>
      </w:pPr>
    </w:p>
    <w:tbl>
      <w:tblPr>
        <w:tblW w:w="0" w:type="auto"/>
        <w:jc w:val="left"/>
        <w:tblInd w:w="110" w:type="dxa"/>
        <w:tblLayout w:type="fixed"/>
        <w:tblCellMar>
          <w:top w:w="0" w:type="dxa"/>
          <w:left w:w="0" w:type="dxa"/>
          <w:bottom w:w="0" w:type="dxa"/>
          <w:right w:w="0" w:type="dxa"/>
        </w:tblCellMar>
        <w:tblLook w:val="01E0"/>
      </w:tblPr>
      <w:tblGrid>
        <w:gridCol w:w="5400"/>
        <w:gridCol w:w="989"/>
        <w:gridCol w:w="2365"/>
      </w:tblGrid>
      <w:tr>
        <w:trPr>
          <w:trHeight w:val="909" w:hRule="exact"/>
        </w:trPr>
        <w:tc>
          <w:tcPr>
            <w:tcW w:w="540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98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2" w:lineRule="exact" w:before="169"/>
              <w:ind w:left="171" w:right="172" w:firstLine="76"/>
              <w:jc w:val="left"/>
              <w:rPr>
                <w:rFonts w:ascii="宋体" w:hAnsi="宋体" w:cs="宋体" w:eastAsia="宋体" w:hint="default"/>
                <w:sz w:val="21"/>
                <w:szCs w:val="21"/>
              </w:rPr>
            </w:pPr>
            <w:r>
              <w:rPr>
                <w:rFonts w:ascii="宋体" w:hAnsi="宋体" w:cs="宋体" w:eastAsia="宋体" w:hint="default"/>
                <w:b/>
                <w:bCs/>
                <w:sz w:val="21"/>
                <w:szCs w:val="21"/>
              </w:rPr>
              <w:t>是</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否</w:t>
            </w:r>
            <w:r>
              <w:rPr>
                <w:rFonts w:ascii="宋体" w:hAnsi="宋体" w:cs="宋体" w:eastAsia="宋体" w:hint="default"/>
                <w:b/>
                <w:bCs/>
                <w:w w:val="99"/>
                <w:sz w:val="21"/>
                <w:szCs w:val="21"/>
              </w:rPr>
              <w:t> </w:t>
            </w:r>
            <w:r>
              <w:rPr>
                <w:rFonts w:ascii="宋体" w:hAnsi="宋体" w:cs="宋体" w:eastAsia="宋体" w:hint="default"/>
                <w:b/>
                <w:bCs/>
                <w:sz w:val="21"/>
                <w:szCs w:val="21"/>
              </w:rPr>
              <w:t>不适用</w:t>
            </w:r>
            <w:r>
              <w:rPr>
                <w:rFonts w:ascii="宋体" w:hAnsi="宋体" w:cs="宋体" w:eastAsia="宋体" w:hint="default"/>
                <w:sz w:val="21"/>
                <w:szCs w:val="21"/>
              </w:rPr>
            </w:r>
          </w:p>
        </w:tc>
        <w:tc>
          <w:tcPr>
            <w:tcW w:w="236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81" w:lineRule="exact" w:before="5"/>
              <w:ind w:right="0"/>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说明</w:t>
            </w:r>
            <w:r>
              <w:rPr>
                <w:rFonts w:ascii="宋体" w:hAnsi="宋体" w:cs="宋体" w:eastAsia="宋体" w:hint="default"/>
                <w:sz w:val="21"/>
                <w:szCs w:val="21"/>
              </w:rPr>
            </w:r>
          </w:p>
          <w:p>
            <w:pPr>
              <w:pStyle w:val="TableParagraph"/>
              <w:spacing w:line="272" w:lineRule="exact" w:before="18"/>
              <w:ind w:left="123" w:right="123"/>
              <w:jc w:val="center"/>
              <w:rPr>
                <w:rFonts w:ascii="宋体" w:hAnsi="宋体" w:cs="宋体" w:eastAsia="宋体" w:hint="default"/>
                <w:sz w:val="21"/>
                <w:szCs w:val="21"/>
              </w:rPr>
            </w:pPr>
            <w:r>
              <w:rPr>
                <w:rFonts w:ascii="宋体" w:hAnsi="宋体" w:cs="宋体" w:eastAsia="宋体" w:hint="default"/>
                <w:b/>
                <w:bCs/>
                <w:sz w:val="21"/>
                <w:szCs w:val="21"/>
              </w:rPr>
              <w:t>（如选择否或不适用，</w:t>
            </w:r>
            <w:r>
              <w:rPr>
                <w:rFonts w:ascii="宋体" w:hAnsi="宋体" w:cs="宋体" w:eastAsia="宋体" w:hint="default"/>
                <w:b/>
                <w:bCs/>
                <w:w w:val="99"/>
                <w:sz w:val="21"/>
                <w:szCs w:val="21"/>
              </w:rPr>
              <w:t> </w:t>
            </w:r>
            <w:r>
              <w:rPr>
                <w:rFonts w:ascii="宋体" w:hAnsi="宋体" w:cs="宋体" w:eastAsia="宋体" w:hint="default"/>
                <w:b/>
                <w:bCs/>
                <w:sz w:val="21"/>
                <w:szCs w:val="21"/>
              </w:rPr>
              <w:t>请说明具体原因）</w:t>
            </w:r>
            <w:r>
              <w:rPr>
                <w:rFonts w:ascii="宋体" w:hAnsi="宋体" w:cs="宋体" w:eastAsia="宋体" w:hint="default"/>
                <w:sz w:val="21"/>
                <w:szCs w:val="21"/>
              </w:rPr>
            </w:r>
          </w:p>
        </w:tc>
      </w:tr>
      <w:tr>
        <w:trPr>
          <w:trHeight w:val="305" w:hRule="exact"/>
        </w:trPr>
        <w:tc>
          <w:tcPr>
            <w:tcW w:w="54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一、内部审计制度的建立情况以及内审工作指引落实情况</w:t>
            </w:r>
          </w:p>
        </w:tc>
        <w:tc>
          <w:tcPr>
            <w:tcW w:w="98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236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303"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1、内部审计制度建立</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55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公司是否在股票上市后六个月内建立内部审计制度，内部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审计制度是否经公司董事会审议通过</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23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2、机构设置</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827"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公司董事会是否设立审计委员会，公司在股票上市后六个</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3"/>
                <w:sz w:val="21"/>
                <w:szCs w:val="21"/>
              </w:rPr>
              <w:t>月内是否设立独立于财务部门的内部审计部门，内部审计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部门是否对审计委员会负责</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23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3、人员安排</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827"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）审计委员会成员是否全部由董事组成，独立董事占</w:t>
            </w:r>
          </w:p>
          <w:p>
            <w:pPr>
              <w:pStyle w:val="TableParagraph"/>
              <w:spacing w:line="272" w:lineRule="exact" w:before="18"/>
              <w:ind w:left="103" w:right="101"/>
              <w:jc w:val="left"/>
              <w:rPr>
                <w:rFonts w:ascii="宋体" w:hAnsi="宋体" w:cs="宋体" w:eastAsia="宋体" w:hint="default"/>
                <w:sz w:val="21"/>
                <w:szCs w:val="21"/>
              </w:rPr>
            </w:pPr>
            <w:r>
              <w:rPr>
                <w:rFonts w:ascii="宋体" w:hAnsi="宋体" w:cs="宋体" w:eastAsia="宋体" w:hint="default"/>
                <w:spacing w:val="-3"/>
                <w:sz w:val="21"/>
                <w:szCs w:val="21"/>
              </w:rPr>
              <w:t>半数以上并担任召集人，且至少有一名独立董事为会计专</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业人士</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2365" w:type="dxa"/>
            <w:tcBorders>
              <w:top w:val="single" w:sz="4" w:space="0" w:color="000000"/>
              <w:left w:val="single" w:sz="4" w:space="0" w:color="000000"/>
              <w:bottom w:val="single" w:sz="4" w:space="0" w:color="000000"/>
              <w:right w:val="single" w:sz="4" w:space="0" w:color="000000"/>
            </w:tcBorders>
          </w:tcPr>
          <w:p>
            <w:pPr/>
          </w:p>
        </w:tc>
      </w:tr>
      <w:tr>
        <w:trPr>
          <w:trHeight w:val="565"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）内部审计部门是否配置三名以上（含三名）专职人</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员从事内部审计工作</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2365" w:type="dxa"/>
            <w:tcBorders>
              <w:top w:val="single" w:sz="4" w:space="0" w:color="000000"/>
              <w:left w:val="single" w:sz="4" w:space="0" w:color="000000"/>
              <w:bottom w:val="single" w:sz="4" w:space="0" w:color="000000"/>
              <w:right w:val="single" w:sz="4" w:space="0" w:color="000000"/>
            </w:tcBorders>
          </w:tcPr>
          <w:p>
            <w:pPr/>
          </w:p>
        </w:tc>
      </w:tr>
      <w:tr>
        <w:trPr>
          <w:trHeight w:val="572" w:hRule="exact"/>
        </w:trPr>
        <w:tc>
          <w:tcPr>
            <w:tcW w:w="5400" w:type="dxa"/>
            <w:tcBorders>
              <w:top w:val="single" w:sz="4" w:space="0" w:color="000000"/>
              <w:left w:val="single" w:sz="4" w:space="0" w:color="000000"/>
              <w:bottom w:val="single" w:sz="18" w:space="0" w:color="C0C0C0"/>
              <w:right w:val="single" w:sz="4" w:space="0" w:color="000000"/>
            </w:tcBorders>
          </w:tcPr>
          <w:p>
            <w:pPr>
              <w:pStyle w:val="TableParagraph"/>
              <w:spacing w:line="246" w:lineRule="exact"/>
              <w:ind w:left="103" w:right="-2"/>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）内部审计部门负责人是否专职，由审计委员会提名，</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董事会任免</w:t>
            </w:r>
          </w:p>
        </w:tc>
        <w:tc>
          <w:tcPr>
            <w:tcW w:w="989" w:type="dxa"/>
            <w:tcBorders>
              <w:top w:val="single" w:sz="4" w:space="0" w:color="000000"/>
              <w:left w:val="single" w:sz="4" w:space="0" w:color="000000"/>
              <w:bottom w:val="single" w:sz="18" w:space="0" w:color="C0C0C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2365" w:type="dxa"/>
            <w:tcBorders>
              <w:top w:val="single" w:sz="4" w:space="0" w:color="000000"/>
              <w:left w:val="single" w:sz="4" w:space="0" w:color="000000"/>
              <w:bottom w:val="single" w:sz="18" w:space="0" w:color="C0C0C0"/>
              <w:right w:val="single" w:sz="4" w:space="0" w:color="000000"/>
            </w:tcBorders>
          </w:tcPr>
          <w:p>
            <w:pPr/>
          </w:p>
        </w:tc>
      </w:tr>
      <w:tr>
        <w:trPr>
          <w:trHeight w:val="333" w:hRule="exact"/>
        </w:trPr>
        <w:tc>
          <w:tcPr>
            <w:tcW w:w="54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二、年度内部控制自我评价报告披露相关情况</w:t>
            </w:r>
          </w:p>
        </w:tc>
        <w:tc>
          <w:tcPr>
            <w:tcW w:w="98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7"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236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7"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828"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1、审计委员会是否根据内部审计部门出具的评价报告及</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3"/>
                <w:sz w:val="21"/>
                <w:szCs w:val="21"/>
              </w:rPr>
              <w:t>相关资料，对与财务报告和信息披露事务相关的内部控制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制度的建立和实施情况出具年度内部控制自我评价报告</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23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400" w:footer="982" w:top="1100" w:bottom="1180" w:left="1460" w:right="1460"/>
        </w:sectPr>
      </w:pPr>
    </w:p>
    <w:p>
      <w:pPr>
        <w:spacing w:line="240" w:lineRule="auto" w:before="10"/>
        <w:rPr>
          <w:rFonts w:ascii="Times New Roman" w:hAnsi="Times New Roman" w:cs="Times New Roman" w:eastAsia="Times New Roman"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5400"/>
        <w:gridCol w:w="989"/>
        <w:gridCol w:w="2365"/>
      </w:tblGrid>
      <w:tr>
        <w:trPr>
          <w:trHeight w:val="1916"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3"/>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7"/>
                <w:sz w:val="21"/>
                <w:szCs w:val="21"/>
              </w:rPr>
              <w:t>、</w:t>
            </w:r>
            <w:r>
              <w:rPr>
                <w:rFonts w:ascii="宋体" w:hAnsi="宋体" w:cs="宋体" w:eastAsia="宋体" w:hint="default"/>
                <w:sz w:val="21"/>
                <w:szCs w:val="21"/>
              </w:rPr>
              <w:t>本年度</w:t>
            </w:r>
            <w:r>
              <w:rPr>
                <w:rFonts w:ascii="宋体" w:hAnsi="宋体" w:cs="宋体" w:eastAsia="宋体" w:hint="default"/>
                <w:spacing w:val="-2"/>
                <w:sz w:val="21"/>
                <w:szCs w:val="21"/>
              </w:rPr>
              <w:t>内</w:t>
            </w:r>
            <w:r>
              <w:rPr>
                <w:rFonts w:ascii="宋体" w:hAnsi="宋体" w:cs="宋体" w:eastAsia="宋体" w:hint="default"/>
                <w:sz w:val="21"/>
                <w:szCs w:val="21"/>
              </w:rPr>
              <w:t>部控制自我评价报告是否包括以下内容</w:t>
            </w:r>
            <w:r>
              <w:rPr>
                <w:rFonts w:ascii="宋体" w:hAnsi="宋体" w:cs="宋体" w:eastAsia="宋体" w:hint="default"/>
                <w:spacing w:val="-113"/>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p>
            <w:pPr>
              <w:pStyle w:val="TableParagraph"/>
              <w:spacing w:line="272" w:lineRule="exact" w:before="18"/>
              <w:ind w:left="102" w:right="-3"/>
              <w:jc w:val="left"/>
              <w:rPr>
                <w:rFonts w:ascii="宋体" w:hAnsi="宋体" w:cs="宋体" w:eastAsia="宋体" w:hint="default"/>
                <w:sz w:val="21"/>
                <w:szCs w:val="21"/>
              </w:rPr>
            </w:pPr>
            <w:r>
              <w:rPr>
                <w:rFonts w:ascii="宋体" w:hAnsi="宋体" w:cs="宋体" w:eastAsia="宋体" w:hint="default"/>
                <w:sz w:val="21"/>
                <w:szCs w:val="21"/>
              </w:rPr>
              <w:t>内部控制制度是否建立健全和有效实施；（</w:t>
            </w:r>
            <w:r>
              <w:rPr>
                <w:rFonts w:ascii="Times New Roman" w:hAnsi="Times New Roman" w:cs="Times New Roman" w:eastAsia="Times New Roman" w:hint="default"/>
                <w:sz w:val="21"/>
                <w:szCs w:val="21"/>
              </w:rPr>
              <w:t>2</w:t>
            </w:r>
            <w:r>
              <w:rPr>
                <w:rFonts w:ascii="宋体" w:hAnsi="宋体" w:cs="宋体" w:eastAsia="宋体" w:hint="default"/>
                <w:sz w:val="21"/>
                <w:szCs w:val="21"/>
              </w:rPr>
              <w:t>）内部控制 存在的缺陷和异常事项及其处理情况（如适用）；（</w:t>
            </w:r>
            <w:r>
              <w:rPr>
                <w:rFonts w:ascii="Times New Roman" w:hAnsi="Times New Roman" w:cs="Times New Roman" w:eastAsia="Times New Roman" w:hint="default"/>
                <w:sz w:val="21"/>
                <w:szCs w:val="21"/>
              </w:rPr>
              <w:t>3</w:t>
            </w:r>
            <w:r>
              <w:rPr>
                <w:rFonts w:ascii="宋体" w:hAnsi="宋体" w:cs="宋体" w:eastAsia="宋体" w:hint="default"/>
                <w:sz w:val="21"/>
                <w:szCs w:val="21"/>
              </w:rPr>
              <w:t>） </w:t>
            </w:r>
            <w:r>
              <w:rPr>
                <w:rFonts w:ascii="宋体" w:hAnsi="宋体" w:cs="宋体" w:eastAsia="宋体" w:hint="default"/>
                <w:spacing w:val="-3"/>
                <w:sz w:val="21"/>
                <w:szCs w:val="21"/>
              </w:rPr>
              <w:t>改进和完善内部控制制度建立及其实施的有关措施；（</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w:t>
            </w:r>
            <w:r>
              <w:rPr>
                <w:rFonts w:ascii="宋体" w:hAnsi="宋体" w:cs="宋体" w:eastAsia="宋体" w:hint="default"/>
                <w:spacing w:val="-93"/>
                <w:sz w:val="21"/>
                <w:szCs w:val="21"/>
              </w:rPr>
              <w:t> </w:t>
            </w:r>
            <w:r>
              <w:rPr>
                <w:rFonts w:ascii="宋体" w:hAnsi="宋体" w:cs="宋体" w:eastAsia="宋体" w:hint="default"/>
                <w:spacing w:val="-3"/>
                <w:sz w:val="21"/>
                <w:szCs w:val="21"/>
              </w:rPr>
              <w:t>上一年度内部控制存在的缺陷和异常事项的改进情况（如</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适用）；（</w:t>
            </w:r>
            <w:r>
              <w:rPr>
                <w:rFonts w:ascii="Times New Roman" w:hAnsi="Times New Roman" w:cs="Times New Roman" w:eastAsia="Times New Roman" w:hint="default"/>
                <w:sz w:val="21"/>
                <w:szCs w:val="21"/>
              </w:rPr>
              <w:t>5</w:t>
            </w:r>
            <w:r>
              <w:rPr>
                <w:rFonts w:ascii="宋体" w:hAnsi="宋体" w:cs="宋体" w:eastAsia="宋体" w:hint="default"/>
                <w:sz w:val="21"/>
                <w:szCs w:val="21"/>
              </w:rPr>
              <w:t>）本年度内部控制审查与评价工作完成情况 的说明。</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2365" w:type="dxa"/>
            <w:tcBorders>
              <w:top w:val="single" w:sz="4" w:space="0" w:color="000000"/>
              <w:left w:val="single" w:sz="4" w:space="0" w:color="000000"/>
              <w:bottom w:val="single" w:sz="4" w:space="0" w:color="000000"/>
              <w:right w:val="single" w:sz="4" w:space="0" w:color="000000"/>
            </w:tcBorders>
          </w:tcPr>
          <w:p>
            <w:pPr/>
          </w:p>
        </w:tc>
      </w:tr>
      <w:tr>
        <w:trPr>
          <w:trHeight w:val="616"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2"/>
              <w:ind w:left="103" w:right="140"/>
              <w:jc w:val="left"/>
              <w:rPr>
                <w:rFonts w:ascii="宋体" w:hAnsi="宋体" w:cs="宋体" w:eastAsia="宋体" w:hint="default"/>
                <w:sz w:val="21"/>
                <w:szCs w:val="21"/>
              </w:rPr>
            </w:pPr>
            <w:r>
              <w:rPr>
                <w:rFonts w:ascii="宋体" w:hAnsi="宋体" w:cs="宋体" w:eastAsia="宋体" w:hint="default"/>
                <w:sz w:val="21"/>
                <w:szCs w:val="21"/>
              </w:rPr>
              <w:t>3、内部控制自我评价报告结论是否为内部控制有效。如 为内部控制无效，请说明内部控制存在的重大缺陷</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2365"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4、本年度是否聘请会计师事务所对内部控制有效性出具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鉴证报告</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2365"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5、会计师事务所对公司内部控制有效性是否出具非无保</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3"/>
                <w:sz w:val="21"/>
                <w:szCs w:val="21"/>
              </w:rPr>
              <w:t>留结论鉴证报告。如是，公司董事会、监事会是否针对鉴</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证结论涉及事项做出专项说明</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7" w:right="0"/>
              <w:jc w:val="left"/>
              <w:rPr>
                <w:rFonts w:ascii="宋体" w:hAnsi="宋体" w:cs="宋体" w:eastAsia="宋体" w:hint="default"/>
                <w:sz w:val="21"/>
                <w:szCs w:val="21"/>
              </w:rPr>
            </w:pPr>
            <w:r>
              <w:rPr>
                <w:rFonts w:ascii="宋体" w:hAnsi="宋体" w:cs="宋体" w:eastAsia="宋体" w:hint="default"/>
                <w:sz w:val="21"/>
                <w:szCs w:val="21"/>
              </w:rPr>
              <w:t>会计师事务所对公司内</w:t>
            </w:r>
          </w:p>
          <w:p>
            <w:pPr>
              <w:pStyle w:val="TableParagraph"/>
              <w:spacing w:line="272" w:lineRule="exact" w:before="26"/>
              <w:ind w:left="127" w:right="126"/>
              <w:jc w:val="left"/>
              <w:rPr>
                <w:rFonts w:ascii="宋体" w:hAnsi="宋体" w:cs="宋体" w:eastAsia="宋体" w:hint="default"/>
                <w:sz w:val="21"/>
                <w:szCs w:val="21"/>
              </w:rPr>
            </w:pPr>
            <w:r>
              <w:rPr>
                <w:rFonts w:ascii="宋体" w:hAnsi="宋体" w:cs="宋体" w:eastAsia="宋体" w:hint="default"/>
                <w:sz w:val="21"/>
                <w:szCs w:val="21"/>
              </w:rPr>
              <w:t>部控制有效性出具标准 无保留结论鉴证报告。</w:t>
            </w:r>
          </w:p>
        </w:tc>
      </w:tr>
      <w:tr>
        <w:trPr>
          <w:trHeight w:val="35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21"/>
                <w:szCs w:val="21"/>
              </w:rPr>
            </w:pPr>
            <w:r>
              <w:rPr>
                <w:rFonts w:ascii="宋体" w:hAnsi="宋体" w:cs="宋体" w:eastAsia="宋体" w:hint="default"/>
                <w:sz w:val="21"/>
                <w:szCs w:val="21"/>
              </w:rPr>
              <w:t>6、独立董事、监事会是否出具明确同意意见</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2365" w:type="dxa"/>
            <w:tcBorders>
              <w:top w:val="single" w:sz="4" w:space="0" w:color="000000"/>
              <w:left w:val="single" w:sz="4" w:space="0" w:color="000000"/>
              <w:bottom w:val="single" w:sz="4" w:space="0" w:color="000000"/>
              <w:right w:val="single" w:sz="4" w:space="0" w:color="000000"/>
            </w:tcBorders>
          </w:tcPr>
          <w:p>
            <w:pPr/>
          </w:p>
        </w:tc>
      </w:tr>
      <w:tr>
        <w:trPr>
          <w:trHeight w:val="376"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7、保荐机构和保荐代表人是否出具明确同意的核查意见</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2365" w:type="dxa"/>
            <w:tcBorders>
              <w:top w:val="single" w:sz="4" w:space="0" w:color="000000"/>
              <w:left w:val="single" w:sz="4" w:space="0" w:color="000000"/>
              <w:bottom w:val="single" w:sz="4" w:space="0" w:color="000000"/>
              <w:right w:val="single" w:sz="4" w:space="0" w:color="000000"/>
            </w:tcBorders>
          </w:tcPr>
          <w:p>
            <w:pPr/>
          </w:p>
        </w:tc>
      </w:tr>
      <w:tr>
        <w:trPr>
          <w:trHeight w:val="580" w:hRule="exact"/>
        </w:trPr>
        <w:tc>
          <w:tcPr>
            <w:tcW w:w="54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2" w:lineRule="exact" w:before="3"/>
              <w:ind w:left="103" w:right="101"/>
              <w:jc w:val="left"/>
              <w:rPr>
                <w:rFonts w:ascii="宋体" w:hAnsi="宋体" w:cs="宋体" w:eastAsia="宋体" w:hint="default"/>
                <w:sz w:val="21"/>
                <w:szCs w:val="21"/>
              </w:rPr>
            </w:pPr>
            <w:r>
              <w:rPr>
                <w:rFonts w:ascii="宋体" w:hAnsi="宋体" w:cs="宋体" w:eastAsia="宋体" w:hint="default"/>
                <w:spacing w:val="-3"/>
                <w:sz w:val="21"/>
                <w:szCs w:val="21"/>
              </w:rPr>
              <w:t>三、审计委员会和内部审计部门本年度的主要工作内容与</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工作成效</w:t>
            </w:r>
          </w:p>
        </w:tc>
        <w:tc>
          <w:tcPr>
            <w:tcW w:w="3354"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2"/>
              <w:ind w:right="1"/>
              <w:jc w:val="center"/>
              <w:rPr>
                <w:rFonts w:ascii="宋体" w:hAnsi="宋体" w:cs="宋体" w:eastAsia="宋体" w:hint="default"/>
                <w:sz w:val="21"/>
                <w:szCs w:val="21"/>
              </w:rPr>
            </w:pPr>
            <w:r>
              <w:rPr>
                <w:rFonts w:ascii="宋体" w:hAnsi="宋体" w:cs="宋体" w:eastAsia="宋体" w:hint="default"/>
                <w:sz w:val="21"/>
                <w:szCs w:val="21"/>
              </w:rPr>
              <w:t>相关说明</w:t>
            </w:r>
          </w:p>
        </w:tc>
      </w:tr>
      <w:tr>
        <w:trPr>
          <w:trHeight w:val="29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1、审计委员会的主要工作内容与工作成效</w:t>
            </w:r>
          </w:p>
        </w:tc>
        <w:tc>
          <w:tcPr>
            <w:tcW w:w="3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2336"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72" w:lineRule="exact"/>
              <w:ind w:left="103" w:right="14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）说明审计委员会每季度召开会议审议内部审计部门 提交的工作计划和报告的具体情况</w:t>
            </w:r>
          </w:p>
        </w:tc>
        <w:tc>
          <w:tcPr>
            <w:tcW w:w="3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before="65"/>
              <w:ind w:left="103" w:right="89"/>
              <w:jc w:val="both"/>
              <w:rPr>
                <w:rFonts w:ascii="宋体" w:hAnsi="宋体" w:cs="宋体" w:eastAsia="宋体" w:hint="default"/>
                <w:sz w:val="21"/>
                <w:szCs w:val="21"/>
              </w:rPr>
            </w:pPr>
            <w:r>
              <w:rPr>
                <w:rFonts w:ascii="宋体" w:hAnsi="宋体" w:cs="宋体" w:eastAsia="宋体" w:hint="default"/>
                <w:sz w:val="21"/>
                <w:szCs w:val="21"/>
              </w:rPr>
              <w:t>审计委员会共召开</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pacing w:val="-3"/>
                <w:sz w:val="21"/>
                <w:szCs w:val="21"/>
              </w:rPr>
              <w:t>次会议，审议</w:t>
            </w:r>
            <w:r>
              <w:rPr>
                <w:rFonts w:ascii="宋体" w:hAnsi="宋体" w:cs="宋体" w:eastAsia="宋体" w:hint="default"/>
                <w:sz w:val="21"/>
                <w:szCs w:val="21"/>
              </w:rPr>
              <w:t> 审计部提交的季度经营审计报告、 季度募集资金使用情况审计报告， 年度内部控制自我评价报告、内部 审计工作计划、关于控股股东及关 联方占用资金情况的自查报告、外 部审计机构的工作总结报告等，每 季度会议不少于一次。</w:t>
            </w:r>
          </w:p>
        </w:tc>
      </w:tr>
      <w:tr>
        <w:trPr>
          <w:trHeight w:val="2461"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72" w:lineRule="exact"/>
              <w:ind w:left="103" w:right="14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）说明审计委员会每季度向董事会报告内部审计工作 的具体情况</w:t>
            </w:r>
          </w:p>
        </w:tc>
        <w:tc>
          <w:tcPr>
            <w:tcW w:w="3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审计委员会在每季度召开委员会</w:t>
            </w:r>
          </w:p>
          <w:p>
            <w:pPr>
              <w:pStyle w:val="TableParagraph"/>
              <w:spacing w:line="272" w:lineRule="exact" w:before="26"/>
              <w:ind w:left="103" w:right="89"/>
              <w:jc w:val="both"/>
              <w:rPr>
                <w:rFonts w:ascii="宋体" w:hAnsi="宋体" w:cs="宋体" w:eastAsia="宋体" w:hint="default"/>
                <w:sz w:val="21"/>
                <w:szCs w:val="21"/>
              </w:rPr>
            </w:pPr>
            <w:r>
              <w:rPr>
                <w:rFonts w:ascii="宋体" w:hAnsi="宋体" w:cs="宋体" w:eastAsia="宋体" w:hint="default"/>
                <w:sz w:val="21"/>
                <w:szCs w:val="21"/>
              </w:rPr>
              <w:t>会议后，将形成的决议向董事会汇 报，部分决议提交董事会审议，再 根据需要提交股东会审议。汇报涉 及的内容包括财务报告审计情况、 募集资金使用情况审计、子公司经 营情况审计、年度内部审计工作计 划和总结、外部审计机构工作总结 及续聘提议等。</w:t>
            </w:r>
          </w:p>
        </w:tc>
      </w:tr>
      <w:tr>
        <w:trPr>
          <w:trHeight w:val="1187"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5"/>
              <w:ind w:left="103" w:right="101"/>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）审计委员会认为公司内部控制存在重大缺陷或重大 </w:t>
            </w:r>
            <w:r>
              <w:rPr>
                <w:rFonts w:ascii="宋体" w:hAnsi="宋体" w:cs="宋体" w:eastAsia="宋体" w:hint="default"/>
                <w:spacing w:val="-3"/>
                <w:sz w:val="21"/>
                <w:szCs w:val="21"/>
              </w:rPr>
              <w:t>风险的，说明内部控制存在的重大缺陷或重大风险，并说</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3"/>
                <w:sz w:val="21"/>
                <w:szCs w:val="21"/>
              </w:rPr>
              <w:t>明是否及时向董事会报告，并提请董事会及时向证券交易</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所报告并予以披露（如适用）</w:t>
            </w:r>
          </w:p>
        </w:tc>
        <w:tc>
          <w:tcPr>
            <w:tcW w:w="3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1099"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32"/>
                <w:szCs w:val="3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）说明审计委员会所做的其他工作</w:t>
            </w:r>
          </w:p>
        </w:tc>
        <w:tc>
          <w:tcPr>
            <w:tcW w:w="3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与外部审计机构协商确定年度财</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pacing w:val="-1"/>
                <w:sz w:val="21"/>
                <w:szCs w:val="21"/>
              </w:rPr>
              <w:t>务报告审计时间安排；审阅公司年</w:t>
            </w:r>
            <w:r>
              <w:rPr>
                <w:rFonts w:ascii="宋体" w:hAnsi="宋体" w:cs="宋体" w:eastAsia="宋体" w:hint="default"/>
                <w:sz w:val="21"/>
                <w:szCs w:val="21"/>
              </w:rPr>
              <w:t> 度会计报表、业绩快报等财务资 料。</w:t>
            </w:r>
          </w:p>
        </w:tc>
      </w:tr>
      <w:tr>
        <w:trPr>
          <w:trHeight w:val="295"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2、内部审计部门的主要工作内容与工作成效</w:t>
            </w:r>
          </w:p>
        </w:tc>
        <w:tc>
          <w:tcPr>
            <w:tcW w:w="3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after="0" w:line="246" w:lineRule="exact"/>
        <w:jc w:val="center"/>
        <w:rPr>
          <w:rFonts w:ascii="宋体" w:hAnsi="宋体" w:cs="宋体" w:eastAsia="宋体" w:hint="default"/>
          <w:sz w:val="21"/>
          <w:szCs w:val="21"/>
        </w:rPr>
        <w:sectPr>
          <w:pgSz w:w="11910" w:h="16840"/>
          <w:pgMar w:header="400" w:footer="982" w:top="1100" w:bottom="1180" w:left="1460" w:right="1460"/>
        </w:sectPr>
      </w:pPr>
    </w:p>
    <w:p>
      <w:pPr>
        <w:spacing w:line="240" w:lineRule="auto" w:before="10"/>
        <w:rPr>
          <w:rFonts w:ascii="Times New Roman" w:hAnsi="Times New Roman" w:cs="Times New Roman" w:eastAsia="Times New Roman"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5400"/>
        <w:gridCol w:w="3354"/>
      </w:tblGrid>
      <w:tr>
        <w:trPr>
          <w:trHeight w:val="435" w:hRule="exact"/>
        </w:trPr>
        <w:tc>
          <w:tcPr>
            <w:tcW w:w="5400" w:type="dxa"/>
            <w:tcBorders>
              <w:top w:val="single" w:sz="4" w:space="0" w:color="000000"/>
              <w:left w:val="single" w:sz="4" w:space="0" w:color="000000"/>
              <w:bottom w:val="nil" w:sz="6" w:space="0" w:color="auto"/>
              <w:right w:val="single" w:sz="4" w:space="0" w:color="000000"/>
            </w:tcBorders>
          </w:tcPr>
          <w:p>
            <w:pPr/>
          </w:p>
        </w:tc>
        <w:tc>
          <w:tcPr>
            <w:tcW w:w="33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4"/>
              <w:ind w:left="103" w:right="0"/>
              <w:jc w:val="left"/>
              <w:rPr>
                <w:rFonts w:ascii="宋体" w:hAnsi="宋体" w:cs="宋体" w:eastAsia="宋体" w:hint="default"/>
                <w:sz w:val="21"/>
                <w:szCs w:val="21"/>
              </w:rPr>
            </w:pPr>
            <w:r>
              <w:rPr>
                <w:rFonts w:ascii="宋体" w:hAnsi="宋体" w:cs="宋体" w:eastAsia="宋体" w:hint="default"/>
                <w:sz w:val="21"/>
                <w:szCs w:val="21"/>
              </w:rPr>
              <w:t>审计部按照内部审计工作计划每</w:t>
            </w:r>
          </w:p>
        </w:tc>
      </w:tr>
      <w:tr>
        <w:trPr>
          <w:trHeight w:val="272" w:hRule="exact"/>
        </w:trPr>
        <w:tc>
          <w:tcPr>
            <w:tcW w:w="5400" w:type="dxa"/>
            <w:tcBorders>
              <w:top w:val="nil" w:sz="6" w:space="0" w:color="auto"/>
              <w:left w:val="single" w:sz="4" w:space="0" w:color="000000"/>
              <w:bottom w:val="nil" w:sz="6" w:space="0" w:color="auto"/>
              <w:right w:val="single" w:sz="4" w:space="0" w:color="000000"/>
            </w:tcBorders>
          </w:tcPr>
          <w:p>
            <w:pPr/>
          </w:p>
        </w:tc>
        <w:tc>
          <w:tcPr>
            <w:tcW w:w="335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季度向审计委员会提交季度经营</w:t>
            </w:r>
          </w:p>
        </w:tc>
      </w:tr>
      <w:tr>
        <w:trPr>
          <w:trHeight w:val="272" w:hRule="exact"/>
        </w:trPr>
        <w:tc>
          <w:tcPr>
            <w:tcW w:w="5400" w:type="dxa"/>
            <w:tcBorders>
              <w:top w:val="nil" w:sz="6" w:space="0" w:color="auto"/>
              <w:left w:val="single" w:sz="4" w:space="0" w:color="000000"/>
              <w:bottom w:val="nil" w:sz="6" w:space="0" w:color="auto"/>
              <w:right w:val="single" w:sz="4" w:space="0" w:color="000000"/>
            </w:tcBorders>
          </w:tcPr>
          <w:p>
            <w:pPr/>
          </w:p>
        </w:tc>
        <w:tc>
          <w:tcPr>
            <w:tcW w:w="335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审计报告、季度募集资金使用情况</w:t>
            </w:r>
          </w:p>
        </w:tc>
      </w:tr>
      <w:tr>
        <w:trPr>
          <w:trHeight w:val="1089" w:hRule="exact"/>
        </w:trPr>
        <w:tc>
          <w:tcPr>
            <w:tcW w:w="5400" w:type="dxa"/>
            <w:tcBorders>
              <w:top w:val="nil" w:sz="6" w:space="0" w:color="auto"/>
              <w:left w:val="single" w:sz="4" w:space="0" w:color="000000"/>
              <w:bottom w:val="nil" w:sz="6" w:space="0" w:color="auto"/>
              <w:right w:val="single" w:sz="4" w:space="0" w:color="000000"/>
            </w:tcBorders>
          </w:tcPr>
          <w:p>
            <w:pPr>
              <w:pStyle w:val="TableParagraph"/>
              <w:spacing w:line="272" w:lineRule="exact" w:before="131"/>
              <w:ind w:left="103" w:right="14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）说明内部审计部门每季度向审计委员会报告内部审 计计划的执行情况以及内部审计工作中发现的问题的具 体情况</w:t>
            </w:r>
          </w:p>
        </w:tc>
        <w:tc>
          <w:tcPr>
            <w:tcW w:w="3354"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审计报告，年度终了向审计委员会</w:t>
            </w:r>
          </w:p>
          <w:p>
            <w:pPr>
              <w:pStyle w:val="TableParagraph"/>
              <w:spacing w:line="272" w:lineRule="exact" w:before="26"/>
              <w:ind w:left="103" w:right="89"/>
              <w:jc w:val="both"/>
              <w:rPr>
                <w:rFonts w:ascii="宋体" w:hAnsi="宋体" w:cs="宋体" w:eastAsia="宋体" w:hint="default"/>
                <w:sz w:val="21"/>
                <w:szCs w:val="21"/>
              </w:rPr>
            </w:pPr>
            <w:r>
              <w:rPr>
                <w:rFonts w:ascii="宋体" w:hAnsi="宋体" w:cs="宋体" w:eastAsia="宋体" w:hint="default"/>
                <w:sz w:val="21"/>
                <w:szCs w:val="21"/>
              </w:rPr>
              <w:t>提交年度内部控制自我评价报告、 内部审计工作计划、关于控股股东 及关联方占用资金情况的自查报</w:t>
            </w:r>
          </w:p>
        </w:tc>
      </w:tr>
      <w:tr>
        <w:trPr>
          <w:trHeight w:val="272" w:hRule="exact"/>
        </w:trPr>
        <w:tc>
          <w:tcPr>
            <w:tcW w:w="5400" w:type="dxa"/>
            <w:tcBorders>
              <w:top w:val="nil" w:sz="6" w:space="0" w:color="auto"/>
              <w:left w:val="single" w:sz="4" w:space="0" w:color="000000"/>
              <w:bottom w:val="nil" w:sz="6" w:space="0" w:color="auto"/>
              <w:right w:val="single" w:sz="4" w:space="0" w:color="000000"/>
            </w:tcBorders>
          </w:tcPr>
          <w:p>
            <w:pPr/>
          </w:p>
        </w:tc>
        <w:tc>
          <w:tcPr>
            <w:tcW w:w="335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告、外部审计机构的工作总结报告</w:t>
            </w:r>
          </w:p>
        </w:tc>
      </w:tr>
      <w:tr>
        <w:trPr>
          <w:trHeight w:val="272" w:hRule="exact"/>
        </w:trPr>
        <w:tc>
          <w:tcPr>
            <w:tcW w:w="5400" w:type="dxa"/>
            <w:tcBorders>
              <w:top w:val="nil" w:sz="6" w:space="0" w:color="auto"/>
              <w:left w:val="single" w:sz="4" w:space="0" w:color="000000"/>
              <w:bottom w:val="nil" w:sz="6" w:space="0" w:color="auto"/>
              <w:right w:val="single" w:sz="4" w:space="0" w:color="000000"/>
            </w:tcBorders>
          </w:tcPr>
          <w:p>
            <w:pPr/>
          </w:p>
        </w:tc>
        <w:tc>
          <w:tcPr>
            <w:tcW w:w="335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等，审计部在</w:t>
            </w:r>
            <w:r>
              <w:rPr>
                <w:rFonts w:ascii="宋体" w:hAnsi="宋体" w:cs="宋体" w:eastAsia="宋体" w:hint="default"/>
                <w:spacing w:val="-61"/>
                <w:sz w:val="21"/>
                <w:szCs w:val="21"/>
              </w:rPr>
              <w:t> </w:t>
            </w:r>
            <w:r>
              <w:rPr>
                <w:rFonts w:ascii="宋体" w:hAnsi="宋体" w:cs="宋体" w:eastAsia="宋体" w:hint="default"/>
                <w:sz w:val="21"/>
                <w:szCs w:val="21"/>
              </w:rPr>
              <w:t>2008</w:t>
            </w:r>
            <w:r>
              <w:rPr>
                <w:rFonts w:ascii="宋体" w:hAnsi="宋体" w:cs="宋体" w:eastAsia="宋体" w:hint="default"/>
                <w:spacing w:val="-60"/>
                <w:sz w:val="21"/>
                <w:szCs w:val="21"/>
              </w:rPr>
              <w:t> </w:t>
            </w:r>
            <w:r>
              <w:rPr>
                <w:rFonts w:ascii="宋体" w:hAnsi="宋体" w:cs="宋体" w:eastAsia="宋体" w:hint="default"/>
                <w:sz w:val="21"/>
                <w:szCs w:val="21"/>
              </w:rPr>
              <w:t>年的工作中未</w:t>
            </w:r>
          </w:p>
        </w:tc>
      </w:tr>
      <w:tr>
        <w:trPr>
          <w:trHeight w:val="440" w:hRule="exact"/>
        </w:trPr>
        <w:tc>
          <w:tcPr>
            <w:tcW w:w="5400" w:type="dxa"/>
            <w:tcBorders>
              <w:top w:val="nil" w:sz="6" w:space="0" w:color="auto"/>
              <w:left w:val="single" w:sz="4" w:space="0" w:color="000000"/>
              <w:bottom w:val="single" w:sz="4" w:space="0" w:color="000000"/>
              <w:right w:val="single" w:sz="4" w:space="0" w:color="000000"/>
            </w:tcBorders>
          </w:tcPr>
          <w:p>
            <w:pPr/>
          </w:p>
        </w:tc>
        <w:tc>
          <w:tcPr>
            <w:tcW w:w="3354"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发现公司存在重大问题。</w:t>
            </w:r>
          </w:p>
        </w:tc>
      </w:tr>
      <w:tr>
        <w:trPr>
          <w:trHeight w:val="353" w:hRule="exact"/>
        </w:trPr>
        <w:tc>
          <w:tcPr>
            <w:tcW w:w="54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6"/>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）说明内部审计部门本年度按照内审指引及相关规定</w:t>
            </w:r>
          </w:p>
        </w:tc>
        <w:tc>
          <w:tcPr>
            <w:tcW w:w="33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6"/>
              <w:ind w:left="103" w:right="0"/>
              <w:jc w:val="left"/>
              <w:rPr>
                <w:rFonts w:ascii="宋体" w:hAnsi="宋体" w:cs="宋体" w:eastAsia="宋体" w:hint="default"/>
                <w:sz w:val="21"/>
                <w:szCs w:val="21"/>
              </w:rPr>
            </w:pPr>
            <w:r>
              <w:rPr>
                <w:rFonts w:ascii="宋体" w:hAnsi="宋体" w:cs="宋体" w:eastAsia="宋体" w:hint="default"/>
                <w:sz w:val="21"/>
                <w:szCs w:val="21"/>
              </w:rPr>
              <w:t>审计部本年度已按照内审指引及</w:t>
            </w:r>
          </w:p>
        </w:tc>
      </w:tr>
      <w:tr>
        <w:trPr>
          <w:trHeight w:val="267" w:hRule="exact"/>
        </w:trPr>
        <w:tc>
          <w:tcPr>
            <w:tcW w:w="5400"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要求对重要的对外投资、购买和出售资产、对外担保、关</w:t>
            </w:r>
          </w:p>
        </w:tc>
        <w:tc>
          <w:tcPr>
            <w:tcW w:w="3354"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相关规定要求，对购买和出售资</w:t>
            </w:r>
          </w:p>
        </w:tc>
      </w:tr>
      <w:tr>
        <w:trPr>
          <w:trHeight w:val="272" w:hRule="exact"/>
        </w:trPr>
        <w:tc>
          <w:tcPr>
            <w:tcW w:w="540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联交易、募集资金使用和信息披露事务管理等事项进行审</w:t>
            </w:r>
          </w:p>
        </w:tc>
        <w:tc>
          <w:tcPr>
            <w:tcW w:w="335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产、关联交易、募集资金使用和信</w:t>
            </w:r>
          </w:p>
        </w:tc>
      </w:tr>
      <w:tr>
        <w:trPr>
          <w:trHeight w:val="351" w:hRule="exact"/>
        </w:trPr>
        <w:tc>
          <w:tcPr>
            <w:tcW w:w="540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计并出具内部审计报告的具体情况</w:t>
            </w:r>
          </w:p>
        </w:tc>
        <w:tc>
          <w:tcPr>
            <w:tcW w:w="3354"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息披露事务管理等事项进行审计。</w:t>
            </w:r>
          </w:p>
        </w:tc>
      </w:tr>
      <w:tr>
        <w:trPr>
          <w:trHeight w:val="281" w:hRule="exact"/>
        </w:trPr>
        <w:tc>
          <w:tcPr>
            <w:tcW w:w="5400" w:type="dxa"/>
            <w:tcBorders>
              <w:top w:val="single" w:sz="4" w:space="0" w:color="000000"/>
              <w:left w:val="single" w:sz="4" w:space="0" w:color="000000"/>
              <w:bottom w:val="nil" w:sz="6" w:space="0" w:color="auto"/>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）说明内部审计部门在对内部控制审查过程中发现内</w:t>
            </w:r>
          </w:p>
        </w:tc>
        <w:tc>
          <w:tcPr>
            <w:tcW w:w="3354" w:type="dxa"/>
            <w:tcBorders>
              <w:top w:val="single" w:sz="4" w:space="0" w:color="000000"/>
              <w:left w:val="single" w:sz="4" w:space="0" w:color="000000"/>
              <w:bottom w:val="nil" w:sz="6" w:space="0" w:color="auto"/>
              <w:right w:val="single" w:sz="4" w:space="0" w:color="000000"/>
            </w:tcBorders>
          </w:tcPr>
          <w:p>
            <w:pPr/>
          </w:p>
        </w:tc>
      </w:tr>
      <w:tr>
        <w:trPr>
          <w:trHeight w:val="539" w:hRule="exact"/>
        </w:trPr>
        <w:tc>
          <w:tcPr>
            <w:tcW w:w="5400" w:type="dxa"/>
            <w:tcBorders>
              <w:top w:val="nil" w:sz="6" w:space="0" w:color="auto"/>
              <w:left w:val="single" w:sz="4" w:space="0" w:color="000000"/>
              <w:bottom w:val="nil" w:sz="6" w:space="0" w:color="auto"/>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部控制存在重大缺陷或重大风险的，说明内部控制存在的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重大缺陷或重大风险，并说明是否向审计委员会报告（如</w:t>
            </w:r>
          </w:p>
        </w:tc>
        <w:tc>
          <w:tcPr>
            <w:tcW w:w="3354"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279" w:hRule="exact"/>
        </w:trPr>
        <w:tc>
          <w:tcPr>
            <w:tcW w:w="540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适用）</w:t>
            </w:r>
          </w:p>
        </w:tc>
        <w:tc>
          <w:tcPr>
            <w:tcW w:w="3354" w:type="dxa"/>
            <w:tcBorders>
              <w:top w:val="nil" w:sz="6" w:space="0" w:color="auto"/>
              <w:left w:val="single" w:sz="4" w:space="0" w:color="000000"/>
              <w:bottom w:val="single" w:sz="4" w:space="0" w:color="000000"/>
              <w:right w:val="single" w:sz="4" w:space="0" w:color="000000"/>
            </w:tcBorders>
          </w:tcPr>
          <w:p>
            <w:pPr/>
          </w:p>
        </w:tc>
      </w:tr>
      <w:tr>
        <w:trPr>
          <w:trHeight w:val="334" w:hRule="exact"/>
        </w:trPr>
        <w:tc>
          <w:tcPr>
            <w:tcW w:w="54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）说明内部审计部门是否按照有关规定评价公司与财</w:t>
            </w:r>
          </w:p>
        </w:tc>
        <w:tc>
          <w:tcPr>
            <w:tcW w:w="3354" w:type="dxa"/>
            <w:tcBorders>
              <w:top w:val="single" w:sz="4" w:space="0" w:color="000000"/>
              <w:left w:val="single" w:sz="4" w:space="0" w:color="000000"/>
              <w:bottom w:val="nil" w:sz="6" w:space="0" w:color="auto"/>
              <w:right w:val="single" w:sz="4" w:space="0" w:color="000000"/>
            </w:tcBorders>
          </w:tcPr>
          <w:p>
            <w:pPr/>
          </w:p>
        </w:tc>
      </w:tr>
      <w:tr>
        <w:trPr>
          <w:trHeight w:val="267" w:hRule="exact"/>
        </w:trPr>
        <w:tc>
          <w:tcPr>
            <w:tcW w:w="5400"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务报告和信息披露事务相关的内部控制制度建立和实施</w:t>
            </w:r>
          </w:p>
        </w:tc>
        <w:tc>
          <w:tcPr>
            <w:tcW w:w="3354" w:type="dxa"/>
            <w:tcBorders>
              <w:top w:val="nil" w:sz="6" w:space="0" w:color="auto"/>
              <w:left w:val="single" w:sz="4" w:space="0" w:color="000000"/>
              <w:bottom w:val="nil" w:sz="6" w:space="0" w:color="auto"/>
              <w:right w:val="single" w:sz="4" w:space="0" w:color="000000"/>
            </w:tcBorders>
          </w:tcPr>
          <w:p>
            <w:pPr>
              <w:pStyle w:val="TableParagraph"/>
              <w:spacing w:line="235"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32" w:hRule="exact"/>
        </w:trPr>
        <w:tc>
          <w:tcPr>
            <w:tcW w:w="540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的有效性，并向审计委员会提交内部控制评价报告</w:t>
            </w:r>
          </w:p>
        </w:tc>
        <w:tc>
          <w:tcPr>
            <w:tcW w:w="3354" w:type="dxa"/>
            <w:tcBorders>
              <w:top w:val="nil" w:sz="6" w:space="0" w:color="auto"/>
              <w:left w:val="single" w:sz="4" w:space="0" w:color="000000"/>
              <w:bottom w:val="single" w:sz="4" w:space="0" w:color="000000"/>
              <w:right w:val="single" w:sz="4" w:space="0" w:color="000000"/>
            </w:tcBorders>
          </w:tcPr>
          <w:p>
            <w:pPr/>
          </w:p>
        </w:tc>
      </w:tr>
      <w:tr>
        <w:trPr>
          <w:trHeight w:val="314" w:hRule="exact"/>
        </w:trPr>
        <w:tc>
          <w:tcPr>
            <w:tcW w:w="5400" w:type="dxa"/>
            <w:tcBorders>
              <w:top w:val="single" w:sz="4" w:space="0" w:color="000000"/>
              <w:left w:val="single" w:sz="4" w:space="0" w:color="000000"/>
              <w:bottom w:val="nil" w:sz="6" w:space="0" w:color="auto"/>
              <w:right w:val="single" w:sz="4" w:space="0" w:color="000000"/>
            </w:tcBorders>
          </w:tcPr>
          <w:p>
            <w:pPr>
              <w:pStyle w:val="TableParagraph"/>
              <w:spacing w:line="288"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）说明内部审计部门向审计委员会提交下一年度内部</w:t>
            </w:r>
          </w:p>
        </w:tc>
        <w:tc>
          <w:tcPr>
            <w:tcW w:w="3354" w:type="dxa"/>
            <w:tcBorders>
              <w:top w:val="single" w:sz="4" w:space="0" w:color="000000"/>
              <w:left w:val="single" w:sz="4" w:space="0" w:color="000000"/>
              <w:bottom w:val="nil" w:sz="6" w:space="0" w:color="auto"/>
              <w:right w:val="single" w:sz="4" w:space="0" w:color="000000"/>
            </w:tcBorders>
          </w:tcPr>
          <w:p>
            <w:pPr>
              <w:pStyle w:val="TableParagraph"/>
              <w:spacing w:line="288" w:lineRule="exact"/>
              <w:ind w:left="103" w:right="0"/>
              <w:jc w:val="left"/>
              <w:rPr>
                <w:rFonts w:ascii="宋体" w:hAnsi="宋体" w:cs="宋体" w:eastAsia="宋体" w:hint="default"/>
                <w:sz w:val="21"/>
                <w:szCs w:val="21"/>
              </w:rPr>
            </w:pPr>
            <w:r>
              <w:rPr>
                <w:rFonts w:ascii="宋体" w:hAnsi="宋体" w:cs="宋体" w:eastAsia="宋体" w:hint="default"/>
                <w:sz w:val="21"/>
                <w:szCs w:val="21"/>
              </w:rPr>
              <w:t>已提交</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年内部审计工作总结</w:t>
            </w:r>
          </w:p>
        </w:tc>
      </w:tr>
      <w:tr>
        <w:trPr>
          <w:trHeight w:val="307" w:hRule="exact"/>
        </w:trPr>
        <w:tc>
          <w:tcPr>
            <w:tcW w:w="5400"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审计工作计划和本年度内部审计工作报告的具体情况</w:t>
            </w:r>
          </w:p>
        </w:tc>
        <w:tc>
          <w:tcPr>
            <w:tcW w:w="3354" w:type="dxa"/>
            <w:tcBorders>
              <w:top w:val="nil" w:sz="6" w:space="0" w:color="auto"/>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1"/>
                <w:szCs w:val="21"/>
              </w:rPr>
            </w:pPr>
            <w:r>
              <w:rPr>
                <w:rFonts w:ascii="宋体" w:hAnsi="宋体" w:cs="宋体" w:eastAsia="宋体" w:hint="default"/>
                <w:sz w:val="21"/>
                <w:szCs w:val="21"/>
              </w:rPr>
              <w:t>和</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年度内部审计工作计划。</w:t>
            </w:r>
          </w:p>
        </w:tc>
      </w:tr>
      <w:tr>
        <w:trPr>
          <w:trHeight w:val="827"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3" w:right="14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）说明内部审计工作底稿和内部审计报告的编制和归 档是否符合相关规定</w:t>
            </w:r>
          </w:p>
        </w:tc>
        <w:tc>
          <w:tcPr>
            <w:tcW w:w="335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内审工作底稿和内部审计报告的</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pacing w:val="-1"/>
                <w:sz w:val="21"/>
                <w:szCs w:val="21"/>
              </w:rPr>
              <w:t>编制和归档符合《内部审计管理制</w:t>
            </w:r>
            <w:r>
              <w:rPr>
                <w:rFonts w:ascii="宋体" w:hAnsi="宋体" w:cs="宋体" w:eastAsia="宋体" w:hint="default"/>
                <w:sz w:val="21"/>
                <w:szCs w:val="21"/>
              </w:rPr>
              <w:t> 度》的规定。</w:t>
            </w:r>
          </w:p>
        </w:tc>
      </w:tr>
      <w:tr>
        <w:trPr>
          <w:trHeight w:val="276" w:hRule="exact"/>
        </w:trPr>
        <w:tc>
          <w:tcPr>
            <w:tcW w:w="5400" w:type="dxa"/>
            <w:tcBorders>
              <w:top w:val="single" w:sz="4" w:space="0" w:color="000000"/>
              <w:left w:val="single" w:sz="4" w:space="0" w:color="000000"/>
              <w:bottom w:val="nil" w:sz="6" w:space="0" w:color="auto"/>
              <w:right w:val="single" w:sz="4" w:space="0" w:color="000000"/>
            </w:tcBorders>
          </w:tcPr>
          <w:p>
            <w:pPr/>
          </w:p>
        </w:tc>
        <w:tc>
          <w:tcPr>
            <w:tcW w:w="3354"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内部审计部门在</w:t>
            </w:r>
            <w:r>
              <w:rPr>
                <w:rFonts w:ascii="宋体" w:hAnsi="宋体" w:cs="宋体" w:eastAsia="宋体" w:hint="default"/>
                <w:spacing w:val="-61"/>
                <w:sz w:val="21"/>
                <w:szCs w:val="21"/>
              </w:rPr>
              <w:t> </w:t>
            </w:r>
            <w:r>
              <w:rPr>
                <w:rFonts w:ascii="宋体" w:hAnsi="宋体" w:cs="宋体" w:eastAsia="宋体" w:hint="default"/>
                <w:sz w:val="21"/>
                <w:szCs w:val="21"/>
              </w:rPr>
              <w:t>2008</w:t>
            </w:r>
            <w:r>
              <w:rPr>
                <w:rFonts w:ascii="宋体" w:hAnsi="宋体" w:cs="宋体" w:eastAsia="宋体" w:hint="default"/>
                <w:spacing w:val="-60"/>
                <w:sz w:val="21"/>
                <w:szCs w:val="21"/>
              </w:rPr>
              <w:t> </w:t>
            </w:r>
            <w:r>
              <w:rPr>
                <w:rFonts w:ascii="宋体" w:hAnsi="宋体" w:cs="宋体" w:eastAsia="宋体" w:hint="default"/>
                <w:sz w:val="21"/>
                <w:szCs w:val="21"/>
              </w:rPr>
              <w:t>年还进行了</w:t>
            </w:r>
          </w:p>
        </w:tc>
      </w:tr>
      <w:tr>
        <w:trPr>
          <w:trHeight w:val="272" w:hRule="exact"/>
        </w:trPr>
        <w:tc>
          <w:tcPr>
            <w:tcW w:w="5400" w:type="dxa"/>
            <w:tcBorders>
              <w:top w:val="nil" w:sz="6" w:space="0" w:color="auto"/>
              <w:left w:val="single" w:sz="4" w:space="0" w:color="000000"/>
              <w:bottom w:val="nil" w:sz="6" w:space="0" w:color="auto"/>
              <w:right w:val="single" w:sz="4" w:space="0" w:color="000000"/>
            </w:tcBorders>
          </w:tcPr>
          <w:p>
            <w:pPr/>
          </w:p>
        </w:tc>
        <w:tc>
          <w:tcPr>
            <w:tcW w:w="335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其他专项审计工作，如存货管理情</w:t>
            </w:r>
          </w:p>
        </w:tc>
      </w:tr>
      <w:tr>
        <w:trPr>
          <w:trHeight w:val="278" w:hRule="exact"/>
        </w:trPr>
        <w:tc>
          <w:tcPr>
            <w:tcW w:w="5400" w:type="dxa"/>
            <w:tcBorders>
              <w:top w:val="nil" w:sz="6" w:space="0" w:color="auto"/>
              <w:left w:val="single" w:sz="4" w:space="0" w:color="000000"/>
              <w:bottom w:val="nil" w:sz="6" w:space="0" w:color="auto"/>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）说明内部审计部门所做的其他工作</w:t>
            </w:r>
          </w:p>
        </w:tc>
        <w:tc>
          <w:tcPr>
            <w:tcW w:w="335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况审计报告、采购制度建立、效能</w:t>
            </w:r>
          </w:p>
        </w:tc>
      </w:tr>
      <w:tr>
        <w:trPr>
          <w:trHeight w:val="267" w:hRule="exact"/>
        </w:trPr>
        <w:tc>
          <w:tcPr>
            <w:tcW w:w="5400" w:type="dxa"/>
            <w:tcBorders>
              <w:top w:val="nil" w:sz="6" w:space="0" w:color="auto"/>
              <w:left w:val="single" w:sz="4" w:space="0" w:color="000000"/>
              <w:bottom w:val="nil" w:sz="6" w:space="0" w:color="auto"/>
              <w:right w:val="single" w:sz="4" w:space="0" w:color="000000"/>
            </w:tcBorders>
          </w:tcPr>
          <w:p>
            <w:pPr/>
          </w:p>
        </w:tc>
        <w:tc>
          <w:tcPr>
            <w:tcW w:w="3354"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监察及执行情况审计报告等；参与</w:t>
            </w:r>
          </w:p>
        </w:tc>
      </w:tr>
      <w:tr>
        <w:trPr>
          <w:trHeight w:val="282" w:hRule="exact"/>
        </w:trPr>
        <w:tc>
          <w:tcPr>
            <w:tcW w:w="5400" w:type="dxa"/>
            <w:tcBorders>
              <w:top w:val="nil" w:sz="6" w:space="0" w:color="auto"/>
              <w:left w:val="single" w:sz="4" w:space="0" w:color="000000"/>
              <w:bottom w:val="single" w:sz="4" w:space="0" w:color="000000"/>
              <w:right w:val="single" w:sz="4" w:space="0" w:color="000000"/>
            </w:tcBorders>
          </w:tcPr>
          <w:p>
            <w:pPr/>
          </w:p>
        </w:tc>
        <w:tc>
          <w:tcPr>
            <w:tcW w:w="3354"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公司众多项目的招投标工作。</w:t>
            </w:r>
          </w:p>
        </w:tc>
      </w:tr>
      <w:tr>
        <w:trPr>
          <w:trHeight w:val="289" w:hRule="exact"/>
        </w:trPr>
        <w:tc>
          <w:tcPr>
            <w:tcW w:w="54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四、公司认为需要说明的其他情况（如有）</w:t>
            </w:r>
          </w:p>
        </w:tc>
        <w:tc>
          <w:tcPr>
            <w:tcW w:w="335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p>
      <w:pPr>
        <w:pStyle w:val="Heading2"/>
        <w:spacing w:line="240" w:lineRule="auto" w:before="13"/>
        <w:ind w:left="340" w:right="136"/>
        <w:jc w:val="left"/>
        <w:rPr>
          <w:b w:val="0"/>
          <w:bCs w:val="0"/>
        </w:rPr>
      </w:pPr>
      <w:r>
        <w:rPr/>
        <w:t>七、公司治理专项活动情况</w:t>
      </w:r>
      <w:r>
        <w:rPr>
          <w:b w:val="0"/>
          <w:bCs w:val="0"/>
        </w:rPr>
      </w:r>
    </w:p>
    <w:p>
      <w:pPr>
        <w:pStyle w:val="BodyText"/>
        <w:spacing w:line="285" w:lineRule="auto" w:before="128"/>
        <w:ind w:left="339" w:right="335" w:firstLine="420"/>
        <w:jc w:val="both"/>
      </w:pPr>
      <w:r>
        <w:rPr>
          <w:spacing w:val="-3"/>
        </w:rPr>
        <w:t>根据中国证监会《关于开展加强上市公司治理专项活动有关事项的通知》（证监公司字</w:t>
      </w:r>
      <w:r>
        <w:rPr/>
        <w:t> </w:t>
      </w:r>
      <w:r>
        <w:rPr>
          <w:rFonts w:ascii="Times New Roman" w:hAnsi="Times New Roman" w:cs="Times New Roman" w:eastAsia="Times New Roman" w:hint="default"/>
          <w:spacing w:val="-1"/>
        </w:rPr>
        <w:t>[2007]28</w:t>
      </w:r>
      <w:r>
        <w:rPr>
          <w:rFonts w:ascii="Times New Roman" w:hAnsi="Times New Roman" w:cs="Times New Roman" w:eastAsia="Times New Roman" w:hint="default"/>
          <w:spacing w:val="46"/>
        </w:rPr>
        <w:t> </w:t>
      </w:r>
      <w:r>
        <w:rPr>
          <w:spacing w:val="-9"/>
        </w:rPr>
        <w:t>号）、中国证监会广东监管局（以下简称“广东证监局”）《关于做好上市公司治理</w:t>
      </w:r>
      <w:r>
        <w:rPr>
          <w:spacing w:val="-102"/>
        </w:rPr>
        <w:t> </w:t>
      </w:r>
      <w:r>
        <w:rPr>
          <w:spacing w:val="-102"/>
        </w:rPr>
      </w:r>
      <w:r>
        <w:rPr>
          <w:spacing w:val="-5"/>
        </w:rPr>
        <w:t>专项活动有关工作的通知》（广东证监</w:t>
      </w:r>
      <w:r>
        <w:rPr>
          <w:rFonts w:ascii="Times New Roman" w:hAnsi="Times New Roman" w:cs="Times New Roman" w:eastAsia="Times New Roman" w:hint="default"/>
          <w:spacing w:val="-5"/>
        </w:rPr>
        <w:t>[2007]48</w:t>
      </w:r>
      <w:r>
        <w:rPr>
          <w:rFonts w:ascii="Times New Roman" w:hAnsi="Times New Roman" w:cs="Times New Roman" w:eastAsia="Times New Roman" w:hint="default"/>
          <w:spacing w:val="7"/>
        </w:rPr>
        <w:t> </w:t>
      </w:r>
      <w:r>
        <w:rPr>
          <w:spacing w:val="-1"/>
        </w:rPr>
        <w:t>号）和深圳证券交易所《关于做好加强上市</w:t>
      </w:r>
      <w:r>
        <w:rPr/>
        <w:t> </w:t>
      </w:r>
      <w:r>
        <w:rPr>
          <w:spacing w:val="-4"/>
        </w:rPr>
        <w:t>公司治理专项活动有关工作的通知》（深证上</w:t>
      </w:r>
      <w:r>
        <w:rPr>
          <w:rFonts w:ascii="Times New Roman" w:hAnsi="Times New Roman" w:cs="Times New Roman" w:eastAsia="Times New Roman" w:hint="default"/>
          <w:spacing w:val="-4"/>
        </w:rPr>
        <w:t>[2007]39</w:t>
      </w:r>
      <w:r>
        <w:rPr>
          <w:rFonts w:ascii="Times New Roman" w:hAnsi="Times New Roman" w:cs="Times New Roman" w:eastAsia="Times New Roman" w:hint="default"/>
          <w:spacing w:val="43"/>
        </w:rPr>
        <w:t> </w:t>
      </w:r>
      <w:r>
        <w:rPr>
          <w:spacing w:val="-1"/>
        </w:rPr>
        <w:t>号）等有关文件精神和要求，按照广</w:t>
      </w:r>
      <w:r>
        <w:rPr>
          <w:spacing w:val="-103"/>
        </w:rPr>
        <w:t> </w:t>
      </w:r>
      <w:r>
        <w:rPr>
          <w:spacing w:val="-103"/>
        </w:rPr>
      </w:r>
      <w:r>
        <w:rPr/>
        <w:t>东证监局和深圳证券交易所关于加强上市公司治理专项活动的统一部署，</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spacing w:val="-8"/>
        </w:rPr>
        <w:t>月，公</w:t>
      </w:r>
      <w:r>
        <w:rPr/>
        <w:t> </w:t>
      </w:r>
      <w:r>
        <w:rPr>
          <w:spacing w:val="-3"/>
        </w:rPr>
        <w:t>司成立了以董事长作为第一负责人的公司治理专项活动工作小组，在公司范围内全面开展公</w:t>
      </w:r>
      <w:r>
        <w:rPr>
          <w:spacing w:val="-79"/>
        </w:rPr>
        <w:t> </w:t>
      </w:r>
      <w:r>
        <w:rPr>
          <w:spacing w:val="-79"/>
        </w:rPr>
      </w:r>
      <w:r>
        <w:rPr/>
        <w:t>司治理自查和整改工作。</w:t>
      </w:r>
    </w:p>
    <w:p>
      <w:pPr>
        <w:pStyle w:val="BodyText"/>
        <w:spacing w:line="288" w:lineRule="auto" w:before="146"/>
        <w:ind w:left="340" w:right="336" w:firstLine="420"/>
        <w:jc w:val="both"/>
      </w:pPr>
      <w:r>
        <w:rPr/>
        <w:t>报告期内，公司在继续巩固</w:t>
      </w:r>
      <w:r>
        <w:rPr>
          <w:spacing w:val="-4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年自查整改工作成果的基础上，深入推进公司治理活 </w:t>
      </w:r>
      <w:r>
        <w:rPr>
          <w:spacing w:val="-3"/>
        </w:rPr>
        <w:t>动，并已完成按中国证监会要求的公司治理活动自查、接受公众评议和整改提高等三个阶段</w:t>
      </w:r>
      <w:r>
        <w:rPr>
          <w:spacing w:val="-79"/>
        </w:rPr>
        <w:t> </w:t>
      </w:r>
      <w:r>
        <w:rPr>
          <w:spacing w:val="-79"/>
        </w:rPr>
      </w:r>
      <w:r>
        <w:rPr/>
        <w:t>的工作。现将有关情况说明如下：</w:t>
      </w:r>
    </w:p>
    <w:p>
      <w:pPr>
        <w:spacing w:after="0" w:line="288" w:lineRule="auto"/>
        <w:jc w:val="both"/>
        <w:sectPr>
          <w:pgSz w:w="11910" w:h="16840"/>
          <w:pgMar w:header="400" w:footer="982" w:top="1100" w:bottom="1180" w:left="1460" w:right="1460"/>
        </w:sectPr>
      </w:pPr>
    </w:p>
    <w:p>
      <w:pPr>
        <w:spacing w:line="240" w:lineRule="auto" w:before="1"/>
        <w:rPr>
          <w:rFonts w:ascii="宋体" w:hAnsi="宋体" w:cs="宋体" w:eastAsia="宋体" w:hint="default"/>
          <w:sz w:val="19"/>
          <w:szCs w:val="19"/>
        </w:rPr>
      </w:pPr>
    </w:p>
    <w:p>
      <w:pPr>
        <w:pStyle w:val="BodyText"/>
        <w:spacing w:line="379" w:lineRule="auto" w:before="35"/>
        <w:ind w:left="560" w:right="102"/>
        <w:jc w:val="left"/>
      </w:pPr>
      <w:r>
        <w:rPr>
          <w:rFonts w:ascii="Times New Roman" w:hAnsi="Times New Roman" w:cs="Times New Roman" w:eastAsia="Times New Roman" w:hint="default"/>
        </w:rPr>
        <w:t>1</w:t>
      </w:r>
      <w:r>
        <w:rPr/>
        <w:t>、公司自查阶段 </w:t>
      </w:r>
      <w:r>
        <w:rPr>
          <w:spacing w:val="-3"/>
        </w:rPr>
        <w:t>公司董事会高度重视，组织董事会、监事会成员、高级管理人员认真学习，深刻领会通</w:t>
      </w:r>
    </w:p>
    <w:p>
      <w:pPr>
        <w:pStyle w:val="BodyText"/>
        <w:spacing w:line="218" w:lineRule="exact" w:before="0"/>
        <w:ind w:right="102"/>
        <w:jc w:val="left"/>
      </w:pPr>
      <w:r>
        <w:rPr>
          <w:spacing w:val="-3"/>
        </w:rPr>
        <w:t>知精神，并成立了以董事长为第一责任人、董事会秘书为主要负责人的公司治理专项活动工</w:t>
      </w:r>
    </w:p>
    <w:p>
      <w:pPr>
        <w:pStyle w:val="BodyText"/>
        <w:spacing w:line="297" w:lineRule="auto" w:before="66"/>
        <w:ind w:right="104"/>
        <w:jc w:val="left"/>
      </w:pPr>
      <w:r>
        <w:rPr>
          <w:spacing w:val="-3"/>
        </w:rPr>
        <w:t>作小组，对公司“三会”运作情况、内部控制情况、信息披露情况、与大股东“三分开、两</w:t>
      </w:r>
      <w:r>
        <w:rPr>
          <w:spacing w:val="-80"/>
        </w:rPr>
        <w:t> </w:t>
      </w:r>
      <w:r>
        <w:rPr>
          <w:spacing w:val="-80"/>
        </w:rPr>
      </w:r>
      <w:r>
        <w:rPr/>
        <w:t>独立”情况等内容进行全面深入的自查，认真查找本公司治理结构方面存在的问题和不足， 深入分析产生问题的深层次原因。对自查中发现的问题，公司制定了切实可行的整改计划， 形成了相应的自查报告和整改计划。</w:t>
      </w:r>
    </w:p>
    <w:p>
      <w:pPr>
        <w:pStyle w:val="BodyText"/>
        <w:spacing w:line="240" w:lineRule="auto" w:before="135"/>
        <w:ind w:left="560" w:right="102"/>
        <w:jc w:val="left"/>
      </w:pPr>
      <w:r>
        <w:rPr/>
        <w:t>《关于“加强上市公司治理专项活动”自查报告和整改计划》刊登在</w:t>
      </w:r>
      <w:r>
        <w:rPr>
          <w:spacing w:val="-5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 </w:t>
      </w:r>
      <w:r>
        <w:rPr/>
        <w:t>日</w:t>
      </w:r>
    </w:p>
    <w:p>
      <w:pPr>
        <w:pStyle w:val="BodyText"/>
        <w:spacing w:line="240" w:lineRule="auto"/>
        <w:ind w:right="102"/>
        <w:jc w:val="left"/>
      </w:pPr>
      <w:r>
        <w:rPr/>
        <w:t>《证券时报》及指定信息披露网站</w:t>
      </w:r>
      <w:r>
        <w:rPr>
          <w:spacing w:val="-64"/>
        </w:rPr>
        <w:t> </w:t>
      </w: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12"/>
        </w:rPr>
        <w:t> </w:t>
      </w:r>
      <w:r>
        <w:rPr/>
        <w:t>上。</w:t>
      </w:r>
    </w:p>
    <w:p>
      <w:pPr>
        <w:pStyle w:val="BodyText"/>
        <w:spacing w:line="240" w:lineRule="auto" w:before="169"/>
        <w:ind w:left="560" w:right="102"/>
        <w:jc w:val="left"/>
      </w:pPr>
      <w:r>
        <w:rPr>
          <w:rFonts w:ascii="Times New Roman" w:hAnsi="Times New Roman" w:cs="Times New Roman" w:eastAsia="Times New Roman" w:hint="default"/>
        </w:rPr>
        <w:t>2</w:t>
      </w:r>
      <w:r>
        <w:rPr/>
        <w:t>、公众评议阶段</w:t>
      </w:r>
    </w:p>
    <w:p>
      <w:pPr>
        <w:pStyle w:val="BodyText"/>
        <w:spacing w:line="292" w:lineRule="auto" w:before="170"/>
        <w:ind w:right="216" w:firstLine="420"/>
        <w:jc w:val="both"/>
      </w:pPr>
      <w:r>
        <w:rPr/>
        <w:t>为便于公众了解公司治理存在的问题，公司于</w:t>
      </w:r>
      <w:r>
        <w:rPr>
          <w:spacing w:val="-5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 </w:t>
      </w:r>
      <w:r>
        <w:rPr/>
        <w:t>日公告了公司治理自查报 </w:t>
      </w:r>
      <w:r>
        <w:rPr>
          <w:spacing w:val="-3"/>
        </w:rPr>
        <w:t>告和整改计划后，设立了专门的电话、传真、电邮和网络平台听取投资者和社会公众的意见</w:t>
      </w:r>
      <w:r>
        <w:rPr>
          <w:spacing w:val="-81"/>
        </w:rPr>
        <w:t> </w:t>
      </w:r>
      <w:r>
        <w:rPr>
          <w:spacing w:val="-81"/>
        </w:rPr>
      </w:r>
      <w:r>
        <w:rPr>
          <w:spacing w:val="-3"/>
        </w:rPr>
        <w:t>和建议；并通过深圳证券交易所网站上的“公司治理专项活动”专栏和电子邮箱，以及中国</w:t>
      </w:r>
      <w:r>
        <w:rPr>
          <w:spacing w:val="-80"/>
        </w:rPr>
        <w:t> </w:t>
      </w:r>
      <w:r>
        <w:rPr>
          <w:spacing w:val="-80"/>
        </w:rPr>
      </w:r>
      <w:r>
        <w:rPr>
          <w:spacing w:val="-3"/>
        </w:rPr>
        <w:t>证监会上市公司监管部和广东证监局电子邮箱等途径全方位接受公众评议，加强与投资者沟</w:t>
      </w:r>
      <w:r>
        <w:rPr>
          <w:spacing w:val="-79"/>
        </w:rPr>
        <w:t> </w:t>
      </w:r>
      <w:r>
        <w:rPr>
          <w:spacing w:val="-79"/>
        </w:rPr>
      </w:r>
      <w:r>
        <w:rPr/>
        <w:t>通。</w:t>
      </w:r>
    </w:p>
    <w:p>
      <w:pPr>
        <w:pStyle w:val="BodyText"/>
        <w:spacing w:line="240" w:lineRule="auto" w:before="138"/>
        <w:ind w:left="560" w:right="102"/>
        <w:jc w:val="left"/>
      </w:pPr>
      <w:r>
        <w:rPr>
          <w:rFonts w:ascii="Times New Roman" w:hAnsi="Times New Roman" w:cs="Times New Roman" w:eastAsia="Times New Roman" w:hint="default"/>
        </w:rPr>
        <w:t>3</w:t>
      </w:r>
      <w:r>
        <w:rPr/>
        <w:t>、监管检查阶段</w:t>
      </w:r>
    </w:p>
    <w:p>
      <w:pPr>
        <w:pStyle w:val="BodyText"/>
        <w:spacing w:line="240" w:lineRule="auto" w:before="170"/>
        <w:ind w:left="560" w:right="102"/>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13-14</w:t>
      </w:r>
      <w:r>
        <w:rPr>
          <w:rFonts w:ascii="Times New Roman" w:hAnsi="Times New Roman" w:cs="Times New Roman" w:eastAsia="Times New Roman" w:hint="default"/>
          <w:spacing w:val="3"/>
        </w:rPr>
        <w:t> </w:t>
      </w:r>
      <w:r>
        <w:rPr>
          <w:spacing w:val="-3"/>
        </w:rPr>
        <w:t>日，广东证监局对本公司的治理专项活动情况进行了现场验收，</w:t>
      </w:r>
      <w:r>
        <w:rPr>
          <w:rFonts w:ascii="Times New Roman" w:hAnsi="Times New Roman" w:cs="Times New Roman" w:eastAsia="Times New Roman" w:hint="default"/>
          <w:spacing w:val="-3"/>
        </w:rPr>
        <w:t>6</w:t>
      </w:r>
      <w:r>
        <w:rPr>
          <w:rFonts w:ascii="Times New Roman" w:hAnsi="Times New Roman" w:cs="Times New Roman" w:eastAsia="Times New Roman" w:hint="default"/>
          <w:spacing w:val="3"/>
        </w:rPr>
        <w:t> </w:t>
      </w:r>
      <w:r>
        <w:rPr/>
        <w:t>月</w:t>
      </w:r>
    </w:p>
    <w:p>
      <w:pPr>
        <w:pStyle w:val="BodyText"/>
        <w:spacing w:line="292" w:lineRule="auto"/>
        <w:ind w:right="104"/>
        <w:jc w:val="left"/>
      </w:pPr>
      <w:r>
        <w:rPr>
          <w:rFonts w:ascii="Times New Roman" w:hAnsi="Times New Roman" w:cs="Times New Roman" w:eastAsia="Times New Roman" w:hint="default"/>
        </w:rPr>
        <w:t>10 </w:t>
      </w:r>
      <w:r>
        <w:rPr>
          <w:spacing w:val="-4"/>
        </w:rPr>
        <w:t>日出具了《中国证券监督管理委员会广东监管局现场检查结果告知书》，认为：公司与控</w:t>
      </w:r>
      <w:r>
        <w:rPr>
          <w:spacing w:val="-100"/>
        </w:rPr>
        <w:t> </w:t>
      </w:r>
      <w:r>
        <w:rPr>
          <w:spacing w:val="-100"/>
        </w:rPr>
      </w:r>
      <w:r>
        <w:rPr/>
        <w:t>股股东在业务、人员、资产、机构和财务等方面基本分开，拥有独立完整的业务经营系统； </w:t>
      </w:r>
      <w:r>
        <w:rPr>
          <w:spacing w:val="-3"/>
        </w:rPr>
        <w:t>“三会”及经营班子运作正常；各项治理制度和内控制度基本建立健全；募集资金使用符合</w:t>
      </w:r>
      <w:r>
        <w:rPr>
          <w:spacing w:val="-81"/>
        </w:rPr>
        <w:t> </w:t>
      </w:r>
      <w:r>
        <w:rPr>
          <w:spacing w:val="-81"/>
        </w:rPr>
      </w:r>
      <w:r>
        <w:rPr>
          <w:spacing w:val="-3"/>
        </w:rPr>
        <w:t>规定；投资者管理工作有序开展。总体上看，公司上市以来法人治理结构在不断完善，规范</w:t>
      </w:r>
      <w:r>
        <w:rPr>
          <w:spacing w:val="-80"/>
        </w:rPr>
        <w:t> </w:t>
      </w:r>
      <w:r>
        <w:rPr>
          <w:spacing w:val="-80"/>
        </w:rPr>
      </w:r>
      <w:r>
        <w:rPr>
          <w:spacing w:val="-3"/>
        </w:rPr>
        <w:t>运作水平正逐步提高。同时，对公司部分会议记录过于简单和公司章程中个别条款不够完善</w:t>
      </w:r>
      <w:r>
        <w:rPr>
          <w:spacing w:val="-79"/>
        </w:rPr>
        <w:t> </w:t>
      </w:r>
      <w:r>
        <w:rPr>
          <w:spacing w:val="-79"/>
        </w:rPr>
      </w:r>
      <w:r>
        <w:rPr/>
        <w:t>等问题提出整改意见和整改要求。</w:t>
      </w:r>
    </w:p>
    <w:p>
      <w:pPr>
        <w:pStyle w:val="BodyText"/>
        <w:spacing w:line="379" w:lineRule="auto" w:before="139"/>
        <w:ind w:left="560" w:right="102"/>
        <w:jc w:val="left"/>
      </w:pPr>
      <w:r>
        <w:rPr>
          <w:rFonts w:ascii="Times New Roman" w:hAnsi="Times New Roman" w:cs="Times New Roman" w:eastAsia="Times New Roman" w:hint="default"/>
        </w:rPr>
        <w:t>4</w:t>
      </w:r>
      <w:r>
        <w:rPr/>
        <w:t>、整改提高阶段 </w:t>
      </w:r>
      <w:r>
        <w:rPr>
          <w:spacing w:val="-3"/>
        </w:rPr>
        <w:t>针对广东证监局的意见和要求，公司及时组织董事、监事、高级管理人员和相关部门人</w:t>
      </w:r>
    </w:p>
    <w:p>
      <w:pPr>
        <w:pStyle w:val="BodyText"/>
        <w:spacing w:line="234" w:lineRule="exact" w:before="0"/>
        <w:ind w:right="102"/>
        <w:jc w:val="left"/>
        <w:rPr>
          <w:rFonts w:ascii="Times New Roman" w:hAnsi="Times New Roman" w:cs="Times New Roman" w:eastAsia="Times New Roman" w:hint="default"/>
        </w:rPr>
      </w:pPr>
      <w:r>
        <w:rPr/>
        <w:t>员认真学习</w:t>
      </w:r>
      <w:r>
        <w:rPr>
          <w:spacing w:val="-15"/>
        </w:rPr>
        <w:t>，</w:t>
      </w:r>
      <w:r>
        <w:rPr/>
        <w:t>制定整改措施予以落实</w:t>
      </w:r>
      <w:r>
        <w:rPr>
          <w:spacing w:val="-119"/>
        </w:rPr>
        <w:t>，</w:t>
      </w:r>
      <w:r>
        <w:rPr/>
        <w:t>《关于加强公司治理专项活动整改报告</w:t>
      </w:r>
      <w:r>
        <w:rPr>
          <w:spacing w:val="-15"/>
        </w:rPr>
        <w:t>》</w:t>
      </w:r>
      <w:r>
        <w:rPr/>
        <w:t>刊登在</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08</w:t>
      </w:r>
    </w:p>
    <w:p>
      <w:pPr>
        <w:pStyle w:val="BodyText"/>
        <w:spacing w:line="379" w:lineRule="auto"/>
        <w:ind w:left="560" w:right="206" w:hanging="420"/>
        <w:jc w:val="left"/>
      </w:pP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日《证券时报》及巨潮资讯网</w:t>
      </w:r>
      <w:r>
        <w:rPr>
          <w:spacing w:val="-54"/>
        </w:rPr>
        <w:t> </w:t>
      </w: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1"/>
        </w:rPr>
        <w:t> </w:t>
      </w:r>
      <w:r>
        <w:rPr/>
        <w:t>上。 </w:t>
      </w:r>
      <w:r>
        <w:rPr>
          <w:spacing w:val="-8"/>
        </w:rPr>
        <w:t>通过开展公司专项治理活动，公司治理水平得到了有效提升。报告期内，公司先后对《公</w:t>
      </w:r>
    </w:p>
    <w:p>
      <w:pPr>
        <w:pStyle w:val="BodyText"/>
        <w:spacing w:line="218" w:lineRule="exact" w:before="0"/>
        <w:ind w:right="102" w:hanging="1"/>
        <w:jc w:val="left"/>
      </w:pPr>
      <w:r>
        <w:rPr/>
        <w:t>司章程</w:t>
      </w:r>
      <w:r>
        <w:rPr>
          <w:spacing w:val="-105"/>
        </w:rPr>
        <w:t>》</w:t>
      </w:r>
      <w:r>
        <w:rPr>
          <w:spacing w:val="-129"/>
        </w:rPr>
        <w:t>、</w:t>
      </w:r>
      <w:r>
        <w:rPr>
          <w:spacing w:val="-2"/>
        </w:rPr>
        <w:t>《</w:t>
      </w:r>
      <w:r>
        <w:rPr/>
        <w:t>内部审计管理制度</w:t>
      </w:r>
      <w:r>
        <w:rPr>
          <w:spacing w:val="-105"/>
        </w:rPr>
        <w:t>》</w:t>
      </w:r>
      <w:r>
        <w:rPr>
          <w:spacing w:val="-129"/>
        </w:rPr>
        <w:t>、</w:t>
      </w:r>
      <w:r>
        <w:rPr>
          <w:spacing w:val="-2"/>
        </w:rPr>
        <w:t>《</w:t>
      </w:r>
      <w:r>
        <w:rPr/>
        <w:t>关联交易管理制度</w:t>
      </w:r>
      <w:r>
        <w:rPr>
          <w:spacing w:val="-105"/>
        </w:rPr>
        <w:t>》</w:t>
      </w:r>
      <w:r>
        <w:rPr>
          <w:spacing w:val="-129"/>
        </w:rPr>
        <w:t>、</w:t>
      </w:r>
      <w:r>
        <w:rPr>
          <w:spacing w:val="-2"/>
        </w:rPr>
        <w:t>《</w:t>
      </w:r>
      <w:r>
        <w:rPr/>
        <w:t>募集资金管理办法</w:t>
      </w:r>
      <w:r>
        <w:rPr>
          <w:spacing w:val="-105"/>
        </w:rPr>
        <w:t>》</w:t>
      </w:r>
      <w:r>
        <w:rPr>
          <w:spacing w:val="-129"/>
        </w:rPr>
        <w:t>、</w:t>
      </w:r>
      <w:r>
        <w:rPr>
          <w:spacing w:val="-2"/>
        </w:rPr>
        <w:t>《</w:t>
      </w:r>
      <w:r>
        <w:rPr/>
        <w:t>内部会</w:t>
      </w:r>
      <w:r>
        <w:rPr>
          <w:spacing w:val="1"/>
        </w:rPr>
        <w:t>计</w:t>
      </w:r>
      <w:r>
        <w:rPr/>
        <w:t>控</w:t>
      </w:r>
    </w:p>
    <w:p>
      <w:pPr>
        <w:pStyle w:val="BodyText"/>
        <w:spacing w:line="297" w:lineRule="auto" w:before="66"/>
        <w:ind w:right="100"/>
        <w:jc w:val="left"/>
      </w:pPr>
      <w:r>
        <w:rPr>
          <w:spacing w:val="-13"/>
        </w:rPr>
        <w:t>制制度》等进行了修订，制订了《重大信息内部报告制度》、《控参股公司管理办法》、《对外</w:t>
      </w:r>
      <w:r>
        <w:rPr>
          <w:spacing w:val="-78"/>
        </w:rPr>
        <w:t> </w:t>
      </w:r>
      <w:r>
        <w:rPr>
          <w:spacing w:val="-78"/>
        </w:rPr>
      </w:r>
      <w:r>
        <w:rPr>
          <w:spacing w:val="-19"/>
        </w:rPr>
        <w:t>担保制度》、《接待和推广工作制度》、《独立董事年报工作制度》、《审计委员会年报工作规程》</w:t>
      </w:r>
      <w:r>
        <w:rPr/>
        <w:t> </w:t>
      </w:r>
      <w:r>
        <w:rPr>
          <w:spacing w:val="-3"/>
        </w:rPr>
        <w:t>等，通过制度建设进一步完善了公司治理和内部控制，股东大会、董事会、监事会均能按照</w:t>
      </w:r>
      <w:r>
        <w:rPr>
          <w:spacing w:val="-80"/>
        </w:rPr>
        <w:t> </w:t>
      </w:r>
      <w:r>
        <w:rPr>
          <w:spacing w:val="-80"/>
        </w:rPr>
      </w:r>
      <w:r>
        <w:rPr>
          <w:spacing w:val="-3"/>
        </w:rPr>
        <w:t>法律法规的要求规范运作，保证了上市公司各项经营活动的正常开展和进行。公司将坚持不</w:t>
      </w:r>
      <w:r>
        <w:rPr>
          <w:spacing w:val="-79"/>
        </w:rPr>
        <w:t> </w:t>
      </w:r>
      <w:r>
        <w:rPr>
          <w:spacing w:val="-79"/>
        </w:rPr>
      </w:r>
      <w:r>
        <w:rPr>
          <w:spacing w:val="-3"/>
        </w:rPr>
        <w:t>懈地继续深化公司治理工作，进一步健全和完善公司法人治理结构，强化董事、监事和高级</w:t>
      </w:r>
      <w:r>
        <w:rPr>
          <w:spacing w:val="-81"/>
        </w:rPr>
        <w:t> </w:t>
      </w:r>
      <w:r>
        <w:rPr>
          <w:spacing w:val="-81"/>
        </w:rPr>
      </w:r>
      <w:r>
        <w:rPr/>
        <w:t>管理人员的勤勉尽责意识，提高公司规范运作水平，推动公司持续、健康、稳定的发展。</w:t>
      </w:r>
    </w:p>
    <w:p>
      <w:pPr>
        <w:pStyle w:val="BodyText"/>
        <w:spacing w:line="240" w:lineRule="auto" w:before="134"/>
        <w:ind w:left="560" w:right="102"/>
        <w:jc w:val="left"/>
      </w:pPr>
      <w:r>
        <w:rPr>
          <w:spacing w:val="-6"/>
        </w:rPr>
        <w:t>另外，报告期内，根据中国证监会《关于强化持续监管，防止资金占用问题反弹的通知》</w:t>
      </w:r>
    </w:p>
    <w:p>
      <w:pPr>
        <w:pStyle w:val="BodyText"/>
        <w:spacing w:line="240" w:lineRule="auto" w:before="66"/>
        <w:ind w:right="102"/>
        <w:jc w:val="left"/>
      </w:pPr>
      <w:r>
        <w:rPr/>
        <w:t>（上市部函</w:t>
      </w:r>
      <w:r>
        <w:rPr>
          <w:rFonts w:ascii="Times New Roman" w:hAnsi="Times New Roman" w:cs="Times New Roman" w:eastAsia="Times New Roman" w:hint="default"/>
        </w:rPr>
        <w:t>[2008]118</w:t>
      </w:r>
      <w:r>
        <w:rPr>
          <w:rFonts w:ascii="Times New Roman" w:hAnsi="Times New Roman" w:cs="Times New Roman" w:eastAsia="Times New Roman" w:hint="default"/>
          <w:spacing w:val="24"/>
        </w:rPr>
        <w:t> </w:t>
      </w:r>
      <w:r>
        <w:rPr/>
        <w:t>号）和广东证监局《关于做好防止上市公司资金占用问题反弹有关工</w:t>
      </w:r>
    </w:p>
    <w:p>
      <w:pPr>
        <w:spacing w:after="0" w:line="240" w:lineRule="auto"/>
        <w:jc w:val="left"/>
        <w:sectPr>
          <w:pgSz w:w="11910" w:h="16840"/>
          <w:pgMar w:header="400" w:footer="982" w:top="1100" w:bottom="1180" w:left="1660" w:right="1580"/>
        </w:sectPr>
      </w:pPr>
    </w:p>
    <w:p>
      <w:pPr>
        <w:spacing w:line="240" w:lineRule="auto" w:before="1"/>
        <w:rPr>
          <w:rFonts w:ascii="宋体" w:hAnsi="宋体" w:cs="宋体" w:eastAsia="宋体" w:hint="default"/>
          <w:sz w:val="19"/>
          <w:szCs w:val="19"/>
        </w:rPr>
      </w:pPr>
    </w:p>
    <w:p>
      <w:pPr>
        <w:pStyle w:val="BodyText"/>
        <w:spacing w:line="290" w:lineRule="auto" w:before="35"/>
        <w:ind w:right="136"/>
        <w:jc w:val="both"/>
      </w:pPr>
      <w:bookmarkStart w:name="_bookmark5" w:id="6"/>
      <w:bookmarkEnd w:id="6"/>
      <w:r>
        <w:rPr/>
      </w:r>
      <w:r>
        <w:rPr>
          <w:spacing w:val="-7"/>
        </w:rPr>
        <w:t>作的通知》（广东证监</w:t>
      </w:r>
      <w:r>
        <w:rPr>
          <w:rFonts w:ascii="Times New Roman" w:hAnsi="Times New Roman" w:cs="Times New Roman" w:eastAsia="Times New Roman" w:hint="default"/>
          <w:spacing w:val="-7"/>
        </w:rPr>
        <w:t>[2008]92</w:t>
      </w:r>
      <w:r>
        <w:rPr>
          <w:rFonts w:ascii="Times New Roman" w:hAnsi="Times New Roman" w:cs="Times New Roman" w:eastAsia="Times New Roman" w:hint="default"/>
        </w:rPr>
        <w:t> </w:t>
      </w:r>
      <w:r>
        <w:rPr>
          <w:spacing w:val="-1"/>
        </w:rPr>
        <w:t>号）的文件精神和要求，公司迅速组织相关人员成立了以董</w:t>
      </w:r>
      <w:r>
        <w:rPr>
          <w:spacing w:val="-88"/>
        </w:rPr>
        <w:t> </w:t>
      </w:r>
      <w:r>
        <w:rPr>
          <w:spacing w:val="-88"/>
        </w:rPr>
      </w:r>
      <w:r>
        <w:rPr>
          <w:spacing w:val="-3"/>
        </w:rPr>
        <w:t>事长为第一责任人的自查小组，对照相关法律法规，对控股股东及关联方的资金往来情况进</w:t>
      </w:r>
      <w:r>
        <w:rPr>
          <w:spacing w:val="-79"/>
        </w:rPr>
        <w:t> </w:t>
      </w:r>
      <w:r>
        <w:rPr>
          <w:spacing w:val="-79"/>
        </w:rPr>
      </w:r>
      <w:r>
        <w:rPr/>
        <w:t>行了认真的自查和整改。同时，通过五五普法、</w:t>
      </w:r>
      <w:r>
        <w:rPr>
          <w:rFonts w:ascii="Times New Roman" w:hAnsi="Times New Roman" w:cs="Times New Roman" w:eastAsia="Times New Roman" w:hint="default"/>
        </w:rPr>
        <w:t>12.4</w:t>
      </w:r>
      <w:r>
        <w:rPr>
          <w:rFonts w:ascii="Times New Roman" w:hAnsi="Times New Roman" w:cs="Times New Roman" w:eastAsia="Times New Roman" w:hint="default"/>
          <w:spacing w:val="39"/>
        </w:rPr>
        <w:t> </w:t>
      </w:r>
      <w:r>
        <w:rPr/>
        <w:t>普法等活动，组织公司全体董事、监</w:t>
      </w:r>
      <w:r>
        <w:rPr>
          <w:spacing w:val="-97"/>
        </w:rPr>
        <w:t> </w:t>
      </w:r>
      <w:r>
        <w:rPr>
          <w:spacing w:val="-97"/>
        </w:rPr>
      </w:r>
      <w:r>
        <w:rPr>
          <w:spacing w:val="-3"/>
        </w:rPr>
        <w:t>事、高级管理人员、关键岗位工作人员及大股东代表认真学习相关法律法规，切实提高上述</w:t>
      </w:r>
      <w:r>
        <w:rPr>
          <w:spacing w:val="-81"/>
        </w:rPr>
        <w:t> </w:t>
      </w:r>
      <w:r>
        <w:rPr>
          <w:spacing w:val="-81"/>
        </w:rPr>
      </w:r>
      <w:r>
        <w:rPr/>
        <w:t>人员依法经营、防止大股东占用公司资金的自觉性和主动性。</w:t>
      </w:r>
    </w:p>
    <w:p>
      <w:pPr>
        <w:pStyle w:val="BodyText"/>
        <w:spacing w:line="280" w:lineRule="auto" w:before="140"/>
        <w:ind w:right="121" w:firstLine="420"/>
        <w:jc w:val="left"/>
      </w:pPr>
      <w:r>
        <w:rPr/>
        <w:t>《关于控股股东及关联方占用公司资金情况的自查报告公告》刊登在</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1"/>
        </w:rPr>
        <w:t> </w:t>
      </w:r>
      <w:r>
        <w:rPr/>
        <w:t>年</w:t>
      </w:r>
      <w:r>
        <w:rPr>
          <w:spacing w:val="-60"/>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w:t>
      </w:r>
      <w:r>
        <w:rPr>
          <w:spacing w:val="-60"/>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日 的《证券时报》及巨潮资讯网</w:t>
      </w:r>
      <w:r>
        <w:rPr>
          <w:spacing w:val="-65"/>
        </w:rPr>
        <w:t> </w:t>
      </w: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12"/>
        </w:rPr>
        <w:t> </w:t>
      </w:r>
      <w:r>
        <w:rPr/>
        <w:t>上。</w:t>
      </w:r>
    </w:p>
    <w:p>
      <w:pPr>
        <w:spacing w:line="240" w:lineRule="auto" w:before="7"/>
        <w:rPr>
          <w:rFonts w:ascii="宋体" w:hAnsi="宋体" w:cs="宋体" w:eastAsia="宋体" w:hint="default"/>
          <w:sz w:val="27"/>
          <w:szCs w:val="27"/>
        </w:rPr>
      </w:pPr>
    </w:p>
    <w:p>
      <w:pPr>
        <w:pStyle w:val="Heading2"/>
        <w:spacing w:line="240" w:lineRule="auto"/>
        <w:ind w:right="0"/>
        <w:jc w:val="both"/>
        <w:rPr>
          <w:b w:val="0"/>
          <w:bCs w:val="0"/>
        </w:rPr>
      </w:pPr>
      <w:r>
        <w:rPr/>
        <w:t>八、向大股东、实际控制人提供未公开信息情况</w:t>
      </w:r>
      <w:r>
        <w:rPr>
          <w:b w:val="0"/>
          <w:bCs w:val="0"/>
        </w:rPr>
      </w:r>
    </w:p>
    <w:p>
      <w:pPr>
        <w:pStyle w:val="BodyText"/>
        <w:spacing w:line="280" w:lineRule="auto" w:before="128"/>
        <w:ind w:left="139" w:right="122" w:firstLine="420"/>
        <w:jc w:val="left"/>
      </w:pPr>
      <w:r>
        <w:rPr/>
        <w:t>经过自查，公司</w:t>
      </w:r>
      <w:r>
        <w:rPr>
          <w:spacing w:val="-4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年度不存在向大股东、实际控制人提供未公开信息等公司治理非 规范情况。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Heading1"/>
        <w:spacing w:line="240" w:lineRule="auto" w:before="0"/>
        <w:ind w:right="1090"/>
        <w:jc w:val="left"/>
        <w:rPr>
          <w:b w:val="0"/>
          <w:bCs w:val="0"/>
        </w:rPr>
      </w:pPr>
      <w:r>
        <w:rPr/>
        <w:t>第六节</w:t>
      </w:r>
      <w:r>
        <w:rPr>
          <w:spacing w:val="-9"/>
        </w:rPr>
        <w:t> </w:t>
      </w:r>
      <w:r>
        <w:rPr/>
        <w:t>股东大会情况简介</w:t>
      </w:r>
      <w:r>
        <w:rPr>
          <w:b w:val="0"/>
          <w:bCs w:val="0"/>
        </w:rPr>
      </w:r>
    </w:p>
    <w:p>
      <w:pPr>
        <w:spacing w:line="240" w:lineRule="auto" w:before="3"/>
        <w:rPr>
          <w:rFonts w:ascii="宋体" w:hAnsi="宋体" w:cs="宋体" w:eastAsia="宋体" w:hint="default"/>
          <w:b/>
          <w:bCs/>
          <w:sz w:val="39"/>
          <w:szCs w:val="39"/>
        </w:rPr>
      </w:pPr>
    </w:p>
    <w:p>
      <w:pPr>
        <w:pStyle w:val="BodyText"/>
        <w:spacing w:line="290" w:lineRule="auto" w:before="0"/>
        <w:ind w:right="136" w:firstLine="420"/>
        <w:jc w:val="both"/>
      </w:pPr>
      <w:r>
        <w:rPr>
          <w:spacing w:val="-4"/>
        </w:rPr>
        <w:t>报告期内，公司召开了</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次年度股东大会和</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4"/>
        </w:rPr>
        <w:t>次临时股东大会。会议的召集程序、召开</w:t>
      </w:r>
      <w:r>
        <w:rPr/>
        <w:t> </w:t>
      </w:r>
      <w:r>
        <w:rPr>
          <w:spacing w:val="-8"/>
        </w:rPr>
        <w:t>程序、出席会议人员资格及表决程序均符合《公司法》、《上市公司股东大会规则》等法律法</w:t>
      </w:r>
      <w:r>
        <w:rPr>
          <w:spacing w:val="-84"/>
        </w:rPr>
        <w:t> </w:t>
      </w:r>
      <w:r>
        <w:rPr>
          <w:spacing w:val="-84"/>
        </w:rPr>
      </w:r>
      <w:r>
        <w:rPr/>
        <w:t>规、规范性文件和《公司章程》的规定。</w:t>
      </w:r>
    </w:p>
    <w:p>
      <w:pPr>
        <w:pStyle w:val="BodyText"/>
        <w:spacing w:line="240" w:lineRule="auto" w:before="20"/>
        <w:ind w:left="560" w:right="109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年度股东大会</w:t>
      </w:r>
    </w:p>
    <w:p>
      <w:pPr>
        <w:pStyle w:val="BodyText"/>
        <w:spacing w:line="280" w:lineRule="auto"/>
        <w:ind w:left="139" w:right="130" w:firstLine="420"/>
        <w:jc w:val="left"/>
      </w:pPr>
      <w:r>
        <w:rPr/>
        <w:t>公司于</w:t>
      </w:r>
      <w:r>
        <w:rPr>
          <w:spacing w:val="-5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日召开</w:t>
      </w:r>
      <w:r>
        <w:rPr>
          <w:spacing w:val="-5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年度股东大会，会议逐项审议并以记名投票表决的 方式通过了以下议案：</w:t>
      </w:r>
    </w:p>
    <w:p>
      <w:pPr>
        <w:pStyle w:val="BodyText"/>
        <w:spacing w:line="240" w:lineRule="auto" w:before="29"/>
        <w:ind w:left="559" w:right="1090"/>
        <w:jc w:val="left"/>
      </w:pPr>
      <w:r>
        <w:rPr/>
        <w:t>（</w:t>
      </w:r>
      <w:r>
        <w:rPr>
          <w:rFonts w:ascii="Times New Roman" w:hAnsi="Times New Roman" w:cs="Times New Roman" w:eastAsia="Times New Roman" w:hint="default"/>
        </w:rPr>
        <w:t>1</w:t>
      </w:r>
      <w:r>
        <w:rPr>
          <w:spacing w:val="-105"/>
        </w:rPr>
        <w:t>）</w:t>
      </w:r>
      <w:r>
        <w:rPr>
          <w:spacing w:val="-2"/>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07</w:t>
      </w:r>
      <w:r>
        <w:rPr>
          <w:rFonts w:ascii="Times New Roman" w:hAnsi="Times New Roman" w:cs="Times New Roman" w:eastAsia="Times New Roman" w:hint="default"/>
          <w:spacing w:val="-1"/>
        </w:rPr>
        <w:t> </w:t>
      </w:r>
      <w:r>
        <w:rPr/>
        <w:t>年度董事会工作报告</w:t>
      </w:r>
      <w:r>
        <w:rPr>
          <w:spacing w:val="-105"/>
        </w:rPr>
        <w:t>》</w:t>
      </w:r>
      <w:r>
        <w:rPr/>
        <w:t>；</w:t>
      </w:r>
    </w:p>
    <w:p>
      <w:pPr>
        <w:pStyle w:val="BodyText"/>
        <w:spacing w:line="240" w:lineRule="auto"/>
        <w:ind w:left="559" w:right="1090"/>
        <w:jc w:val="left"/>
      </w:pPr>
      <w:r>
        <w:rPr/>
        <w:t>（</w:t>
      </w:r>
      <w:r>
        <w:rPr>
          <w:rFonts w:ascii="Times New Roman" w:hAnsi="Times New Roman" w:cs="Times New Roman" w:eastAsia="Times New Roman" w:hint="default"/>
        </w:rPr>
        <w:t>2</w:t>
      </w:r>
      <w:r>
        <w:rPr>
          <w:spacing w:val="-105"/>
        </w:rPr>
        <w:t>）</w:t>
      </w:r>
      <w:r>
        <w:rPr>
          <w:spacing w:val="-2"/>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07</w:t>
      </w:r>
      <w:r>
        <w:rPr>
          <w:rFonts w:ascii="Times New Roman" w:hAnsi="Times New Roman" w:cs="Times New Roman" w:eastAsia="Times New Roman" w:hint="default"/>
          <w:spacing w:val="-1"/>
        </w:rPr>
        <w:t> </w:t>
      </w:r>
      <w:r>
        <w:rPr/>
        <w:t>年度监事会工作报告</w:t>
      </w:r>
      <w:r>
        <w:rPr>
          <w:spacing w:val="-105"/>
        </w:rPr>
        <w:t>》</w:t>
      </w:r>
      <w:r>
        <w:rPr/>
        <w:t>；</w:t>
      </w:r>
    </w:p>
    <w:p>
      <w:pPr>
        <w:pStyle w:val="BodyText"/>
        <w:spacing w:line="240" w:lineRule="auto"/>
        <w:ind w:left="559" w:right="1090"/>
        <w:jc w:val="left"/>
      </w:pPr>
      <w:r>
        <w:rPr/>
        <w:t>（</w:t>
      </w:r>
      <w:r>
        <w:rPr>
          <w:rFonts w:ascii="Times New Roman" w:hAnsi="Times New Roman" w:cs="Times New Roman" w:eastAsia="Times New Roman" w:hint="default"/>
        </w:rPr>
        <w:t>3</w:t>
      </w:r>
      <w:r>
        <w:rPr>
          <w:spacing w:val="-105"/>
        </w:rPr>
        <w:t>）</w:t>
      </w:r>
      <w:r>
        <w:rPr>
          <w:spacing w:val="-2"/>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07</w:t>
      </w:r>
      <w:r>
        <w:rPr>
          <w:rFonts w:ascii="Times New Roman" w:hAnsi="Times New Roman" w:cs="Times New Roman" w:eastAsia="Times New Roman" w:hint="default"/>
          <w:spacing w:val="-1"/>
        </w:rPr>
        <w:t> </w:t>
      </w:r>
      <w:r>
        <w:rPr/>
        <w:t>年度财务决算报告</w:t>
      </w:r>
      <w:r>
        <w:rPr>
          <w:spacing w:val="-105"/>
        </w:rPr>
        <w:t>》</w:t>
      </w:r>
      <w:r>
        <w:rPr/>
        <w:t>；</w:t>
      </w:r>
    </w:p>
    <w:p>
      <w:pPr>
        <w:pStyle w:val="BodyText"/>
        <w:spacing w:line="240" w:lineRule="auto" w:before="49"/>
        <w:ind w:left="559" w:right="1090"/>
        <w:jc w:val="left"/>
      </w:pPr>
      <w:r>
        <w:rPr/>
        <w:t>（</w:t>
      </w:r>
      <w:r>
        <w:rPr>
          <w:rFonts w:ascii="Times New Roman" w:hAnsi="Times New Roman" w:cs="Times New Roman" w:eastAsia="Times New Roman" w:hint="default"/>
        </w:rPr>
        <w:t>4</w:t>
      </w:r>
      <w:r>
        <w:rPr>
          <w:spacing w:val="-105"/>
        </w:rPr>
        <w:t>）</w:t>
      </w:r>
      <w:r>
        <w:rPr/>
        <w:t>《关</w:t>
      </w:r>
      <w:r>
        <w:rPr>
          <w:spacing w:val="-2"/>
        </w:rPr>
        <w:t>于</w:t>
      </w:r>
      <w:r>
        <w:rPr/>
        <w:t>公司</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7 </w:t>
      </w:r>
      <w:r>
        <w:rPr>
          <w:spacing w:val="-2"/>
        </w:rPr>
        <w:t>年</w:t>
      </w:r>
      <w:r>
        <w:rPr/>
        <w:t>度利润分配及资本公积金转增股本的议案</w:t>
      </w:r>
      <w:r>
        <w:rPr>
          <w:spacing w:val="-105"/>
        </w:rPr>
        <w:t>》</w:t>
      </w:r>
      <w:r>
        <w:rPr/>
        <w:t>；</w:t>
      </w:r>
    </w:p>
    <w:p>
      <w:pPr>
        <w:pStyle w:val="BodyText"/>
        <w:spacing w:line="240" w:lineRule="auto"/>
        <w:ind w:left="559" w:right="1090"/>
        <w:jc w:val="left"/>
      </w:pPr>
      <w:r>
        <w:rPr/>
        <w:t>（</w:t>
      </w:r>
      <w:r>
        <w:rPr>
          <w:rFonts w:ascii="Times New Roman" w:hAnsi="Times New Roman" w:cs="Times New Roman" w:eastAsia="Times New Roman" w:hint="default"/>
        </w:rPr>
        <w:t>5</w:t>
      </w:r>
      <w:r>
        <w:rPr>
          <w:spacing w:val="-105"/>
        </w:rPr>
        <w:t>）</w:t>
      </w:r>
      <w:r>
        <w:rPr/>
        <w:t>《公司</w:t>
      </w:r>
      <w:r>
        <w:rPr>
          <w:spacing w:val="-5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7 </w:t>
      </w:r>
      <w:r>
        <w:rPr/>
        <w:t>年年度</w:t>
      </w:r>
      <w:r>
        <w:rPr>
          <w:spacing w:val="-2"/>
        </w:rPr>
        <w:t>报</w:t>
      </w:r>
      <w:r>
        <w:rPr/>
        <w:t>告及摘要</w:t>
      </w:r>
      <w:r>
        <w:rPr>
          <w:spacing w:val="-105"/>
        </w:rPr>
        <w:t>》</w:t>
      </w:r>
      <w:r>
        <w:rPr/>
        <w:t>；</w:t>
      </w:r>
    </w:p>
    <w:p>
      <w:pPr>
        <w:pStyle w:val="BodyText"/>
        <w:spacing w:line="280" w:lineRule="auto"/>
        <w:ind w:left="139" w:right="130" w:firstLine="420"/>
        <w:jc w:val="left"/>
      </w:pPr>
      <w:r>
        <w:rPr>
          <w:spacing w:val="3"/>
        </w:rPr>
        <w:t>（</w:t>
      </w:r>
      <w:r>
        <w:rPr>
          <w:rFonts w:ascii="Times New Roman" w:hAnsi="Times New Roman" w:cs="Times New Roman" w:eastAsia="Times New Roman" w:hint="default"/>
          <w:spacing w:val="4"/>
        </w:rPr>
        <w:t>6</w:t>
      </w:r>
      <w:r>
        <w:rPr>
          <w:spacing w:val="-103"/>
        </w:rPr>
        <w:t>）</w:t>
      </w:r>
      <w:r>
        <w:rPr>
          <w:spacing w:val="3"/>
        </w:rPr>
        <w:t>《关</w:t>
      </w:r>
      <w:r>
        <w:rPr>
          <w:spacing w:val="2"/>
        </w:rPr>
        <w:t>于</w:t>
      </w:r>
      <w:r>
        <w:rPr>
          <w:spacing w:val="3"/>
        </w:rPr>
        <w:t>公司聘请</w:t>
      </w:r>
      <w:r>
        <w:rPr>
          <w:spacing w:val="2"/>
        </w:rPr>
        <w:t>立</w:t>
      </w:r>
      <w:r>
        <w:rPr>
          <w:spacing w:val="3"/>
        </w:rPr>
        <w:t>信羊城会</w:t>
      </w:r>
      <w:r>
        <w:rPr>
          <w:spacing w:val="2"/>
        </w:rPr>
        <w:t>计</w:t>
      </w:r>
      <w:r>
        <w:rPr>
          <w:spacing w:val="3"/>
        </w:rPr>
        <w:t>师事务所</w:t>
      </w:r>
      <w:r>
        <w:rPr>
          <w:spacing w:val="2"/>
        </w:rPr>
        <w:t>有</w:t>
      </w:r>
      <w:r>
        <w:rPr>
          <w:spacing w:val="3"/>
        </w:rPr>
        <w:t>限公司为</w:t>
      </w:r>
      <w:r>
        <w:rPr>
          <w:spacing w:val="2"/>
        </w:rPr>
        <w:t>公</w:t>
      </w:r>
      <w:r>
        <w:rPr/>
        <w:t>司</w:t>
      </w:r>
      <w:r>
        <w:rPr>
          <w:spacing w:val="3"/>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0</w:t>
      </w:r>
      <w:r>
        <w:rPr>
          <w:rFonts w:ascii="Times New Roman" w:hAnsi="Times New Roman" w:cs="Times New Roman" w:eastAsia="Times New Roman" w:hint="default"/>
        </w:rPr>
        <w:t>8 </w:t>
      </w:r>
      <w:r>
        <w:rPr>
          <w:rFonts w:ascii="Times New Roman" w:hAnsi="Times New Roman" w:cs="Times New Roman" w:eastAsia="Times New Roman" w:hint="default"/>
          <w:spacing w:val="3"/>
        </w:rPr>
        <w:t> </w:t>
      </w:r>
      <w:r>
        <w:rPr>
          <w:spacing w:val="2"/>
        </w:rPr>
        <w:t>年</w:t>
      </w:r>
      <w:r>
        <w:rPr>
          <w:spacing w:val="3"/>
        </w:rPr>
        <w:t>度审计机</w:t>
      </w:r>
      <w:r>
        <w:rPr>
          <w:spacing w:val="2"/>
        </w:rPr>
        <w:t>构</w:t>
      </w:r>
      <w:r>
        <w:rPr>
          <w:spacing w:val="3"/>
        </w:rPr>
        <w:t>的议</w:t>
      </w:r>
      <w:r>
        <w:rPr>
          <w:spacing w:val="3"/>
        </w:rPr>
        <w:t> </w:t>
      </w:r>
      <w:r>
        <w:rPr/>
        <w:t>案</w:t>
      </w:r>
      <w:r>
        <w:rPr>
          <w:spacing w:val="-105"/>
        </w:rPr>
        <w:t>》</w:t>
      </w:r>
      <w:r>
        <w:rPr/>
        <w:t>；</w:t>
      </w:r>
    </w:p>
    <w:p>
      <w:pPr>
        <w:pStyle w:val="BodyText"/>
        <w:spacing w:line="240" w:lineRule="auto" w:before="29"/>
        <w:ind w:left="559" w:right="1090"/>
        <w:jc w:val="left"/>
      </w:pPr>
      <w:r>
        <w:rPr/>
        <w:t>（</w:t>
      </w:r>
      <w:r>
        <w:rPr>
          <w:rFonts w:ascii="Times New Roman" w:hAnsi="Times New Roman" w:cs="Times New Roman" w:eastAsia="Times New Roman" w:hint="default"/>
        </w:rPr>
        <w:t>7</w:t>
      </w:r>
      <w:r>
        <w:rPr>
          <w:spacing w:val="-105"/>
        </w:rPr>
        <w:t>）</w:t>
      </w:r>
      <w:r>
        <w:rPr/>
        <w:t>《关</w:t>
      </w:r>
      <w:r>
        <w:rPr>
          <w:spacing w:val="-2"/>
        </w:rPr>
        <w:t>于</w:t>
      </w:r>
      <w:r>
        <w:rPr/>
        <w:t>增补独立董事的议案</w:t>
      </w:r>
      <w:r>
        <w:rPr>
          <w:spacing w:val="-105"/>
        </w:rPr>
        <w:t>》</w:t>
      </w:r>
      <w:r>
        <w:rPr/>
        <w:t>；</w:t>
      </w:r>
    </w:p>
    <w:p>
      <w:pPr>
        <w:pStyle w:val="BodyText"/>
        <w:spacing w:line="240" w:lineRule="auto"/>
        <w:ind w:left="559" w:right="1090"/>
        <w:jc w:val="left"/>
      </w:pPr>
      <w:r>
        <w:rPr/>
        <w:t>（</w:t>
      </w:r>
      <w:r>
        <w:rPr>
          <w:rFonts w:ascii="Times New Roman" w:hAnsi="Times New Roman" w:cs="Times New Roman" w:eastAsia="Times New Roman" w:hint="default"/>
        </w:rPr>
        <w:t>8</w:t>
      </w:r>
      <w:r>
        <w:rPr>
          <w:spacing w:val="-105"/>
        </w:rPr>
        <w:t>）</w:t>
      </w:r>
      <w:r>
        <w:rPr/>
        <w:t>《关于</w:t>
      </w:r>
      <w:r>
        <w:rPr>
          <w:spacing w:val="-5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8 </w:t>
      </w:r>
      <w:r>
        <w:rPr/>
        <w:t>年银行</w:t>
      </w:r>
      <w:r>
        <w:rPr>
          <w:spacing w:val="-2"/>
        </w:rPr>
        <w:t>综</w:t>
      </w:r>
      <w:r>
        <w:rPr/>
        <w:t>合授信的议案</w:t>
      </w:r>
      <w:r>
        <w:rPr>
          <w:spacing w:val="-105"/>
        </w:rPr>
        <w:t>》</w:t>
      </w:r>
      <w:r>
        <w:rPr/>
        <w:t>；</w:t>
      </w:r>
    </w:p>
    <w:p>
      <w:pPr>
        <w:pStyle w:val="BodyText"/>
        <w:spacing w:line="240" w:lineRule="auto"/>
        <w:ind w:left="559" w:right="1090"/>
        <w:jc w:val="left"/>
      </w:pPr>
      <w:r>
        <w:rPr/>
        <w:t>（</w:t>
      </w:r>
      <w:r>
        <w:rPr>
          <w:rFonts w:ascii="Times New Roman" w:hAnsi="Times New Roman" w:cs="Times New Roman" w:eastAsia="Times New Roman" w:hint="default"/>
        </w:rPr>
        <w:t>9</w:t>
      </w:r>
      <w:r>
        <w:rPr>
          <w:spacing w:val="-105"/>
        </w:rPr>
        <w:t>）</w:t>
      </w:r>
      <w:r>
        <w:rPr/>
        <w:t>《关</w:t>
      </w:r>
      <w:r>
        <w:rPr>
          <w:spacing w:val="-2"/>
        </w:rPr>
        <w:t>联</w:t>
      </w:r>
      <w:r>
        <w:rPr/>
        <w:t>交易管理制度（修订</w:t>
      </w:r>
      <w:r>
        <w:rPr>
          <w:spacing w:val="-105"/>
        </w:rPr>
        <w:t>）</w:t>
      </w:r>
      <w:r>
        <w:rPr>
          <w:spacing w:val="-106"/>
        </w:rPr>
        <w:t>》</w:t>
      </w:r>
      <w:r>
        <w:rPr/>
        <w:t>；</w:t>
      </w:r>
    </w:p>
    <w:p>
      <w:pPr>
        <w:pStyle w:val="BodyText"/>
        <w:spacing w:line="240" w:lineRule="auto" w:before="49"/>
        <w:ind w:left="559" w:right="1090"/>
        <w:jc w:val="left"/>
      </w:pPr>
      <w:r>
        <w:rPr/>
        <w:t>（</w:t>
      </w:r>
      <w:r>
        <w:rPr>
          <w:rFonts w:ascii="Times New Roman" w:hAnsi="Times New Roman" w:cs="Times New Roman" w:eastAsia="Times New Roman" w:hint="default"/>
        </w:rPr>
        <w:t>1</w:t>
      </w:r>
      <w:r>
        <w:rPr>
          <w:rFonts w:ascii="Times New Roman" w:hAnsi="Times New Roman" w:cs="Times New Roman" w:eastAsia="Times New Roman" w:hint="default"/>
          <w:spacing w:val="-1"/>
        </w:rPr>
        <w:t>0</w:t>
      </w:r>
      <w:r>
        <w:rPr>
          <w:spacing w:val="-105"/>
        </w:rPr>
        <w:t>）</w:t>
      </w:r>
      <w:r>
        <w:rPr/>
        <w:t>《募</w:t>
      </w:r>
      <w:r>
        <w:rPr>
          <w:spacing w:val="-2"/>
        </w:rPr>
        <w:t>集</w:t>
      </w:r>
      <w:r>
        <w:rPr/>
        <w:t>资金管理办法（修订</w:t>
      </w:r>
      <w:r>
        <w:rPr>
          <w:spacing w:val="-105"/>
        </w:rPr>
        <w:t>）》</w:t>
      </w:r>
      <w:r>
        <w:rPr/>
        <w:t>；</w:t>
      </w:r>
    </w:p>
    <w:p>
      <w:pPr>
        <w:pStyle w:val="BodyText"/>
        <w:spacing w:line="240" w:lineRule="auto"/>
        <w:ind w:left="560" w:right="1090"/>
        <w:jc w:val="left"/>
      </w:pPr>
      <w:r>
        <w:rPr/>
        <w:t>（</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spacing w:val="-105"/>
        </w:rPr>
        <w:t>）</w:t>
      </w:r>
      <w:r>
        <w:rPr/>
        <w:t>《内</w:t>
      </w:r>
      <w:r>
        <w:rPr>
          <w:spacing w:val="-2"/>
        </w:rPr>
        <w:t>部</w:t>
      </w:r>
      <w:r>
        <w:rPr/>
        <w:t>会计控制制度（修订</w:t>
      </w:r>
      <w:r>
        <w:rPr>
          <w:spacing w:val="-105"/>
        </w:rPr>
        <w:t>）</w:t>
      </w:r>
      <w:r>
        <w:rPr>
          <w:spacing w:val="-106"/>
        </w:rPr>
        <w:t>》</w:t>
      </w:r>
      <w:r>
        <w:rPr/>
        <w:t>；</w:t>
      </w:r>
    </w:p>
    <w:p>
      <w:pPr>
        <w:pStyle w:val="BodyText"/>
        <w:spacing w:line="240" w:lineRule="auto"/>
        <w:ind w:left="560" w:right="1090"/>
        <w:jc w:val="left"/>
      </w:pPr>
      <w:r>
        <w:rPr/>
        <w:t>（</w:t>
      </w:r>
      <w:r>
        <w:rPr>
          <w:rFonts w:ascii="Times New Roman" w:hAnsi="Times New Roman" w:cs="Times New Roman" w:eastAsia="Times New Roman" w:hint="default"/>
        </w:rPr>
        <w:t>1</w:t>
      </w:r>
      <w:r>
        <w:rPr>
          <w:rFonts w:ascii="Times New Roman" w:hAnsi="Times New Roman" w:cs="Times New Roman" w:eastAsia="Times New Roman" w:hint="default"/>
          <w:spacing w:val="-1"/>
        </w:rPr>
        <w:t>2</w:t>
      </w:r>
      <w:r>
        <w:rPr>
          <w:spacing w:val="-105"/>
        </w:rPr>
        <w:t>）</w:t>
      </w:r>
      <w:r>
        <w:rPr/>
        <w:t>《累</w:t>
      </w:r>
      <w:r>
        <w:rPr>
          <w:spacing w:val="-2"/>
        </w:rPr>
        <w:t>积</w:t>
      </w:r>
      <w:r>
        <w:rPr/>
        <w:t>投票制实施细则</w:t>
      </w:r>
      <w:r>
        <w:rPr>
          <w:spacing w:val="-105"/>
        </w:rPr>
        <w:t>》</w:t>
      </w:r>
      <w:r>
        <w:rPr/>
        <w:t>；</w:t>
      </w:r>
    </w:p>
    <w:p>
      <w:pPr>
        <w:pStyle w:val="BodyText"/>
        <w:spacing w:line="280" w:lineRule="auto" w:before="49"/>
        <w:ind w:left="560" w:right="3804"/>
        <w:jc w:val="left"/>
      </w:pPr>
      <w:r>
        <w:rPr>
          <w:spacing w:val="-17"/>
        </w:rPr>
        <w:t>（</w:t>
      </w:r>
      <w:r>
        <w:rPr>
          <w:rFonts w:ascii="Times New Roman" w:hAnsi="Times New Roman" w:cs="Times New Roman" w:eastAsia="Times New Roman" w:hint="default"/>
          <w:spacing w:val="-17"/>
        </w:rPr>
        <w:t>13</w:t>
      </w:r>
      <w:r>
        <w:rPr>
          <w:spacing w:val="-17"/>
        </w:rPr>
        <w:t>）《对外担保制度》。</w:t>
      </w:r>
      <w:r>
        <w:rPr>
          <w:spacing w:val="-97"/>
        </w:rPr>
        <w:t> </w:t>
      </w:r>
      <w:r>
        <w:rPr>
          <w:spacing w:val="-97"/>
        </w:rPr>
      </w:r>
      <w:r>
        <w:rPr/>
        <w:t>公司独立董事在本次股东大会上进行了述职。</w:t>
      </w:r>
    </w:p>
    <w:p>
      <w:pPr>
        <w:pStyle w:val="BodyText"/>
        <w:spacing w:line="240" w:lineRule="auto" w:before="30"/>
        <w:ind w:left="560" w:right="0"/>
        <w:jc w:val="left"/>
      </w:pPr>
      <w:r>
        <w:rPr>
          <w:spacing w:val="18"/>
        </w:rPr>
        <w:t>上述会</w:t>
      </w:r>
      <w:r>
        <w:rPr>
          <w:spacing w:val="-75"/>
        </w:rPr>
        <w:t> </w:t>
      </w:r>
      <w:r>
        <w:rPr>
          <w:spacing w:val="14"/>
        </w:rPr>
        <w:t>议决</w:t>
      </w:r>
      <w:r>
        <w:rPr>
          <w:spacing w:val="-75"/>
        </w:rPr>
        <w:t> </w:t>
      </w:r>
      <w:r>
        <w:rPr>
          <w:spacing w:val="18"/>
        </w:rPr>
        <w:t>议公告</w:t>
      </w:r>
      <w:r>
        <w:rPr>
          <w:spacing w:val="-75"/>
        </w:rPr>
        <w:t> </w:t>
      </w:r>
      <w:r>
        <w:rPr>
          <w:spacing w:val="14"/>
        </w:rPr>
        <w:t>刊登</w:t>
      </w:r>
      <w:r>
        <w:rPr>
          <w:spacing w:val="-75"/>
        </w:rPr>
        <w:t> </w:t>
      </w:r>
      <w:r>
        <w:rPr/>
        <w:t>于</w:t>
      </w:r>
      <w:r>
        <w:rPr>
          <w:spacing w:val="29"/>
        </w:rPr>
        <w:t> </w:t>
      </w:r>
      <w:r>
        <w:rPr>
          <w:rFonts w:ascii="Times New Roman" w:hAnsi="Times New Roman" w:cs="Times New Roman" w:eastAsia="Times New Roman" w:hint="default"/>
        </w:rPr>
        <w:t>2008 </w:t>
      </w:r>
      <w:r>
        <w:rPr>
          <w:rFonts w:ascii="Times New Roman" w:hAnsi="Times New Roman" w:cs="Times New Roman" w:eastAsia="Times New Roman" w:hint="default"/>
          <w:spacing w:val="29"/>
        </w:rPr>
        <w:t> </w:t>
      </w:r>
      <w:r>
        <w:rPr/>
        <w:t>年</w:t>
      </w:r>
      <w:r>
        <w:rPr>
          <w:spacing w:val="29"/>
        </w:rPr>
        <w:t> </w:t>
      </w:r>
      <w:r>
        <w:rPr>
          <w:rFonts w:ascii="Times New Roman" w:hAnsi="Times New Roman" w:cs="Times New Roman" w:eastAsia="Times New Roman" w:hint="default"/>
        </w:rPr>
        <w:t>4 </w:t>
      </w:r>
      <w:r>
        <w:rPr>
          <w:rFonts w:ascii="Times New Roman" w:hAnsi="Times New Roman" w:cs="Times New Roman" w:eastAsia="Times New Roman" w:hint="default"/>
          <w:spacing w:val="30"/>
        </w:rPr>
        <w:t> </w:t>
      </w:r>
      <w:r>
        <w:rPr/>
        <w:t>月</w:t>
      </w:r>
      <w:r>
        <w:rPr>
          <w:spacing w:val="29"/>
        </w:rPr>
        <w:t> </w:t>
      </w:r>
      <w:r>
        <w:rPr>
          <w:rFonts w:ascii="Times New Roman" w:hAnsi="Times New Roman" w:cs="Times New Roman" w:eastAsia="Times New Roman" w:hint="default"/>
        </w:rPr>
        <w:t>19 </w:t>
      </w:r>
      <w:r>
        <w:rPr>
          <w:rFonts w:ascii="Times New Roman" w:hAnsi="Times New Roman" w:cs="Times New Roman" w:eastAsia="Times New Roman" w:hint="default"/>
          <w:spacing w:val="30"/>
        </w:rPr>
        <w:t> </w:t>
      </w:r>
      <w:r>
        <w:rPr>
          <w:spacing w:val="21"/>
        </w:rPr>
        <w:t>日的《证</w:t>
      </w:r>
      <w:r>
        <w:rPr>
          <w:spacing w:val="-75"/>
        </w:rPr>
        <w:t> </w:t>
      </w:r>
      <w:r>
        <w:rPr>
          <w:spacing w:val="18"/>
        </w:rPr>
        <w:t>券时报</w:t>
      </w:r>
      <w:r>
        <w:rPr>
          <w:spacing w:val="-75"/>
        </w:rPr>
        <w:t> </w:t>
      </w:r>
      <w:r>
        <w:rPr>
          <w:spacing w:val="14"/>
        </w:rPr>
        <w:t>》和</w:t>
      </w:r>
      <w:r>
        <w:rPr>
          <w:spacing w:val="-75"/>
        </w:rPr>
        <w:t> </w:t>
      </w:r>
      <w:r>
        <w:rPr>
          <w:spacing w:val="18"/>
        </w:rPr>
        <w:t>巨潮资</w:t>
      </w:r>
      <w:r>
        <w:rPr>
          <w:spacing w:val="-75"/>
        </w:rPr>
        <w:t> </w:t>
      </w:r>
      <w:r>
        <w:rPr>
          <w:spacing w:val="14"/>
        </w:rPr>
        <w:t>讯网</w:t>
      </w:r>
      <w:r>
        <w:rPr>
          <w:spacing w:val="-77"/>
        </w:rPr>
        <w:t> </w:t>
      </w:r>
      <w:r>
        <w:rPr/>
      </w:r>
    </w:p>
    <w:p>
      <w:pPr>
        <w:pStyle w:val="BodyText"/>
        <w:spacing w:line="240" w:lineRule="auto" w:before="49"/>
        <w:ind w:right="0"/>
        <w:jc w:val="both"/>
      </w:pPr>
      <w:hyperlink r:id="rId10">
        <w:r>
          <w:rPr>
            <w:rFonts w:ascii="Times New Roman" w:hAnsi="Times New Roman" w:cs="Times New Roman" w:eastAsia="Times New Roman" w:hint="default"/>
          </w:rPr>
          <w:t>www.cninfo.com.cn</w:t>
        </w:r>
      </w:hyperlink>
      <w:r>
        <w:rPr/>
        <w:t>。</w:t>
      </w:r>
    </w:p>
    <w:p>
      <w:pPr>
        <w:spacing w:after="0" w:line="240" w:lineRule="auto"/>
        <w:jc w:val="both"/>
        <w:sectPr>
          <w:pgSz w:w="11910" w:h="16840"/>
          <w:pgMar w:header="400" w:footer="982" w:top="1100" w:bottom="1180" w:left="1660" w:right="1660"/>
        </w:sectPr>
      </w:pPr>
    </w:p>
    <w:p>
      <w:pPr>
        <w:spacing w:line="240" w:lineRule="auto" w:before="1"/>
        <w:rPr>
          <w:rFonts w:ascii="宋体" w:hAnsi="宋体" w:cs="宋体" w:eastAsia="宋体" w:hint="default"/>
          <w:sz w:val="19"/>
          <w:szCs w:val="19"/>
        </w:rPr>
      </w:pPr>
    </w:p>
    <w:p>
      <w:pPr>
        <w:pStyle w:val="BodyText"/>
        <w:spacing w:line="240" w:lineRule="auto" w:before="35"/>
        <w:ind w:left="560" w:right="102"/>
        <w:jc w:val="left"/>
      </w:pPr>
      <w:bookmarkStart w:name="_bookmark6" w:id="7"/>
      <w:bookmarkEnd w:id="7"/>
      <w:r>
        <w:rPr/>
      </w:r>
      <w:r>
        <w:rPr>
          <w:rFonts w:ascii="Times New Roman" w:hAnsi="Times New Roman" w:cs="Times New Roman" w:eastAsia="Times New Roman" w:hint="default"/>
        </w:rPr>
        <w:t>2</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年第一次临时股东大会</w:t>
      </w:r>
    </w:p>
    <w:p>
      <w:pPr>
        <w:pStyle w:val="BodyText"/>
        <w:spacing w:line="280" w:lineRule="auto"/>
        <w:ind w:left="139" w:right="211" w:firstLine="420"/>
        <w:jc w:val="left"/>
      </w:pPr>
      <w:r>
        <w:rPr/>
        <w:t>公司于</w:t>
      </w:r>
      <w:r>
        <w:rPr>
          <w:spacing w:val="-5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月</w:t>
      </w:r>
      <w:r>
        <w:rPr>
          <w:spacing w:val="-59"/>
        </w:rPr>
        <w:t> </w:t>
      </w:r>
      <w:r>
        <w:rPr>
          <w:rFonts w:ascii="Times New Roman" w:hAnsi="Times New Roman" w:cs="Times New Roman" w:eastAsia="Times New Roman" w:hint="default"/>
        </w:rPr>
        <w:t>22</w:t>
      </w:r>
      <w:r>
        <w:rPr>
          <w:rFonts w:ascii="Times New Roman" w:hAnsi="Times New Roman" w:cs="Times New Roman" w:eastAsia="Times New Roman" w:hint="default"/>
          <w:spacing w:val="-6"/>
        </w:rPr>
        <w:t> </w:t>
      </w:r>
      <w:r>
        <w:rPr/>
        <w:t>日召开了</w:t>
      </w:r>
      <w:r>
        <w:rPr>
          <w:spacing w:val="-5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0"/>
        </w:rPr>
        <w:t> </w:t>
      </w:r>
      <w:r>
        <w:rPr/>
        <w:t>年第一次临时股东大会，会议采取现场投票和网 络投票相结合的方式，审议通过了以下议案：</w:t>
      </w:r>
    </w:p>
    <w:p>
      <w:pPr>
        <w:pStyle w:val="BodyText"/>
        <w:spacing w:line="240" w:lineRule="auto" w:before="30"/>
        <w:ind w:left="559" w:right="102"/>
        <w:jc w:val="left"/>
      </w:pPr>
      <w:r>
        <w:rPr/>
        <w:t>（</w:t>
      </w:r>
      <w:r>
        <w:rPr>
          <w:rFonts w:ascii="Times New Roman" w:hAnsi="Times New Roman" w:cs="Times New Roman" w:eastAsia="Times New Roman" w:hint="default"/>
        </w:rPr>
        <w:t>1</w:t>
      </w:r>
      <w:r>
        <w:rPr>
          <w:spacing w:val="-105"/>
        </w:rPr>
        <w:t>）</w:t>
      </w:r>
      <w:r>
        <w:rPr/>
        <w:t>《公</w:t>
      </w:r>
      <w:r>
        <w:rPr>
          <w:spacing w:val="-2"/>
        </w:rPr>
        <w:t>司</w:t>
      </w:r>
      <w:r>
        <w:rPr/>
        <w:t>章程（修正案</w:t>
      </w:r>
      <w:r>
        <w:rPr>
          <w:spacing w:val="-105"/>
        </w:rPr>
        <w:t>）》</w:t>
      </w:r>
      <w:r>
        <w:rPr/>
        <w:t>。</w:t>
      </w:r>
    </w:p>
    <w:p>
      <w:pPr>
        <w:pStyle w:val="BodyText"/>
        <w:spacing w:line="240" w:lineRule="auto"/>
        <w:ind w:left="559" w:right="0"/>
        <w:jc w:val="left"/>
      </w:pPr>
      <w:r>
        <w:rPr/>
        <w:t>会议决议公告刊登于</w:t>
      </w:r>
      <w:r>
        <w:rPr>
          <w:spacing w:val="-6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年</w:t>
      </w:r>
      <w:r>
        <w:rPr>
          <w:spacing w:val="-61"/>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w:t>
      </w:r>
      <w:r>
        <w:rPr>
          <w:spacing w:val="-61"/>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日</w:t>
      </w:r>
      <w:r>
        <w:rPr>
          <w:spacing w:val="-105"/>
        </w:rPr>
        <w:t>的</w:t>
      </w:r>
      <w:r>
        <w:rPr/>
        <w:t>《证券</w:t>
      </w:r>
      <w:r>
        <w:rPr>
          <w:spacing w:val="-2"/>
        </w:rPr>
        <w:t>时</w:t>
      </w:r>
      <w:r>
        <w:rPr/>
        <w:t>报</w:t>
      </w:r>
      <w:r>
        <w:rPr>
          <w:spacing w:val="-105"/>
        </w:rPr>
        <w:t>》</w:t>
      </w:r>
      <w:r>
        <w:rPr/>
        <w:t>和巨潮</w:t>
      </w:r>
      <w:r>
        <w:rPr>
          <w:spacing w:val="-2"/>
        </w:rPr>
        <w:t>资</w:t>
      </w:r>
      <w:r>
        <w:rPr/>
        <w:t>讯网</w:t>
      </w:r>
      <w:r>
        <w:rPr>
          <w:spacing w:val="-61"/>
        </w:rPr>
        <w:t> </w:t>
      </w:r>
      <w:hyperlink r:id="rId10">
        <w:r>
          <w:rPr>
            <w:rFonts w:ascii="Times New Roman" w:hAnsi="Times New Roman" w:cs="Times New Roman" w:eastAsia="Times New Roman" w:hint="default"/>
            <w:spacing w:val="-1"/>
            <w:w w:val="99"/>
          </w:rPr>
          <w:t>ww</w:t>
        </w:r>
        <w:r>
          <w:rPr>
            <w:rFonts w:ascii="Times New Roman" w:hAnsi="Times New Roman" w:cs="Times New Roman" w:eastAsia="Times New Roman" w:hint="default"/>
            <w:spacing w:val="-14"/>
            <w:w w:val="99"/>
          </w:rPr>
          <w:t>w</w:t>
        </w:r>
        <w:r>
          <w:rPr>
            <w:rFonts w:ascii="Times New Roman" w:hAnsi="Times New Roman" w:cs="Times New Roman" w:eastAsia="Times New Roman" w:hint="default"/>
          </w:rPr>
          <w:t>.cn</w:t>
        </w:r>
        <w:r>
          <w:rPr>
            <w:rFonts w:ascii="Times New Roman" w:hAnsi="Times New Roman" w:cs="Times New Roman" w:eastAsia="Times New Roman" w:hint="default"/>
            <w:spacing w:val="-1"/>
          </w:rPr>
          <w:t>i</w:t>
        </w:r>
        <w:r>
          <w:rPr>
            <w:rFonts w:ascii="Times New Roman" w:hAnsi="Times New Roman" w:cs="Times New Roman" w:eastAsia="Times New Roman" w:hint="default"/>
          </w:rPr>
          <w:t>nfo.</w:t>
        </w:r>
        <w:r>
          <w:rPr>
            <w:rFonts w:ascii="Times New Roman" w:hAnsi="Times New Roman" w:cs="Times New Roman" w:eastAsia="Times New Roman" w:hint="default"/>
            <w:spacing w:val="-1"/>
          </w:rPr>
          <w:t>c</w:t>
        </w:r>
        <w:r>
          <w:rPr>
            <w:rFonts w:ascii="Times New Roman" w:hAnsi="Times New Roman" w:cs="Times New Roman" w:eastAsia="Times New Roman" w:hint="default"/>
          </w:rPr>
          <w:t>o</w:t>
        </w:r>
        <w:r>
          <w:rPr>
            <w:rFonts w:ascii="Times New Roman" w:hAnsi="Times New Roman" w:cs="Times New Roman" w:eastAsia="Times New Roman" w:hint="default"/>
            <w:spacing w:val="-3"/>
          </w:rPr>
          <w:t>m</w:t>
        </w:r>
        <w:r>
          <w:rPr>
            <w:rFonts w:ascii="Times New Roman" w:hAnsi="Times New Roman" w:cs="Times New Roman" w:eastAsia="Times New Roman" w:hint="default"/>
          </w:rPr>
          <w:t>.c</w:t>
        </w:r>
        <w:r>
          <w:rPr>
            <w:rFonts w:ascii="Times New Roman" w:hAnsi="Times New Roman" w:cs="Times New Roman" w:eastAsia="Times New Roman" w:hint="default"/>
            <w:spacing w:val="1"/>
          </w:rPr>
          <w:t>n</w:t>
        </w:r>
      </w:hyperlink>
      <w:r>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8"/>
          <w:szCs w:val="28"/>
        </w:rPr>
      </w:pPr>
    </w:p>
    <w:p>
      <w:pPr>
        <w:pStyle w:val="Heading1"/>
        <w:spacing w:line="240" w:lineRule="auto" w:before="0"/>
        <w:ind w:left="2371" w:right="2447"/>
        <w:jc w:val="center"/>
        <w:rPr>
          <w:b w:val="0"/>
          <w:bCs w:val="0"/>
        </w:rPr>
      </w:pPr>
      <w:r>
        <w:rPr/>
        <w:t>第七节</w:t>
      </w:r>
      <w:r>
        <w:rPr>
          <w:spacing w:val="-6"/>
        </w:rPr>
        <w:t> </w:t>
      </w:r>
      <w:r>
        <w:rPr/>
        <w:t>董事会报告</w:t>
      </w:r>
      <w:r>
        <w:rPr>
          <w:b w:val="0"/>
          <w:bCs w:val="0"/>
        </w:rPr>
      </w:r>
    </w:p>
    <w:p>
      <w:pPr>
        <w:spacing w:line="240" w:lineRule="auto" w:before="6"/>
        <w:rPr>
          <w:rFonts w:ascii="宋体" w:hAnsi="宋体" w:cs="宋体" w:eastAsia="宋体" w:hint="default"/>
          <w:b/>
          <w:bCs/>
          <w:sz w:val="38"/>
          <w:szCs w:val="38"/>
        </w:rPr>
      </w:pPr>
    </w:p>
    <w:p>
      <w:pPr>
        <w:pStyle w:val="Heading2"/>
        <w:spacing w:line="240" w:lineRule="auto"/>
        <w:ind w:right="102"/>
        <w:jc w:val="left"/>
        <w:rPr>
          <w:b w:val="0"/>
          <w:bCs w:val="0"/>
        </w:rPr>
      </w:pPr>
      <w:r>
        <w:rPr/>
        <w:t>一、公司经营情况</w:t>
      </w:r>
      <w:r>
        <w:rPr>
          <w:b w:val="0"/>
          <w:bCs w:val="0"/>
        </w:rPr>
      </w:r>
    </w:p>
    <w:p>
      <w:pPr>
        <w:pStyle w:val="BodyText"/>
        <w:spacing w:line="240" w:lineRule="auto" w:before="128"/>
        <w:ind w:left="560" w:right="102"/>
        <w:jc w:val="left"/>
      </w:pPr>
      <w:r>
        <w:rPr/>
        <w:t>（一）报告期内公司经营情况回顾</w:t>
      </w:r>
    </w:p>
    <w:p>
      <w:pPr>
        <w:spacing w:line="240" w:lineRule="auto" w:before="2"/>
        <w:rPr>
          <w:rFonts w:ascii="宋体" w:hAnsi="宋体" w:cs="宋体" w:eastAsia="宋体" w:hint="default"/>
          <w:sz w:val="14"/>
          <w:szCs w:val="14"/>
        </w:rPr>
      </w:pPr>
    </w:p>
    <w:p>
      <w:pPr>
        <w:pStyle w:val="BodyText"/>
        <w:spacing w:line="379" w:lineRule="auto" w:before="0"/>
        <w:ind w:left="560" w:right="102"/>
        <w:jc w:val="left"/>
      </w:pPr>
      <w:r>
        <w:rPr>
          <w:rFonts w:ascii="Times New Roman" w:hAnsi="Times New Roman" w:cs="Times New Roman" w:eastAsia="Times New Roman" w:hint="default"/>
        </w:rPr>
        <w:t>1</w:t>
      </w:r>
      <w:r>
        <w:rPr/>
        <w:t>、公司总体经营情况 </w:t>
      </w:r>
      <w:r>
        <w:rPr>
          <w:spacing w:val="-3"/>
        </w:rPr>
        <w:t>报告期内，公司克服了人民币贬值、国际金融危机、国内冰雪灾害、汶川大地震等国内</w:t>
      </w:r>
    </w:p>
    <w:p>
      <w:pPr>
        <w:pStyle w:val="BodyText"/>
        <w:spacing w:line="219" w:lineRule="exact" w:before="0"/>
        <w:ind w:right="0"/>
        <w:jc w:val="left"/>
      </w:pPr>
      <w:r>
        <w:rPr/>
        <w:t>外不利因素对公司的影响，经营状况继续保持快速稳健发展态势，公司取得良好经营业绩：</w:t>
      </w:r>
    </w:p>
    <w:p>
      <w:pPr>
        <w:pStyle w:val="BodyText"/>
        <w:spacing w:line="290" w:lineRule="auto" w:before="64"/>
        <w:ind w:left="139" w:right="100"/>
        <w:jc w:val="left"/>
      </w:pPr>
      <w:r>
        <w:rPr/>
        <w:t>客户结构持续改善，行业地位得到进一步巩固和提升，</w:t>
      </w:r>
      <w:r>
        <w:rPr>
          <w:rFonts w:ascii="Times New Roman" w:hAnsi="Times New Roman" w:cs="Times New Roman" w:eastAsia="Times New Roman" w:hint="default"/>
        </w:rPr>
        <w:t>ATM</w:t>
      </w:r>
      <w:r>
        <w:rPr>
          <w:rFonts w:ascii="Times New Roman" w:hAnsi="Times New Roman" w:cs="Times New Roman" w:eastAsia="Times New Roman" w:hint="default"/>
          <w:spacing w:val="28"/>
        </w:rPr>
        <w:t> </w:t>
      </w:r>
      <w:r>
        <w:rPr/>
        <w:t>国内市场占有率已赶超国外竞 争对手，排位第一，而且成为国内第一家由铁道部组织认可的</w:t>
      </w:r>
      <w:r>
        <w:rPr>
          <w:spacing w:val="-63"/>
        </w:rPr>
        <w:t> </w:t>
      </w:r>
      <w:r>
        <w:rPr>
          <w:rFonts w:ascii="Times New Roman" w:hAnsi="Times New Roman" w:cs="Times New Roman" w:eastAsia="Times New Roman" w:hint="default"/>
        </w:rPr>
        <w:t>TVM</w:t>
      </w:r>
      <w:r>
        <w:rPr>
          <w:rFonts w:ascii="Times New Roman" w:hAnsi="Times New Roman" w:cs="Times New Roman" w:eastAsia="Times New Roman" w:hint="default"/>
          <w:spacing w:val="-10"/>
        </w:rPr>
        <w:t> </w:t>
      </w:r>
      <w:r>
        <w:rPr/>
        <w:t>供应商；核心技术产业 </w:t>
      </w:r>
      <w:r>
        <w:rPr>
          <w:spacing w:val="2"/>
        </w:rPr>
        <w:t>化取得实质性进展，核心模块在国外市场取得较好使用效果的前提下已在国内市场推广试</w:t>
      </w:r>
      <w:r>
        <w:rPr>
          <w:spacing w:val="-85"/>
        </w:rPr>
        <w:t> </w:t>
      </w:r>
      <w:r>
        <w:rPr>
          <w:spacing w:val="-85"/>
        </w:rPr>
      </w:r>
      <w:r>
        <w:rPr/>
        <w:t>用，为其规模化生产准备了条件；公司产品陆续批量通过</w:t>
      </w:r>
      <w:r>
        <w:rPr>
          <w:spacing w:val="-62"/>
        </w:rPr>
        <w:t> </w:t>
      </w:r>
      <w:r>
        <w:rPr>
          <w:rFonts w:ascii="Times New Roman" w:hAnsi="Times New Roman" w:cs="Times New Roman" w:eastAsia="Times New Roman" w:hint="default"/>
        </w:rPr>
        <w:t>3C</w:t>
      </w:r>
      <w:r>
        <w:rPr>
          <w:rFonts w:ascii="Times New Roman" w:hAnsi="Times New Roman" w:cs="Times New Roman" w:eastAsia="Times New Roman" w:hint="default"/>
          <w:spacing w:val="-9"/>
        </w:rPr>
        <w:t> </w:t>
      </w:r>
      <w:r>
        <w:rPr>
          <w:spacing w:val="-4"/>
        </w:rPr>
        <w:t>认证、</w:t>
      </w:r>
      <w:r>
        <w:rPr>
          <w:rFonts w:ascii="Times New Roman" w:hAnsi="Times New Roman" w:cs="Times New Roman" w:eastAsia="Times New Roman" w:hint="default"/>
          <w:spacing w:val="-4"/>
        </w:rPr>
        <w:t>FCC</w:t>
      </w:r>
      <w:r>
        <w:rPr>
          <w:rFonts w:ascii="Times New Roman" w:hAnsi="Times New Roman" w:cs="Times New Roman" w:eastAsia="Times New Roman" w:hint="default"/>
          <w:spacing w:val="-9"/>
        </w:rPr>
        <w:t> </w:t>
      </w:r>
      <w:r>
        <w:rPr>
          <w:spacing w:val="-4"/>
        </w:rPr>
        <w:t>认证、</w:t>
      </w:r>
      <w:r>
        <w:rPr>
          <w:rFonts w:ascii="Times New Roman" w:hAnsi="Times New Roman" w:cs="Times New Roman" w:eastAsia="Times New Roman" w:hint="default"/>
          <w:spacing w:val="-4"/>
        </w:rPr>
        <w:t>UL</w:t>
      </w:r>
      <w:r>
        <w:rPr>
          <w:rFonts w:ascii="Times New Roman" w:hAnsi="Times New Roman" w:cs="Times New Roman" w:eastAsia="Times New Roman" w:hint="default"/>
          <w:spacing w:val="-9"/>
        </w:rPr>
        <w:t> </w:t>
      </w:r>
      <w:r>
        <w:rPr/>
        <w:t>认证等， </w:t>
      </w:r>
      <w:r>
        <w:rPr>
          <w:spacing w:val="-3"/>
        </w:rPr>
        <w:t>为公司产品顺利进入国内外市场奠定了基础；公司科学城产业园按时投入使用，改善了生产</w:t>
      </w:r>
      <w:r>
        <w:rPr>
          <w:spacing w:val="-79"/>
        </w:rPr>
        <w:t> </w:t>
      </w:r>
      <w:r>
        <w:rPr>
          <w:spacing w:val="-79"/>
        </w:rPr>
      </w:r>
      <w:r>
        <w:rPr>
          <w:spacing w:val="-5"/>
        </w:rPr>
        <w:t>环境，进一步优化生产流程，有效提升了公司生产效益和生产规模，很好地满足了市场需求；</w:t>
      </w:r>
      <w:r>
        <w:rPr>
          <w:spacing w:val="-98"/>
        </w:rPr>
        <w:t> </w:t>
      </w:r>
      <w:r>
        <w:rPr>
          <w:spacing w:val="-98"/>
        </w:rPr>
      </w:r>
      <w:r>
        <w:rPr>
          <w:spacing w:val="-3"/>
        </w:rPr>
        <w:t>公司服务网络进一步扩充，为公司成功打造了一支服务范围最广、服务规模最大、服务人员</w:t>
      </w:r>
      <w:r>
        <w:rPr>
          <w:spacing w:val="-81"/>
        </w:rPr>
        <w:t> </w:t>
      </w:r>
      <w:r>
        <w:rPr>
          <w:spacing w:val="-81"/>
        </w:rPr>
      </w:r>
      <w:r>
        <w:rPr>
          <w:spacing w:val="-3"/>
        </w:rPr>
        <w:t>最多、服务能力最强的维护队伍，为公司产品销售起到了很好的保驾护航的作用，同时有力</w:t>
      </w:r>
      <w:r>
        <w:rPr>
          <w:spacing w:val="-81"/>
        </w:rPr>
        <w:t> </w:t>
      </w:r>
      <w:r>
        <w:rPr>
          <w:spacing w:val="-81"/>
        </w:rPr>
      </w:r>
      <w:r>
        <w:rPr/>
        <w:t>地壮大并发展了公司维护市场；公司产销利等各项指标同比实现较大幅度的增长。</w:t>
      </w:r>
    </w:p>
    <w:p>
      <w:pPr>
        <w:pStyle w:val="BodyText"/>
        <w:spacing w:line="280" w:lineRule="auto" w:before="142"/>
        <w:ind w:left="139" w:right="218" w:firstLine="420"/>
        <w:jc w:val="both"/>
      </w:pPr>
      <w:r>
        <w:rPr>
          <w:spacing w:val="2"/>
        </w:rPr>
        <w:t>报告期内，公司实现营业总收入 </w:t>
      </w:r>
      <w:r>
        <w:rPr>
          <w:rFonts w:ascii="Times New Roman" w:hAnsi="Times New Roman" w:cs="Times New Roman" w:eastAsia="Times New Roman" w:hint="default"/>
        </w:rPr>
        <w:t>119,997.96 </w:t>
      </w:r>
      <w:r>
        <w:rPr>
          <w:spacing w:val="2"/>
        </w:rPr>
        <w:t>万元，同比增长</w:t>
      </w:r>
      <w:r>
        <w:rPr>
          <w:spacing w:val="29"/>
        </w:rPr>
        <w:t> </w:t>
      </w:r>
      <w:r>
        <w:rPr>
          <w:rFonts w:ascii="Times New Roman" w:hAnsi="Times New Roman" w:cs="Times New Roman" w:eastAsia="Times New Roman" w:hint="default"/>
        </w:rPr>
        <w:t>53.67%</w:t>
      </w:r>
      <w:r>
        <w:rPr/>
        <w:t>；实现营业利润 </w:t>
      </w:r>
      <w:r>
        <w:rPr>
          <w:rFonts w:ascii="Times New Roman" w:hAnsi="Times New Roman" w:cs="Times New Roman" w:eastAsia="Times New Roman" w:hint="default"/>
        </w:rPr>
        <w:t>29,635.00</w:t>
      </w:r>
      <w:r>
        <w:rPr>
          <w:rFonts w:ascii="Times New Roman" w:hAnsi="Times New Roman" w:cs="Times New Roman" w:eastAsia="Times New Roman" w:hint="default"/>
          <w:spacing w:val="2"/>
        </w:rPr>
        <w:t> </w:t>
      </w:r>
      <w:r>
        <w:rPr/>
        <w:t>万元，同比增长</w:t>
      </w:r>
      <w:r>
        <w:rPr>
          <w:spacing w:val="-51"/>
        </w:rPr>
        <w:t> </w:t>
      </w:r>
      <w:r>
        <w:rPr>
          <w:rFonts w:ascii="Times New Roman" w:hAnsi="Times New Roman" w:cs="Times New Roman" w:eastAsia="Times New Roman" w:hint="default"/>
        </w:rPr>
        <w:t>50.75%</w:t>
      </w:r>
      <w:r>
        <w:rPr/>
        <w:t>；实现利润总额</w:t>
      </w:r>
      <w:r>
        <w:rPr>
          <w:spacing w:val="-51"/>
        </w:rPr>
        <w:t> </w:t>
      </w:r>
      <w:r>
        <w:rPr>
          <w:rFonts w:ascii="Times New Roman" w:hAnsi="Times New Roman" w:cs="Times New Roman" w:eastAsia="Times New Roman" w:hint="default"/>
        </w:rPr>
        <w:t>36,309.33</w:t>
      </w:r>
      <w:r>
        <w:rPr>
          <w:rFonts w:ascii="Times New Roman" w:hAnsi="Times New Roman" w:cs="Times New Roman" w:eastAsia="Times New Roman" w:hint="default"/>
          <w:spacing w:val="1"/>
        </w:rPr>
        <w:t> </w:t>
      </w:r>
      <w:r>
        <w:rPr/>
        <w:t>万元，同比增长</w:t>
      </w:r>
      <w:r>
        <w:rPr>
          <w:spacing w:val="-51"/>
        </w:rPr>
        <w:t> </w:t>
      </w:r>
      <w:r>
        <w:rPr>
          <w:rFonts w:ascii="Times New Roman" w:hAnsi="Times New Roman" w:cs="Times New Roman" w:eastAsia="Times New Roman" w:hint="default"/>
        </w:rPr>
        <w:t>40.55%</w:t>
      </w:r>
      <w:r>
        <w:rPr/>
        <w:t>；实现 净利润</w:t>
      </w:r>
      <w:r>
        <w:rPr>
          <w:spacing w:val="-57"/>
        </w:rPr>
        <w:t> </w:t>
      </w:r>
      <w:r>
        <w:rPr>
          <w:rFonts w:ascii="Times New Roman" w:hAnsi="Times New Roman" w:cs="Times New Roman" w:eastAsia="Times New Roman" w:hint="default"/>
        </w:rPr>
        <w:t>33,154.88</w:t>
      </w:r>
      <w:r>
        <w:rPr>
          <w:rFonts w:ascii="Times New Roman" w:hAnsi="Times New Roman" w:cs="Times New Roman" w:eastAsia="Times New Roman" w:hint="default"/>
          <w:spacing w:val="-3"/>
        </w:rPr>
        <w:t> </w:t>
      </w:r>
      <w:r>
        <w:rPr/>
        <w:t>万元，同比增长</w:t>
      </w:r>
      <w:r>
        <w:rPr>
          <w:spacing w:val="-57"/>
        </w:rPr>
        <w:t> </w:t>
      </w:r>
      <w:r>
        <w:rPr>
          <w:rFonts w:ascii="Times New Roman" w:hAnsi="Times New Roman" w:cs="Times New Roman" w:eastAsia="Times New Roman" w:hint="default"/>
        </w:rPr>
        <w:t>43.17%</w:t>
      </w:r>
      <w:r>
        <w:rPr/>
        <w:t>。</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0"/>
          <w:szCs w:val="20"/>
        </w:rPr>
      </w:pPr>
    </w:p>
    <w:p>
      <w:pPr>
        <w:pStyle w:val="BodyText"/>
        <w:spacing w:line="379" w:lineRule="auto" w:before="0"/>
        <w:ind w:left="559" w:right="102"/>
        <w:jc w:val="left"/>
      </w:pPr>
      <w:r>
        <w:rPr>
          <w:rFonts w:ascii="Times New Roman" w:hAnsi="Times New Roman" w:cs="Times New Roman" w:eastAsia="Times New Roman" w:hint="default"/>
        </w:rPr>
        <w:t>2</w:t>
      </w:r>
      <w:r>
        <w:rPr/>
        <w:t>、公司主营业务及其经营状况 </w:t>
      </w:r>
      <w:r>
        <w:rPr>
          <w:spacing w:val="-3"/>
        </w:rPr>
        <w:t>公司经营范围为：“研制、生产、销售电子计算机设备、货币类自助设备、税务应用设</w:t>
      </w:r>
    </w:p>
    <w:p>
      <w:pPr>
        <w:pStyle w:val="BodyText"/>
        <w:spacing w:line="219" w:lineRule="exact" w:before="0"/>
        <w:ind w:left="139" w:right="102"/>
        <w:jc w:val="left"/>
      </w:pPr>
      <w:r>
        <w:rPr>
          <w:spacing w:val="-3"/>
        </w:rPr>
        <w:t>备。电子计算机系统集成及技术服务。电子计算机软件开发。本企业生产产品的技术咨询和</w:t>
      </w:r>
    </w:p>
    <w:p>
      <w:pPr>
        <w:pStyle w:val="BodyText"/>
        <w:spacing w:line="240" w:lineRule="auto" w:before="64"/>
        <w:ind w:left="139" w:right="102"/>
        <w:jc w:val="left"/>
      </w:pPr>
      <w:r>
        <w:rPr/>
        <w:t>售后服务，货物和技术进出口（国家限定经营或禁止进出口的商品和技术除外</w:t>
      </w:r>
      <w:r>
        <w:rPr>
          <w:spacing w:val="-105"/>
        </w:rPr>
        <w:t>）</w:t>
      </w:r>
      <w:r>
        <w:rPr>
          <w:spacing w:val="-106"/>
        </w:rPr>
        <w:t>。</w:t>
      </w:r>
      <w:r>
        <w:rPr/>
        <w:t>”</w:t>
      </w:r>
    </w:p>
    <w:p>
      <w:pPr>
        <w:spacing w:line="240" w:lineRule="auto" w:before="3"/>
        <w:rPr>
          <w:rFonts w:ascii="宋体" w:hAnsi="宋体" w:cs="宋体" w:eastAsia="宋体" w:hint="default"/>
          <w:sz w:val="14"/>
          <w:szCs w:val="14"/>
        </w:rPr>
      </w:pPr>
    </w:p>
    <w:p>
      <w:pPr>
        <w:pStyle w:val="BodyText"/>
        <w:spacing w:line="280" w:lineRule="auto" w:before="0"/>
        <w:ind w:left="139" w:right="204" w:firstLine="420"/>
        <w:jc w:val="left"/>
      </w:pPr>
      <w:r>
        <w:rPr/>
        <w:t>目前，公司的主营业务是 </w:t>
      </w:r>
      <w:r>
        <w:rPr>
          <w:rFonts w:ascii="Times New Roman" w:hAnsi="Times New Roman" w:cs="Times New Roman" w:eastAsia="Times New Roman" w:hint="default"/>
          <w:spacing w:val="-8"/>
        </w:rPr>
        <w:t>ATM </w:t>
      </w:r>
      <w:r>
        <w:rPr/>
        <w:t>和 </w:t>
      </w:r>
      <w:r>
        <w:rPr>
          <w:rFonts w:ascii="Times New Roman" w:hAnsi="Times New Roman" w:cs="Times New Roman" w:eastAsia="Times New Roman" w:hint="default"/>
        </w:rPr>
        <w:t>AFC</w:t>
      </w:r>
      <w:r>
        <w:rPr>
          <w:rFonts w:ascii="Times New Roman" w:hAnsi="Times New Roman" w:cs="Times New Roman" w:eastAsia="Times New Roman" w:hint="default"/>
          <w:spacing w:val="3"/>
        </w:rPr>
        <w:t> </w:t>
      </w:r>
      <w:r>
        <w:rPr/>
        <w:t>等货币自动处理设备及相关系统软件的研发、 生产、销售和服务以及</w:t>
      </w:r>
      <w:r>
        <w:rPr>
          <w:spacing w:val="-54"/>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2"/>
        </w:rPr>
        <w:t> </w:t>
      </w:r>
      <w:r>
        <w:rPr/>
        <w:t>营运业务。</w:t>
      </w:r>
    </w:p>
    <w:p>
      <w:pPr>
        <w:spacing w:after="0" w:line="280" w:lineRule="auto"/>
        <w:jc w:val="left"/>
        <w:sectPr>
          <w:pgSz w:w="11910" w:h="16840"/>
          <w:pgMar w:header="400" w:footer="982" w:top="1100" w:bottom="1180" w:left="1660" w:right="1580"/>
        </w:sectPr>
      </w:pPr>
    </w:p>
    <w:p>
      <w:pPr>
        <w:spacing w:line="240" w:lineRule="auto" w:before="1"/>
        <w:rPr>
          <w:rFonts w:ascii="宋体" w:hAnsi="宋体" w:cs="宋体" w:eastAsia="宋体" w:hint="default"/>
          <w:sz w:val="19"/>
          <w:szCs w:val="19"/>
        </w:rPr>
      </w:pPr>
    </w:p>
    <w:p>
      <w:pPr>
        <w:pStyle w:val="BodyText"/>
        <w:spacing w:line="240" w:lineRule="auto" w:before="35"/>
        <w:ind w:left="1060" w:right="0"/>
        <w:jc w:val="left"/>
      </w:pPr>
      <w:r>
        <w:rPr/>
        <w:t>（</w:t>
      </w:r>
      <w:r>
        <w:rPr>
          <w:rFonts w:ascii="Times New Roman" w:hAnsi="Times New Roman" w:cs="Times New Roman" w:eastAsia="Times New Roman" w:hint="default"/>
        </w:rPr>
        <w:t>1</w:t>
      </w:r>
      <w:r>
        <w:rPr/>
        <w:t>）主营业务分行业、产品情况表</w:t>
      </w:r>
    </w:p>
    <w:p>
      <w:pPr>
        <w:spacing w:line="240" w:lineRule="auto" w:before="4"/>
        <w:rPr>
          <w:rFonts w:ascii="宋体" w:hAnsi="宋体" w:cs="宋体" w:eastAsia="宋体" w:hint="default"/>
          <w:sz w:val="10"/>
          <w:szCs w:val="10"/>
        </w:rPr>
      </w:pPr>
    </w:p>
    <w:p>
      <w:pPr>
        <w:pStyle w:val="BodyText"/>
        <w:spacing w:line="240" w:lineRule="auto" w:before="35"/>
        <w:ind w:left="0" w:right="773"/>
        <w:jc w:val="right"/>
      </w:pPr>
      <w:r>
        <w:rPr/>
        <w:t>单位：元</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80"/>
        <w:gridCol w:w="1439"/>
        <w:gridCol w:w="1541"/>
        <w:gridCol w:w="788"/>
        <w:gridCol w:w="1200"/>
        <w:gridCol w:w="1260"/>
        <w:gridCol w:w="1260"/>
      </w:tblGrid>
      <w:tr>
        <w:trPr>
          <w:trHeight w:val="476" w:hRule="exact"/>
        </w:trPr>
        <w:tc>
          <w:tcPr>
            <w:tcW w:w="1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分产品</w:t>
            </w:r>
          </w:p>
        </w:tc>
        <w:tc>
          <w:tcPr>
            <w:tcW w:w="14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35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40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7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营业利润</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率(%)</w:t>
            </w:r>
          </w:p>
        </w:tc>
        <w:tc>
          <w:tcPr>
            <w:tcW w:w="12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00" w:right="0" w:hanging="46"/>
              <w:jc w:val="left"/>
              <w:rPr>
                <w:rFonts w:ascii="宋体" w:hAnsi="宋体" w:cs="宋体" w:eastAsia="宋体" w:hint="default"/>
                <w:sz w:val="18"/>
                <w:szCs w:val="18"/>
              </w:rPr>
            </w:pPr>
            <w:r>
              <w:rPr>
                <w:rFonts w:ascii="宋体" w:hAnsi="宋体" w:cs="宋体" w:eastAsia="宋体" w:hint="default"/>
                <w:sz w:val="18"/>
                <w:szCs w:val="18"/>
              </w:rPr>
              <w:t>营业收入比上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年增减（%）</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30" w:right="0" w:hanging="46"/>
              <w:jc w:val="left"/>
              <w:rPr>
                <w:rFonts w:ascii="宋体" w:hAnsi="宋体" w:cs="宋体" w:eastAsia="宋体" w:hint="default"/>
                <w:sz w:val="18"/>
                <w:szCs w:val="18"/>
              </w:rPr>
            </w:pPr>
            <w:r>
              <w:rPr>
                <w:rFonts w:ascii="宋体" w:hAnsi="宋体" w:cs="宋体" w:eastAsia="宋体" w:hint="default"/>
                <w:sz w:val="18"/>
                <w:szCs w:val="18"/>
              </w:rPr>
              <w:t>营业成本比上</w:t>
            </w:r>
          </w:p>
          <w:p>
            <w:pPr>
              <w:pStyle w:val="TableParagraph"/>
              <w:spacing w:line="234" w:lineRule="exact"/>
              <w:ind w:left="130" w:right="0"/>
              <w:jc w:val="left"/>
              <w:rPr>
                <w:rFonts w:ascii="宋体" w:hAnsi="宋体" w:cs="宋体" w:eastAsia="宋体" w:hint="default"/>
                <w:sz w:val="18"/>
                <w:szCs w:val="18"/>
              </w:rPr>
            </w:pPr>
            <w:r>
              <w:rPr>
                <w:rFonts w:ascii="宋体" w:hAnsi="宋体" w:cs="宋体" w:eastAsia="宋体" w:hint="default"/>
                <w:sz w:val="18"/>
                <w:szCs w:val="18"/>
              </w:rPr>
              <w:t>年增减（%）</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40" w:right="0" w:firstLine="44"/>
              <w:jc w:val="left"/>
              <w:rPr>
                <w:rFonts w:ascii="宋体" w:hAnsi="宋体" w:cs="宋体" w:eastAsia="宋体" w:hint="default"/>
                <w:sz w:val="18"/>
                <w:szCs w:val="18"/>
              </w:rPr>
            </w:pPr>
            <w:r>
              <w:rPr>
                <w:rFonts w:ascii="宋体" w:hAnsi="宋体" w:cs="宋体" w:eastAsia="宋体" w:hint="default"/>
                <w:sz w:val="18"/>
                <w:szCs w:val="18"/>
              </w:rPr>
              <w:t>营业利润率比</w:t>
            </w:r>
          </w:p>
          <w:p>
            <w:pPr>
              <w:pStyle w:val="TableParagraph"/>
              <w:spacing w:line="234" w:lineRule="exact"/>
              <w:ind w:left="40" w:right="0"/>
              <w:jc w:val="left"/>
              <w:rPr>
                <w:rFonts w:ascii="宋体" w:hAnsi="宋体" w:cs="宋体" w:eastAsia="宋体" w:hint="default"/>
                <w:sz w:val="18"/>
                <w:szCs w:val="18"/>
              </w:rPr>
            </w:pPr>
            <w:r>
              <w:rPr>
                <w:rFonts w:ascii="宋体" w:hAnsi="宋体" w:cs="宋体" w:eastAsia="宋体" w:hint="default"/>
                <w:sz w:val="18"/>
                <w:szCs w:val="18"/>
              </w:rPr>
              <w:t>上年增减（%）</w:t>
            </w:r>
          </w:p>
        </w:tc>
      </w:tr>
      <w:tr>
        <w:trPr>
          <w:trHeight w:val="244"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6"/>
                <w:sz w:val="18"/>
                <w:szCs w:val="18"/>
              </w:rPr>
              <w:t>（1）货币自动处理设备</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1,115,638,150.85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616,513,623.66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44.74%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53.63%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w w:val="95"/>
                <w:sz w:val="18"/>
              </w:rPr>
              <w:t>58.68%</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w w:val="95"/>
                <w:sz w:val="18"/>
              </w:rPr>
              <w:t>-1.76%</w:t>
            </w:r>
            <w:r>
              <w:rPr>
                <w:rFonts w:ascii="Times New Roman"/>
                <w:sz w:val="18"/>
              </w:rPr>
            </w:r>
          </w:p>
        </w:tc>
      </w:tr>
      <w:tr>
        <w:trPr>
          <w:trHeight w:val="244"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其中：ATM</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1,038,666,994.80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569,587,359.55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45.16%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44.46%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w w:val="95"/>
                <w:sz w:val="18"/>
              </w:rPr>
              <w:t>48.31%</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w w:val="95"/>
                <w:sz w:val="18"/>
              </w:rPr>
              <w:t>-1.42%</w:t>
            </w:r>
            <w:r>
              <w:rPr>
                <w:rFonts w:ascii="Times New Roman"/>
                <w:sz w:val="18"/>
              </w:rPr>
            </w:r>
          </w:p>
        </w:tc>
      </w:tr>
      <w:tr>
        <w:trPr>
          <w:trHeight w:val="244"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2" w:right="0"/>
              <w:jc w:val="left"/>
              <w:rPr>
                <w:rFonts w:ascii="宋体" w:hAnsi="宋体" w:cs="宋体" w:eastAsia="宋体" w:hint="default"/>
                <w:sz w:val="18"/>
                <w:szCs w:val="18"/>
              </w:rPr>
            </w:pPr>
            <w:r>
              <w:rPr>
                <w:rFonts w:ascii="宋体"/>
                <w:sz w:val="18"/>
              </w:rPr>
              <w:t>AFC</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76,971,156.05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46,926,264.11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39.03%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w w:val="95"/>
                <w:sz w:val="18"/>
              </w:rPr>
              <w:t>972.92%</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w w:val="95"/>
                <w:sz w:val="18"/>
              </w:rPr>
              <w:t>950.90%</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w w:val="95"/>
                <w:sz w:val="18"/>
              </w:rPr>
              <w:t>1.27%</w:t>
            </w:r>
            <w:r>
              <w:rPr>
                <w:rFonts w:ascii="Times New Roman"/>
                <w:sz w:val="18"/>
              </w:rPr>
            </w:r>
          </w:p>
        </w:tc>
      </w:tr>
      <w:tr>
        <w:trPr>
          <w:trHeight w:val="242"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（2）设备配件</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23,923,112.19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11,530,734.46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51.80%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89.14%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w w:val="95"/>
                <w:sz w:val="18"/>
              </w:rPr>
              <w:t>99.21%</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w w:val="95"/>
                <w:sz w:val="18"/>
              </w:rPr>
              <w:t>-2.44%</w:t>
            </w:r>
            <w:r>
              <w:rPr>
                <w:rFonts w:ascii="Times New Roman"/>
                <w:sz w:val="18"/>
              </w:rPr>
            </w:r>
          </w:p>
        </w:tc>
      </w:tr>
      <w:tr>
        <w:trPr>
          <w:trHeight w:val="244"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（3）设备维护</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29,642,999.53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10,198,893.28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65.59%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54.43%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w w:val="95"/>
                <w:sz w:val="18"/>
              </w:rPr>
              <w:t>9.03%</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w w:val="95"/>
                <w:sz w:val="18"/>
              </w:rPr>
              <w:t>14.32%</w:t>
            </w:r>
            <w:r>
              <w:rPr>
                <w:rFonts w:ascii="Times New Roman"/>
                <w:sz w:val="18"/>
              </w:rPr>
            </w:r>
          </w:p>
        </w:tc>
      </w:tr>
      <w:tr>
        <w:trPr>
          <w:trHeight w:val="244"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（4）ATM</w:t>
            </w:r>
            <w:r>
              <w:rPr>
                <w:rFonts w:ascii="宋体" w:hAnsi="宋体" w:cs="宋体" w:eastAsia="宋体" w:hint="default"/>
                <w:spacing w:val="-46"/>
                <w:sz w:val="18"/>
                <w:szCs w:val="18"/>
              </w:rPr>
              <w:t> </w:t>
            </w:r>
            <w:r>
              <w:rPr>
                <w:rFonts w:ascii="宋体" w:hAnsi="宋体" w:cs="宋体" w:eastAsia="宋体" w:hint="default"/>
                <w:sz w:val="18"/>
                <w:szCs w:val="18"/>
              </w:rPr>
              <w:t>营运</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30,775,290.15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16,826,679.75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45.32%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34.47%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w w:val="95"/>
                <w:sz w:val="18"/>
              </w:rPr>
              <w:t>91.08%</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w w:val="95"/>
                <w:sz w:val="18"/>
              </w:rPr>
              <w:t>-16.20%</w:t>
            </w:r>
            <w:r>
              <w:rPr>
                <w:rFonts w:ascii="Times New Roman"/>
                <w:sz w:val="18"/>
              </w:rPr>
            </w:r>
          </w:p>
        </w:tc>
      </w:tr>
      <w:tr>
        <w:trPr>
          <w:trHeight w:val="244"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tabs>
                <w:tab w:pos="1070" w:val="left" w:leader="none"/>
              </w:tabs>
              <w:spacing w:line="205" w:lineRule="exact"/>
              <w:ind w:left="620"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1,199,979,552.72</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655,069,931.15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45.41%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53.67%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w w:val="95"/>
                <w:sz w:val="18"/>
              </w:rPr>
              <w:t>58.81%</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w w:val="95"/>
                <w:sz w:val="18"/>
              </w:rPr>
              <w:t>-1.77%</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before="35"/>
        <w:ind w:left="1060" w:right="0"/>
        <w:jc w:val="left"/>
      </w:pPr>
      <w:r>
        <w:rPr/>
        <w:t>（</w:t>
      </w:r>
      <w:r>
        <w:rPr>
          <w:rFonts w:ascii="Times New Roman" w:hAnsi="Times New Roman" w:cs="Times New Roman" w:eastAsia="Times New Roman" w:hint="default"/>
        </w:rPr>
        <w:t>2</w:t>
      </w:r>
      <w:r>
        <w:rPr/>
        <w:t>）主营业务分地区情况</w:t>
      </w:r>
    </w:p>
    <w:p>
      <w:pPr>
        <w:spacing w:line="240" w:lineRule="auto" w:before="4"/>
        <w:rPr>
          <w:rFonts w:ascii="宋体" w:hAnsi="宋体" w:cs="宋体" w:eastAsia="宋体" w:hint="default"/>
          <w:sz w:val="10"/>
          <w:szCs w:val="10"/>
        </w:rPr>
      </w:pPr>
    </w:p>
    <w:p>
      <w:pPr>
        <w:pStyle w:val="BodyText"/>
        <w:spacing w:line="240" w:lineRule="auto" w:before="35"/>
        <w:ind w:left="0" w:right="1192"/>
        <w:jc w:val="right"/>
      </w:pPr>
      <w:r>
        <w:rPr/>
        <w:t>单位：元</w:t>
      </w:r>
    </w:p>
    <w:p>
      <w:pPr>
        <w:spacing w:line="240" w:lineRule="auto" w:before="7"/>
        <w:rPr>
          <w:rFonts w:ascii="宋体" w:hAnsi="宋体" w:cs="宋体" w:eastAsia="宋体" w:hint="default"/>
          <w:sz w:val="2"/>
          <w:szCs w:val="2"/>
        </w:rPr>
      </w:pPr>
    </w:p>
    <w:tbl>
      <w:tblPr>
        <w:tblW w:w="0" w:type="auto"/>
        <w:jc w:val="left"/>
        <w:tblInd w:w="923" w:type="dxa"/>
        <w:tblLayout w:type="fixed"/>
        <w:tblCellMar>
          <w:top w:w="0" w:type="dxa"/>
          <w:left w:w="0" w:type="dxa"/>
          <w:bottom w:w="0" w:type="dxa"/>
          <w:right w:w="0" w:type="dxa"/>
        </w:tblCellMar>
        <w:tblLook w:val="01E0"/>
      </w:tblPr>
      <w:tblGrid>
        <w:gridCol w:w="2540"/>
        <w:gridCol w:w="2617"/>
        <w:gridCol w:w="2573"/>
      </w:tblGrid>
      <w:tr>
        <w:trPr>
          <w:trHeight w:val="282" w:hRule="exact"/>
        </w:trPr>
        <w:tc>
          <w:tcPr>
            <w:tcW w:w="254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地区</w:t>
            </w:r>
          </w:p>
        </w:tc>
        <w:tc>
          <w:tcPr>
            <w:tcW w:w="261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573"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55" w:lineRule="exact"/>
              <w:ind w:left="103" w:right="-2"/>
              <w:jc w:val="center"/>
              <w:rPr>
                <w:rFonts w:ascii="宋体" w:hAnsi="宋体" w:cs="宋体" w:eastAsia="宋体" w:hint="default"/>
                <w:sz w:val="21"/>
                <w:szCs w:val="21"/>
              </w:rPr>
            </w:pPr>
            <w:r>
              <w:rPr>
                <w:rFonts w:ascii="宋体" w:hAnsi="宋体" w:cs="宋体" w:eastAsia="宋体" w:hint="default"/>
                <w:spacing w:val="-2"/>
                <w:sz w:val="21"/>
                <w:szCs w:val="21"/>
              </w:rPr>
              <w:t>营业收入比上年增减（</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tc>
      </w:tr>
      <w:tr>
        <w:trPr>
          <w:trHeight w:val="282"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国内</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65"/>
              <w:jc w:val="right"/>
              <w:rPr>
                <w:rFonts w:ascii="Times New Roman" w:hAnsi="Times New Roman" w:cs="Times New Roman" w:eastAsia="Times New Roman" w:hint="default"/>
                <w:sz w:val="21"/>
                <w:szCs w:val="21"/>
              </w:rPr>
            </w:pPr>
            <w:r>
              <w:rPr>
                <w:rFonts w:ascii="Times New Roman"/>
                <w:spacing w:val="-1"/>
                <w:sz w:val="21"/>
              </w:rPr>
              <w:t>1,042,628,986.94</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54.03%</w:t>
            </w:r>
          </w:p>
        </w:tc>
      </w:tr>
      <w:tr>
        <w:trPr>
          <w:trHeight w:val="282"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国外</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92"/>
              <w:jc w:val="right"/>
              <w:rPr>
                <w:rFonts w:ascii="Times New Roman" w:hAnsi="Times New Roman" w:cs="Times New Roman" w:eastAsia="Times New Roman" w:hint="default"/>
                <w:sz w:val="21"/>
                <w:szCs w:val="21"/>
              </w:rPr>
            </w:pPr>
            <w:r>
              <w:rPr>
                <w:rFonts w:ascii="Times New Roman"/>
                <w:spacing w:val="-1"/>
                <w:sz w:val="21"/>
              </w:rPr>
              <w:t>157,350,565.78</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51.33%</w:t>
            </w:r>
          </w:p>
        </w:tc>
      </w:tr>
      <w:tr>
        <w:trPr>
          <w:trHeight w:val="283"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65"/>
              <w:jc w:val="right"/>
              <w:rPr>
                <w:rFonts w:ascii="Times New Roman" w:hAnsi="Times New Roman" w:cs="Times New Roman" w:eastAsia="Times New Roman" w:hint="default"/>
                <w:sz w:val="21"/>
                <w:szCs w:val="21"/>
              </w:rPr>
            </w:pPr>
            <w:r>
              <w:rPr>
                <w:rFonts w:ascii="Times New Roman"/>
                <w:spacing w:val="-1"/>
                <w:sz w:val="21"/>
              </w:rPr>
              <w:t>1,199,979,552.72</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53.67%</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before="35"/>
        <w:ind w:left="1060" w:right="0"/>
        <w:jc w:val="left"/>
      </w:pPr>
      <w:r>
        <w:rPr/>
        <w:t>（</w:t>
      </w:r>
      <w:r>
        <w:rPr>
          <w:rFonts w:ascii="Times New Roman" w:hAnsi="Times New Roman" w:cs="Times New Roman" w:eastAsia="Times New Roman" w:hint="default"/>
        </w:rPr>
        <w:t>3</w:t>
      </w:r>
      <w:r>
        <w:rPr/>
        <w:t>）近三年主要会计数据及财务指标变动情况</w:t>
      </w:r>
    </w:p>
    <w:p>
      <w:pPr>
        <w:spacing w:line="240" w:lineRule="auto" w:before="3"/>
        <w:rPr>
          <w:rFonts w:ascii="宋体" w:hAnsi="宋体" w:cs="宋体" w:eastAsia="宋体" w:hint="default"/>
          <w:sz w:val="10"/>
          <w:szCs w:val="10"/>
        </w:rPr>
      </w:pPr>
    </w:p>
    <w:p>
      <w:pPr>
        <w:pStyle w:val="BodyText"/>
        <w:spacing w:line="240" w:lineRule="auto" w:before="35"/>
        <w:ind w:left="0" w:right="656"/>
        <w:jc w:val="right"/>
      </w:pPr>
      <w:r>
        <w:rPr/>
        <w:t>单位：元</w:t>
      </w:r>
    </w:p>
    <w:p>
      <w:pPr>
        <w:spacing w:line="240" w:lineRule="auto" w:before="7"/>
        <w:rPr>
          <w:rFonts w:ascii="宋体" w:hAnsi="宋体" w:cs="宋体" w:eastAsia="宋体" w:hint="default"/>
          <w:sz w:val="2"/>
          <w:szCs w:val="2"/>
        </w:rPr>
      </w:pPr>
    </w:p>
    <w:tbl>
      <w:tblPr>
        <w:tblW w:w="0" w:type="auto"/>
        <w:jc w:val="left"/>
        <w:tblInd w:w="247" w:type="dxa"/>
        <w:tblLayout w:type="fixed"/>
        <w:tblCellMar>
          <w:top w:w="0" w:type="dxa"/>
          <w:left w:w="0" w:type="dxa"/>
          <w:bottom w:w="0" w:type="dxa"/>
          <w:right w:w="0" w:type="dxa"/>
        </w:tblCellMar>
        <w:tblLook w:val="01E0"/>
      </w:tblPr>
      <w:tblGrid>
        <w:gridCol w:w="2527"/>
        <w:gridCol w:w="1344"/>
        <w:gridCol w:w="1344"/>
        <w:gridCol w:w="1344"/>
        <w:gridCol w:w="1260"/>
        <w:gridCol w:w="1260"/>
      </w:tblGrid>
      <w:tr>
        <w:trPr>
          <w:trHeight w:val="134" w:hRule="exact"/>
        </w:trPr>
        <w:tc>
          <w:tcPr>
            <w:tcW w:w="2527" w:type="dxa"/>
            <w:tcBorders>
              <w:top w:val="single" w:sz="4" w:space="0" w:color="000000"/>
              <w:left w:val="single" w:sz="4" w:space="0" w:color="000000"/>
              <w:bottom w:val="nil" w:sz="6" w:space="0" w:color="auto"/>
              <w:right w:val="single" w:sz="4" w:space="0" w:color="000000"/>
            </w:tcBorders>
            <w:shd w:val="clear" w:color="auto" w:fill="DCDCDC"/>
          </w:tcPr>
          <w:p>
            <w:pPr/>
          </w:p>
        </w:tc>
        <w:tc>
          <w:tcPr>
            <w:tcW w:w="1344" w:type="dxa"/>
            <w:tcBorders>
              <w:top w:val="single" w:sz="4" w:space="0" w:color="000000"/>
              <w:left w:val="single" w:sz="4" w:space="0" w:color="000000"/>
              <w:bottom w:val="nil" w:sz="6" w:space="0" w:color="auto"/>
              <w:right w:val="single" w:sz="4" w:space="0" w:color="000000"/>
            </w:tcBorders>
            <w:shd w:val="clear" w:color="auto" w:fill="DCDCDC"/>
          </w:tcPr>
          <w:p>
            <w:pPr/>
          </w:p>
        </w:tc>
        <w:tc>
          <w:tcPr>
            <w:tcW w:w="1344" w:type="dxa"/>
            <w:tcBorders>
              <w:top w:val="single" w:sz="4" w:space="0" w:color="000000"/>
              <w:left w:val="single" w:sz="4" w:space="0" w:color="000000"/>
              <w:bottom w:val="nil" w:sz="6" w:space="0" w:color="auto"/>
              <w:right w:val="single" w:sz="4" w:space="0" w:color="000000"/>
            </w:tcBorders>
            <w:shd w:val="clear" w:color="auto" w:fill="DCDCDC"/>
          </w:tcPr>
          <w:p>
            <w:pPr/>
          </w:p>
        </w:tc>
        <w:tc>
          <w:tcPr>
            <w:tcW w:w="1344" w:type="dxa"/>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left="217" w:right="0"/>
              <w:jc w:val="left"/>
              <w:rPr>
                <w:rFonts w:ascii="宋体" w:hAnsi="宋体" w:cs="宋体" w:eastAsia="宋体" w:hint="default"/>
                <w:sz w:val="18"/>
                <w:szCs w:val="18"/>
              </w:rPr>
            </w:pPr>
            <w:r>
              <w:rPr>
                <w:rFonts w:ascii="宋体" w:hAnsi="宋体" w:cs="宋体" w:eastAsia="宋体" w:hint="default"/>
                <w:sz w:val="18"/>
                <w:szCs w:val="18"/>
              </w:rPr>
              <w:t>本年比上年</w:t>
            </w:r>
          </w:p>
          <w:p>
            <w:pPr>
              <w:pStyle w:val="TableParagraph"/>
              <w:spacing w:line="235" w:lineRule="exact"/>
              <w:ind w:left="217" w:right="0"/>
              <w:jc w:val="left"/>
              <w:rPr>
                <w:rFonts w:ascii="宋体" w:hAnsi="宋体" w:cs="宋体" w:eastAsia="宋体" w:hint="default"/>
                <w:sz w:val="18"/>
                <w:szCs w:val="18"/>
              </w:rPr>
            </w:pPr>
            <w:r>
              <w:rPr>
                <w:rFonts w:ascii="宋体" w:hAnsi="宋体" w:cs="宋体" w:eastAsia="宋体" w:hint="default"/>
                <w:sz w:val="18"/>
                <w:szCs w:val="18"/>
              </w:rPr>
              <w:t>增减（％）</w:t>
            </w:r>
          </w:p>
        </w:tc>
        <w:tc>
          <w:tcPr>
            <w:tcW w:w="252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19" w:lineRule="exact"/>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09" w:hRule="exact"/>
        </w:trPr>
        <w:tc>
          <w:tcPr>
            <w:tcW w:w="2527" w:type="dxa"/>
            <w:vMerge w:val="restart"/>
            <w:tcBorders>
              <w:top w:val="nil" w:sz="6" w:space="0" w:color="auto"/>
              <w:left w:val="single" w:sz="4" w:space="0" w:color="000000"/>
              <w:right w:val="single" w:sz="4" w:space="0" w:color="000000"/>
            </w:tcBorders>
            <w:shd w:val="clear" w:color="auto" w:fill="DCDCDC"/>
          </w:tcPr>
          <w:p>
            <w:pPr/>
          </w:p>
        </w:tc>
        <w:tc>
          <w:tcPr>
            <w:tcW w:w="1344" w:type="dxa"/>
            <w:vMerge w:val="restart"/>
            <w:tcBorders>
              <w:top w:val="nil" w:sz="6" w:space="0" w:color="auto"/>
              <w:left w:val="single" w:sz="4" w:space="0" w:color="000000"/>
              <w:right w:val="single" w:sz="4" w:space="0" w:color="000000"/>
            </w:tcBorders>
            <w:shd w:val="clear" w:color="auto" w:fill="DCDCDC"/>
          </w:tcPr>
          <w:p>
            <w:pPr>
              <w:pStyle w:val="TableParagraph"/>
              <w:spacing w:line="206" w:lineRule="exact"/>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44" w:type="dxa"/>
            <w:vMerge w:val="restart"/>
            <w:tcBorders>
              <w:top w:val="nil" w:sz="6" w:space="0" w:color="auto"/>
              <w:left w:val="single" w:sz="4" w:space="0" w:color="000000"/>
              <w:right w:val="single" w:sz="4" w:space="0" w:color="000000"/>
            </w:tcBorders>
            <w:shd w:val="clear" w:color="auto" w:fill="DCDCDC"/>
          </w:tcPr>
          <w:p>
            <w:pPr>
              <w:pStyle w:val="TableParagraph"/>
              <w:spacing w:line="206" w:lineRule="exact"/>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44" w:type="dxa"/>
            <w:vMerge/>
            <w:tcBorders>
              <w:left w:val="single" w:sz="4" w:space="0" w:color="000000"/>
              <w:right w:val="single" w:sz="4" w:space="0" w:color="000000"/>
            </w:tcBorders>
            <w:shd w:val="clear" w:color="auto" w:fill="DCDCDC"/>
          </w:tcPr>
          <w:p>
            <w:pPr/>
          </w:p>
        </w:tc>
        <w:tc>
          <w:tcPr>
            <w:tcW w:w="2520" w:type="dxa"/>
            <w:gridSpan w:val="2"/>
            <w:vMerge/>
            <w:tcBorders>
              <w:left w:val="single" w:sz="4" w:space="0" w:color="000000"/>
              <w:bottom w:val="single" w:sz="4" w:space="0" w:color="000000"/>
              <w:right w:val="single" w:sz="4" w:space="0" w:color="000000"/>
            </w:tcBorders>
            <w:shd w:val="clear" w:color="auto" w:fill="DCDCDC"/>
          </w:tcPr>
          <w:p>
            <w:pPr/>
          </w:p>
        </w:tc>
      </w:tr>
      <w:tr>
        <w:trPr>
          <w:trHeight w:val="98" w:hRule="exact"/>
        </w:trPr>
        <w:tc>
          <w:tcPr>
            <w:tcW w:w="2527" w:type="dxa"/>
            <w:vMerge/>
            <w:tcBorders>
              <w:left w:val="single" w:sz="4" w:space="0" w:color="000000"/>
              <w:bottom w:val="nil" w:sz="6" w:space="0" w:color="auto"/>
              <w:right w:val="single" w:sz="4" w:space="0" w:color="000000"/>
            </w:tcBorders>
            <w:shd w:val="clear" w:color="auto" w:fill="DCDCDC"/>
          </w:tcPr>
          <w:p>
            <w:pPr/>
          </w:p>
        </w:tc>
        <w:tc>
          <w:tcPr>
            <w:tcW w:w="1344" w:type="dxa"/>
            <w:vMerge/>
            <w:tcBorders>
              <w:left w:val="single" w:sz="4" w:space="0" w:color="000000"/>
              <w:bottom w:val="nil" w:sz="6" w:space="0" w:color="auto"/>
              <w:right w:val="single" w:sz="4" w:space="0" w:color="000000"/>
            </w:tcBorders>
            <w:shd w:val="clear" w:color="auto" w:fill="DCDCDC"/>
          </w:tcPr>
          <w:p>
            <w:pPr/>
          </w:p>
        </w:tc>
        <w:tc>
          <w:tcPr>
            <w:tcW w:w="1344" w:type="dxa"/>
            <w:vMerge/>
            <w:tcBorders>
              <w:left w:val="single" w:sz="4" w:space="0" w:color="000000"/>
              <w:bottom w:val="nil" w:sz="6" w:space="0" w:color="auto"/>
              <w:right w:val="single" w:sz="4" w:space="0" w:color="000000"/>
            </w:tcBorders>
            <w:shd w:val="clear" w:color="auto" w:fill="DCDCDC"/>
          </w:tcPr>
          <w:p>
            <w:pPr/>
          </w:p>
        </w:tc>
        <w:tc>
          <w:tcPr>
            <w:tcW w:w="1344" w:type="dxa"/>
            <w:vMerge/>
            <w:tcBorders>
              <w:left w:val="single" w:sz="4" w:space="0" w:color="000000"/>
              <w:right w:val="single" w:sz="4" w:space="0" w:color="000000"/>
            </w:tcBorders>
            <w:shd w:val="clear" w:color="auto" w:fill="DCDCDC"/>
          </w:tcPr>
          <w:p>
            <w:pPr/>
          </w:p>
        </w:tc>
        <w:tc>
          <w:tcPr>
            <w:tcW w:w="1260" w:type="dxa"/>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left="35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60" w:type="dxa"/>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left="355"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46" w:hRule="exact"/>
        </w:trPr>
        <w:tc>
          <w:tcPr>
            <w:tcW w:w="2527" w:type="dxa"/>
            <w:tcBorders>
              <w:top w:val="nil" w:sz="6" w:space="0" w:color="auto"/>
              <w:left w:val="single" w:sz="4" w:space="0" w:color="000000"/>
              <w:bottom w:val="single" w:sz="4" w:space="0" w:color="000000"/>
              <w:right w:val="single" w:sz="4" w:space="0" w:color="000000"/>
            </w:tcBorders>
            <w:shd w:val="clear" w:color="auto" w:fill="DCDCDC"/>
          </w:tcPr>
          <w:p>
            <w:pPr/>
          </w:p>
        </w:tc>
        <w:tc>
          <w:tcPr>
            <w:tcW w:w="1344" w:type="dxa"/>
            <w:tcBorders>
              <w:top w:val="nil" w:sz="6" w:space="0" w:color="auto"/>
              <w:left w:val="single" w:sz="4" w:space="0" w:color="000000"/>
              <w:bottom w:val="single" w:sz="4" w:space="0" w:color="000000"/>
              <w:right w:val="single" w:sz="4" w:space="0" w:color="000000"/>
            </w:tcBorders>
            <w:shd w:val="clear" w:color="auto" w:fill="DCDCDC"/>
          </w:tcPr>
          <w:p>
            <w:pPr/>
          </w:p>
        </w:tc>
        <w:tc>
          <w:tcPr>
            <w:tcW w:w="1344" w:type="dxa"/>
            <w:tcBorders>
              <w:top w:val="nil" w:sz="6" w:space="0" w:color="auto"/>
              <w:left w:val="single" w:sz="4" w:space="0" w:color="000000"/>
              <w:bottom w:val="single" w:sz="4" w:space="0" w:color="000000"/>
              <w:right w:val="single" w:sz="4" w:space="0" w:color="000000"/>
            </w:tcBorders>
            <w:shd w:val="clear" w:color="auto" w:fill="DCDCDC"/>
          </w:tcPr>
          <w:p>
            <w:pPr/>
          </w:p>
        </w:tc>
        <w:tc>
          <w:tcPr>
            <w:tcW w:w="1344" w:type="dxa"/>
            <w:vMerge/>
            <w:tcBorders>
              <w:left w:val="single" w:sz="4" w:space="0" w:color="000000"/>
              <w:bottom w:val="single" w:sz="4" w:space="0" w:color="000000"/>
              <w:right w:val="single" w:sz="4" w:space="0" w:color="000000"/>
            </w:tcBorders>
            <w:shd w:val="clear" w:color="auto" w:fill="DCDCDC"/>
          </w:tcPr>
          <w:p>
            <w:pPr/>
          </w:p>
        </w:tc>
        <w:tc>
          <w:tcPr>
            <w:tcW w:w="1260" w:type="dxa"/>
            <w:vMerge/>
            <w:tcBorders>
              <w:left w:val="single" w:sz="4" w:space="0" w:color="000000"/>
              <w:bottom w:val="single" w:sz="4" w:space="0" w:color="000000"/>
              <w:right w:val="single" w:sz="4" w:space="0" w:color="000000"/>
            </w:tcBorders>
            <w:shd w:val="clear" w:color="auto" w:fill="DCDCDC"/>
          </w:tcPr>
          <w:p>
            <w:pPr/>
          </w:p>
        </w:tc>
        <w:tc>
          <w:tcPr>
            <w:tcW w:w="1260" w:type="dxa"/>
            <w:vMerge/>
            <w:tcBorders>
              <w:left w:val="single" w:sz="4" w:space="0" w:color="000000"/>
              <w:bottom w:val="single" w:sz="4" w:space="0" w:color="000000"/>
              <w:right w:val="single" w:sz="4" w:space="0" w:color="000000"/>
            </w:tcBorders>
            <w:shd w:val="clear" w:color="auto" w:fill="DCDCDC"/>
          </w:tcPr>
          <w:p>
            <w:pPr/>
          </w:p>
        </w:tc>
      </w:tr>
      <w:tr>
        <w:trPr>
          <w:trHeight w:val="244"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4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1,199,979,552.72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780,896,518.60</w:t>
            </w:r>
          </w:p>
        </w:tc>
        <w:tc>
          <w:tcPr>
            <w:tcW w:w="1344" w:type="dxa"/>
            <w:tcBorders>
              <w:top w:val="single" w:sz="5" w:space="0" w:color="DCDCDC"/>
              <w:left w:val="single" w:sz="4" w:space="0" w:color="000000"/>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z w:val="18"/>
              </w:rPr>
              <w:t>53.67%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402,734,623.86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402,734,623.86</w:t>
            </w:r>
          </w:p>
        </w:tc>
      </w:tr>
      <w:tr>
        <w:trPr>
          <w:trHeight w:val="244"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344" w:type="dxa"/>
            <w:tcBorders>
              <w:top w:val="single" w:sz="4" w:space="0" w:color="000000"/>
              <w:left w:val="single" w:sz="13" w:space="0" w:color="DCDCDC"/>
              <w:bottom w:val="single" w:sz="4" w:space="0" w:color="000000"/>
              <w:right w:val="single" w:sz="4" w:space="0" w:color="000000"/>
            </w:tcBorders>
          </w:tcPr>
          <w:p>
            <w:pPr>
              <w:pStyle w:val="TableParagraph"/>
              <w:spacing w:line="202" w:lineRule="exact"/>
              <w:ind w:right="19"/>
              <w:jc w:val="right"/>
              <w:rPr>
                <w:rFonts w:ascii="Times New Roman" w:hAnsi="Times New Roman" w:cs="Times New Roman" w:eastAsia="Times New Roman" w:hint="default"/>
                <w:sz w:val="18"/>
                <w:szCs w:val="18"/>
              </w:rPr>
            </w:pPr>
            <w:r>
              <w:rPr>
                <w:rFonts w:ascii="Times New Roman"/>
                <w:spacing w:val="-1"/>
                <w:sz w:val="18"/>
              </w:rPr>
              <w:t>296,349,991.95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196,586,704.69</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w w:val="95"/>
                <w:sz w:val="18"/>
              </w:rPr>
              <w:t>50.75%</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83,507,086.35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83,507,086.35</w:t>
            </w:r>
          </w:p>
        </w:tc>
      </w:tr>
      <w:tr>
        <w:trPr>
          <w:trHeight w:val="244"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4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363,093,273.69</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258,346,502.03</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40.55%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102,247,286.22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102,316,244.05</w:t>
            </w:r>
          </w:p>
        </w:tc>
      </w:tr>
      <w:tr>
        <w:trPr>
          <w:trHeight w:val="242"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34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331,548,801.34</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231,569,801.01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43.17%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89,207,835.46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90,141,692.61</w:t>
            </w:r>
          </w:p>
        </w:tc>
      </w:tr>
      <w:tr>
        <w:trPr>
          <w:trHeight w:val="244"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34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306,588,088.45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241,867,479.09</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26.76%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60,473,672.17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60,473,672.17</w:t>
            </w:r>
          </w:p>
        </w:tc>
      </w:tr>
      <w:tr>
        <w:trPr>
          <w:trHeight w:val="244"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每股收益</w:t>
            </w:r>
          </w:p>
        </w:tc>
        <w:tc>
          <w:tcPr>
            <w:tcW w:w="134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1.16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0.98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w w:val="95"/>
                <w:sz w:val="18"/>
              </w:rPr>
              <w:t>18.37%</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0.42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0.42</w:t>
            </w:r>
          </w:p>
        </w:tc>
      </w:tr>
      <w:tr>
        <w:trPr>
          <w:trHeight w:val="121" w:hRule="exact"/>
        </w:trPr>
        <w:tc>
          <w:tcPr>
            <w:tcW w:w="2527" w:type="dxa"/>
            <w:tcBorders>
              <w:top w:val="single" w:sz="4" w:space="0" w:color="000000"/>
              <w:left w:val="single" w:sz="4" w:space="0" w:color="000000"/>
              <w:bottom w:val="nil" w:sz="6" w:space="0" w:color="auto"/>
              <w:right w:val="single" w:sz="4" w:space="0" w:color="000000"/>
            </w:tcBorders>
            <w:shd w:val="clear" w:color="auto" w:fill="DCDCDC"/>
          </w:tcPr>
          <w:p>
            <w:pPr/>
          </w:p>
        </w:tc>
        <w:tc>
          <w:tcPr>
            <w:tcW w:w="1344" w:type="dxa"/>
            <w:vMerge w:val="restart"/>
            <w:tcBorders>
              <w:top w:val="single" w:sz="4" w:space="0" w:color="000000"/>
              <w:left w:val="single" w:sz="13" w:space="0" w:color="DCDCDC"/>
              <w:right w:val="single" w:sz="4" w:space="0" w:color="000000"/>
            </w:tcBorders>
          </w:tcPr>
          <w:p>
            <w:pPr>
              <w:pStyle w:val="TableParagraph"/>
              <w:spacing w:line="240" w:lineRule="auto" w:before="124"/>
              <w:ind w:left="744" w:right="0"/>
              <w:jc w:val="left"/>
              <w:rPr>
                <w:rFonts w:ascii="Times New Roman" w:hAnsi="Times New Roman" w:cs="Times New Roman" w:eastAsia="Times New Roman" w:hint="default"/>
                <w:sz w:val="18"/>
                <w:szCs w:val="18"/>
              </w:rPr>
            </w:pPr>
            <w:r>
              <w:rPr>
                <w:rFonts w:ascii="Times New Roman"/>
                <w:sz w:val="18"/>
              </w:rPr>
              <w:t>28.19%</w:t>
            </w:r>
          </w:p>
        </w:tc>
        <w:tc>
          <w:tcPr>
            <w:tcW w:w="1344" w:type="dxa"/>
            <w:vMerge w:val="restart"/>
            <w:tcBorders>
              <w:top w:val="single" w:sz="4" w:space="0" w:color="000000"/>
              <w:left w:val="single" w:sz="4" w:space="0" w:color="000000"/>
              <w:right w:val="single" w:sz="4" w:space="0" w:color="000000"/>
            </w:tcBorders>
          </w:tcPr>
          <w:p>
            <w:pPr>
              <w:pStyle w:val="TableParagraph"/>
              <w:spacing w:line="240" w:lineRule="auto" w:before="124"/>
              <w:ind w:left="756" w:right="0"/>
              <w:jc w:val="left"/>
              <w:rPr>
                <w:rFonts w:ascii="Times New Roman" w:hAnsi="Times New Roman" w:cs="Times New Roman" w:eastAsia="Times New Roman" w:hint="default"/>
                <w:sz w:val="18"/>
                <w:szCs w:val="18"/>
              </w:rPr>
            </w:pPr>
            <w:r>
              <w:rPr>
                <w:rFonts w:ascii="Times New Roman"/>
                <w:sz w:val="18"/>
              </w:rPr>
              <w:t>43.78%</w:t>
            </w:r>
          </w:p>
        </w:tc>
        <w:tc>
          <w:tcPr>
            <w:tcW w:w="1344" w:type="dxa"/>
            <w:vMerge w:val="restart"/>
            <w:tcBorders>
              <w:top w:val="single" w:sz="4" w:space="0" w:color="000000"/>
              <w:left w:val="single" w:sz="4" w:space="0" w:color="000000"/>
              <w:right w:val="single" w:sz="4" w:space="0" w:color="000000"/>
            </w:tcBorders>
          </w:tcPr>
          <w:p>
            <w:pPr>
              <w:pStyle w:val="TableParagraph"/>
              <w:spacing w:line="211" w:lineRule="exact"/>
              <w:ind w:right="20"/>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w:t>
            </w:r>
          </w:p>
          <w:p>
            <w:pPr>
              <w:pStyle w:val="TableParagraph"/>
              <w:spacing w:line="228" w:lineRule="exact"/>
              <w:ind w:right="20"/>
              <w:jc w:val="right"/>
              <w:rPr>
                <w:rFonts w:ascii="宋体" w:hAnsi="宋体" w:cs="宋体" w:eastAsia="宋体" w:hint="default"/>
                <w:sz w:val="18"/>
                <w:szCs w:val="18"/>
              </w:rPr>
            </w:pPr>
            <w:r>
              <w:rPr>
                <w:rFonts w:ascii="宋体" w:hAnsi="宋体" w:cs="宋体" w:eastAsia="宋体" w:hint="default"/>
                <w:sz w:val="18"/>
                <w:szCs w:val="18"/>
              </w:rPr>
              <w:t>分点</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124"/>
              <w:ind w:left="672" w:right="0"/>
              <w:jc w:val="left"/>
              <w:rPr>
                <w:rFonts w:ascii="Times New Roman" w:hAnsi="Times New Roman" w:cs="Times New Roman" w:eastAsia="Times New Roman" w:hint="default"/>
                <w:sz w:val="18"/>
                <w:szCs w:val="18"/>
              </w:rPr>
            </w:pPr>
            <w:r>
              <w:rPr>
                <w:rFonts w:ascii="Times New Roman"/>
                <w:sz w:val="18"/>
              </w:rPr>
              <w:t>47.37%</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124"/>
              <w:ind w:left="671" w:right="0"/>
              <w:jc w:val="left"/>
              <w:rPr>
                <w:rFonts w:ascii="Times New Roman" w:hAnsi="Times New Roman" w:cs="Times New Roman" w:eastAsia="Times New Roman" w:hint="default"/>
                <w:sz w:val="18"/>
                <w:szCs w:val="18"/>
              </w:rPr>
            </w:pPr>
            <w:r>
              <w:rPr>
                <w:rFonts w:ascii="Times New Roman"/>
                <w:sz w:val="18"/>
              </w:rPr>
              <w:t>47.31%</w:t>
            </w:r>
          </w:p>
        </w:tc>
      </w:tr>
      <w:tr>
        <w:trPr>
          <w:trHeight w:val="234" w:hRule="exact"/>
        </w:trPr>
        <w:tc>
          <w:tcPr>
            <w:tcW w:w="252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344" w:type="dxa"/>
            <w:vMerge/>
            <w:tcBorders>
              <w:left w:val="single" w:sz="13" w:space="0" w:color="DCDCDC"/>
              <w:right w:val="single" w:sz="4" w:space="0" w:color="000000"/>
            </w:tcBorders>
          </w:tcPr>
          <w:p>
            <w:pPr/>
          </w:p>
        </w:tc>
        <w:tc>
          <w:tcPr>
            <w:tcW w:w="1344" w:type="dxa"/>
            <w:vMerge/>
            <w:tcBorders>
              <w:left w:val="single" w:sz="4" w:space="0" w:color="000000"/>
              <w:right w:val="single" w:sz="4" w:space="0" w:color="000000"/>
            </w:tcBorders>
          </w:tcPr>
          <w:p>
            <w:pPr/>
          </w:p>
        </w:tc>
        <w:tc>
          <w:tcPr>
            <w:tcW w:w="1344"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122" w:hRule="exact"/>
        </w:trPr>
        <w:tc>
          <w:tcPr>
            <w:tcW w:w="2527" w:type="dxa"/>
            <w:tcBorders>
              <w:top w:val="nil" w:sz="6" w:space="0" w:color="auto"/>
              <w:left w:val="single" w:sz="4" w:space="0" w:color="000000"/>
              <w:bottom w:val="single" w:sz="4" w:space="0" w:color="000000"/>
              <w:right w:val="single" w:sz="4" w:space="0" w:color="000000"/>
            </w:tcBorders>
            <w:shd w:val="clear" w:color="auto" w:fill="DCDCDC"/>
          </w:tcPr>
          <w:p>
            <w:pPr/>
          </w:p>
        </w:tc>
        <w:tc>
          <w:tcPr>
            <w:tcW w:w="1344" w:type="dxa"/>
            <w:vMerge/>
            <w:tcBorders>
              <w:left w:val="single" w:sz="13" w:space="0" w:color="DCDCDC"/>
              <w:bottom w:val="single" w:sz="47" w:space="0" w:color="DCDCDC"/>
              <w:right w:val="single" w:sz="4" w:space="0" w:color="000000"/>
            </w:tcBorders>
          </w:tcPr>
          <w:p>
            <w:pPr/>
          </w:p>
        </w:tc>
        <w:tc>
          <w:tcPr>
            <w:tcW w:w="1344" w:type="dxa"/>
            <w:vMerge/>
            <w:tcBorders>
              <w:left w:val="single" w:sz="4" w:space="0" w:color="000000"/>
              <w:bottom w:val="single" w:sz="47" w:space="0" w:color="DCDCDC"/>
              <w:right w:val="single" w:sz="4" w:space="0" w:color="000000"/>
            </w:tcBorders>
          </w:tcPr>
          <w:p>
            <w:pPr/>
          </w:p>
        </w:tc>
        <w:tc>
          <w:tcPr>
            <w:tcW w:w="1344"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r>
      <w:tr>
        <w:trPr>
          <w:trHeight w:val="134" w:hRule="exact"/>
        </w:trPr>
        <w:tc>
          <w:tcPr>
            <w:tcW w:w="2527" w:type="dxa"/>
            <w:tcBorders>
              <w:top w:val="single" w:sz="4" w:space="0" w:color="000000"/>
              <w:left w:val="single" w:sz="4" w:space="0" w:color="000000"/>
              <w:bottom w:val="nil" w:sz="6" w:space="0" w:color="auto"/>
              <w:right w:val="single" w:sz="4" w:space="0" w:color="000000"/>
            </w:tcBorders>
            <w:shd w:val="clear" w:color="auto" w:fill="DCDCDC"/>
          </w:tcPr>
          <w:p>
            <w:pPr/>
          </w:p>
        </w:tc>
        <w:tc>
          <w:tcPr>
            <w:tcW w:w="1344" w:type="dxa"/>
            <w:tcBorders>
              <w:top w:val="single" w:sz="4" w:space="0" w:color="000000"/>
              <w:left w:val="single" w:sz="4" w:space="0" w:color="000000"/>
              <w:bottom w:val="nil" w:sz="6" w:space="0" w:color="auto"/>
              <w:right w:val="single" w:sz="4" w:space="0" w:color="000000"/>
            </w:tcBorders>
            <w:shd w:val="clear" w:color="auto" w:fill="DCDCDC"/>
          </w:tcPr>
          <w:p>
            <w:pPr/>
          </w:p>
        </w:tc>
        <w:tc>
          <w:tcPr>
            <w:tcW w:w="1344" w:type="dxa"/>
            <w:tcBorders>
              <w:top w:val="single" w:sz="4" w:space="0" w:color="000000"/>
              <w:left w:val="single" w:sz="4" w:space="0" w:color="000000"/>
              <w:bottom w:val="nil" w:sz="6" w:space="0" w:color="auto"/>
              <w:right w:val="single" w:sz="4" w:space="0" w:color="000000"/>
            </w:tcBorders>
            <w:shd w:val="clear" w:color="auto" w:fill="DCDCDC"/>
          </w:tcPr>
          <w:p>
            <w:pPr/>
          </w:p>
        </w:tc>
        <w:tc>
          <w:tcPr>
            <w:tcW w:w="1344" w:type="dxa"/>
            <w:vMerge w:val="restart"/>
            <w:tcBorders>
              <w:top w:val="single" w:sz="4" w:space="0" w:color="000000"/>
              <w:left w:val="single" w:sz="4" w:space="0" w:color="000000"/>
              <w:right w:val="single" w:sz="4" w:space="0" w:color="000000"/>
            </w:tcBorders>
            <w:shd w:val="clear" w:color="auto" w:fill="DCDCD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本年末比上年末</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增减（％）</w:t>
            </w:r>
          </w:p>
        </w:tc>
        <w:tc>
          <w:tcPr>
            <w:tcW w:w="252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19" w:lineRule="exact"/>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08" w:hRule="exact"/>
        </w:trPr>
        <w:tc>
          <w:tcPr>
            <w:tcW w:w="2527" w:type="dxa"/>
            <w:vMerge w:val="restart"/>
            <w:tcBorders>
              <w:top w:val="nil" w:sz="6" w:space="0" w:color="auto"/>
              <w:left w:val="single" w:sz="4" w:space="0" w:color="000000"/>
              <w:right w:val="single" w:sz="4" w:space="0" w:color="000000"/>
            </w:tcBorders>
            <w:shd w:val="clear" w:color="auto" w:fill="DCDCDC"/>
          </w:tcPr>
          <w:p>
            <w:pPr/>
          </w:p>
        </w:tc>
        <w:tc>
          <w:tcPr>
            <w:tcW w:w="1344" w:type="dxa"/>
            <w:vMerge w:val="restart"/>
            <w:tcBorders>
              <w:top w:val="nil" w:sz="6" w:space="0" w:color="auto"/>
              <w:left w:val="single" w:sz="4" w:space="0" w:color="000000"/>
              <w:right w:val="single" w:sz="4" w:space="0" w:color="000000"/>
            </w:tcBorders>
            <w:shd w:val="clear" w:color="auto" w:fill="DCDCDC"/>
          </w:tcPr>
          <w:p>
            <w:pPr>
              <w:pStyle w:val="TableParagraph"/>
              <w:spacing w:line="206"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344" w:type="dxa"/>
            <w:vMerge w:val="restart"/>
            <w:tcBorders>
              <w:top w:val="nil" w:sz="6" w:space="0" w:color="auto"/>
              <w:left w:val="single" w:sz="4" w:space="0" w:color="000000"/>
              <w:right w:val="single" w:sz="4" w:space="0" w:color="000000"/>
            </w:tcBorders>
            <w:shd w:val="clear" w:color="auto" w:fill="DCDCDC"/>
          </w:tcPr>
          <w:p>
            <w:pPr>
              <w:pStyle w:val="TableParagraph"/>
              <w:spacing w:line="206"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344" w:type="dxa"/>
            <w:vMerge/>
            <w:tcBorders>
              <w:left w:val="single" w:sz="4" w:space="0" w:color="000000"/>
              <w:right w:val="single" w:sz="4" w:space="0" w:color="000000"/>
            </w:tcBorders>
            <w:shd w:val="clear" w:color="auto" w:fill="DCDCDC"/>
          </w:tcPr>
          <w:p>
            <w:pPr/>
          </w:p>
        </w:tc>
        <w:tc>
          <w:tcPr>
            <w:tcW w:w="2520" w:type="dxa"/>
            <w:gridSpan w:val="2"/>
            <w:vMerge/>
            <w:tcBorders>
              <w:left w:val="single" w:sz="4" w:space="0" w:color="000000"/>
              <w:bottom w:val="single" w:sz="4" w:space="0" w:color="000000"/>
              <w:right w:val="single" w:sz="4" w:space="0" w:color="000000"/>
            </w:tcBorders>
            <w:shd w:val="clear" w:color="auto" w:fill="DCDCDC"/>
          </w:tcPr>
          <w:p>
            <w:pPr/>
          </w:p>
        </w:tc>
      </w:tr>
      <w:tr>
        <w:trPr>
          <w:trHeight w:val="98" w:hRule="exact"/>
        </w:trPr>
        <w:tc>
          <w:tcPr>
            <w:tcW w:w="2527" w:type="dxa"/>
            <w:vMerge/>
            <w:tcBorders>
              <w:left w:val="single" w:sz="4" w:space="0" w:color="000000"/>
              <w:bottom w:val="nil" w:sz="6" w:space="0" w:color="auto"/>
              <w:right w:val="single" w:sz="4" w:space="0" w:color="000000"/>
            </w:tcBorders>
            <w:shd w:val="clear" w:color="auto" w:fill="DCDCDC"/>
          </w:tcPr>
          <w:p>
            <w:pPr/>
          </w:p>
        </w:tc>
        <w:tc>
          <w:tcPr>
            <w:tcW w:w="1344" w:type="dxa"/>
            <w:vMerge/>
            <w:tcBorders>
              <w:left w:val="single" w:sz="4" w:space="0" w:color="000000"/>
              <w:bottom w:val="nil" w:sz="6" w:space="0" w:color="auto"/>
              <w:right w:val="single" w:sz="4" w:space="0" w:color="000000"/>
            </w:tcBorders>
            <w:shd w:val="clear" w:color="auto" w:fill="DCDCDC"/>
          </w:tcPr>
          <w:p>
            <w:pPr/>
          </w:p>
        </w:tc>
        <w:tc>
          <w:tcPr>
            <w:tcW w:w="1344" w:type="dxa"/>
            <w:vMerge/>
            <w:tcBorders>
              <w:left w:val="single" w:sz="4" w:space="0" w:color="000000"/>
              <w:bottom w:val="nil" w:sz="6" w:space="0" w:color="auto"/>
              <w:right w:val="single" w:sz="4" w:space="0" w:color="000000"/>
            </w:tcBorders>
            <w:shd w:val="clear" w:color="auto" w:fill="DCDCDC"/>
          </w:tcPr>
          <w:p>
            <w:pPr/>
          </w:p>
        </w:tc>
        <w:tc>
          <w:tcPr>
            <w:tcW w:w="1344" w:type="dxa"/>
            <w:vMerge/>
            <w:tcBorders>
              <w:left w:val="single" w:sz="4" w:space="0" w:color="000000"/>
              <w:right w:val="single" w:sz="4" w:space="0" w:color="000000"/>
            </w:tcBorders>
            <w:shd w:val="clear" w:color="auto" w:fill="DCDCDC"/>
          </w:tcPr>
          <w:p>
            <w:pPr/>
          </w:p>
        </w:tc>
        <w:tc>
          <w:tcPr>
            <w:tcW w:w="1260" w:type="dxa"/>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left="35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60" w:type="dxa"/>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left="355"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46" w:hRule="exact"/>
        </w:trPr>
        <w:tc>
          <w:tcPr>
            <w:tcW w:w="2527" w:type="dxa"/>
            <w:tcBorders>
              <w:top w:val="nil" w:sz="6" w:space="0" w:color="auto"/>
              <w:left w:val="single" w:sz="4" w:space="0" w:color="000000"/>
              <w:bottom w:val="single" w:sz="4" w:space="0" w:color="000000"/>
              <w:right w:val="single" w:sz="4" w:space="0" w:color="000000"/>
            </w:tcBorders>
            <w:shd w:val="clear" w:color="auto" w:fill="DCDCDC"/>
          </w:tcPr>
          <w:p>
            <w:pPr/>
          </w:p>
        </w:tc>
        <w:tc>
          <w:tcPr>
            <w:tcW w:w="1344" w:type="dxa"/>
            <w:tcBorders>
              <w:top w:val="nil" w:sz="6" w:space="0" w:color="auto"/>
              <w:left w:val="single" w:sz="4" w:space="0" w:color="000000"/>
              <w:bottom w:val="single" w:sz="4" w:space="0" w:color="000000"/>
              <w:right w:val="single" w:sz="4" w:space="0" w:color="000000"/>
            </w:tcBorders>
            <w:shd w:val="clear" w:color="auto" w:fill="DCDCDC"/>
          </w:tcPr>
          <w:p>
            <w:pPr/>
          </w:p>
        </w:tc>
        <w:tc>
          <w:tcPr>
            <w:tcW w:w="1344" w:type="dxa"/>
            <w:tcBorders>
              <w:top w:val="nil" w:sz="6" w:space="0" w:color="auto"/>
              <w:left w:val="single" w:sz="4" w:space="0" w:color="000000"/>
              <w:bottom w:val="single" w:sz="4" w:space="0" w:color="000000"/>
              <w:right w:val="single" w:sz="4" w:space="0" w:color="000000"/>
            </w:tcBorders>
            <w:shd w:val="clear" w:color="auto" w:fill="DCDCDC"/>
          </w:tcPr>
          <w:p>
            <w:pPr/>
          </w:p>
        </w:tc>
        <w:tc>
          <w:tcPr>
            <w:tcW w:w="1344" w:type="dxa"/>
            <w:vMerge/>
            <w:tcBorders>
              <w:left w:val="single" w:sz="4" w:space="0" w:color="000000"/>
              <w:bottom w:val="single" w:sz="4" w:space="0" w:color="000000"/>
              <w:right w:val="single" w:sz="4" w:space="0" w:color="000000"/>
            </w:tcBorders>
            <w:shd w:val="clear" w:color="auto" w:fill="DCDCDC"/>
          </w:tcPr>
          <w:p>
            <w:pPr/>
          </w:p>
        </w:tc>
        <w:tc>
          <w:tcPr>
            <w:tcW w:w="1260" w:type="dxa"/>
            <w:vMerge/>
            <w:tcBorders>
              <w:left w:val="single" w:sz="4" w:space="0" w:color="000000"/>
              <w:bottom w:val="single" w:sz="4" w:space="0" w:color="000000"/>
              <w:right w:val="single" w:sz="4" w:space="0" w:color="000000"/>
            </w:tcBorders>
            <w:shd w:val="clear" w:color="auto" w:fill="DCDCDC"/>
          </w:tcPr>
          <w:p>
            <w:pPr/>
          </w:p>
        </w:tc>
        <w:tc>
          <w:tcPr>
            <w:tcW w:w="1260" w:type="dxa"/>
            <w:vMerge/>
            <w:tcBorders>
              <w:left w:val="single" w:sz="4" w:space="0" w:color="000000"/>
              <w:bottom w:val="single" w:sz="4" w:space="0" w:color="000000"/>
              <w:right w:val="single" w:sz="4" w:space="0" w:color="000000"/>
            </w:tcBorders>
            <w:shd w:val="clear" w:color="auto" w:fill="DCDCDC"/>
          </w:tcPr>
          <w:p>
            <w:pPr/>
          </w:p>
        </w:tc>
      </w:tr>
      <w:tr>
        <w:trPr>
          <w:trHeight w:val="244"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34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2,077,976,790.83</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1,613,531,071.82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w w:val="95"/>
                <w:sz w:val="18"/>
              </w:rPr>
              <w:t>28.78%</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595,404,810.10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598,074,836.12</w:t>
            </w:r>
          </w:p>
        </w:tc>
      </w:tr>
      <w:tr>
        <w:trPr>
          <w:trHeight w:val="478" w:hRule="exact"/>
        </w:trPr>
        <w:tc>
          <w:tcPr>
            <w:tcW w:w="2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pacing w:val="9"/>
                <w:sz w:val="18"/>
                <w:szCs w:val="18"/>
              </w:rPr>
              <w:t>归属于上市公司股东的所有者</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权益（或股东权益）</w:t>
            </w:r>
          </w:p>
        </w:tc>
        <w:tc>
          <w:tcPr>
            <w:tcW w:w="134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pacing w:val="-1"/>
                <w:sz w:val="18"/>
              </w:rPr>
              <w:t>1,330,005,376.24</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pacing w:val="-1"/>
                <w:sz w:val="18"/>
              </w:rPr>
              <w:t>1,027,048,579.06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w w:val="95"/>
                <w:sz w:val="18"/>
              </w:rPr>
              <w:t>29.50%</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pacing w:val="-1"/>
                <w:sz w:val="18"/>
              </w:rPr>
              <w:t>239,362,101.76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pacing w:val="-1"/>
                <w:sz w:val="18"/>
              </w:rPr>
              <w:t>242,032,127.78</w:t>
            </w:r>
          </w:p>
        </w:tc>
      </w:tr>
    </w:tbl>
    <w:p>
      <w:pPr>
        <w:pStyle w:val="BodyText"/>
        <w:spacing w:line="288" w:lineRule="auto" w:before="84"/>
        <w:ind w:left="640" w:right="654" w:firstLine="420"/>
        <w:jc w:val="both"/>
      </w:pPr>
      <w:r>
        <w:rPr>
          <w:spacing w:val="-3"/>
        </w:rPr>
        <w:t>报告期内，公司克服了内外经营环境变化带来的诸多不利影响，积极应对银行采购模式</w:t>
      </w:r>
      <w:r>
        <w:rPr/>
        <w:t> 的转变，灵活调整公司的销售策略，充分抓住国内</w:t>
      </w:r>
      <w:r>
        <w:rPr>
          <w:spacing w:val="-60"/>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7"/>
        </w:rPr>
        <w:t> </w:t>
      </w:r>
      <w:r>
        <w:rPr/>
        <w:t>市场快速增长的机会，扩大公司产 品市场占有率，公司经营状况继续保持良好的发展态势。</w:t>
      </w:r>
    </w:p>
    <w:p>
      <w:pPr>
        <w:pStyle w:val="BodyText"/>
        <w:spacing w:line="280" w:lineRule="auto" w:before="144"/>
        <w:ind w:left="640" w:right="656" w:firstLine="420"/>
        <w:jc w:val="both"/>
      </w:pPr>
      <w:r>
        <w:rPr>
          <w:spacing w:val="-6"/>
        </w:rPr>
        <w:t>①</w:t>
      </w:r>
      <w:r>
        <w:rPr>
          <w:rFonts w:ascii="Times New Roman" w:hAnsi="Times New Roman" w:cs="Times New Roman" w:eastAsia="Times New Roman" w:hint="default"/>
          <w:spacing w:val="-6"/>
        </w:rPr>
        <w:t>ATM</w:t>
      </w:r>
      <w:r>
        <w:rPr>
          <w:rFonts w:ascii="Times New Roman" w:hAnsi="Times New Roman" w:cs="Times New Roman" w:eastAsia="Times New Roman" w:hint="default"/>
          <w:spacing w:val="39"/>
        </w:rPr>
        <w:t> </w:t>
      </w:r>
      <w:r>
        <w:rPr/>
        <w:t>在国内市场占有率持续提升，其中来自农业银行及中国银行的营业额同比分别 增长了</w:t>
      </w:r>
      <w:r>
        <w:rPr>
          <w:spacing w:val="-57"/>
        </w:rPr>
        <w:t> </w:t>
      </w:r>
      <w:r>
        <w:rPr>
          <w:rFonts w:ascii="Times New Roman" w:hAnsi="Times New Roman" w:cs="Times New Roman" w:eastAsia="Times New Roman" w:hint="default"/>
        </w:rPr>
        <w:t>29.67%</w:t>
      </w:r>
      <w:r>
        <w:rPr/>
        <w:t>和</w:t>
      </w:r>
      <w:r>
        <w:rPr>
          <w:spacing w:val="-57"/>
        </w:rPr>
        <w:t> </w:t>
      </w:r>
      <w:r>
        <w:rPr>
          <w:rFonts w:ascii="Times New Roman" w:hAnsi="Times New Roman" w:cs="Times New Roman" w:eastAsia="Times New Roman" w:hint="default"/>
        </w:rPr>
        <w:t>98.26%</w:t>
      </w:r>
      <w:r>
        <w:rPr/>
        <w:t>；</w:t>
      </w:r>
    </w:p>
    <w:p>
      <w:pPr>
        <w:pStyle w:val="BodyText"/>
        <w:spacing w:line="240" w:lineRule="auto" w:before="129"/>
        <w:ind w:left="1059" w:right="0"/>
        <w:jc w:val="left"/>
      </w:pPr>
      <w:r>
        <w:rPr/>
        <w:t>②海外销售的增长得益于上年末公司取得的哈姆公司订单在本年度实现收入；</w:t>
      </w:r>
    </w:p>
    <w:p>
      <w:pPr>
        <w:spacing w:line="240" w:lineRule="auto" w:before="3"/>
        <w:rPr>
          <w:rFonts w:ascii="宋体" w:hAnsi="宋体" w:cs="宋体" w:eastAsia="宋体" w:hint="default"/>
          <w:sz w:val="14"/>
          <w:szCs w:val="14"/>
        </w:rPr>
      </w:pPr>
    </w:p>
    <w:p>
      <w:pPr>
        <w:pStyle w:val="BodyText"/>
        <w:spacing w:line="379" w:lineRule="auto" w:before="0"/>
        <w:ind w:left="1059" w:right="1704"/>
        <w:jc w:val="left"/>
      </w:pPr>
      <w:r>
        <w:rPr/>
        <w:t>③</w:t>
      </w:r>
      <w:r>
        <w:rPr>
          <w:rFonts w:ascii="Times New Roman" w:hAnsi="Times New Roman" w:cs="Times New Roman" w:eastAsia="Times New Roman" w:hint="default"/>
        </w:rPr>
        <w:t>AFC</w:t>
      </w:r>
      <w:r>
        <w:rPr>
          <w:rFonts w:ascii="Times New Roman" w:hAnsi="Times New Roman" w:cs="Times New Roman" w:eastAsia="Times New Roman" w:hint="default"/>
          <w:spacing w:val="-1"/>
        </w:rPr>
        <w:t> </w:t>
      </w:r>
      <w:r>
        <w:rPr/>
        <w:t>主要是北京地铁产品于今年交付使用使得该收入实现大幅增长。 因此，公司</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年度营业收入、净利润等指标同比均有较大幅度的增长。</w:t>
      </w:r>
    </w:p>
    <w:p>
      <w:pPr>
        <w:spacing w:after="0" w:line="379" w:lineRule="auto"/>
        <w:jc w:val="left"/>
        <w:sectPr>
          <w:pgSz w:w="11910" w:h="16840"/>
          <w:pgMar w:header="400" w:footer="982" w:top="1100" w:bottom="1180" w:left="1160" w:right="1140"/>
        </w:sectPr>
      </w:pPr>
    </w:p>
    <w:p>
      <w:pPr>
        <w:spacing w:line="240" w:lineRule="auto" w:before="1"/>
        <w:rPr>
          <w:rFonts w:ascii="宋体" w:hAnsi="宋体" w:cs="宋体" w:eastAsia="宋体" w:hint="default"/>
          <w:sz w:val="19"/>
          <w:szCs w:val="19"/>
        </w:rPr>
      </w:pPr>
    </w:p>
    <w:p>
      <w:pPr>
        <w:pStyle w:val="BodyText"/>
        <w:spacing w:line="240" w:lineRule="auto" w:before="35"/>
        <w:ind w:left="900" w:right="469"/>
        <w:jc w:val="left"/>
      </w:pPr>
      <w:r>
        <w:rPr/>
        <w:t>（</w:t>
      </w:r>
      <w:r>
        <w:rPr>
          <w:rFonts w:ascii="Times New Roman" w:hAnsi="Times New Roman" w:cs="Times New Roman" w:eastAsia="Times New Roman" w:hint="default"/>
        </w:rPr>
        <w:t>4</w:t>
      </w:r>
      <w:r>
        <w:rPr/>
        <w:t>）报告期内，公司主营业务及其结构未发生重大变化。</w:t>
      </w:r>
    </w:p>
    <w:p>
      <w:pPr>
        <w:pStyle w:val="BodyText"/>
        <w:spacing w:line="240" w:lineRule="auto" w:before="170"/>
        <w:ind w:left="900" w:right="469"/>
        <w:jc w:val="left"/>
      </w:pPr>
      <w:r>
        <w:rPr/>
        <w:t>（</w:t>
      </w:r>
      <w:r>
        <w:rPr>
          <w:rFonts w:ascii="Times New Roman" w:hAnsi="Times New Roman" w:cs="Times New Roman" w:eastAsia="Times New Roman" w:hint="default"/>
        </w:rPr>
        <w:t>5</w:t>
      </w:r>
      <w:r>
        <w:rPr/>
        <w:t>）报告期内，公司主营业务市场、主营业务成本构成未发生显著变化。</w:t>
      </w:r>
    </w:p>
    <w:p>
      <w:pPr>
        <w:pStyle w:val="BodyText"/>
        <w:spacing w:line="280" w:lineRule="auto" w:before="169"/>
        <w:ind w:left="480" w:right="469" w:firstLine="420"/>
        <w:jc w:val="left"/>
      </w:pPr>
      <w:r>
        <w:rPr/>
        <w:t>（</w:t>
      </w:r>
      <w:r>
        <w:rPr>
          <w:rFonts w:ascii="Times New Roman" w:hAnsi="Times New Roman" w:cs="Times New Roman" w:eastAsia="Times New Roman" w:hint="default"/>
        </w:rPr>
        <w:t>6</w:t>
      </w:r>
      <w:r>
        <w:rPr/>
        <w:t>）主要产品、原材料等价格变动情况：报告期内，公司主要产品、原材料等市场价 格未有较大变动。</w:t>
      </w:r>
    </w:p>
    <w:p>
      <w:pPr>
        <w:pStyle w:val="BodyText"/>
        <w:spacing w:line="240" w:lineRule="auto" w:before="150"/>
        <w:ind w:left="900" w:right="469"/>
        <w:jc w:val="left"/>
      </w:pPr>
      <w:r>
        <w:rPr/>
        <w:t>（</w:t>
      </w:r>
      <w:r>
        <w:rPr>
          <w:rFonts w:ascii="Times New Roman" w:hAnsi="Times New Roman" w:cs="Times New Roman" w:eastAsia="Times New Roman" w:hint="default"/>
        </w:rPr>
        <w:t>7</w:t>
      </w:r>
      <w:r>
        <w:rPr/>
        <w:t>）订单的签署和执行情况</w:t>
      </w:r>
    </w:p>
    <w:p>
      <w:pPr>
        <w:pStyle w:val="BodyText"/>
        <w:spacing w:line="240" w:lineRule="auto" w:before="169"/>
        <w:ind w:left="0" w:right="595"/>
        <w:jc w:val="right"/>
      </w:pPr>
      <w:r>
        <w:rPr>
          <w:spacing w:val="-1"/>
        </w:rPr>
        <w:t>单位：亿元</w:t>
      </w:r>
    </w:p>
    <w:p>
      <w:pPr>
        <w:spacing w:line="240" w:lineRule="auto" w:before="7"/>
        <w:rPr>
          <w:rFonts w:ascii="宋体" w:hAnsi="宋体" w:cs="宋体" w:eastAsia="宋体" w:hint="default"/>
          <w:sz w:val="2"/>
          <w:szCs w:val="2"/>
        </w:rPr>
      </w:pPr>
    </w:p>
    <w:tbl>
      <w:tblPr>
        <w:tblW w:w="0" w:type="auto"/>
        <w:jc w:val="left"/>
        <w:tblInd w:w="367" w:type="dxa"/>
        <w:tblLayout w:type="fixed"/>
        <w:tblCellMar>
          <w:top w:w="0" w:type="dxa"/>
          <w:left w:w="0" w:type="dxa"/>
          <w:bottom w:w="0" w:type="dxa"/>
          <w:right w:w="0" w:type="dxa"/>
        </w:tblCellMar>
        <w:tblLook w:val="01E0"/>
      </w:tblPr>
      <w:tblGrid>
        <w:gridCol w:w="2130"/>
        <w:gridCol w:w="2130"/>
        <w:gridCol w:w="2131"/>
        <w:gridCol w:w="2131"/>
      </w:tblGrid>
      <w:tr>
        <w:trPr>
          <w:trHeight w:val="283"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产品名称</w:t>
            </w:r>
            <w:r>
              <w:rPr>
                <w:rFonts w:ascii="宋体" w:hAnsi="宋体" w:cs="宋体" w:eastAsia="宋体" w:hint="default"/>
                <w:sz w:val="21"/>
                <w:szCs w:val="21"/>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tc>
      </w:tr>
      <w:tr>
        <w:trPr>
          <w:trHeight w:val="251"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pacing w:val="-8"/>
                <w:sz w:val="21"/>
              </w:rPr>
              <w:t>ATM</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13.88</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10.61</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Times New Roman" w:hAnsi="Times New Roman" w:cs="Times New Roman" w:eastAsia="Times New Roman" w:hint="default"/>
                <w:sz w:val="21"/>
                <w:szCs w:val="21"/>
              </w:rPr>
            </w:pPr>
            <w:r>
              <w:rPr>
                <w:rFonts w:ascii="Times New Roman"/>
                <w:sz w:val="21"/>
              </w:rPr>
              <w:t>30.82%</w:t>
            </w:r>
          </w:p>
        </w:tc>
      </w:tr>
      <w:tr>
        <w:trPr>
          <w:trHeight w:val="252"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AFC</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Times New Roman" w:hAnsi="Times New Roman" w:cs="Times New Roman" w:eastAsia="Times New Roman" w:hint="default"/>
                <w:sz w:val="21"/>
                <w:szCs w:val="21"/>
              </w:rPr>
            </w:pPr>
            <w:r>
              <w:rPr>
                <w:rFonts w:ascii="Times New Roman"/>
                <w:sz w:val="21"/>
              </w:rPr>
              <w:t>0.41</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Times New Roman" w:hAnsi="Times New Roman" w:cs="Times New Roman" w:eastAsia="Times New Roman" w:hint="default"/>
                <w:sz w:val="21"/>
                <w:szCs w:val="21"/>
              </w:rPr>
            </w:pPr>
            <w:r>
              <w:rPr>
                <w:rFonts w:ascii="Times New Roman"/>
                <w:sz w:val="21"/>
              </w:rPr>
              <w:t>0.52</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-21.15%</w:t>
            </w:r>
          </w:p>
        </w:tc>
      </w:tr>
      <w:tr>
        <w:trPr>
          <w:trHeight w:val="282"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技术服务合同</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5" w:right="0"/>
              <w:jc w:val="center"/>
              <w:rPr>
                <w:rFonts w:ascii="Times New Roman" w:hAnsi="Times New Roman" w:cs="Times New Roman" w:eastAsia="Times New Roman" w:hint="default"/>
                <w:sz w:val="21"/>
                <w:szCs w:val="21"/>
              </w:rPr>
            </w:pPr>
            <w:r>
              <w:rPr>
                <w:rFonts w:ascii="Times New Roman"/>
                <w:sz w:val="21"/>
              </w:rPr>
              <w:t>0.34</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4" w:right="0"/>
              <w:jc w:val="center"/>
              <w:rPr>
                <w:rFonts w:ascii="Times New Roman" w:hAnsi="Times New Roman" w:cs="Times New Roman" w:eastAsia="Times New Roman" w:hint="default"/>
                <w:sz w:val="21"/>
                <w:szCs w:val="21"/>
              </w:rPr>
            </w:pPr>
            <w:r>
              <w:rPr>
                <w:rFonts w:ascii="Times New Roman"/>
                <w:sz w:val="21"/>
              </w:rPr>
              <w:t>0.24</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41.67%</w:t>
            </w:r>
          </w:p>
        </w:tc>
      </w:tr>
      <w:tr>
        <w:trPr>
          <w:trHeight w:val="283"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14.63</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11.37</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28.67%</w:t>
            </w:r>
          </w:p>
        </w:tc>
      </w:tr>
    </w:tbl>
    <w:p>
      <w:pPr>
        <w:pStyle w:val="BodyText"/>
        <w:spacing w:line="280" w:lineRule="auto" w:before="84"/>
        <w:ind w:left="480" w:right="459" w:firstLine="420"/>
        <w:jc w:val="left"/>
      </w:pPr>
      <w:r>
        <w:rPr/>
        <w:t>报告期内，公司新增分行级（省）客户</w:t>
      </w:r>
      <w:r>
        <w:rPr>
          <w:spacing w:val="-48"/>
        </w:rPr>
        <w:t> </w:t>
      </w:r>
      <w:r>
        <w:rPr>
          <w:rFonts w:ascii="Times New Roman" w:hAnsi="Times New Roman" w:cs="Times New Roman" w:eastAsia="Times New Roman" w:hint="default"/>
        </w:rPr>
        <w:t>38</w:t>
      </w:r>
      <w:r>
        <w:rPr>
          <w:rFonts w:ascii="Times New Roman" w:hAnsi="Times New Roman" w:cs="Times New Roman" w:eastAsia="Times New Roman" w:hint="default"/>
          <w:spacing w:val="5"/>
        </w:rPr>
        <w:t> </w:t>
      </w:r>
      <w:r>
        <w:rPr/>
        <w:t>个，在农行、中行市场占有率提升的同时， 扩大了在农村信用社及商业银行的市场份额，</w:t>
      </w:r>
      <w:r>
        <w:rPr>
          <w:rFonts w:ascii="Times New Roman" w:hAnsi="Times New Roman" w:cs="Times New Roman" w:eastAsia="Times New Roman" w:hint="default"/>
        </w:rPr>
        <w:t>ATM</w:t>
      </w:r>
      <w:r>
        <w:rPr>
          <w:rFonts w:ascii="Times New Roman" w:hAnsi="Times New Roman" w:cs="Times New Roman" w:eastAsia="Times New Roman" w:hint="default"/>
          <w:spacing w:val="-27"/>
        </w:rPr>
        <w:t> </w:t>
      </w:r>
      <w:r>
        <w:rPr/>
        <w:t>国内市场销量实现大幅增长。</w:t>
      </w:r>
    </w:p>
    <w:p>
      <w:pPr>
        <w:pStyle w:val="BodyText"/>
        <w:spacing w:line="297" w:lineRule="auto" w:before="130"/>
        <w:ind w:left="480" w:right="469" w:firstLine="420"/>
        <w:jc w:val="left"/>
      </w:pPr>
      <w:r>
        <w:rPr>
          <w:spacing w:val="-3"/>
        </w:rPr>
        <w:t>随着公司投入市场的设备数量的增加和时间的增长，有偿服务的设备也随之增多，因此</w:t>
      </w:r>
      <w:r>
        <w:rPr/>
        <w:t> 技术服务合同金额同比有较大幅度的增长。</w:t>
      </w:r>
    </w:p>
    <w:p>
      <w:pPr>
        <w:pStyle w:val="BodyText"/>
        <w:spacing w:line="297" w:lineRule="auto" w:before="135"/>
        <w:ind w:left="480" w:right="460" w:firstLine="420"/>
        <w:jc w:val="left"/>
      </w:pPr>
      <w:r>
        <w:rPr>
          <w:spacing w:val="-3"/>
        </w:rPr>
        <w:t>由于公司获取订单的时间主要集中在每年的第四季度，而会计确认销售收入的原则是以</w:t>
      </w:r>
      <w:r>
        <w:rPr/>
        <w:t> 公司收到银行的签收单为准，因此公司订单存在跨期确认收入的情况。截止</w:t>
      </w:r>
      <w:r>
        <w:rPr>
          <w:spacing w:val="-4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年底，结</w:t>
      </w:r>
    </w:p>
    <w:p>
      <w:pPr>
        <w:pStyle w:val="BodyText"/>
        <w:spacing w:line="285" w:lineRule="exact" w:before="0"/>
        <w:ind w:left="480" w:right="469"/>
        <w:jc w:val="left"/>
      </w:pPr>
      <w:r>
        <w:rPr/>
        <w:t>转到以后年度执行的合同金额约</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亿多元。</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8"/>
          <w:szCs w:val="18"/>
        </w:rPr>
      </w:pPr>
    </w:p>
    <w:p>
      <w:pPr>
        <w:pStyle w:val="BodyText"/>
        <w:spacing w:line="240" w:lineRule="auto" w:before="0"/>
        <w:ind w:left="900" w:right="469"/>
        <w:jc w:val="left"/>
      </w:pPr>
      <w:r>
        <w:rPr/>
        <w:t>（</w:t>
      </w:r>
      <w:r>
        <w:rPr>
          <w:rFonts w:ascii="Times New Roman" w:hAnsi="Times New Roman" w:cs="Times New Roman" w:eastAsia="Times New Roman" w:hint="default"/>
        </w:rPr>
        <w:t>8</w:t>
      </w:r>
      <w:r>
        <w:rPr/>
        <w:t>）销售毛利率变动情况</w:t>
      </w:r>
    </w:p>
    <w:p>
      <w:pPr>
        <w:spacing w:line="240" w:lineRule="auto" w:before="8"/>
        <w:rPr>
          <w:rFonts w:ascii="宋体" w:hAnsi="宋体" w:cs="宋体" w:eastAsia="宋体" w:hint="default"/>
          <w:sz w:val="15"/>
          <w:szCs w:val="15"/>
        </w:rPr>
      </w:pPr>
    </w:p>
    <w:tbl>
      <w:tblPr>
        <w:tblW w:w="0" w:type="auto"/>
        <w:jc w:val="left"/>
        <w:tblInd w:w="872" w:type="dxa"/>
        <w:tblLayout w:type="fixed"/>
        <w:tblCellMar>
          <w:top w:w="0" w:type="dxa"/>
          <w:left w:w="0" w:type="dxa"/>
          <w:bottom w:w="0" w:type="dxa"/>
          <w:right w:w="0" w:type="dxa"/>
        </w:tblCellMar>
        <w:tblLook w:val="01E0"/>
      </w:tblPr>
      <w:tblGrid>
        <w:gridCol w:w="1704"/>
        <w:gridCol w:w="1451"/>
        <w:gridCol w:w="1452"/>
        <w:gridCol w:w="1452"/>
        <w:gridCol w:w="1452"/>
      </w:tblGrid>
      <w:tr>
        <w:trPr>
          <w:trHeight w:val="283" w:hRule="exact"/>
        </w:trPr>
        <w:tc>
          <w:tcPr>
            <w:tcW w:w="1704" w:type="dxa"/>
            <w:tcBorders>
              <w:top w:val="single" w:sz="4" w:space="0" w:color="000000"/>
              <w:left w:val="single" w:sz="4" w:space="0" w:color="000000"/>
              <w:bottom w:val="single" w:sz="4" w:space="0" w:color="000000"/>
              <w:right w:val="single" w:sz="4" w:space="0" w:color="000000"/>
            </w:tcBorders>
          </w:tcPr>
          <w:p>
            <w:pP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98" w:right="0"/>
              <w:jc w:val="left"/>
              <w:rPr>
                <w:rFonts w:ascii="宋体" w:hAnsi="宋体" w:cs="宋体" w:eastAsia="宋体" w:hint="default"/>
                <w:sz w:val="21"/>
                <w:szCs w:val="21"/>
              </w:rPr>
            </w:pPr>
            <w:r>
              <w:rPr>
                <w:rFonts w:ascii="宋体" w:hAnsi="宋体" w:cs="宋体" w:eastAsia="宋体" w:hint="default"/>
                <w:b/>
                <w:bCs/>
                <w:sz w:val="21"/>
                <w:szCs w:val="21"/>
              </w:rPr>
              <w:t>增减变动</w:t>
            </w:r>
            <w:r>
              <w:rPr>
                <w:rFonts w:ascii="宋体" w:hAnsi="宋体" w:cs="宋体" w:eastAsia="宋体" w:hint="default"/>
                <w:sz w:val="21"/>
                <w:szCs w:val="21"/>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2006</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55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3"/>
              <w:jc w:val="left"/>
              <w:rPr>
                <w:rFonts w:ascii="宋体" w:hAnsi="宋体" w:cs="宋体" w:eastAsia="宋体" w:hint="default"/>
                <w:sz w:val="21"/>
                <w:szCs w:val="21"/>
              </w:rPr>
            </w:pPr>
            <w:r>
              <w:rPr>
                <w:rFonts w:ascii="宋体" w:hAnsi="宋体" w:cs="宋体" w:eastAsia="宋体" w:hint="default"/>
                <w:spacing w:val="-7"/>
                <w:sz w:val="21"/>
                <w:szCs w:val="21"/>
              </w:rPr>
              <w:t>销售毛利率（</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45.41%</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 w:right="0"/>
              <w:jc w:val="center"/>
              <w:rPr>
                <w:rFonts w:ascii="Times New Roman" w:hAnsi="Times New Roman" w:cs="Times New Roman" w:eastAsia="Times New Roman" w:hint="default"/>
                <w:sz w:val="21"/>
                <w:szCs w:val="21"/>
              </w:rPr>
            </w:pPr>
            <w:r>
              <w:rPr>
                <w:rFonts w:ascii="Times New Roman"/>
                <w:sz w:val="21"/>
              </w:rPr>
              <w:t>47.18%</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下降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w:t>
            </w:r>
          </w:p>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百分点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 w:right="0"/>
              <w:jc w:val="center"/>
              <w:rPr>
                <w:rFonts w:ascii="Times New Roman" w:hAnsi="Times New Roman" w:cs="Times New Roman" w:eastAsia="Times New Roman" w:hint="default"/>
                <w:sz w:val="21"/>
                <w:szCs w:val="21"/>
              </w:rPr>
            </w:pPr>
            <w:r>
              <w:rPr>
                <w:rFonts w:ascii="Times New Roman"/>
                <w:sz w:val="21"/>
              </w:rPr>
              <w:t>53.55%</w:t>
            </w:r>
          </w:p>
        </w:tc>
      </w:tr>
    </w:tbl>
    <w:p>
      <w:pPr>
        <w:pStyle w:val="BodyText"/>
        <w:spacing w:line="240" w:lineRule="auto" w:before="84"/>
        <w:ind w:left="900" w:right="469"/>
        <w:jc w:val="left"/>
      </w:pPr>
      <w:r>
        <w:rPr/>
        <w:t>毛利率与上年同期相比下降了</w:t>
      </w:r>
      <w:r>
        <w:rPr>
          <w:spacing w:val="-54"/>
        </w:rPr>
        <w:t> </w:t>
      </w:r>
      <w:r>
        <w:rPr>
          <w:rFonts w:ascii="Times New Roman" w:hAnsi="Times New Roman" w:cs="Times New Roman" w:eastAsia="Times New Roman" w:hint="default"/>
        </w:rPr>
        <w:t>1.77</w:t>
      </w:r>
      <w:r>
        <w:rPr>
          <w:rFonts w:ascii="Times New Roman" w:hAnsi="Times New Roman" w:cs="Times New Roman" w:eastAsia="Times New Roman" w:hint="default"/>
          <w:spacing w:val="-2"/>
        </w:rPr>
        <w:t> </w:t>
      </w:r>
      <w:r>
        <w:rPr/>
        <w:t>个百分点，主要是产品销售价格同比略有下降。</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8"/>
          <w:szCs w:val="18"/>
        </w:rPr>
      </w:pPr>
    </w:p>
    <w:p>
      <w:pPr>
        <w:pStyle w:val="BodyText"/>
        <w:spacing w:line="240" w:lineRule="auto" w:before="0"/>
        <w:ind w:left="900" w:right="469"/>
        <w:jc w:val="left"/>
      </w:pPr>
      <w:r>
        <w:rPr/>
        <w:t>（</w:t>
      </w:r>
      <w:r>
        <w:rPr>
          <w:rFonts w:ascii="Times New Roman" w:hAnsi="Times New Roman" w:cs="Times New Roman" w:eastAsia="Times New Roman" w:hint="default"/>
        </w:rPr>
        <w:t>9</w:t>
      </w:r>
      <w:r>
        <w:rPr/>
        <w:t>）主要供应商、客户情况</w:t>
      </w:r>
    </w:p>
    <w:p>
      <w:pPr>
        <w:pStyle w:val="BodyText"/>
        <w:spacing w:line="240" w:lineRule="auto" w:before="170"/>
        <w:ind w:left="0" w:right="476"/>
        <w:jc w:val="right"/>
      </w:pPr>
      <w:r>
        <w:rPr/>
        <w:t>单位：元</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22"/>
        <w:gridCol w:w="1944"/>
        <w:gridCol w:w="1580"/>
        <w:gridCol w:w="1499"/>
        <w:gridCol w:w="1062"/>
        <w:gridCol w:w="1499"/>
        <w:gridCol w:w="1134"/>
      </w:tblGrid>
      <w:tr>
        <w:trPr>
          <w:trHeight w:val="554" w:hRule="exact"/>
        </w:trPr>
        <w:tc>
          <w:tcPr>
            <w:tcW w:w="322"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b/>
                <w:bCs/>
                <w:sz w:val="21"/>
                <w:szCs w:val="21"/>
              </w:rPr>
              <w:t>前</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5</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名供应商</w:t>
            </w:r>
            <w:r>
              <w:rPr>
                <w:rFonts w:ascii="宋体" w:hAnsi="宋体" w:cs="宋体" w:eastAsia="宋体" w:hint="default"/>
                <w:sz w:val="21"/>
                <w:szCs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3" w:right="0"/>
              <w:jc w:val="left"/>
              <w:rPr>
                <w:rFonts w:ascii="宋体" w:hAnsi="宋体" w:cs="宋体" w:eastAsia="宋体" w:hint="default"/>
                <w:sz w:val="21"/>
                <w:szCs w:val="21"/>
              </w:rPr>
            </w:pPr>
            <w:r>
              <w:rPr>
                <w:rFonts w:ascii="宋体" w:hAnsi="宋体" w:cs="宋体" w:eastAsia="宋体" w:hint="default"/>
                <w:b/>
                <w:bCs/>
                <w:sz w:val="21"/>
                <w:szCs w:val="21"/>
              </w:rPr>
              <w:t>采购金额</w:t>
            </w:r>
            <w:r>
              <w:rPr>
                <w:rFonts w:ascii="宋体" w:hAnsi="宋体" w:cs="宋体" w:eastAsia="宋体" w:hint="default"/>
                <w:sz w:val="21"/>
                <w:szCs w:val="21"/>
              </w:rPr>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b/>
                <w:bCs/>
                <w:sz w:val="21"/>
                <w:szCs w:val="21"/>
              </w:rPr>
              <w:t>占年度采购总</w:t>
            </w:r>
            <w:r>
              <w:rPr>
                <w:rFonts w:ascii="宋体" w:hAnsi="宋体" w:cs="宋体" w:eastAsia="宋体" w:hint="default"/>
                <w:sz w:val="21"/>
                <w:szCs w:val="21"/>
              </w:rPr>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金额的比例</w:t>
            </w:r>
            <w:r>
              <w:rPr>
                <w:rFonts w:ascii="宋体" w:hAnsi="宋体" w:cs="宋体" w:eastAsia="宋体" w:hint="default"/>
                <w:sz w:val="21"/>
                <w:szCs w:val="21"/>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b/>
                <w:bCs/>
                <w:sz w:val="21"/>
                <w:szCs w:val="21"/>
              </w:rPr>
              <w:t>预付账款</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的余额</w:t>
            </w:r>
            <w:r>
              <w:rPr>
                <w:rFonts w:ascii="宋体" w:hAnsi="宋体" w:cs="宋体" w:eastAsia="宋体" w:hint="default"/>
                <w:sz w:val="21"/>
                <w:szCs w:val="21"/>
              </w:rPr>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b/>
                <w:bCs/>
                <w:sz w:val="21"/>
                <w:szCs w:val="21"/>
              </w:rPr>
              <w:t>占预付账款总</w:t>
            </w:r>
            <w:r>
              <w:rPr>
                <w:rFonts w:ascii="宋体" w:hAnsi="宋体" w:cs="宋体" w:eastAsia="宋体" w:hint="default"/>
                <w:sz w:val="21"/>
                <w:szCs w:val="21"/>
              </w:rPr>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余额的比例</w:t>
            </w:r>
            <w:r>
              <w:rPr>
                <w:rFonts w:ascii="宋体" w:hAnsi="宋体" w:cs="宋体" w:eastAsia="宋体" w:hint="default"/>
                <w:sz w:val="21"/>
                <w:szCs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9" w:right="0"/>
              <w:jc w:val="left"/>
              <w:rPr>
                <w:rFonts w:ascii="宋体" w:hAnsi="宋体" w:cs="宋体" w:eastAsia="宋体" w:hint="default"/>
                <w:sz w:val="21"/>
                <w:szCs w:val="21"/>
              </w:rPr>
            </w:pPr>
            <w:r>
              <w:rPr>
                <w:rFonts w:ascii="宋体" w:hAnsi="宋体" w:cs="宋体" w:eastAsia="宋体" w:hint="default"/>
                <w:b/>
                <w:bCs/>
                <w:sz w:val="21"/>
                <w:szCs w:val="21"/>
              </w:rPr>
              <w:t>是否存在</w:t>
            </w:r>
            <w:r>
              <w:rPr>
                <w:rFonts w:ascii="宋体" w:hAnsi="宋体" w:cs="宋体" w:eastAsia="宋体" w:hint="default"/>
                <w:sz w:val="21"/>
                <w:szCs w:val="21"/>
              </w:rPr>
            </w: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b/>
                <w:bCs/>
                <w:sz w:val="21"/>
                <w:szCs w:val="21"/>
              </w:rPr>
              <w:t>关联关系</w:t>
            </w:r>
            <w:r>
              <w:rPr>
                <w:rFonts w:ascii="宋体" w:hAnsi="宋体" w:cs="宋体" w:eastAsia="宋体" w:hint="default"/>
                <w:sz w:val="21"/>
                <w:szCs w:val="21"/>
              </w:rPr>
            </w:r>
          </w:p>
        </w:tc>
      </w:tr>
      <w:tr>
        <w:trPr>
          <w:trHeight w:val="554" w:hRule="exact"/>
        </w:trPr>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1</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Hitachi</w:t>
            </w:r>
            <w:r>
              <w:rPr>
                <w:rFonts w:ascii="Times New Roman" w:hAnsi="Times New Roman" w:cs="Times New Roman" w:eastAsia="Times New Roman" w:hint="default"/>
                <w:spacing w:val="-10"/>
                <w:sz w:val="21"/>
                <w:szCs w:val="21"/>
              </w:rPr>
              <w:t> </w:t>
            </w:r>
            <w:r>
              <w:rPr>
                <w:rFonts w:ascii="Times New Roman" w:hAnsi="Times New Roman" w:cs="Times New Roman" w:eastAsia="Times New Roman" w:hint="default"/>
                <w:sz w:val="21"/>
                <w:szCs w:val="21"/>
              </w:rPr>
              <w:t>Asia</w:t>
            </w:r>
            <w:r>
              <w:rPr>
                <w:rFonts w:ascii="宋体" w:hAnsi="宋体" w:cs="宋体" w:eastAsia="宋体" w:hint="default"/>
                <w:sz w:val="21"/>
                <w:szCs w:val="21"/>
              </w:rPr>
              <w:t>（</w:t>
            </w:r>
            <w:r>
              <w:rPr>
                <w:rFonts w:ascii="Times New Roman" w:hAnsi="Times New Roman" w:cs="Times New Roman" w:eastAsia="Times New Roman" w:hint="default"/>
                <w:sz w:val="21"/>
                <w:szCs w:val="21"/>
              </w:rPr>
              <w:t>Hong</w:t>
            </w:r>
          </w:p>
          <w:p>
            <w:pPr>
              <w:pStyle w:val="TableParagraph"/>
              <w:spacing w:line="282" w:lineRule="exact"/>
              <w:ind w:left="20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Kong</w:t>
            </w:r>
            <w:r>
              <w:rPr>
                <w:rFonts w:ascii="宋体" w:hAnsi="宋体" w:cs="宋体" w:eastAsia="宋体" w:hint="default"/>
                <w:sz w:val="21"/>
                <w:szCs w:val="21"/>
              </w:rPr>
              <w:t>）</w:t>
            </w:r>
            <w:r>
              <w:rPr>
                <w:rFonts w:ascii="Times New Roman" w:hAnsi="Times New Roman" w:cs="Times New Roman" w:eastAsia="Times New Roman" w:hint="default"/>
                <w:sz w:val="21"/>
                <w:szCs w:val="21"/>
              </w:rPr>
              <w:t>Ltd</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pacing w:val="-1"/>
                <w:sz w:val="21"/>
              </w:rPr>
              <w:t>235,475,301.29</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418" w:right="0"/>
              <w:jc w:val="left"/>
              <w:rPr>
                <w:rFonts w:ascii="Times New Roman" w:hAnsi="Times New Roman" w:cs="Times New Roman" w:eastAsia="Times New Roman" w:hint="default"/>
                <w:sz w:val="21"/>
                <w:szCs w:val="21"/>
              </w:rPr>
            </w:pPr>
            <w:r>
              <w:rPr>
                <w:rFonts w:ascii="Times New Roman"/>
                <w:sz w:val="21"/>
              </w:rPr>
              <w:t>33.05%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6" w:hRule="exact"/>
        </w:trPr>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2</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金锋科技发展有限</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pacing w:val="-1"/>
                <w:sz w:val="21"/>
              </w:rPr>
              <w:t>128,572,367.60</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418" w:right="0"/>
              <w:jc w:val="left"/>
              <w:rPr>
                <w:rFonts w:ascii="Times New Roman" w:hAnsi="Times New Roman" w:cs="Times New Roman" w:eastAsia="Times New Roman" w:hint="default"/>
                <w:sz w:val="21"/>
                <w:szCs w:val="21"/>
              </w:rPr>
            </w:pPr>
            <w:r>
              <w:rPr>
                <w:rFonts w:ascii="Times New Roman"/>
                <w:sz w:val="21"/>
              </w:rPr>
              <w:t>18.04%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4" w:hRule="exact"/>
        </w:trPr>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3</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北京研华兴业电子</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37,011,864.85</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470" w:right="0"/>
              <w:jc w:val="left"/>
              <w:rPr>
                <w:rFonts w:ascii="Times New Roman" w:hAnsi="Times New Roman" w:cs="Times New Roman" w:eastAsia="Times New Roman" w:hint="default"/>
                <w:sz w:val="21"/>
                <w:szCs w:val="21"/>
              </w:rPr>
            </w:pPr>
            <w:r>
              <w:rPr>
                <w:rFonts w:ascii="Times New Roman"/>
                <w:sz w:val="21"/>
              </w:rPr>
              <w:t>5.19%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4" w:hRule="exact"/>
        </w:trPr>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4</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梅州国基精密制造</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pacing w:val="-1"/>
                <w:sz w:val="21"/>
              </w:rPr>
              <w:t>30,262,643.95</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469" w:right="0"/>
              <w:jc w:val="left"/>
              <w:rPr>
                <w:rFonts w:ascii="Times New Roman" w:hAnsi="Times New Roman" w:cs="Times New Roman" w:eastAsia="Times New Roman" w:hint="default"/>
                <w:sz w:val="21"/>
                <w:szCs w:val="21"/>
              </w:rPr>
            </w:pPr>
            <w:r>
              <w:rPr>
                <w:rFonts w:ascii="Times New Roman"/>
                <w:sz w:val="21"/>
              </w:rPr>
              <w:t>4.25%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4" w:hRule="exact"/>
        </w:trPr>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5</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深圳市巨潮科技有</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pacing w:val="-1"/>
                <w:sz w:val="21"/>
              </w:rPr>
              <w:t>26,422,505.10</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469" w:right="0"/>
              <w:jc w:val="left"/>
              <w:rPr>
                <w:rFonts w:ascii="Times New Roman" w:hAnsi="Times New Roman" w:cs="Times New Roman" w:eastAsia="Times New Roman" w:hint="default"/>
                <w:sz w:val="21"/>
                <w:szCs w:val="21"/>
              </w:rPr>
            </w:pPr>
            <w:r>
              <w:rPr>
                <w:rFonts w:ascii="Times New Roman"/>
                <w:sz w:val="21"/>
              </w:rPr>
              <w:t>3.71%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1" w:hRule="exact"/>
        </w:trPr>
        <w:tc>
          <w:tcPr>
            <w:tcW w:w="322"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98"/>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457,744,682.79</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18" w:right="0"/>
              <w:jc w:val="left"/>
              <w:rPr>
                <w:rFonts w:ascii="Times New Roman" w:hAnsi="Times New Roman" w:cs="Times New Roman" w:eastAsia="Times New Roman" w:hint="default"/>
                <w:sz w:val="21"/>
                <w:szCs w:val="21"/>
              </w:rPr>
            </w:pPr>
            <w:r>
              <w:rPr>
                <w:rFonts w:ascii="Times New Roman"/>
                <w:sz w:val="21"/>
              </w:rPr>
              <w:t>64.24%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center"/>
        <w:rPr>
          <w:rFonts w:ascii="宋体" w:hAnsi="宋体" w:cs="宋体" w:eastAsia="宋体" w:hint="default"/>
          <w:sz w:val="21"/>
          <w:szCs w:val="21"/>
        </w:rPr>
        <w:sectPr>
          <w:pgSz w:w="11910" w:h="16840"/>
          <w:pgMar w:header="400" w:footer="982" w:top="1100" w:bottom="1180" w:left="1320" w:right="1320"/>
        </w:sectPr>
      </w:pPr>
    </w:p>
    <w:p>
      <w:pPr>
        <w:spacing w:line="240" w:lineRule="auto" w:before="1"/>
        <w:rPr>
          <w:rFonts w:ascii="宋体" w:hAnsi="宋体" w:cs="宋体" w:eastAsia="宋体" w:hint="default"/>
          <w:sz w:val="19"/>
          <w:szCs w:val="19"/>
        </w:rPr>
      </w:pPr>
    </w:p>
    <w:p>
      <w:pPr>
        <w:pStyle w:val="BodyText"/>
        <w:spacing w:line="240" w:lineRule="auto" w:before="35"/>
        <w:ind w:left="0" w:right="857"/>
        <w:jc w:val="right"/>
      </w:pPr>
      <w:r>
        <w:rPr/>
        <w:t>单位：元</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22"/>
        <w:gridCol w:w="2857"/>
        <w:gridCol w:w="1529"/>
        <w:gridCol w:w="1117"/>
        <w:gridCol w:w="1726"/>
        <w:gridCol w:w="1169"/>
        <w:gridCol w:w="1076"/>
      </w:tblGrid>
      <w:tr>
        <w:trPr>
          <w:trHeight w:val="730" w:hRule="exact"/>
        </w:trPr>
        <w:tc>
          <w:tcPr>
            <w:tcW w:w="322"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1"/>
              <w:jc w:val="center"/>
              <w:rPr>
                <w:rFonts w:ascii="宋体" w:hAnsi="宋体" w:cs="宋体" w:eastAsia="宋体" w:hint="default"/>
                <w:sz w:val="21"/>
                <w:szCs w:val="21"/>
              </w:rPr>
            </w:pPr>
            <w:r>
              <w:rPr>
                <w:rFonts w:ascii="宋体" w:hAnsi="宋体" w:cs="宋体" w:eastAsia="宋体" w:hint="default"/>
                <w:b/>
                <w:bCs/>
                <w:sz w:val="21"/>
                <w:szCs w:val="21"/>
              </w:rPr>
              <w:t>前</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5</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名客户</w:t>
            </w:r>
            <w:r>
              <w:rPr>
                <w:rFonts w:ascii="宋体" w:hAnsi="宋体" w:cs="宋体" w:eastAsia="宋体"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b/>
                <w:bCs/>
                <w:sz w:val="21"/>
                <w:szCs w:val="21"/>
              </w:rPr>
              <w:t>销售金额</w:t>
            </w:r>
            <w:r>
              <w:rPr>
                <w:rFonts w:ascii="宋体" w:hAnsi="宋体" w:cs="宋体" w:eastAsia="宋体" w:hint="default"/>
                <w:sz w:val="21"/>
                <w:szCs w:val="21"/>
              </w:rPr>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2" w:right="128"/>
              <w:jc w:val="both"/>
              <w:rPr>
                <w:rFonts w:ascii="宋体" w:hAnsi="宋体" w:cs="宋体" w:eastAsia="宋体" w:hint="default"/>
                <w:sz w:val="21"/>
                <w:szCs w:val="21"/>
              </w:rPr>
            </w:pPr>
            <w:r>
              <w:rPr>
                <w:rFonts w:ascii="宋体" w:hAnsi="宋体" w:cs="宋体" w:eastAsia="宋体" w:hint="default"/>
                <w:b/>
                <w:bCs/>
                <w:sz w:val="21"/>
                <w:szCs w:val="21"/>
              </w:rPr>
              <w:t>占年度销</w:t>
            </w:r>
            <w:r>
              <w:rPr>
                <w:rFonts w:ascii="宋体" w:hAnsi="宋体" w:cs="宋体" w:eastAsia="宋体" w:hint="default"/>
                <w:b/>
                <w:bCs/>
                <w:spacing w:val="1"/>
                <w:w w:val="99"/>
                <w:sz w:val="21"/>
                <w:szCs w:val="21"/>
              </w:rPr>
              <w:t> </w:t>
            </w:r>
            <w:r>
              <w:rPr>
                <w:rFonts w:ascii="宋体" w:hAnsi="宋体" w:cs="宋体" w:eastAsia="宋体" w:hint="default"/>
                <w:b/>
                <w:bCs/>
                <w:sz w:val="21"/>
                <w:szCs w:val="21"/>
              </w:rPr>
              <w:t>售总金额</w:t>
            </w:r>
            <w:r>
              <w:rPr>
                <w:rFonts w:ascii="宋体" w:hAnsi="宋体" w:cs="宋体" w:eastAsia="宋体" w:hint="default"/>
                <w:b/>
                <w:bCs/>
                <w:spacing w:val="1"/>
                <w:w w:val="99"/>
                <w:sz w:val="21"/>
                <w:szCs w:val="21"/>
              </w:rPr>
              <w:t> </w:t>
            </w:r>
            <w:r>
              <w:rPr>
                <w:rFonts w:ascii="宋体" w:hAnsi="宋体" w:cs="宋体" w:eastAsia="宋体" w:hint="default"/>
                <w:b/>
                <w:bCs/>
                <w:sz w:val="21"/>
                <w:szCs w:val="21"/>
              </w:rPr>
              <w:t>的比例</w:t>
            </w:r>
            <w:r>
              <w:rPr>
                <w:rFonts w:ascii="宋体" w:hAnsi="宋体" w:cs="宋体" w:eastAsia="宋体" w:hint="default"/>
                <w:sz w:val="21"/>
                <w:szCs w:val="21"/>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18"/>
              <w:jc w:val="right"/>
              <w:rPr>
                <w:rFonts w:ascii="宋体" w:hAnsi="宋体" w:cs="宋体" w:eastAsia="宋体" w:hint="default"/>
                <w:sz w:val="21"/>
                <w:szCs w:val="21"/>
              </w:rPr>
            </w:pPr>
            <w:r>
              <w:rPr>
                <w:rFonts w:ascii="宋体" w:hAnsi="宋体" w:cs="宋体" w:eastAsia="宋体" w:hint="default"/>
                <w:b/>
                <w:bCs/>
                <w:w w:val="95"/>
                <w:sz w:val="21"/>
                <w:szCs w:val="21"/>
              </w:rPr>
              <w:t>应收账款的余额</w:t>
            </w:r>
            <w:r>
              <w:rPr>
                <w:rFonts w:ascii="宋体" w:hAnsi="宋体" w:cs="宋体" w:eastAsia="宋体" w:hint="default"/>
                <w:sz w:val="21"/>
                <w:szCs w:val="21"/>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7" w:right="154"/>
              <w:jc w:val="both"/>
              <w:rPr>
                <w:rFonts w:ascii="宋体" w:hAnsi="宋体" w:cs="宋体" w:eastAsia="宋体" w:hint="default"/>
                <w:sz w:val="21"/>
                <w:szCs w:val="21"/>
              </w:rPr>
            </w:pPr>
            <w:r>
              <w:rPr>
                <w:rFonts w:ascii="宋体" w:hAnsi="宋体" w:cs="宋体" w:eastAsia="宋体" w:hint="default"/>
                <w:b/>
                <w:bCs/>
                <w:sz w:val="21"/>
                <w:szCs w:val="21"/>
              </w:rPr>
              <w:t>占应收账</w:t>
            </w:r>
            <w:r>
              <w:rPr>
                <w:rFonts w:ascii="宋体" w:hAnsi="宋体" w:cs="宋体" w:eastAsia="宋体" w:hint="default"/>
                <w:b/>
                <w:bCs/>
                <w:spacing w:val="1"/>
                <w:w w:val="99"/>
                <w:sz w:val="21"/>
                <w:szCs w:val="21"/>
              </w:rPr>
              <w:t> </w:t>
            </w:r>
            <w:r>
              <w:rPr>
                <w:rFonts w:ascii="宋体" w:hAnsi="宋体" w:cs="宋体" w:eastAsia="宋体" w:hint="default"/>
                <w:b/>
                <w:bCs/>
                <w:sz w:val="21"/>
                <w:szCs w:val="21"/>
              </w:rPr>
              <w:t>款总余额</w:t>
            </w:r>
            <w:r>
              <w:rPr>
                <w:rFonts w:ascii="宋体" w:hAnsi="宋体" w:cs="宋体" w:eastAsia="宋体" w:hint="default"/>
                <w:b/>
                <w:bCs/>
                <w:spacing w:val="1"/>
                <w:w w:val="99"/>
                <w:sz w:val="21"/>
                <w:szCs w:val="21"/>
              </w:rPr>
              <w:t> </w:t>
            </w:r>
            <w:r>
              <w:rPr>
                <w:rFonts w:ascii="宋体" w:hAnsi="宋体" w:cs="宋体" w:eastAsia="宋体" w:hint="default"/>
                <w:b/>
                <w:bCs/>
                <w:sz w:val="21"/>
                <w:szCs w:val="21"/>
              </w:rPr>
              <w:t>的比例</w:t>
            </w:r>
            <w:r>
              <w:rPr>
                <w:rFonts w:ascii="宋体" w:hAnsi="宋体" w:cs="宋体" w:eastAsia="宋体" w:hint="default"/>
                <w:sz w:val="21"/>
                <w:szCs w:val="21"/>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110" w:right="109"/>
              <w:jc w:val="left"/>
              <w:rPr>
                <w:rFonts w:ascii="宋体" w:hAnsi="宋体" w:cs="宋体" w:eastAsia="宋体" w:hint="default"/>
                <w:sz w:val="21"/>
                <w:szCs w:val="21"/>
              </w:rPr>
            </w:pPr>
            <w:r>
              <w:rPr>
                <w:rFonts w:ascii="宋体" w:hAnsi="宋体" w:cs="宋体" w:eastAsia="宋体" w:hint="default"/>
                <w:b/>
                <w:bCs/>
                <w:sz w:val="21"/>
                <w:szCs w:val="21"/>
              </w:rPr>
              <w:t>是否存在</w:t>
            </w:r>
            <w:r>
              <w:rPr>
                <w:rFonts w:ascii="宋体" w:hAnsi="宋体" w:cs="宋体" w:eastAsia="宋体" w:hint="default"/>
                <w:b/>
                <w:bCs/>
                <w:spacing w:val="1"/>
                <w:w w:val="99"/>
                <w:sz w:val="21"/>
                <w:szCs w:val="21"/>
              </w:rPr>
              <w:t> </w:t>
            </w:r>
            <w:r>
              <w:rPr>
                <w:rFonts w:ascii="宋体" w:hAnsi="宋体" w:cs="宋体" w:eastAsia="宋体" w:hint="default"/>
                <w:b/>
                <w:bCs/>
                <w:sz w:val="21"/>
                <w:szCs w:val="21"/>
              </w:rPr>
              <w:t>关联关系</w:t>
            </w:r>
            <w:r>
              <w:rPr>
                <w:rFonts w:ascii="宋体" w:hAnsi="宋体" w:cs="宋体" w:eastAsia="宋体" w:hint="default"/>
                <w:sz w:val="21"/>
                <w:szCs w:val="21"/>
              </w:rPr>
            </w:r>
          </w:p>
        </w:tc>
      </w:tr>
      <w:tr>
        <w:trPr>
          <w:trHeight w:val="283" w:hRule="exact"/>
        </w:trPr>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中国农业银行</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345,786,368.17</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28.82%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86,419,101.92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24.87%</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中国银行股份有限公司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329,769,158.46</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27.48%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79,685,824.12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22.93%</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IAC</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94,693,535.05</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7.89%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1,034,395.64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0.30%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北京乐金系统集成有限公司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58,761,781.70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4.90%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10,917,734.77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3.14%</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交通银行股份有限公司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58,580,052.84</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4.88%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24,560,901.50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7.07%</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22" w:type="dxa"/>
            <w:tcBorders>
              <w:top w:val="single" w:sz="4" w:space="0" w:color="000000"/>
              <w:left w:val="single" w:sz="4" w:space="0" w:color="000000"/>
              <w:bottom w:val="single" w:sz="4" w:space="0" w:color="000000"/>
              <w:right w:val="single" w:sz="4" w:space="0" w:color="000000"/>
            </w:tcBorders>
          </w:tcPr>
          <w:p>
            <w:pPr/>
          </w:p>
        </w:tc>
        <w:tc>
          <w:tcPr>
            <w:tcW w:w="2857"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887,590,896.22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73.97%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202,617,957.95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58.31%</w:t>
            </w:r>
          </w:p>
        </w:tc>
        <w:tc>
          <w:tcPr>
            <w:tcW w:w="107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2"/>
        <w:ind w:left="1280" w:right="745"/>
        <w:jc w:val="left"/>
      </w:pPr>
      <w:r>
        <w:rPr/>
        <w:t>注：以上前</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名客户相关数据是按照法人单位将总行与各分行合并列示。</w:t>
      </w:r>
    </w:p>
    <w:p>
      <w:pPr>
        <w:pStyle w:val="BodyText"/>
        <w:spacing w:line="264" w:lineRule="auto" w:before="29"/>
        <w:ind w:left="859" w:right="745" w:firstLine="420"/>
        <w:jc w:val="left"/>
      </w:pP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23"/>
        </w:rPr>
        <w:t> </w:t>
      </w:r>
      <w:r>
        <w:rPr>
          <w:spacing w:val="-2"/>
        </w:rPr>
        <w:t>年末，公司前五名客户的应收账款不存在不能回收的风险。公司与前五名供应商、</w:t>
      </w:r>
      <w:r>
        <w:rPr/>
        <w:t> 客户之间不存在关联关系，公司董事、监事、高级管理人员、核心技术人员、持股</w:t>
      </w:r>
      <w:r>
        <w:rPr>
          <w:spacing w:val="-56"/>
        </w:rPr>
        <w:t> </w:t>
      </w:r>
      <w:r>
        <w:rPr>
          <w:rFonts w:ascii="Times New Roman" w:hAnsi="Times New Roman" w:cs="Times New Roman" w:eastAsia="Times New Roman" w:hint="default"/>
        </w:rPr>
        <w:t>5%</w:t>
      </w:r>
      <w:r>
        <w:rPr/>
        <w:t>以上 股东、实际控制人和其他关联方没有在前述供应商、客户中直接或间接拥有权益等。</w:t>
      </w:r>
    </w:p>
    <w:p>
      <w:pPr>
        <w:pStyle w:val="BodyText"/>
        <w:spacing w:line="264" w:lineRule="auto" w:before="24"/>
        <w:ind w:left="859" w:right="856" w:firstLine="420"/>
        <w:jc w:val="both"/>
      </w:pPr>
      <w:r>
        <w:rPr/>
        <w:t>公司来自前</w:t>
      </w:r>
      <w:r>
        <w:rPr>
          <w:spacing w:val="-53"/>
        </w:rPr>
        <w:t> </w:t>
      </w:r>
      <w:r>
        <w:rPr>
          <w:rFonts w:ascii="Times New Roman" w:hAnsi="Times New Roman" w:cs="Times New Roman" w:eastAsia="Times New Roman" w:hint="default"/>
        </w:rPr>
        <w:t>5 </w:t>
      </w:r>
      <w:r>
        <w:rPr/>
        <w:t>名客户的销售收入为</w:t>
      </w:r>
      <w:r>
        <w:rPr>
          <w:spacing w:val="-53"/>
        </w:rPr>
        <w:t> </w:t>
      </w:r>
      <w:r>
        <w:rPr>
          <w:rFonts w:ascii="Times New Roman" w:hAnsi="Times New Roman" w:cs="Times New Roman" w:eastAsia="Times New Roman" w:hint="default"/>
        </w:rPr>
        <w:t>88,759.09 </w:t>
      </w:r>
      <w:r>
        <w:rPr>
          <w:spacing w:val="-3"/>
        </w:rPr>
        <w:t>万元，占公司总营业收入的</w:t>
      </w:r>
      <w:r>
        <w:rPr>
          <w:spacing w:val="-53"/>
        </w:rPr>
        <w:t> </w:t>
      </w:r>
      <w:r>
        <w:rPr>
          <w:rFonts w:ascii="Times New Roman" w:hAnsi="Times New Roman" w:cs="Times New Roman" w:eastAsia="Times New Roman" w:hint="default"/>
          <w:spacing w:val="-4"/>
        </w:rPr>
        <w:t>73.97%</w:t>
      </w:r>
      <w:r>
        <w:rPr>
          <w:spacing w:val="-4"/>
        </w:rPr>
        <w:t>，其中</w:t>
      </w:r>
      <w:r>
        <w:rPr/>
        <w:t> 来自中国农业银行的销售收入为</w:t>
      </w:r>
      <w:r>
        <w:rPr>
          <w:spacing w:val="-53"/>
        </w:rPr>
        <w:t> </w:t>
      </w:r>
      <w:r>
        <w:rPr>
          <w:rFonts w:ascii="Times New Roman" w:hAnsi="Times New Roman" w:cs="Times New Roman" w:eastAsia="Times New Roman" w:hint="default"/>
        </w:rPr>
        <w:t>34,578.64 </w:t>
      </w:r>
      <w:r>
        <w:rPr>
          <w:spacing w:val="-3"/>
        </w:rPr>
        <w:t>万元，占公司总营业收入的</w:t>
      </w:r>
      <w:r>
        <w:rPr>
          <w:spacing w:val="-53"/>
        </w:rPr>
        <w:t> </w:t>
      </w:r>
      <w:r>
        <w:rPr>
          <w:rFonts w:ascii="Times New Roman" w:hAnsi="Times New Roman" w:cs="Times New Roman" w:eastAsia="Times New Roman" w:hint="default"/>
          <w:spacing w:val="-3"/>
        </w:rPr>
        <w:t>28.82%</w:t>
      </w:r>
      <w:r>
        <w:rPr>
          <w:spacing w:val="-3"/>
        </w:rPr>
        <w:t>；来自中国银</w:t>
      </w:r>
      <w:r>
        <w:rPr/>
        <w:t> 行的销售收入为</w:t>
      </w:r>
      <w:r>
        <w:rPr>
          <w:spacing w:val="-57"/>
        </w:rPr>
        <w:t> </w:t>
      </w:r>
      <w:r>
        <w:rPr>
          <w:rFonts w:ascii="Times New Roman" w:hAnsi="Times New Roman" w:cs="Times New Roman" w:eastAsia="Times New Roman" w:hint="default"/>
        </w:rPr>
        <w:t>32,976.92</w:t>
      </w:r>
      <w:r>
        <w:rPr>
          <w:rFonts w:ascii="Times New Roman" w:hAnsi="Times New Roman" w:cs="Times New Roman" w:eastAsia="Times New Roman" w:hint="default"/>
          <w:spacing w:val="-4"/>
        </w:rPr>
        <w:t> </w:t>
      </w:r>
      <w:r>
        <w:rPr/>
        <w:t>万元，占公司总营业收入的</w:t>
      </w:r>
      <w:r>
        <w:rPr>
          <w:spacing w:val="-57"/>
        </w:rPr>
        <w:t> </w:t>
      </w:r>
      <w:r>
        <w:rPr>
          <w:rFonts w:ascii="Times New Roman" w:hAnsi="Times New Roman" w:cs="Times New Roman" w:eastAsia="Times New Roman" w:hint="default"/>
        </w:rPr>
        <w:t>27.48%</w:t>
      </w:r>
      <w:r>
        <w:rPr/>
        <w:t>。</w:t>
      </w:r>
    </w:p>
    <w:p>
      <w:pPr>
        <w:pStyle w:val="BodyText"/>
        <w:spacing w:line="278" w:lineRule="auto" w:before="6"/>
        <w:ind w:left="859" w:right="856" w:firstLine="420"/>
        <w:jc w:val="both"/>
      </w:pPr>
      <w:r>
        <w:rPr>
          <w:spacing w:val="-3"/>
        </w:rPr>
        <w:t>从上表数据可以看出，公司大部分收入来自资金实力雄厚、信誉好、采购能力强的大型</w:t>
      </w:r>
      <w:r>
        <w:rPr/>
        <w:t> </w:t>
      </w:r>
      <w:r>
        <w:rPr>
          <w:spacing w:val="-3"/>
        </w:rPr>
        <w:t>国有控股银行，且随着公司行业地位的日益提升，公司逐渐改变了对单一客户过分依赖的局</w:t>
      </w:r>
      <w:r>
        <w:rPr>
          <w:spacing w:val="-79"/>
        </w:rPr>
        <w:t> </w:t>
      </w:r>
      <w:r>
        <w:rPr>
          <w:spacing w:val="-79"/>
        </w:rPr>
      </w:r>
      <w:r>
        <w:rPr>
          <w:spacing w:val="-3"/>
        </w:rPr>
        <w:t>面，以中行、农行和交行等大型国有控股银行为主，以农信市场、邮政储蓄、股份制银行等</w:t>
      </w:r>
      <w:r>
        <w:rPr>
          <w:spacing w:val="-84"/>
        </w:rPr>
        <w:t> </w:t>
      </w:r>
      <w:r>
        <w:rPr>
          <w:spacing w:val="-84"/>
        </w:rPr>
      </w:r>
      <w:r>
        <w:rPr/>
        <w:t>为有力补充的客户结构和国内外并举的市场结构日趋稳健。</w:t>
      </w:r>
    </w:p>
    <w:p>
      <w:pPr>
        <w:pStyle w:val="BodyText"/>
        <w:spacing w:line="240" w:lineRule="auto" w:before="12"/>
        <w:ind w:left="1279" w:right="745"/>
        <w:jc w:val="left"/>
      </w:pPr>
      <w:r>
        <w:rPr/>
        <w:t>（</w:t>
      </w:r>
      <w:r>
        <w:rPr>
          <w:rFonts w:ascii="Times New Roman" w:hAnsi="Times New Roman" w:cs="Times New Roman" w:eastAsia="Times New Roman" w:hint="default"/>
        </w:rPr>
        <w:t>10</w:t>
      </w:r>
      <w:r>
        <w:rPr/>
        <w:t>）非经常性损益情况</w:t>
      </w:r>
    </w:p>
    <w:p>
      <w:pPr>
        <w:pStyle w:val="BodyText"/>
        <w:spacing w:line="255" w:lineRule="exact" w:before="0"/>
        <w:ind w:left="0" w:right="2022"/>
        <w:jc w:val="right"/>
      </w:pPr>
      <w:r>
        <w:rPr/>
        <w:t>单位：元</w:t>
      </w:r>
    </w:p>
    <w:p>
      <w:pPr>
        <w:spacing w:line="240" w:lineRule="auto" w:before="6"/>
        <w:rPr>
          <w:rFonts w:ascii="宋体" w:hAnsi="宋体" w:cs="宋体" w:eastAsia="宋体" w:hint="default"/>
          <w:sz w:val="2"/>
          <w:szCs w:val="2"/>
        </w:rPr>
      </w:pPr>
    </w:p>
    <w:tbl>
      <w:tblPr>
        <w:tblW w:w="0" w:type="auto"/>
        <w:jc w:val="left"/>
        <w:tblInd w:w="1277" w:type="dxa"/>
        <w:tblLayout w:type="fixed"/>
        <w:tblCellMar>
          <w:top w:w="0" w:type="dxa"/>
          <w:left w:w="0" w:type="dxa"/>
          <w:bottom w:w="0" w:type="dxa"/>
          <w:right w:w="0" w:type="dxa"/>
        </w:tblCellMar>
        <w:tblLook w:val="01E0"/>
      </w:tblPr>
      <w:tblGrid>
        <w:gridCol w:w="5122"/>
        <w:gridCol w:w="2340"/>
      </w:tblGrid>
      <w:tr>
        <w:trPr>
          <w:trHeight w:val="282" w:hRule="exact"/>
        </w:trPr>
        <w:tc>
          <w:tcPr>
            <w:tcW w:w="51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421" w:val="left" w:leader="none"/>
              </w:tabs>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283" w:hRule="exact"/>
        </w:trPr>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（一）非流动资产处置损益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-326,234.85</w:t>
            </w:r>
          </w:p>
        </w:tc>
      </w:tr>
      <w:tr>
        <w:trPr>
          <w:trHeight w:val="554" w:hRule="exact"/>
        </w:trPr>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 w:right="-21"/>
              <w:jc w:val="left"/>
              <w:rPr>
                <w:rFonts w:ascii="宋体" w:hAnsi="宋体" w:cs="宋体" w:eastAsia="宋体" w:hint="default"/>
                <w:sz w:val="21"/>
                <w:szCs w:val="21"/>
              </w:rPr>
            </w:pPr>
            <w:r>
              <w:rPr>
                <w:rFonts w:ascii="宋体" w:hAnsi="宋体" w:cs="宋体" w:eastAsia="宋体" w:hint="default"/>
                <w:sz w:val="21"/>
                <w:szCs w:val="21"/>
              </w:rPr>
              <w:t>（二）计入当期损益的政府补助</w:t>
            </w:r>
            <w:r>
              <w:rPr>
                <w:rFonts w:ascii="Times New Roman" w:hAnsi="Times New Roman" w:cs="Times New Roman" w:eastAsia="Times New Roman" w:hint="default"/>
                <w:sz w:val="21"/>
                <w:szCs w:val="21"/>
              </w:rPr>
              <w:t>(</w:t>
            </w:r>
            <w:r>
              <w:rPr>
                <w:rFonts w:ascii="宋体" w:hAnsi="宋体" w:cs="宋体" w:eastAsia="宋体" w:hint="default"/>
                <w:sz w:val="21"/>
                <w:szCs w:val="21"/>
              </w:rPr>
              <w:t>与企业业务密切相关，</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按照国家统一标准定额或定量享受的政府补助除外）</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12,109,270.73</w:t>
            </w:r>
          </w:p>
        </w:tc>
      </w:tr>
      <w:tr>
        <w:trPr>
          <w:trHeight w:val="282" w:hRule="exact"/>
        </w:trPr>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（三）其他营业外收支净额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1,063,355.70</w:t>
            </w:r>
          </w:p>
        </w:tc>
      </w:tr>
      <w:tr>
        <w:trPr>
          <w:trHeight w:val="288" w:hRule="exact"/>
        </w:trPr>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（四）所得税影响数</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-1,258,534.28</w:t>
            </w:r>
          </w:p>
        </w:tc>
      </w:tr>
      <w:tr>
        <w:trPr>
          <w:trHeight w:val="291" w:hRule="exact"/>
        </w:trPr>
        <w:tc>
          <w:tcPr>
            <w:tcW w:w="51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Times New Roman" w:hAnsi="Times New Roman" w:cs="Times New Roman" w:eastAsia="Times New Roman" w:hint="default"/>
                <w:sz w:val="21"/>
                <w:szCs w:val="21"/>
              </w:rPr>
            </w:pPr>
            <w:r>
              <w:rPr>
                <w:rFonts w:ascii="Times New Roman"/>
                <w:spacing w:val="-1"/>
                <w:sz w:val="21"/>
              </w:rPr>
              <w:t>11,587,857.30</w:t>
            </w:r>
          </w:p>
        </w:tc>
      </w:tr>
    </w:tbl>
    <w:p>
      <w:pPr>
        <w:pStyle w:val="BodyText"/>
        <w:spacing w:line="240" w:lineRule="auto" w:before="89"/>
        <w:ind w:left="1280" w:right="745"/>
        <w:jc w:val="left"/>
      </w:pPr>
      <w:r>
        <w:rPr>
          <w:rFonts w:ascii="Times New Roman" w:hAnsi="Times New Roman" w:cs="Times New Roman" w:eastAsia="Times New Roman" w:hint="default"/>
        </w:rPr>
        <w:t>3</w:t>
      </w:r>
      <w:r>
        <w:rPr/>
        <w:t>、报告期公司主要资产构成情况</w:t>
      </w:r>
    </w:p>
    <w:p>
      <w:pPr>
        <w:pStyle w:val="BodyText"/>
        <w:spacing w:line="240" w:lineRule="auto"/>
        <w:ind w:left="0" w:right="856"/>
        <w:jc w:val="right"/>
      </w:pPr>
      <w:r>
        <w:rPr/>
        <w:t>单位：元</w:t>
      </w:r>
    </w:p>
    <w:p>
      <w:pPr>
        <w:spacing w:line="240" w:lineRule="auto" w:before="7"/>
        <w:rPr>
          <w:rFonts w:ascii="宋体" w:hAnsi="宋体" w:cs="宋体" w:eastAsia="宋体" w:hint="default"/>
          <w:sz w:val="2"/>
          <w:szCs w:val="2"/>
        </w:rPr>
      </w:pPr>
    </w:p>
    <w:tbl>
      <w:tblPr>
        <w:tblW w:w="0" w:type="auto"/>
        <w:jc w:val="left"/>
        <w:tblInd w:w="714" w:type="dxa"/>
        <w:tblLayout w:type="fixed"/>
        <w:tblCellMar>
          <w:top w:w="0" w:type="dxa"/>
          <w:left w:w="0" w:type="dxa"/>
          <w:bottom w:w="0" w:type="dxa"/>
          <w:right w:w="0" w:type="dxa"/>
        </w:tblCellMar>
        <w:tblLook w:val="01E0"/>
      </w:tblPr>
      <w:tblGrid>
        <w:gridCol w:w="1350"/>
        <w:gridCol w:w="1712"/>
        <w:gridCol w:w="1307"/>
        <w:gridCol w:w="1686"/>
        <w:gridCol w:w="1427"/>
        <w:gridCol w:w="1094"/>
      </w:tblGrid>
      <w:tr>
        <w:trPr>
          <w:trHeight w:val="319" w:hRule="exact"/>
        </w:trPr>
        <w:tc>
          <w:tcPr>
            <w:tcW w:w="1350" w:type="dxa"/>
            <w:vMerge w:val="restart"/>
            <w:tcBorders>
              <w:top w:val="single" w:sz="8" w:space="0" w:color="000000"/>
              <w:left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b/>
                <w:bCs/>
                <w:sz w:val="21"/>
                <w:szCs w:val="21"/>
              </w:rPr>
              <w:t>资产构成</w:t>
            </w:r>
            <w:r>
              <w:rPr>
                <w:rFonts w:ascii="宋体" w:hAnsi="宋体" w:cs="宋体" w:eastAsia="宋体" w:hint="default"/>
                <w:sz w:val="21"/>
                <w:szCs w:val="21"/>
              </w:rPr>
            </w:r>
          </w:p>
        </w:tc>
        <w:tc>
          <w:tcPr>
            <w:tcW w:w="3019" w:type="dxa"/>
            <w:gridSpan w:val="2"/>
            <w:tcBorders>
              <w:top w:val="single" w:sz="8" w:space="0" w:color="000000"/>
              <w:left w:val="single" w:sz="8" w:space="0" w:color="000000"/>
              <w:bottom w:val="single" w:sz="8" w:space="0" w:color="000000"/>
              <w:right w:val="single" w:sz="8" w:space="0" w:color="000000"/>
            </w:tcBorders>
          </w:tcPr>
          <w:p>
            <w:pPr>
              <w:pStyle w:val="TableParagraph"/>
              <w:spacing w:line="269" w:lineRule="exact"/>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3113" w:type="dxa"/>
            <w:gridSpan w:val="2"/>
            <w:tcBorders>
              <w:top w:val="single" w:sz="8" w:space="0" w:color="000000"/>
              <w:left w:val="single" w:sz="8" w:space="0" w:color="000000"/>
              <w:bottom w:val="single" w:sz="8" w:space="0" w:color="000000"/>
              <w:right w:val="single" w:sz="8" w:space="0" w:color="000000"/>
            </w:tcBorders>
          </w:tcPr>
          <w:p>
            <w:pPr>
              <w:pStyle w:val="TableParagraph"/>
              <w:spacing w:line="269" w:lineRule="exact"/>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094" w:type="dxa"/>
            <w:vMerge w:val="restart"/>
            <w:tcBorders>
              <w:top w:val="single" w:sz="8" w:space="0" w:color="000000"/>
              <w:left w:val="single" w:sz="8" w:space="0" w:color="000000"/>
              <w:right w:val="single" w:sz="8" w:space="0" w:color="000000"/>
            </w:tcBorders>
          </w:tcPr>
          <w:p>
            <w:pPr>
              <w:pStyle w:val="TableParagraph"/>
              <w:spacing w:line="274" w:lineRule="exact" w:before="112"/>
              <w:ind w:right="0"/>
              <w:jc w:val="center"/>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sz w:val="21"/>
                <w:szCs w:val="21"/>
              </w:rPr>
            </w:r>
          </w:p>
        </w:tc>
      </w:tr>
      <w:tr>
        <w:trPr>
          <w:trHeight w:val="559" w:hRule="exact"/>
        </w:trPr>
        <w:tc>
          <w:tcPr>
            <w:tcW w:w="1350" w:type="dxa"/>
            <w:vMerge/>
            <w:tcBorders>
              <w:left w:val="single" w:sz="8" w:space="0" w:color="000000"/>
              <w:bottom w:val="single" w:sz="8" w:space="0" w:color="000000"/>
              <w:right w:val="single" w:sz="8" w:space="0" w:color="000000"/>
            </w:tcBorders>
          </w:tcPr>
          <w:p>
            <w:pPr/>
          </w:p>
        </w:tc>
        <w:tc>
          <w:tcPr>
            <w:tcW w:w="17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left="1"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307"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before="30"/>
              <w:ind w:left="116" w:right="115"/>
              <w:jc w:val="left"/>
              <w:rPr>
                <w:rFonts w:ascii="宋体" w:hAnsi="宋体" w:cs="宋体" w:eastAsia="宋体" w:hint="default"/>
                <w:sz w:val="21"/>
                <w:szCs w:val="21"/>
              </w:rPr>
            </w:pPr>
            <w:r>
              <w:rPr>
                <w:rFonts w:ascii="宋体" w:hAnsi="宋体" w:cs="宋体" w:eastAsia="宋体" w:hint="default"/>
                <w:b/>
                <w:bCs/>
                <w:sz w:val="21"/>
                <w:szCs w:val="21"/>
              </w:rPr>
              <w:t>占总资产的</w:t>
            </w:r>
            <w:r>
              <w:rPr>
                <w:rFonts w:ascii="宋体" w:hAnsi="宋体" w:cs="宋体" w:eastAsia="宋体" w:hint="default"/>
                <w:b/>
                <w:bCs/>
                <w:w w:val="99"/>
                <w:sz w:val="21"/>
                <w:szCs w:val="21"/>
              </w:rPr>
              <w:t> </w:t>
            </w:r>
            <w:r>
              <w:rPr>
                <w:rFonts w:ascii="宋体" w:hAnsi="宋体" w:cs="宋体" w:eastAsia="宋体" w:hint="default"/>
                <w:b/>
                <w:bCs/>
                <w:sz w:val="21"/>
                <w:szCs w:val="21"/>
              </w:rPr>
              <w:t>比重（％）</w:t>
            </w:r>
            <w:r>
              <w:rPr>
                <w:rFonts w:ascii="宋体" w:hAnsi="宋体" w:cs="宋体" w:eastAsia="宋体" w:hint="default"/>
                <w:sz w:val="21"/>
                <w:szCs w:val="21"/>
              </w:rPr>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before="30"/>
              <w:ind w:left="176" w:right="175"/>
              <w:jc w:val="left"/>
              <w:rPr>
                <w:rFonts w:ascii="宋体" w:hAnsi="宋体" w:cs="宋体" w:eastAsia="宋体" w:hint="default"/>
                <w:sz w:val="21"/>
                <w:szCs w:val="21"/>
              </w:rPr>
            </w:pPr>
            <w:r>
              <w:rPr>
                <w:rFonts w:ascii="宋体" w:hAnsi="宋体" w:cs="宋体" w:eastAsia="宋体" w:hint="default"/>
                <w:b/>
                <w:bCs/>
                <w:sz w:val="21"/>
                <w:szCs w:val="21"/>
              </w:rPr>
              <w:t>占总资产的</w:t>
            </w:r>
            <w:r>
              <w:rPr>
                <w:rFonts w:ascii="宋体" w:hAnsi="宋体" w:cs="宋体" w:eastAsia="宋体" w:hint="default"/>
                <w:b/>
                <w:bCs/>
                <w:w w:val="99"/>
                <w:sz w:val="21"/>
                <w:szCs w:val="21"/>
              </w:rPr>
              <w:t> </w:t>
            </w:r>
            <w:r>
              <w:rPr>
                <w:rFonts w:ascii="宋体" w:hAnsi="宋体" w:cs="宋体" w:eastAsia="宋体" w:hint="default"/>
                <w:b/>
                <w:bCs/>
                <w:sz w:val="21"/>
                <w:szCs w:val="21"/>
              </w:rPr>
              <w:t>比重（％）</w:t>
            </w:r>
            <w:r>
              <w:rPr>
                <w:rFonts w:ascii="宋体" w:hAnsi="宋体" w:cs="宋体" w:eastAsia="宋体" w:hint="default"/>
                <w:sz w:val="21"/>
                <w:szCs w:val="21"/>
              </w:rPr>
            </w:r>
          </w:p>
        </w:tc>
        <w:tc>
          <w:tcPr>
            <w:tcW w:w="1094" w:type="dxa"/>
            <w:vMerge/>
            <w:tcBorders>
              <w:left w:val="single" w:sz="8" w:space="0" w:color="000000"/>
              <w:bottom w:val="single" w:sz="8" w:space="0" w:color="000000"/>
              <w:right w:val="single" w:sz="8" w:space="0" w:color="000000"/>
            </w:tcBorders>
          </w:tcPr>
          <w:p>
            <w:pPr/>
          </w:p>
        </w:tc>
      </w:tr>
      <w:tr>
        <w:trPr>
          <w:trHeight w:val="293" w:hRule="exact"/>
        </w:trPr>
        <w:tc>
          <w:tcPr>
            <w:tcW w:w="135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17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5"/>
              <w:jc w:val="right"/>
              <w:rPr>
                <w:rFonts w:ascii="Times New Roman" w:hAnsi="Times New Roman" w:cs="Times New Roman" w:eastAsia="Times New Roman" w:hint="default"/>
                <w:sz w:val="21"/>
                <w:szCs w:val="21"/>
              </w:rPr>
            </w:pPr>
            <w:r>
              <w:rPr>
                <w:rFonts w:ascii="Times New Roman"/>
                <w:spacing w:val="-1"/>
                <w:sz w:val="21"/>
              </w:rPr>
              <w:t>974,066,748.35</w:t>
            </w:r>
          </w:p>
        </w:tc>
        <w:tc>
          <w:tcPr>
            <w:tcW w:w="13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46.88%</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784,458,913.83</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4"/>
              <w:jc w:val="right"/>
              <w:rPr>
                <w:rFonts w:ascii="Times New Roman" w:hAnsi="Times New Roman" w:cs="Times New Roman" w:eastAsia="Times New Roman" w:hint="default"/>
                <w:sz w:val="21"/>
                <w:szCs w:val="21"/>
              </w:rPr>
            </w:pPr>
            <w:r>
              <w:rPr>
                <w:rFonts w:ascii="Times New Roman"/>
                <w:spacing w:val="-1"/>
                <w:sz w:val="21"/>
              </w:rPr>
              <w:t>48.62%</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24.17%</w:t>
            </w:r>
          </w:p>
        </w:tc>
      </w:tr>
      <w:tr>
        <w:trPr>
          <w:trHeight w:val="292" w:hRule="exact"/>
        </w:trPr>
        <w:tc>
          <w:tcPr>
            <w:tcW w:w="135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17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5"/>
              <w:jc w:val="right"/>
              <w:rPr>
                <w:rFonts w:ascii="Times New Roman" w:hAnsi="Times New Roman" w:cs="Times New Roman" w:eastAsia="Times New Roman" w:hint="default"/>
                <w:sz w:val="21"/>
                <w:szCs w:val="21"/>
              </w:rPr>
            </w:pPr>
            <w:r>
              <w:rPr>
                <w:rFonts w:ascii="Times New Roman"/>
                <w:spacing w:val="-1"/>
                <w:sz w:val="21"/>
              </w:rPr>
              <w:t>347,503,796.12</w:t>
            </w:r>
          </w:p>
        </w:tc>
        <w:tc>
          <w:tcPr>
            <w:tcW w:w="13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16.72%</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284,237,231.31</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4"/>
              <w:jc w:val="right"/>
              <w:rPr>
                <w:rFonts w:ascii="Times New Roman" w:hAnsi="Times New Roman" w:cs="Times New Roman" w:eastAsia="Times New Roman" w:hint="default"/>
                <w:sz w:val="21"/>
                <w:szCs w:val="21"/>
              </w:rPr>
            </w:pPr>
            <w:r>
              <w:rPr>
                <w:rFonts w:ascii="Times New Roman"/>
                <w:spacing w:val="-1"/>
                <w:sz w:val="21"/>
              </w:rPr>
              <w:t>17.62%</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22.26%</w:t>
            </w:r>
          </w:p>
        </w:tc>
      </w:tr>
      <w:tr>
        <w:trPr>
          <w:trHeight w:val="293" w:hRule="exact"/>
        </w:trPr>
        <w:tc>
          <w:tcPr>
            <w:tcW w:w="135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预付款项</w:t>
            </w:r>
          </w:p>
        </w:tc>
        <w:tc>
          <w:tcPr>
            <w:tcW w:w="17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4"/>
              <w:jc w:val="right"/>
              <w:rPr>
                <w:rFonts w:ascii="Times New Roman" w:hAnsi="Times New Roman" w:cs="Times New Roman" w:eastAsia="Times New Roman" w:hint="default"/>
                <w:sz w:val="21"/>
                <w:szCs w:val="21"/>
              </w:rPr>
            </w:pPr>
            <w:r>
              <w:rPr>
                <w:rFonts w:ascii="Times New Roman"/>
                <w:spacing w:val="-1"/>
                <w:sz w:val="21"/>
              </w:rPr>
              <w:t>8,312,749.71</w:t>
            </w:r>
          </w:p>
        </w:tc>
        <w:tc>
          <w:tcPr>
            <w:tcW w:w="13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0.40%</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5"/>
              <w:jc w:val="right"/>
              <w:rPr>
                <w:rFonts w:ascii="Times New Roman" w:hAnsi="Times New Roman" w:cs="Times New Roman" w:eastAsia="Times New Roman" w:hint="default"/>
                <w:sz w:val="21"/>
                <w:szCs w:val="21"/>
              </w:rPr>
            </w:pPr>
            <w:r>
              <w:rPr>
                <w:rFonts w:ascii="Times New Roman"/>
                <w:spacing w:val="-1"/>
                <w:sz w:val="21"/>
              </w:rPr>
              <w:t>6,123,312.56</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0.38%</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5"/>
              <w:jc w:val="right"/>
              <w:rPr>
                <w:rFonts w:ascii="Times New Roman" w:hAnsi="Times New Roman" w:cs="Times New Roman" w:eastAsia="Times New Roman" w:hint="default"/>
                <w:sz w:val="21"/>
                <w:szCs w:val="21"/>
              </w:rPr>
            </w:pPr>
            <w:r>
              <w:rPr>
                <w:rFonts w:ascii="Times New Roman"/>
                <w:spacing w:val="-1"/>
                <w:sz w:val="21"/>
              </w:rPr>
              <w:t>35.76%</w:t>
            </w:r>
          </w:p>
        </w:tc>
      </w:tr>
      <w:tr>
        <w:trPr>
          <w:trHeight w:val="293" w:hRule="exact"/>
        </w:trPr>
        <w:tc>
          <w:tcPr>
            <w:tcW w:w="135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存货</w:t>
            </w:r>
          </w:p>
        </w:tc>
        <w:tc>
          <w:tcPr>
            <w:tcW w:w="17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5"/>
              <w:jc w:val="right"/>
              <w:rPr>
                <w:rFonts w:ascii="Times New Roman" w:hAnsi="Times New Roman" w:cs="Times New Roman" w:eastAsia="Times New Roman" w:hint="default"/>
                <w:sz w:val="21"/>
                <w:szCs w:val="21"/>
              </w:rPr>
            </w:pPr>
            <w:r>
              <w:rPr>
                <w:rFonts w:ascii="Times New Roman"/>
                <w:spacing w:val="-1"/>
                <w:sz w:val="21"/>
              </w:rPr>
              <w:t>512,615,378.68</w:t>
            </w:r>
          </w:p>
        </w:tc>
        <w:tc>
          <w:tcPr>
            <w:tcW w:w="13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24.67%</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412,073,714.05</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4"/>
              <w:jc w:val="right"/>
              <w:rPr>
                <w:rFonts w:ascii="Times New Roman" w:hAnsi="Times New Roman" w:cs="Times New Roman" w:eastAsia="Times New Roman" w:hint="default"/>
                <w:sz w:val="21"/>
                <w:szCs w:val="21"/>
              </w:rPr>
            </w:pPr>
            <w:r>
              <w:rPr>
                <w:rFonts w:ascii="Times New Roman"/>
                <w:spacing w:val="-1"/>
                <w:sz w:val="21"/>
              </w:rPr>
              <w:t>25.54%</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24.40%</w:t>
            </w:r>
          </w:p>
        </w:tc>
      </w:tr>
      <w:tr>
        <w:trPr>
          <w:trHeight w:val="292" w:hRule="exact"/>
        </w:trPr>
        <w:tc>
          <w:tcPr>
            <w:tcW w:w="135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17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5"/>
              <w:jc w:val="right"/>
              <w:rPr>
                <w:rFonts w:ascii="Times New Roman" w:hAnsi="Times New Roman" w:cs="Times New Roman" w:eastAsia="Times New Roman" w:hint="default"/>
                <w:sz w:val="21"/>
                <w:szCs w:val="21"/>
              </w:rPr>
            </w:pPr>
            <w:r>
              <w:rPr>
                <w:rFonts w:ascii="Times New Roman"/>
                <w:spacing w:val="-1"/>
                <w:sz w:val="21"/>
              </w:rPr>
              <w:t>161,928,453.54</w:t>
            </w:r>
          </w:p>
        </w:tc>
        <w:tc>
          <w:tcPr>
            <w:tcW w:w="13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7.79%</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5"/>
              <w:jc w:val="right"/>
              <w:rPr>
                <w:rFonts w:ascii="Times New Roman" w:hAnsi="Times New Roman" w:cs="Times New Roman" w:eastAsia="Times New Roman" w:hint="default"/>
                <w:sz w:val="21"/>
                <w:szCs w:val="21"/>
              </w:rPr>
            </w:pPr>
            <w:r>
              <w:rPr>
                <w:rFonts w:ascii="Times New Roman"/>
                <w:spacing w:val="-1"/>
                <w:sz w:val="21"/>
              </w:rPr>
              <w:t>67,934,560.18</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5"/>
              <w:jc w:val="right"/>
              <w:rPr>
                <w:rFonts w:ascii="Times New Roman" w:hAnsi="Times New Roman" w:cs="Times New Roman" w:eastAsia="Times New Roman" w:hint="default"/>
                <w:sz w:val="21"/>
                <w:szCs w:val="21"/>
              </w:rPr>
            </w:pPr>
            <w:r>
              <w:rPr>
                <w:rFonts w:ascii="Times New Roman"/>
                <w:spacing w:val="-1"/>
                <w:sz w:val="21"/>
              </w:rPr>
              <w:t>4.21%</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5"/>
              <w:jc w:val="right"/>
              <w:rPr>
                <w:rFonts w:ascii="Times New Roman" w:hAnsi="Times New Roman" w:cs="Times New Roman" w:eastAsia="Times New Roman" w:hint="default"/>
                <w:sz w:val="21"/>
                <w:szCs w:val="21"/>
              </w:rPr>
            </w:pPr>
            <w:r>
              <w:rPr>
                <w:rFonts w:ascii="Times New Roman"/>
                <w:spacing w:val="-1"/>
                <w:sz w:val="21"/>
              </w:rPr>
              <w:t>138.36%</w:t>
            </w:r>
          </w:p>
        </w:tc>
      </w:tr>
      <w:tr>
        <w:trPr>
          <w:trHeight w:val="293" w:hRule="exact"/>
        </w:trPr>
        <w:tc>
          <w:tcPr>
            <w:tcW w:w="135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无形资产</w:t>
            </w:r>
          </w:p>
        </w:tc>
        <w:tc>
          <w:tcPr>
            <w:tcW w:w="17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4"/>
              <w:jc w:val="right"/>
              <w:rPr>
                <w:rFonts w:ascii="Times New Roman" w:hAnsi="Times New Roman" w:cs="Times New Roman" w:eastAsia="Times New Roman" w:hint="default"/>
                <w:sz w:val="21"/>
                <w:szCs w:val="21"/>
              </w:rPr>
            </w:pPr>
            <w:r>
              <w:rPr>
                <w:rFonts w:ascii="Times New Roman"/>
                <w:spacing w:val="-1"/>
                <w:sz w:val="21"/>
              </w:rPr>
              <w:t>14,307,096.26</w:t>
            </w:r>
          </w:p>
        </w:tc>
        <w:tc>
          <w:tcPr>
            <w:tcW w:w="13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0.69%</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4"/>
              <w:jc w:val="right"/>
              <w:rPr>
                <w:rFonts w:ascii="Times New Roman" w:hAnsi="Times New Roman" w:cs="Times New Roman" w:eastAsia="Times New Roman" w:hint="default"/>
                <w:sz w:val="21"/>
                <w:szCs w:val="21"/>
              </w:rPr>
            </w:pPr>
            <w:r>
              <w:rPr>
                <w:rFonts w:ascii="Times New Roman"/>
                <w:spacing w:val="-1"/>
                <w:sz w:val="21"/>
              </w:rPr>
              <w:t>9,372,344.18</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5"/>
              <w:jc w:val="right"/>
              <w:rPr>
                <w:rFonts w:ascii="Times New Roman" w:hAnsi="Times New Roman" w:cs="Times New Roman" w:eastAsia="Times New Roman" w:hint="default"/>
                <w:sz w:val="21"/>
                <w:szCs w:val="21"/>
              </w:rPr>
            </w:pPr>
            <w:r>
              <w:rPr>
                <w:rFonts w:ascii="Times New Roman"/>
                <w:spacing w:val="-1"/>
                <w:sz w:val="21"/>
              </w:rPr>
              <w:t>0.58%</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4"/>
              <w:jc w:val="right"/>
              <w:rPr>
                <w:rFonts w:ascii="Times New Roman" w:hAnsi="Times New Roman" w:cs="Times New Roman" w:eastAsia="Times New Roman" w:hint="default"/>
                <w:sz w:val="21"/>
                <w:szCs w:val="21"/>
              </w:rPr>
            </w:pPr>
            <w:r>
              <w:rPr>
                <w:rFonts w:ascii="Times New Roman"/>
                <w:spacing w:val="-1"/>
                <w:sz w:val="21"/>
              </w:rPr>
              <w:t>52.65%</w:t>
            </w:r>
          </w:p>
        </w:tc>
      </w:tr>
      <w:tr>
        <w:trPr>
          <w:trHeight w:val="292" w:hRule="exact"/>
        </w:trPr>
        <w:tc>
          <w:tcPr>
            <w:tcW w:w="135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短期借款</w:t>
            </w:r>
          </w:p>
        </w:tc>
        <w:tc>
          <w:tcPr>
            <w:tcW w:w="17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5"/>
              <w:jc w:val="right"/>
              <w:rPr>
                <w:rFonts w:ascii="Times New Roman" w:hAnsi="Times New Roman" w:cs="Times New Roman" w:eastAsia="Times New Roman" w:hint="default"/>
                <w:sz w:val="21"/>
                <w:szCs w:val="21"/>
              </w:rPr>
            </w:pPr>
            <w:r>
              <w:rPr>
                <w:rFonts w:ascii="Times New Roman"/>
                <w:spacing w:val="-1"/>
                <w:sz w:val="21"/>
              </w:rPr>
              <w:t>91,405,501.23</w:t>
            </w:r>
          </w:p>
        </w:tc>
        <w:tc>
          <w:tcPr>
            <w:tcW w:w="13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4.40%</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62,269,592.17</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3.86%</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46.79%</w:t>
            </w:r>
          </w:p>
        </w:tc>
      </w:tr>
      <w:tr>
        <w:trPr>
          <w:trHeight w:val="293" w:hRule="exact"/>
        </w:trPr>
        <w:tc>
          <w:tcPr>
            <w:tcW w:w="135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应付票据</w:t>
            </w:r>
          </w:p>
        </w:tc>
        <w:tc>
          <w:tcPr>
            <w:tcW w:w="17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5"/>
              <w:jc w:val="right"/>
              <w:rPr>
                <w:rFonts w:ascii="Times New Roman" w:hAnsi="Times New Roman" w:cs="Times New Roman" w:eastAsia="Times New Roman" w:hint="default"/>
                <w:sz w:val="21"/>
                <w:szCs w:val="21"/>
              </w:rPr>
            </w:pPr>
            <w:r>
              <w:rPr>
                <w:rFonts w:ascii="Times New Roman"/>
                <w:spacing w:val="-1"/>
                <w:sz w:val="21"/>
              </w:rPr>
              <w:t>126,754,221.93</w:t>
            </w:r>
          </w:p>
        </w:tc>
        <w:tc>
          <w:tcPr>
            <w:tcW w:w="13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6.10%</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5"/>
              <w:jc w:val="right"/>
              <w:rPr>
                <w:rFonts w:ascii="Times New Roman" w:hAnsi="Times New Roman" w:cs="Times New Roman" w:eastAsia="Times New Roman" w:hint="default"/>
                <w:sz w:val="21"/>
                <w:szCs w:val="21"/>
              </w:rPr>
            </w:pPr>
            <w:r>
              <w:rPr>
                <w:rFonts w:ascii="Times New Roman"/>
                <w:spacing w:val="-1"/>
                <w:sz w:val="21"/>
              </w:rPr>
              <w:t>26,100,000.00</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5"/>
              <w:jc w:val="right"/>
              <w:rPr>
                <w:rFonts w:ascii="Times New Roman" w:hAnsi="Times New Roman" w:cs="Times New Roman" w:eastAsia="Times New Roman" w:hint="default"/>
                <w:sz w:val="21"/>
                <w:szCs w:val="21"/>
              </w:rPr>
            </w:pPr>
            <w:r>
              <w:rPr>
                <w:rFonts w:ascii="Times New Roman"/>
                <w:spacing w:val="-1"/>
                <w:sz w:val="21"/>
              </w:rPr>
              <w:t>1.62%</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5"/>
              <w:jc w:val="right"/>
              <w:rPr>
                <w:rFonts w:ascii="Times New Roman" w:hAnsi="Times New Roman" w:cs="Times New Roman" w:eastAsia="Times New Roman" w:hint="default"/>
                <w:sz w:val="21"/>
                <w:szCs w:val="21"/>
              </w:rPr>
            </w:pPr>
            <w:r>
              <w:rPr>
                <w:rFonts w:ascii="Times New Roman"/>
                <w:spacing w:val="-1"/>
                <w:sz w:val="21"/>
              </w:rPr>
              <w:t>385.65%</w:t>
            </w:r>
          </w:p>
        </w:tc>
      </w:tr>
      <w:tr>
        <w:trPr>
          <w:trHeight w:val="293" w:hRule="exact"/>
        </w:trPr>
        <w:tc>
          <w:tcPr>
            <w:tcW w:w="135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应付账款</w:t>
            </w:r>
          </w:p>
        </w:tc>
        <w:tc>
          <w:tcPr>
            <w:tcW w:w="17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5"/>
              <w:jc w:val="right"/>
              <w:rPr>
                <w:rFonts w:ascii="Times New Roman" w:hAnsi="Times New Roman" w:cs="Times New Roman" w:eastAsia="Times New Roman" w:hint="default"/>
                <w:sz w:val="21"/>
                <w:szCs w:val="21"/>
              </w:rPr>
            </w:pPr>
            <w:r>
              <w:rPr>
                <w:rFonts w:ascii="Times New Roman"/>
                <w:spacing w:val="-1"/>
                <w:sz w:val="21"/>
              </w:rPr>
              <w:t>162,485,574.59</w:t>
            </w:r>
          </w:p>
        </w:tc>
        <w:tc>
          <w:tcPr>
            <w:tcW w:w="13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7.82%</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266,161,441.15</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5"/>
              <w:jc w:val="right"/>
              <w:rPr>
                <w:rFonts w:ascii="Times New Roman" w:hAnsi="Times New Roman" w:cs="Times New Roman" w:eastAsia="Times New Roman" w:hint="default"/>
                <w:sz w:val="21"/>
                <w:szCs w:val="21"/>
              </w:rPr>
            </w:pPr>
            <w:r>
              <w:rPr>
                <w:rFonts w:ascii="Times New Roman"/>
                <w:spacing w:val="-1"/>
                <w:sz w:val="21"/>
              </w:rPr>
              <w:t>16.50%</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5"/>
              <w:jc w:val="right"/>
              <w:rPr>
                <w:rFonts w:ascii="Times New Roman" w:hAnsi="Times New Roman" w:cs="Times New Roman" w:eastAsia="Times New Roman" w:hint="default"/>
                <w:sz w:val="21"/>
                <w:szCs w:val="21"/>
              </w:rPr>
            </w:pPr>
            <w:r>
              <w:rPr>
                <w:rFonts w:ascii="Times New Roman"/>
                <w:spacing w:val="-1"/>
                <w:sz w:val="21"/>
              </w:rPr>
              <w:t>-38.95%</w:t>
            </w:r>
          </w:p>
        </w:tc>
      </w:tr>
      <w:tr>
        <w:trPr>
          <w:trHeight w:val="292" w:hRule="exact"/>
        </w:trPr>
        <w:tc>
          <w:tcPr>
            <w:tcW w:w="135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预收款项</w:t>
            </w:r>
          </w:p>
        </w:tc>
        <w:tc>
          <w:tcPr>
            <w:tcW w:w="17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5"/>
              <w:jc w:val="right"/>
              <w:rPr>
                <w:rFonts w:ascii="Times New Roman" w:hAnsi="Times New Roman" w:cs="Times New Roman" w:eastAsia="Times New Roman" w:hint="default"/>
                <w:sz w:val="21"/>
                <w:szCs w:val="21"/>
              </w:rPr>
            </w:pPr>
            <w:r>
              <w:rPr>
                <w:rFonts w:ascii="Times New Roman"/>
                <w:spacing w:val="-1"/>
                <w:sz w:val="21"/>
              </w:rPr>
              <w:t>247,453,092.19</w:t>
            </w:r>
          </w:p>
        </w:tc>
        <w:tc>
          <w:tcPr>
            <w:tcW w:w="13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2"/>
                <w:sz w:val="21"/>
              </w:rPr>
              <w:t>11.91%</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136,460,686.83</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5"/>
              <w:jc w:val="right"/>
              <w:rPr>
                <w:rFonts w:ascii="Times New Roman" w:hAnsi="Times New Roman" w:cs="Times New Roman" w:eastAsia="Times New Roman" w:hint="default"/>
                <w:sz w:val="21"/>
                <w:szCs w:val="21"/>
              </w:rPr>
            </w:pPr>
            <w:r>
              <w:rPr>
                <w:rFonts w:ascii="Times New Roman"/>
                <w:spacing w:val="-1"/>
                <w:sz w:val="21"/>
              </w:rPr>
              <w:t>8.46%</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4"/>
              <w:jc w:val="right"/>
              <w:rPr>
                <w:rFonts w:ascii="Times New Roman" w:hAnsi="Times New Roman" w:cs="Times New Roman" w:eastAsia="Times New Roman" w:hint="default"/>
                <w:sz w:val="21"/>
                <w:szCs w:val="21"/>
              </w:rPr>
            </w:pPr>
            <w:r>
              <w:rPr>
                <w:rFonts w:ascii="Times New Roman"/>
                <w:spacing w:val="-1"/>
                <w:sz w:val="21"/>
              </w:rPr>
              <w:t>81.34%</w:t>
            </w:r>
          </w:p>
        </w:tc>
      </w:tr>
      <w:tr>
        <w:trPr>
          <w:trHeight w:val="293" w:hRule="exact"/>
        </w:trPr>
        <w:tc>
          <w:tcPr>
            <w:tcW w:w="135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其他应付款</w:t>
            </w:r>
          </w:p>
        </w:tc>
        <w:tc>
          <w:tcPr>
            <w:tcW w:w="17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4"/>
              <w:jc w:val="right"/>
              <w:rPr>
                <w:rFonts w:ascii="Times New Roman" w:hAnsi="Times New Roman" w:cs="Times New Roman" w:eastAsia="Times New Roman" w:hint="default"/>
                <w:sz w:val="21"/>
                <w:szCs w:val="21"/>
              </w:rPr>
            </w:pPr>
            <w:r>
              <w:rPr>
                <w:rFonts w:ascii="Times New Roman"/>
                <w:spacing w:val="-1"/>
                <w:sz w:val="21"/>
              </w:rPr>
              <w:t>13,000,026.98</w:t>
            </w:r>
          </w:p>
        </w:tc>
        <w:tc>
          <w:tcPr>
            <w:tcW w:w="13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0.63%</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5"/>
              <w:jc w:val="right"/>
              <w:rPr>
                <w:rFonts w:ascii="Times New Roman" w:hAnsi="Times New Roman" w:cs="Times New Roman" w:eastAsia="Times New Roman" w:hint="default"/>
                <w:sz w:val="21"/>
                <w:szCs w:val="21"/>
              </w:rPr>
            </w:pPr>
            <w:r>
              <w:rPr>
                <w:rFonts w:ascii="Times New Roman"/>
                <w:spacing w:val="-1"/>
                <w:sz w:val="21"/>
              </w:rPr>
              <w:t>4,744,671.98</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0.29%</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173.99%</w:t>
            </w:r>
          </w:p>
        </w:tc>
      </w:tr>
      <w:tr>
        <w:trPr>
          <w:trHeight w:val="292" w:hRule="exact"/>
        </w:trPr>
        <w:tc>
          <w:tcPr>
            <w:tcW w:w="135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资产总额</w:t>
            </w:r>
          </w:p>
        </w:tc>
        <w:tc>
          <w:tcPr>
            <w:tcW w:w="17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3"/>
              <w:jc w:val="right"/>
              <w:rPr>
                <w:rFonts w:ascii="Times New Roman" w:hAnsi="Times New Roman" w:cs="Times New Roman" w:eastAsia="Times New Roman" w:hint="default"/>
                <w:sz w:val="21"/>
                <w:szCs w:val="21"/>
              </w:rPr>
            </w:pPr>
            <w:r>
              <w:rPr>
                <w:rFonts w:ascii="Times New Roman"/>
                <w:spacing w:val="-1"/>
                <w:sz w:val="21"/>
              </w:rPr>
              <w:t>2,077,976,790.83</w:t>
            </w:r>
          </w:p>
        </w:tc>
        <w:tc>
          <w:tcPr>
            <w:tcW w:w="13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100.00%</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4"/>
              <w:jc w:val="right"/>
              <w:rPr>
                <w:rFonts w:ascii="Times New Roman" w:hAnsi="Times New Roman" w:cs="Times New Roman" w:eastAsia="Times New Roman" w:hint="default"/>
                <w:sz w:val="21"/>
                <w:szCs w:val="21"/>
              </w:rPr>
            </w:pPr>
            <w:r>
              <w:rPr>
                <w:rFonts w:ascii="Times New Roman"/>
                <w:spacing w:val="-1"/>
                <w:sz w:val="21"/>
              </w:rPr>
              <w:t>1,613,531,071.82</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5"/>
              <w:jc w:val="right"/>
              <w:rPr>
                <w:rFonts w:ascii="Times New Roman" w:hAnsi="Times New Roman" w:cs="Times New Roman" w:eastAsia="Times New Roman" w:hint="default"/>
                <w:sz w:val="21"/>
                <w:szCs w:val="21"/>
              </w:rPr>
            </w:pPr>
            <w:r>
              <w:rPr>
                <w:rFonts w:ascii="Times New Roman"/>
                <w:spacing w:val="-1"/>
                <w:sz w:val="21"/>
              </w:rPr>
              <w:t>100.00%</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4"/>
              <w:jc w:val="right"/>
              <w:rPr>
                <w:rFonts w:ascii="Times New Roman" w:hAnsi="Times New Roman" w:cs="Times New Roman" w:eastAsia="Times New Roman" w:hint="default"/>
                <w:sz w:val="21"/>
                <w:szCs w:val="21"/>
              </w:rPr>
            </w:pPr>
            <w:r>
              <w:rPr>
                <w:rFonts w:ascii="Times New Roman"/>
                <w:spacing w:val="-1"/>
                <w:sz w:val="21"/>
              </w:rPr>
              <w:t>28.78%</w:t>
            </w:r>
          </w:p>
        </w:tc>
      </w:tr>
    </w:tbl>
    <w:p>
      <w:pPr>
        <w:spacing w:after="0" w:line="240" w:lineRule="auto"/>
        <w:jc w:val="right"/>
        <w:rPr>
          <w:rFonts w:ascii="Times New Roman" w:hAnsi="Times New Roman" w:cs="Times New Roman" w:eastAsia="Times New Roman" w:hint="default"/>
          <w:sz w:val="21"/>
          <w:szCs w:val="21"/>
        </w:rPr>
        <w:sectPr>
          <w:pgSz w:w="11910" w:h="16840"/>
          <w:pgMar w:header="400" w:footer="982" w:top="1100" w:bottom="1180" w:left="940" w:right="940"/>
        </w:sectPr>
      </w:pPr>
    </w:p>
    <w:p>
      <w:pPr>
        <w:spacing w:line="240" w:lineRule="auto" w:before="1"/>
        <w:rPr>
          <w:rFonts w:ascii="宋体" w:hAnsi="宋体" w:cs="宋体" w:eastAsia="宋体" w:hint="default"/>
          <w:sz w:val="19"/>
          <w:szCs w:val="19"/>
        </w:rPr>
      </w:pPr>
    </w:p>
    <w:p>
      <w:pPr>
        <w:pStyle w:val="BodyText"/>
        <w:spacing w:line="240" w:lineRule="auto" w:before="35"/>
        <w:ind w:left="820" w:right="380"/>
        <w:jc w:val="left"/>
      </w:pPr>
      <w:r>
        <w:rPr/>
        <w:t>变动原因分析：</w:t>
      </w:r>
    </w:p>
    <w:p>
      <w:pPr>
        <w:spacing w:line="240" w:lineRule="auto" w:before="3"/>
        <w:rPr>
          <w:rFonts w:ascii="宋体" w:hAnsi="宋体" w:cs="宋体" w:eastAsia="宋体" w:hint="default"/>
          <w:sz w:val="14"/>
          <w:szCs w:val="14"/>
        </w:rPr>
      </w:pPr>
    </w:p>
    <w:p>
      <w:pPr>
        <w:pStyle w:val="BodyText"/>
        <w:spacing w:line="240" w:lineRule="auto" w:before="0"/>
        <w:ind w:left="820" w:right="380"/>
        <w:jc w:val="left"/>
        <w:rPr>
          <w:rFonts w:ascii="Times New Roman" w:hAnsi="Times New Roman" w:cs="Times New Roman" w:eastAsia="Times New Roman" w:hint="default"/>
        </w:rPr>
      </w:pPr>
      <w:r>
        <w:rPr>
          <w:spacing w:val="-8"/>
        </w:rPr>
        <w:t>（</w:t>
      </w:r>
      <w:r>
        <w:rPr>
          <w:rFonts w:ascii="Times New Roman" w:hAnsi="Times New Roman" w:cs="Times New Roman" w:eastAsia="Times New Roman" w:hint="default"/>
          <w:spacing w:val="-8"/>
        </w:rPr>
        <w:t>1</w:t>
      </w:r>
      <w:r>
        <w:rPr>
          <w:spacing w:val="-8"/>
        </w:rPr>
        <w:t>）</w:t>
      </w:r>
      <w:r>
        <w:rPr>
          <w:rFonts w:ascii="Times New Roman" w:hAnsi="Times New Roman" w:cs="Times New Roman" w:eastAsia="Times New Roman" w:hint="default"/>
          <w:spacing w:val="-8"/>
        </w:rPr>
        <w:t>2008</w:t>
      </w:r>
      <w:r>
        <w:rPr>
          <w:rFonts w:ascii="Times New Roman" w:hAnsi="Times New Roman" w:cs="Times New Roman" w:eastAsia="Times New Roman" w:hint="default"/>
          <w:spacing w:val="-1"/>
        </w:rPr>
        <w:t> </w:t>
      </w:r>
      <w:r>
        <w:rPr/>
        <w:t>年末货币资金</w:t>
      </w:r>
      <w:r>
        <w:rPr>
          <w:spacing w:val="-54"/>
        </w:rPr>
        <w:t> </w:t>
      </w:r>
      <w:r>
        <w:rPr>
          <w:rFonts w:ascii="Times New Roman" w:hAnsi="Times New Roman" w:cs="Times New Roman" w:eastAsia="Times New Roman" w:hint="default"/>
        </w:rPr>
        <w:t>97,406.67</w:t>
      </w:r>
      <w:r>
        <w:rPr>
          <w:rFonts w:ascii="Times New Roman" w:hAnsi="Times New Roman" w:cs="Times New Roman" w:eastAsia="Times New Roman" w:hint="default"/>
          <w:spacing w:val="-1"/>
        </w:rPr>
        <w:t> </w:t>
      </w:r>
      <w:r>
        <w:rPr>
          <w:spacing w:val="-6"/>
        </w:rPr>
        <w:t>万元，占资产总额的</w:t>
      </w:r>
      <w:r>
        <w:rPr>
          <w:spacing w:val="-54"/>
        </w:rPr>
        <w:t> </w:t>
      </w:r>
      <w:r>
        <w:rPr>
          <w:rFonts w:ascii="Times New Roman" w:hAnsi="Times New Roman" w:cs="Times New Roman" w:eastAsia="Times New Roman" w:hint="default"/>
          <w:spacing w:val="-4"/>
        </w:rPr>
        <w:t>46.88</w:t>
      </w:r>
      <w:r>
        <w:rPr>
          <w:spacing w:val="-4"/>
        </w:rPr>
        <w:t>％，比上年同期增长</w:t>
      </w:r>
      <w:r>
        <w:rPr>
          <w:spacing w:val="-54"/>
        </w:rPr>
        <w:t> </w:t>
      </w:r>
      <w:r>
        <w:rPr>
          <w:rFonts w:ascii="Times New Roman" w:hAnsi="Times New Roman" w:cs="Times New Roman" w:eastAsia="Times New Roman" w:hint="default"/>
        </w:rPr>
        <w:t>24.17</w:t>
      </w:r>
    </w:p>
    <w:p>
      <w:pPr>
        <w:pStyle w:val="BodyText"/>
        <w:spacing w:line="280" w:lineRule="auto" w:before="49"/>
        <w:ind w:left="399" w:right="380"/>
        <w:jc w:val="left"/>
      </w:pPr>
      <w:r>
        <w:rPr/>
        <w:t>％，主要是本年度销售收入增加，经营活动产生的现金净流量较上年同期增长</w:t>
      </w:r>
      <w:r>
        <w:rPr>
          <w:spacing w:val="-8"/>
        </w:rPr>
        <w:t> </w:t>
      </w:r>
      <w:r>
        <w:rPr>
          <w:rFonts w:ascii="Times New Roman" w:hAnsi="Times New Roman" w:cs="Times New Roman" w:eastAsia="Times New Roman" w:hint="default"/>
        </w:rPr>
        <w:t>26.76%</w:t>
      </w:r>
      <w:r>
        <w:rPr/>
        <w:t>，货 款得到了及时回笼；</w:t>
      </w:r>
    </w:p>
    <w:p>
      <w:pPr>
        <w:pStyle w:val="BodyText"/>
        <w:spacing w:line="280" w:lineRule="auto" w:before="150"/>
        <w:ind w:left="400" w:right="389" w:firstLine="419"/>
        <w:jc w:val="left"/>
      </w:pPr>
      <w:r>
        <w:rPr/>
        <w:t>（</w:t>
      </w:r>
      <w:r>
        <w:rPr>
          <w:rFonts w:ascii="Times New Roman" w:hAnsi="Times New Roman" w:cs="Times New Roman" w:eastAsia="Times New Roman" w:hint="default"/>
        </w:rPr>
        <w:t>2</w:t>
      </w:r>
      <w:r>
        <w:rPr/>
        <w:t>）应收账款占总资产的</w:t>
      </w:r>
      <w:r>
        <w:rPr>
          <w:spacing w:val="-52"/>
        </w:rPr>
        <w:t> </w:t>
      </w:r>
      <w:r>
        <w:rPr>
          <w:rFonts w:ascii="Times New Roman" w:hAnsi="Times New Roman" w:cs="Times New Roman" w:eastAsia="Times New Roman" w:hint="default"/>
        </w:rPr>
        <w:t>16.72</w:t>
      </w:r>
      <w:r>
        <w:rPr/>
        <w:t>％，比上年同期增长</w:t>
      </w:r>
      <w:r>
        <w:rPr>
          <w:spacing w:val="-52"/>
        </w:rPr>
        <w:t> </w:t>
      </w:r>
      <w:r>
        <w:rPr>
          <w:rFonts w:ascii="Times New Roman" w:hAnsi="Times New Roman" w:cs="Times New Roman" w:eastAsia="Times New Roman" w:hint="default"/>
        </w:rPr>
        <w:t>22.26</w:t>
      </w:r>
      <w:r>
        <w:rPr/>
        <w:t>％，主要是因为销售额的增 加；</w:t>
      </w:r>
    </w:p>
    <w:p>
      <w:pPr>
        <w:pStyle w:val="BodyText"/>
        <w:spacing w:line="240" w:lineRule="auto" w:before="150"/>
        <w:ind w:left="820" w:right="380"/>
        <w:jc w:val="left"/>
      </w:pPr>
      <w:r>
        <w:rPr/>
        <w:t>（</w:t>
      </w:r>
      <w:r>
        <w:rPr>
          <w:rFonts w:ascii="Times New Roman" w:hAnsi="Times New Roman" w:cs="Times New Roman" w:eastAsia="Times New Roman" w:hint="default"/>
        </w:rPr>
        <w:t>3</w:t>
      </w:r>
      <w:r>
        <w:rPr/>
        <w:t>）预付款项比上年同期增长</w:t>
      </w:r>
      <w:r>
        <w:rPr>
          <w:spacing w:val="-58"/>
        </w:rPr>
        <w:t> </w:t>
      </w:r>
      <w:r>
        <w:rPr>
          <w:rFonts w:ascii="Times New Roman" w:hAnsi="Times New Roman" w:cs="Times New Roman" w:eastAsia="Times New Roman" w:hint="default"/>
        </w:rPr>
        <w:t>35.37</w:t>
      </w:r>
      <w:r>
        <w:rPr/>
        <w:t>％，主要是预付设备采购款的增加；</w:t>
      </w:r>
    </w:p>
    <w:p>
      <w:pPr>
        <w:pStyle w:val="BodyText"/>
        <w:spacing w:line="288" w:lineRule="auto" w:before="170"/>
        <w:ind w:left="400" w:right="395" w:firstLine="420"/>
        <w:jc w:val="both"/>
      </w:pPr>
      <w:r>
        <w:rPr>
          <w:spacing w:val="-2"/>
        </w:rPr>
        <w:t>（</w:t>
      </w:r>
      <w:r>
        <w:rPr>
          <w:rFonts w:ascii="Times New Roman" w:hAnsi="Times New Roman" w:cs="Times New Roman" w:eastAsia="Times New Roman" w:hint="default"/>
          <w:spacing w:val="-2"/>
        </w:rPr>
        <w:t>4</w:t>
      </w:r>
      <w:r>
        <w:rPr>
          <w:spacing w:val="-2"/>
        </w:rPr>
        <w:t>）存货比上年同期增长</w:t>
      </w:r>
      <w:r>
        <w:rPr>
          <w:spacing w:val="-40"/>
        </w:rPr>
        <w:t> </w:t>
      </w:r>
      <w:r>
        <w:rPr>
          <w:rFonts w:ascii="Times New Roman" w:hAnsi="Times New Roman" w:cs="Times New Roman" w:eastAsia="Times New Roman" w:hint="default"/>
          <w:spacing w:val="-2"/>
        </w:rPr>
        <w:t>24.40%</w:t>
      </w:r>
      <w:r>
        <w:rPr>
          <w:spacing w:val="-2"/>
        </w:rPr>
        <w:t>，主要原因是公司年末签订了较多的订单，为能及时</w:t>
      </w:r>
      <w:r>
        <w:rPr/>
        <w:t> </w:t>
      </w:r>
      <w:r>
        <w:rPr>
          <w:spacing w:val="-3"/>
        </w:rPr>
        <w:t>交货，公司提前备货，其中有部份货物已发出但未收到签收凭证，按公司收入确认原则当年</w:t>
      </w:r>
      <w:r>
        <w:rPr>
          <w:spacing w:val="-81"/>
        </w:rPr>
        <w:t> </w:t>
      </w:r>
      <w:r>
        <w:rPr>
          <w:spacing w:val="-81"/>
        </w:rPr>
      </w:r>
      <w:r>
        <w:rPr/>
        <w:t>无法结转收入和成本；</w:t>
      </w:r>
    </w:p>
    <w:p>
      <w:pPr>
        <w:pStyle w:val="BodyText"/>
        <w:spacing w:line="280" w:lineRule="auto" w:before="144"/>
        <w:ind w:left="400" w:right="385" w:firstLine="419"/>
        <w:jc w:val="left"/>
      </w:pPr>
      <w:r>
        <w:rPr/>
        <w:t>（</w:t>
      </w:r>
      <w:r>
        <w:rPr>
          <w:rFonts w:ascii="Times New Roman" w:hAnsi="Times New Roman" w:cs="Times New Roman" w:eastAsia="Times New Roman" w:hint="default"/>
        </w:rPr>
        <w:t>5</w:t>
      </w:r>
      <w:r>
        <w:rPr/>
        <w:t>）固定资产同比增长</w:t>
      </w:r>
      <w:r>
        <w:rPr>
          <w:spacing w:val="-13"/>
        </w:rPr>
        <w:t> </w:t>
      </w:r>
      <w:r>
        <w:rPr>
          <w:rFonts w:ascii="Times New Roman" w:hAnsi="Times New Roman" w:cs="Times New Roman" w:eastAsia="Times New Roman" w:hint="default"/>
        </w:rPr>
        <w:t>138.36%</w:t>
      </w:r>
      <w:r>
        <w:rPr/>
        <w:t>，主要是募投项目科学城产业园陆续建成并投产，由 在建工程转入固定资产</w:t>
      </w:r>
      <w:r>
        <w:rPr>
          <w:spacing w:val="-55"/>
        </w:rPr>
        <w:t> </w:t>
      </w:r>
      <w:r>
        <w:rPr>
          <w:rFonts w:ascii="Times New Roman" w:hAnsi="Times New Roman" w:cs="Times New Roman" w:eastAsia="Times New Roman" w:hint="default"/>
        </w:rPr>
        <w:t>8,591</w:t>
      </w:r>
      <w:r>
        <w:rPr>
          <w:rFonts w:ascii="Times New Roman" w:hAnsi="Times New Roman" w:cs="Times New Roman" w:eastAsia="Times New Roman" w:hint="default"/>
          <w:spacing w:val="-2"/>
        </w:rPr>
        <w:t> </w:t>
      </w:r>
      <w:r>
        <w:rPr/>
        <w:t>万元，另外营运用</w:t>
      </w:r>
      <w:r>
        <w:rPr>
          <w:spacing w:val="-55"/>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2"/>
        </w:rPr>
        <w:t> </w:t>
      </w:r>
      <w:r>
        <w:rPr/>
        <w:t>的增加使得固定资产有所增加；</w:t>
      </w:r>
    </w:p>
    <w:p>
      <w:pPr>
        <w:pStyle w:val="BodyText"/>
        <w:spacing w:line="280" w:lineRule="auto" w:before="129"/>
        <w:ind w:left="400" w:right="375" w:firstLine="419"/>
        <w:jc w:val="left"/>
      </w:pPr>
      <w:r>
        <w:rPr>
          <w:spacing w:val="-4"/>
        </w:rPr>
        <w:t>（</w:t>
      </w:r>
      <w:r>
        <w:rPr>
          <w:rFonts w:ascii="Times New Roman" w:hAnsi="Times New Roman" w:cs="Times New Roman" w:eastAsia="Times New Roman" w:hint="default"/>
          <w:spacing w:val="-4"/>
        </w:rPr>
        <w:t>6</w:t>
      </w:r>
      <w:r>
        <w:rPr>
          <w:spacing w:val="-4"/>
        </w:rPr>
        <w:t>）无形资产比上年同期增长</w:t>
      </w:r>
      <w:r>
        <w:rPr>
          <w:spacing w:val="-87"/>
        </w:rPr>
        <w:t> </w:t>
      </w:r>
      <w:r>
        <w:rPr>
          <w:rFonts w:ascii="Times New Roman" w:hAnsi="Times New Roman" w:cs="Times New Roman" w:eastAsia="Times New Roman" w:hint="default"/>
        </w:rPr>
        <w:t>52.65</w:t>
      </w:r>
      <w:r>
        <w:rPr/>
        <w:t>％，主要是支付购置科学城产业园二期工程项目土 地出让金；</w:t>
      </w:r>
    </w:p>
    <w:p>
      <w:pPr>
        <w:pStyle w:val="BodyText"/>
        <w:spacing w:line="240" w:lineRule="auto" w:before="150"/>
        <w:ind w:left="820" w:right="380"/>
        <w:jc w:val="left"/>
      </w:pPr>
      <w:r>
        <w:rPr/>
        <w:t>（</w:t>
      </w:r>
      <w:r>
        <w:rPr>
          <w:rFonts w:ascii="Times New Roman" w:hAnsi="Times New Roman" w:cs="Times New Roman" w:eastAsia="Times New Roman" w:hint="default"/>
        </w:rPr>
        <w:t>7</w:t>
      </w:r>
      <w:r>
        <w:rPr/>
        <w:t>）短期借款比上年同期增长</w:t>
      </w:r>
      <w:r>
        <w:rPr>
          <w:spacing w:val="-58"/>
        </w:rPr>
        <w:t> </w:t>
      </w:r>
      <w:r>
        <w:rPr>
          <w:rFonts w:ascii="Times New Roman" w:hAnsi="Times New Roman" w:cs="Times New Roman" w:eastAsia="Times New Roman" w:hint="default"/>
        </w:rPr>
        <w:t>46.79</w:t>
      </w:r>
      <w:r>
        <w:rPr/>
        <w:t>％，主要是银行信用证押汇借款的增加；</w:t>
      </w:r>
    </w:p>
    <w:p>
      <w:pPr>
        <w:pStyle w:val="BodyText"/>
        <w:spacing w:line="280" w:lineRule="auto" w:before="169"/>
        <w:ind w:left="400" w:right="383" w:firstLine="420"/>
        <w:jc w:val="left"/>
      </w:pPr>
      <w:r>
        <w:rPr/>
        <w:t>（</w:t>
      </w:r>
      <w:r>
        <w:rPr>
          <w:rFonts w:ascii="Times New Roman" w:hAnsi="Times New Roman" w:cs="Times New Roman" w:eastAsia="Times New Roman" w:hint="default"/>
        </w:rPr>
        <w:t>8</w:t>
      </w:r>
      <w:r>
        <w:rPr/>
        <w:t>）应付票据比上年同期增长</w:t>
      </w:r>
      <w:r>
        <w:rPr>
          <w:spacing w:val="-47"/>
        </w:rPr>
        <w:t> </w:t>
      </w:r>
      <w:r>
        <w:rPr>
          <w:rFonts w:ascii="Times New Roman" w:hAnsi="Times New Roman" w:cs="Times New Roman" w:eastAsia="Times New Roman" w:hint="default"/>
        </w:rPr>
        <w:t>385.65</w:t>
      </w:r>
      <w:r>
        <w:rPr/>
        <w:t>％，主要原因是报告期采用信用证方式支付的货 款中，</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年末已承兑但未到期的信用证增加；</w:t>
      </w:r>
    </w:p>
    <w:p>
      <w:pPr>
        <w:pStyle w:val="BodyText"/>
        <w:spacing w:line="280" w:lineRule="auto" w:before="130"/>
        <w:ind w:left="400" w:right="390" w:firstLine="420"/>
        <w:jc w:val="left"/>
      </w:pPr>
      <w:r>
        <w:rPr>
          <w:spacing w:val="-3"/>
        </w:rPr>
        <w:t>（</w:t>
      </w:r>
      <w:r>
        <w:rPr>
          <w:rFonts w:ascii="Times New Roman" w:hAnsi="Times New Roman" w:cs="Times New Roman" w:eastAsia="Times New Roman" w:hint="default"/>
          <w:spacing w:val="-3"/>
        </w:rPr>
        <w:t>9</w:t>
      </w:r>
      <w:r>
        <w:rPr>
          <w:spacing w:val="-3"/>
        </w:rPr>
        <w:t>）应付账款比上年同期减少</w:t>
      </w:r>
      <w:r>
        <w:rPr>
          <w:spacing w:val="-36"/>
        </w:rPr>
        <w:t> </w:t>
      </w:r>
      <w:r>
        <w:rPr>
          <w:rFonts w:ascii="Times New Roman" w:hAnsi="Times New Roman" w:cs="Times New Roman" w:eastAsia="Times New Roman" w:hint="default"/>
          <w:spacing w:val="-3"/>
        </w:rPr>
        <w:t>38.95</w:t>
      </w:r>
      <w:r>
        <w:rPr>
          <w:spacing w:val="-3"/>
        </w:rPr>
        <w:t>％，一是支付了部分货款，二是采用信用证方式支</w:t>
      </w:r>
      <w:r>
        <w:rPr/>
        <w:t> 付的货款增加使得应付票据增加，从而减少了应付帐款；</w:t>
      </w:r>
    </w:p>
    <w:p>
      <w:pPr>
        <w:pStyle w:val="BodyText"/>
        <w:spacing w:line="240" w:lineRule="auto" w:before="150"/>
        <w:ind w:left="820" w:right="380"/>
        <w:jc w:val="left"/>
      </w:pPr>
      <w:r>
        <w:rPr/>
        <w:t>（</w:t>
      </w:r>
      <w:r>
        <w:rPr>
          <w:rFonts w:ascii="Times New Roman" w:hAnsi="Times New Roman" w:cs="Times New Roman" w:eastAsia="Times New Roman" w:hint="default"/>
        </w:rPr>
        <w:t>10</w:t>
      </w:r>
      <w:r>
        <w:rPr/>
        <w:t>）预收款项比上年同期增长</w:t>
      </w:r>
      <w:r>
        <w:rPr>
          <w:spacing w:val="-59"/>
        </w:rPr>
        <w:t> </w:t>
      </w:r>
      <w:r>
        <w:rPr>
          <w:rFonts w:ascii="Times New Roman" w:hAnsi="Times New Roman" w:cs="Times New Roman" w:eastAsia="Times New Roman" w:hint="default"/>
        </w:rPr>
        <w:t>81.34</w:t>
      </w:r>
      <w:r>
        <w:rPr/>
        <w:t>％，主要是按合同规定收到客户的预付货款；</w:t>
      </w:r>
    </w:p>
    <w:p>
      <w:pPr>
        <w:pStyle w:val="BodyText"/>
        <w:spacing w:line="280" w:lineRule="auto" w:before="170"/>
        <w:ind w:left="400" w:right="377" w:firstLine="420"/>
        <w:jc w:val="left"/>
      </w:pPr>
      <w:r>
        <w:rPr>
          <w:spacing w:val="-4"/>
        </w:rPr>
        <w:t>（</w:t>
      </w:r>
      <w:r>
        <w:rPr>
          <w:rFonts w:ascii="Times New Roman" w:hAnsi="Times New Roman" w:cs="Times New Roman" w:eastAsia="Times New Roman" w:hint="default"/>
          <w:spacing w:val="-4"/>
        </w:rPr>
        <w:t>11</w:t>
      </w:r>
      <w:r>
        <w:rPr>
          <w:spacing w:val="-4"/>
        </w:rPr>
        <w:t>）其他应付款比上年同期增长</w:t>
      </w:r>
      <w:r>
        <w:rPr>
          <w:spacing w:val="-82"/>
        </w:rPr>
        <w:t> </w:t>
      </w:r>
      <w:r>
        <w:rPr>
          <w:rFonts w:ascii="Times New Roman" w:hAnsi="Times New Roman" w:cs="Times New Roman" w:eastAsia="Times New Roman" w:hint="default"/>
        </w:rPr>
        <w:t>173.99</w:t>
      </w:r>
      <w:r>
        <w:rPr/>
        <w:t>％，主要是按合同计提的技术服务费及代理费 增加。</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BodyText"/>
        <w:spacing w:line="240" w:lineRule="auto" w:before="0"/>
        <w:ind w:left="820" w:right="380"/>
        <w:jc w:val="left"/>
      </w:pPr>
      <w:r>
        <w:rPr>
          <w:rFonts w:ascii="Times New Roman" w:hAnsi="Times New Roman" w:cs="Times New Roman" w:eastAsia="Times New Roman" w:hint="default"/>
        </w:rPr>
        <w:t>4</w:t>
      </w:r>
      <w:r>
        <w:rPr/>
        <w:t>、主要费用情况</w:t>
      </w:r>
    </w:p>
    <w:p>
      <w:pPr>
        <w:pStyle w:val="BodyText"/>
        <w:spacing w:line="240" w:lineRule="auto" w:before="169"/>
        <w:ind w:left="0" w:right="395"/>
        <w:jc w:val="right"/>
      </w:pPr>
      <w:r>
        <w:rPr/>
        <w:t>单位：元</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548"/>
        <w:gridCol w:w="1529"/>
        <w:gridCol w:w="1351"/>
        <w:gridCol w:w="1620"/>
        <w:gridCol w:w="1356"/>
        <w:gridCol w:w="1476"/>
      </w:tblGrid>
      <w:tr>
        <w:trPr>
          <w:trHeight w:val="283" w:hRule="exact"/>
        </w:trPr>
        <w:tc>
          <w:tcPr>
            <w:tcW w:w="154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8"/>
                <w:szCs w:val="18"/>
              </w:rPr>
            </w:pPr>
          </w:p>
          <w:p>
            <w:pPr>
              <w:pStyle w:val="TableParagraph"/>
              <w:tabs>
                <w:tab w:pos="874" w:val="left" w:leader="none"/>
              </w:tabs>
              <w:spacing w:line="240" w:lineRule="auto"/>
              <w:ind w:left="45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976"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476" w:type="dxa"/>
            <w:vMerge w:val="restart"/>
            <w:tcBorders>
              <w:top w:val="single" w:sz="4" w:space="0" w:color="000000"/>
              <w:left w:val="single" w:sz="4" w:space="0" w:color="000000"/>
              <w:right w:val="single" w:sz="4" w:space="0" w:color="000000"/>
            </w:tcBorders>
            <w:shd w:val="clear" w:color="auto" w:fill="E0E0E0"/>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2"/>
              <w:jc w:val="left"/>
              <w:rPr>
                <w:rFonts w:ascii="宋体" w:hAnsi="宋体" w:cs="宋体" w:eastAsia="宋体" w:hint="default"/>
                <w:sz w:val="21"/>
                <w:szCs w:val="21"/>
              </w:rPr>
            </w:pPr>
            <w:r>
              <w:rPr>
                <w:rFonts w:ascii="宋体" w:hAnsi="宋体" w:cs="宋体" w:eastAsia="宋体" w:hint="default"/>
                <w:sz w:val="21"/>
                <w:szCs w:val="21"/>
              </w:rPr>
              <w:t>同比增</w:t>
            </w:r>
            <w:r>
              <w:rPr>
                <w:rFonts w:ascii="宋体" w:hAnsi="宋体" w:cs="宋体" w:eastAsia="宋体" w:hint="default"/>
                <w:spacing w:val="-105"/>
                <w:sz w:val="21"/>
                <w:szCs w:val="21"/>
              </w:rPr>
              <w:t>减</w:t>
            </w:r>
            <w:r>
              <w:rPr>
                <w:rFonts w:ascii="宋体" w:hAnsi="宋体" w:cs="宋体" w:eastAsia="宋体" w:hint="default"/>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w:t>
            </w:r>
          </w:p>
        </w:tc>
      </w:tr>
      <w:tr>
        <w:trPr>
          <w:trHeight w:val="554" w:hRule="exact"/>
        </w:trPr>
        <w:tc>
          <w:tcPr>
            <w:tcW w:w="1548" w:type="dxa"/>
            <w:vMerge/>
            <w:tcBorders>
              <w:left w:val="single" w:sz="4" w:space="0" w:color="000000"/>
              <w:bottom w:val="single" w:sz="4" w:space="0" w:color="000000"/>
              <w:right w:val="single" w:sz="4" w:space="0" w:color="000000"/>
            </w:tcBorders>
            <w:shd w:val="clear" w:color="auto" w:fill="D9D9D9"/>
          </w:tcPr>
          <w:p>
            <w:pPr/>
          </w:p>
        </w:tc>
        <w:tc>
          <w:tcPr>
            <w:tcW w:w="15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8" w:lineRule="exact"/>
              <w:ind w:left="145" w:right="0"/>
              <w:jc w:val="left"/>
              <w:rPr>
                <w:rFonts w:ascii="宋体" w:hAnsi="宋体" w:cs="宋体" w:eastAsia="宋体" w:hint="default"/>
                <w:sz w:val="21"/>
                <w:szCs w:val="21"/>
              </w:rPr>
            </w:pPr>
            <w:r>
              <w:rPr>
                <w:rFonts w:ascii="宋体" w:hAnsi="宋体" w:cs="宋体" w:eastAsia="宋体" w:hint="default"/>
                <w:sz w:val="21"/>
                <w:szCs w:val="21"/>
              </w:rPr>
              <w:t>占营业收入</w:t>
            </w:r>
          </w:p>
          <w:p>
            <w:pPr>
              <w:pStyle w:val="TableParagraph"/>
              <w:spacing w:line="274" w:lineRule="exact"/>
              <w:ind w:left="145" w:right="0"/>
              <w:jc w:val="left"/>
              <w:rPr>
                <w:rFonts w:ascii="宋体" w:hAnsi="宋体" w:cs="宋体" w:eastAsia="宋体" w:hint="default"/>
                <w:sz w:val="21"/>
                <w:szCs w:val="21"/>
              </w:rPr>
            </w:pPr>
            <w:r>
              <w:rPr>
                <w:rFonts w:ascii="宋体" w:hAnsi="宋体" w:cs="宋体" w:eastAsia="宋体" w:hint="default"/>
                <w:sz w:val="21"/>
                <w:szCs w:val="21"/>
              </w:rPr>
              <w:t>比重（％）</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8" w:lineRule="exact"/>
              <w:ind w:left="147" w:right="0"/>
              <w:jc w:val="left"/>
              <w:rPr>
                <w:rFonts w:ascii="宋体" w:hAnsi="宋体" w:cs="宋体" w:eastAsia="宋体" w:hint="default"/>
                <w:sz w:val="21"/>
                <w:szCs w:val="21"/>
              </w:rPr>
            </w:pPr>
            <w:r>
              <w:rPr>
                <w:rFonts w:ascii="宋体" w:hAnsi="宋体" w:cs="宋体" w:eastAsia="宋体" w:hint="default"/>
                <w:sz w:val="21"/>
                <w:szCs w:val="21"/>
              </w:rPr>
              <w:t>占营业收入</w:t>
            </w:r>
          </w:p>
          <w:p>
            <w:pPr>
              <w:pStyle w:val="TableParagraph"/>
              <w:spacing w:line="274" w:lineRule="exact"/>
              <w:ind w:left="147" w:right="0"/>
              <w:jc w:val="left"/>
              <w:rPr>
                <w:rFonts w:ascii="宋体" w:hAnsi="宋体" w:cs="宋体" w:eastAsia="宋体" w:hint="default"/>
                <w:sz w:val="21"/>
                <w:szCs w:val="21"/>
              </w:rPr>
            </w:pPr>
            <w:r>
              <w:rPr>
                <w:rFonts w:ascii="宋体" w:hAnsi="宋体" w:cs="宋体" w:eastAsia="宋体" w:hint="default"/>
                <w:sz w:val="21"/>
                <w:szCs w:val="21"/>
              </w:rPr>
              <w:t>比重（％）</w:t>
            </w:r>
          </w:p>
        </w:tc>
        <w:tc>
          <w:tcPr>
            <w:tcW w:w="1476" w:type="dxa"/>
            <w:vMerge/>
            <w:tcBorders>
              <w:left w:val="single" w:sz="4" w:space="0" w:color="000000"/>
              <w:bottom w:val="single" w:sz="4" w:space="0" w:color="000000"/>
              <w:right w:val="single" w:sz="4" w:space="0" w:color="000000"/>
            </w:tcBorders>
            <w:shd w:val="clear" w:color="auto" w:fill="E0E0E0"/>
          </w:tcPr>
          <w:p>
            <w:pPr/>
          </w:p>
        </w:tc>
      </w:tr>
      <w:tr>
        <w:trPr>
          <w:trHeight w:val="310"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655,069,931.15</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1"/>
                <w:szCs w:val="21"/>
              </w:rPr>
            </w:pPr>
            <w:r>
              <w:rPr>
                <w:rFonts w:ascii="Times New Roman"/>
                <w:spacing w:val="-1"/>
                <w:sz w:val="21"/>
              </w:rPr>
              <w:t>54.59%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412,477,648.47</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1"/>
                <w:szCs w:val="21"/>
              </w:rPr>
            </w:pPr>
            <w:r>
              <w:rPr>
                <w:rFonts w:ascii="Times New Roman"/>
                <w:spacing w:val="-1"/>
                <w:sz w:val="21"/>
              </w:rPr>
              <w:t>52.82%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1"/>
                <w:szCs w:val="21"/>
              </w:rPr>
            </w:pPr>
            <w:r>
              <w:rPr>
                <w:rFonts w:ascii="Times New Roman"/>
                <w:spacing w:val="-1"/>
                <w:sz w:val="21"/>
              </w:rPr>
              <w:t>58.81%</w:t>
            </w:r>
          </w:p>
        </w:tc>
      </w:tr>
      <w:tr>
        <w:trPr>
          <w:trHeight w:val="311"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124,592,381.76</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1"/>
                <w:szCs w:val="21"/>
              </w:rPr>
            </w:pPr>
            <w:r>
              <w:rPr>
                <w:rFonts w:ascii="Times New Roman"/>
                <w:spacing w:val="-1"/>
                <w:sz w:val="21"/>
              </w:rPr>
              <w:t>10.38%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1"/>
                <w:szCs w:val="21"/>
              </w:rPr>
            </w:pPr>
            <w:r>
              <w:rPr>
                <w:rFonts w:ascii="Times New Roman"/>
                <w:spacing w:val="-1"/>
                <w:sz w:val="21"/>
              </w:rPr>
              <w:t>82,481,607.63</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1"/>
                <w:szCs w:val="21"/>
              </w:rPr>
            </w:pPr>
            <w:r>
              <w:rPr>
                <w:rFonts w:ascii="Times New Roman"/>
                <w:spacing w:val="-1"/>
                <w:sz w:val="21"/>
              </w:rPr>
              <w:t>10.56%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1"/>
                <w:szCs w:val="21"/>
              </w:rPr>
            </w:pPr>
            <w:r>
              <w:rPr>
                <w:rFonts w:ascii="Times New Roman"/>
                <w:spacing w:val="-1"/>
                <w:sz w:val="21"/>
              </w:rPr>
              <w:t>51.05%</w:t>
            </w:r>
          </w:p>
        </w:tc>
      </w:tr>
      <w:tr>
        <w:trPr>
          <w:trHeight w:val="310"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115,927,290.20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1"/>
                <w:szCs w:val="21"/>
              </w:rPr>
            </w:pPr>
            <w:r>
              <w:rPr>
                <w:rFonts w:ascii="Times New Roman"/>
                <w:spacing w:val="-1"/>
                <w:sz w:val="21"/>
              </w:rPr>
              <w:t>9.66%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1"/>
                <w:szCs w:val="21"/>
              </w:rPr>
            </w:pPr>
            <w:r>
              <w:rPr>
                <w:rFonts w:ascii="Times New Roman"/>
                <w:spacing w:val="-1"/>
                <w:sz w:val="21"/>
              </w:rPr>
              <w:t>83,136,537.38</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1"/>
                <w:szCs w:val="21"/>
              </w:rPr>
            </w:pPr>
            <w:r>
              <w:rPr>
                <w:rFonts w:ascii="Times New Roman"/>
                <w:spacing w:val="-1"/>
                <w:sz w:val="21"/>
              </w:rPr>
              <w:t>10.65%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1"/>
                <w:szCs w:val="21"/>
              </w:rPr>
            </w:pPr>
            <w:r>
              <w:rPr>
                <w:rFonts w:ascii="Times New Roman"/>
                <w:spacing w:val="-1"/>
                <w:sz w:val="21"/>
              </w:rPr>
              <w:t>39.44%</w:t>
            </w:r>
          </w:p>
        </w:tc>
      </w:tr>
      <w:tr>
        <w:trPr>
          <w:trHeight w:val="310"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1"/>
                <w:szCs w:val="21"/>
              </w:rPr>
            </w:pPr>
            <w:r>
              <w:rPr>
                <w:rFonts w:ascii="Times New Roman"/>
                <w:spacing w:val="-1"/>
                <w:sz w:val="21"/>
              </w:rPr>
              <w:t>-9,012,471.34</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-0.75%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1"/>
                <w:szCs w:val="21"/>
              </w:rPr>
            </w:pPr>
            <w:r>
              <w:rPr>
                <w:rFonts w:ascii="Times New Roman"/>
                <w:spacing w:val="-1"/>
                <w:sz w:val="21"/>
              </w:rPr>
              <w:t>-2,230,314.33</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-0.29%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-304.09%</w:t>
            </w:r>
          </w:p>
        </w:tc>
      </w:tr>
      <w:tr>
        <w:trPr>
          <w:trHeight w:val="311"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1"/>
                <w:szCs w:val="21"/>
              </w:rPr>
            </w:pPr>
            <w:r>
              <w:rPr>
                <w:rFonts w:ascii="Times New Roman"/>
                <w:spacing w:val="-1"/>
                <w:sz w:val="21"/>
              </w:rPr>
              <w:t>67,741,935.85</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1"/>
                <w:szCs w:val="21"/>
              </w:rPr>
            </w:pPr>
            <w:r>
              <w:rPr>
                <w:rFonts w:ascii="Times New Roman"/>
                <w:spacing w:val="-1"/>
                <w:sz w:val="21"/>
              </w:rPr>
              <w:t>5.65%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1"/>
                <w:szCs w:val="21"/>
              </w:rPr>
            </w:pPr>
            <w:r>
              <w:rPr>
                <w:rFonts w:ascii="Times New Roman"/>
                <w:spacing w:val="-1"/>
                <w:sz w:val="21"/>
              </w:rPr>
              <w:t>61,862,767.10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1"/>
                <w:szCs w:val="21"/>
              </w:rPr>
            </w:pPr>
            <w:r>
              <w:rPr>
                <w:rFonts w:ascii="Times New Roman"/>
                <w:spacing w:val="-1"/>
                <w:sz w:val="21"/>
              </w:rPr>
              <w:t>7.92%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1"/>
                <w:szCs w:val="21"/>
              </w:rPr>
            </w:pPr>
            <w:r>
              <w:rPr>
                <w:rFonts w:ascii="Times New Roman"/>
                <w:spacing w:val="-1"/>
                <w:sz w:val="21"/>
              </w:rPr>
              <w:t>9.50%</w:t>
            </w:r>
          </w:p>
        </w:tc>
      </w:tr>
      <w:tr>
        <w:trPr>
          <w:trHeight w:val="310"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1"/>
                <w:szCs w:val="21"/>
              </w:rPr>
            </w:pPr>
            <w:r>
              <w:rPr>
                <w:rFonts w:ascii="宋体" w:hAnsi="宋体" w:cs="宋体" w:eastAsia="宋体" w:hint="default"/>
                <w:sz w:val="21"/>
                <w:szCs w:val="21"/>
              </w:rPr>
              <w:t>所得税</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31,544,472.35</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2.63%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26,776,701.02</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1"/>
                <w:szCs w:val="21"/>
              </w:rPr>
            </w:pPr>
            <w:r>
              <w:rPr>
                <w:rFonts w:ascii="Times New Roman"/>
                <w:spacing w:val="-1"/>
                <w:sz w:val="21"/>
              </w:rPr>
              <w:t>3.43%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1"/>
                <w:szCs w:val="21"/>
              </w:rPr>
            </w:pPr>
            <w:r>
              <w:rPr>
                <w:rFonts w:ascii="Times New Roman"/>
                <w:spacing w:val="-1"/>
                <w:sz w:val="21"/>
              </w:rPr>
              <w:t>17.81%</w:t>
            </w:r>
          </w:p>
        </w:tc>
      </w:tr>
    </w:tbl>
    <w:p>
      <w:pPr>
        <w:pStyle w:val="BodyText"/>
        <w:spacing w:line="240" w:lineRule="auto" w:before="84"/>
        <w:ind w:left="820" w:right="380"/>
        <w:jc w:val="left"/>
      </w:pPr>
      <w:r>
        <w:rPr/>
        <w:t>变动原因分析：</w:t>
      </w:r>
    </w:p>
    <w:p>
      <w:pPr>
        <w:spacing w:line="240" w:lineRule="auto" w:before="3"/>
        <w:rPr>
          <w:rFonts w:ascii="宋体" w:hAnsi="宋体" w:cs="宋体" w:eastAsia="宋体" w:hint="default"/>
          <w:sz w:val="14"/>
          <w:szCs w:val="14"/>
        </w:rPr>
      </w:pPr>
    </w:p>
    <w:p>
      <w:pPr>
        <w:pStyle w:val="BodyText"/>
        <w:spacing w:line="240" w:lineRule="auto" w:before="0"/>
        <w:ind w:left="820" w:right="0"/>
        <w:jc w:val="left"/>
      </w:pPr>
      <w:r>
        <w:rPr/>
        <w:t>（</w:t>
      </w:r>
      <w:r>
        <w:rPr>
          <w:rFonts w:ascii="Times New Roman" w:hAnsi="Times New Roman" w:cs="Times New Roman" w:eastAsia="Times New Roman" w:hint="default"/>
        </w:rPr>
        <w:t>1</w:t>
      </w:r>
      <w:r>
        <w:rPr/>
        <w:t>）报告期内，公司营业成本为 </w:t>
      </w:r>
      <w:r>
        <w:rPr>
          <w:rFonts w:ascii="Times New Roman" w:hAnsi="Times New Roman" w:cs="Times New Roman" w:eastAsia="Times New Roman" w:hint="default"/>
        </w:rPr>
        <w:t>65,507  </w:t>
      </w:r>
      <w:r>
        <w:rPr/>
        <w:t>万元，同比增长</w:t>
      </w:r>
      <w:r>
        <w:rPr>
          <w:spacing w:val="-68"/>
        </w:rPr>
        <w:t> </w:t>
      </w:r>
      <w:r>
        <w:rPr>
          <w:rFonts w:ascii="Times New Roman" w:hAnsi="Times New Roman" w:cs="Times New Roman" w:eastAsia="Times New Roman" w:hint="default"/>
        </w:rPr>
        <w:t>58.81%</w:t>
      </w:r>
      <w:r>
        <w:rPr/>
        <w:t>，营业收入比上年同</w:t>
      </w:r>
    </w:p>
    <w:p>
      <w:pPr>
        <w:spacing w:after="0" w:line="240" w:lineRule="auto"/>
        <w:jc w:val="left"/>
        <w:sectPr>
          <w:pgSz w:w="11910" w:h="16840"/>
          <w:pgMar w:header="400" w:footer="982" w:top="1100" w:bottom="1180" w:left="1400" w:right="1400"/>
        </w:sectPr>
      </w:pPr>
    </w:p>
    <w:p>
      <w:pPr>
        <w:spacing w:line="240" w:lineRule="auto" w:before="1"/>
        <w:rPr>
          <w:rFonts w:ascii="宋体" w:hAnsi="宋体" w:cs="宋体" w:eastAsia="宋体" w:hint="default"/>
          <w:sz w:val="19"/>
          <w:szCs w:val="19"/>
        </w:rPr>
      </w:pPr>
    </w:p>
    <w:p>
      <w:pPr>
        <w:pStyle w:val="BodyText"/>
        <w:spacing w:line="240" w:lineRule="auto" w:before="35"/>
        <w:ind w:right="0"/>
        <w:jc w:val="both"/>
      </w:pPr>
      <w:r>
        <w:rPr/>
        <w:t>期增长</w:t>
      </w:r>
      <w:r>
        <w:rPr>
          <w:spacing w:val="-57"/>
        </w:rPr>
        <w:t> </w:t>
      </w:r>
      <w:r>
        <w:rPr>
          <w:rFonts w:ascii="Times New Roman" w:hAnsi="Times New Roman" w:cs="Times New Roman" w:eastAsia="Times New Roman" w:hint="default"/>
        </w:rPr>
        <w:t>53.67%</w:t>
      </w:r>
      <w:r>
        <w:rPr/>
        <w:t>，营业成本增长幅度高于营业收入增长幅度。</w:t>
      </w:r>
    </w:p>
    <w:p>
      <w:pPr>
        <w:pStyle w:val="BodyText"/>
        <w:spacing w:line="240" w:lineRule="auto" w:before="170"/>
        <w:ind w:left="560" w:right="102"/>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48"/>
        </w:rPr>
        <w:t> </w:t>
      </w:r>
      <w:r>
        <w:rPr/>
        <w:t>年，公司营业成本占营业收入</w:t>
      </w:r>
      <w:r>
        <w:rPr>
          <w:spacing w:val="-48"/>
        </w:rPr>
        <w:t> </w:t>
      </w:r>
      <w:r>
        <w:rPr>
          <w:rFonts w:ascii="Times New Roman" w:hAnsi="Times New Roman" w:cs="Times New Roman" w:eastAsia="Times New Roman" w:hint="default"/>
        </w:rPr>
        <w:t>54.59%</w:t>
      </w:r>
      <w:r>
        <w:rPr/>
        <w:t>，比上年同期</w:t>
      </w:r>
      <w:r>
        <w:rPr>
          <w:spacing w:val="-48"/>
        </w:rPr>
        <w:t> </w:t>
      </w:r>
      <w:r>
        <w:rPr>
          <w:rFonts w:ascii="Times New Roman" w:hAnsi="Times New Roman" w:cs="Times New Roman" w:eastAsia="Times New Roman" w:hint="default"/>
        </w:rPr>
        <w:t>52.82%</w:t>
      </w:r>
      <w:r>
        <w:rPr/>
        <w:t>上升</w:t>
      </w:r>
      <w:r>
        <w:rPr>
          <w:spacing w:val="-48"/>
        </w:rPr>
        <w:t> </w:t>
      </w:r>
      <w:r>
        <w:rPr>
          <w:rFonts w:ascii="Times New Roman" w:hAnsi="Times New Roman" w:cs="Times New Roman" w:eastAsia="Times New Roman" w:hint="default"/>
        </w:rPr>
        <w:t>1.77</w:t>
      </w:r>
      <w:r>
        <w:rPr>
          <w:rFonts w:ascii="Times New Roman" w:hAnsi="Times New Roman" w:cs="Times New Roman" w:eastAsia="Times New Roman" w:hint="default"/>
          <w:spacing w:val="4"/>
        </w:rPr>
        <w:t> </w:t>
      </w:r>
      <w:r>
        <w:rPr/>
        <w:t>个百分点，</w:t>
      </w:r>
    </w:p>
    <w:p>
      <w:pPr>
        <w:pStyle w:val="BodyText"/>
        <w:spacing w:line="240" w:lineRule="auto" w:before="49"/>
        <w:ind w:right="0"/>
        <w:jc w:val="both"/>
      </w:pPr>
      <w:r>
        <w:rPr/>
        <w:t>即综合毛利率下降</w:t>
      </w:r>
      <w:r>
        <w:rPr>
          <w:spacing w:val="-51"/>
        </w:rPr>
        <w:t> </w:t>
      </w:r>
      <w:r>
        <w:rPr>
          <w:rFonts w:ascii="Times New Roman" w:hAnsi="Times New Roman" w:cs="Times New Roman" w:eastAsia="Times New Roman" w:hint="default"/>
        </w:rPr>
        <w:t>1.77 </w:t>
      </w:r>
      <w:r>
        <w:rPr/>
        <w:t>个百分点，其中产品销售毛利率下降</w:t>
      </w:r>
      <w:r>
        <w:rPr>
          <w:spacing w:val="-51"/>
        </w:rPr>
        <w:t> </w:t>
      </w:r>
      <w:r>
        <w:rPr>
          <w:rFonts w:ascii="Times New Roman" w:hAnsi="Times New Roman" w:cs="Times New Roman" w:eastAsia="Times New Roman" w:hint="default"/>
        </w:rPr>
        <w:t>1.76</w:t>
      </w:r>
      <w:r>
        <w:rPr>
          <w:rFonts w:ascii="Times New Roman" w:hAnsi="Times New Roman" w:cs="Times New Roman" w:eastAsia="Times New Roman" w:hint="default"/>
          <w:spacing w:val="1"/>
        </w:rPr>
        <w:t> </w:t>
      </w:r>
      <w:r>
        <w:rPr/>
        <w:t>个百分点，主要是产品价</w:t>
      </w:r>
    </w:p>
    <w:p>
      <w:pPr>
        <w:pStyle w:val="BodyText"/>
        <w:spacing w:line="240" w:lineRule="auto"/>
        <w:ind w:right="0"/>
        <w:jc w:val="both"/>
      </w:pPr>
      <w:r>
        <w:rPr/>
        <w:t>格同比有所下降；由于主要配件价格有所下降导致产品配件销售毛利率同比下降了 </w:t>
      </w:r>
      <w:r>
        <w:rPr>
          <w:rFonts w:ascii="Times New Roman" w:hAnsi="Times New Roman" w:cs="Times New Roman" w:eastAsia="Times New Roman" w:hint="default"/>
        </w:rPr>
        <w:t>2.44</w:t>
      </w:r>
      <w:r>
        <w:rPr>
          <w:rFonts w:ascii="Times New Roman" w:hAnsi="Times New Roman" w:cs="Times New Roman" w:eastAsia="Times New Roman" w:hint="default"/>
          <w:spacing w:val="10"/>
        </w:rPr>
        <w:t> </w:t>
      </w:r>
      <w:r>
        <w:rPr/>
        <w:t>个</w:t>
      </w:r>
    </w:p>
    <w:p>
      <w:pPr>
        <w:pStyle w:val="BodyText"/>
        <w:spacing w:line="280" w:lineRule="auto"/>
        <w:ind w:right="214"/>
        <w:jc w:val="both"/>
      </w:pPr>
      <w:r>
        <w:rPr/>
        <w:t>百分点；随着维护设备数量的增加规模效益日益显现，设备维护毛利率同比上升</w:t>
      </w:r>
      <w:r>
        <w:rPr>
          <w:spacing w:val="-73"/>
        </w:rPr>
        <w:t> </w:t>
      </w:r>
      <w:r>
        <w:rPr>
          <w:rFonts w:ascii="Times New Roman" w:hAnsi="Times New Roman" w:cs="Times New Roman" w:eastAsia="Times New Roman" w:hint="default"/>
        </w:rPr>
        <w:t>14.32</w:t>
      </w:r>
      <w:r>
        <w:rPr>
          <w:rFonts w:ascii="Times New Roman" w:hAnsi="Times New Roman" w:cs="Times New Roman" w:eastAsia="Times New Roman" w:hint="default"/>
          <w:spacing w:val="-20"/>
        </w:rPr>
        <w:t> </w:t>
      </w:r>
      <w:r>
        <w:rPr/>
        <w:t>个百 分点；银行采取的 </w:t>
      </w:r>
      <w:r>
        <w:rPr>
          <w:rFonts w:ascii="Times New Roman" w:hAnsi="Times New Roman" w:cs="Times New Roman" w:eastAsia="Times New Roman" w:hint="default"/>
          <w:spacing w:val="-8"/>
        </w:rPr>
        <w:t>ATM </w:t>
      </w:r>
      <w:r>
        <w:rPr/>
        <w:t>准全外包营运方式增加了营运商的营运成本，使得公司 </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年度 运营毛利率同比下降</w:t>
      </w:r>
      <w:r>
        <w:rPr>
          <w:spacing w:val="-54"/>
        </w:rPr>
        <w:t> </w:t>
      </w:r>
      <w:r>
        <w:rPr>
          <w:rFonts w:ascii="Times New Roman" w:hAnsi="Times New Roman" w:cs="Times New Roman" w:eastAsia="Times New Roman" w:hint="default"/>
        </w:rPr>
        <w:t>16.2</w:t>
      </w:r>
      <w:r>
        <w:rPr>
          <w:rFonts w:ascii="Times New Roman" w:hAnsi="Times New Roman" w:cs="Times New Roman" w:eastAsia="Times New Roman" w:hint="default"/>
          <w:spacing w:val="-1"/>
        </w:rPr>
        <w:t> </w:t>
      </w:r>
      <w:r>
        <w:rPr/>
        <w:t>个百分点。</w:t>
      </w:r>
    </w:p>
    <w:p>
      <w:pPr>
        <w:pStyle w:val="BodyText"/>
        <w:spacing w:line="283" w:lineRule="auto" w:before="130"/>
        <w:ind w:right="215" w:firstLine="419"/>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2008 </w:t>
      </w:r>
      <w:r>
        <w:rPr/>
        <w:t>年，销售费用和管理费用同比分别增长</w:t>
      </w:r>
      <w:r>
        <w:rPr>
          <w:spacing w:val="-34"/>
        </w:rPr>
        <w:t> </w:t>
      </w:r>
      <w:r>
        <w:rPr>
          <w:rFonts w:ascii="Times New Roman" w:hAnsi="Times New Roman" w:cs="Times New Roman" w:eastAsia="Times New Roman" w:hint="default"/>
        </w:rPr>
        <w:t>51.05%</w:t>
      </w:r>
      <w:r>
        <w:rPr/>
        <w:t>、</w:t>
      </w:r>
      <w:r>
        <w:rPr>
          <w:rFonts w:ascii="Times New Roman" w:hAnsi="Times New Roman" w:cs="Times New Roman" w:eastAsia="Times New Roman" w:hint="default"/>
        </w:rPr>
        <w:t>39.44%</w:t>
      </w:r>
      <w:r>
        <w:rPr/>
        <w:t>，上述两项费用合 计增长</w:t>
      </w:r>
      <w:r>
        <w:rPr>
          <w:spacing w:val="-9"/>
        </w:rPr>
        <w:t> </w:t>
      </w:r>
      <w:r>
        <w:rPr>
          <w:rFonts w:ascii="Times New Roman" w:hAnsi="Times New Roman" w:cs="Times New Roman" w:eastAsia="Times New Roman" w:hint="default"/>
        </w:rPr>
        <w:t>45.23%</w:t>
      </w:r>
      <w:r>
        <w:rPr/>
        <w:t>，主要是由于销售额大幅增加，使得直接与销售量和销售额相关的工资、运 </w:t>
      </w:r>
      <w:r>
        <w:rPr>
          <w:spacing w:val="-3"/>
        </w:rPr>
        <w:t>输费、技术咨询安装服务费、广告费、代理费、业务招待费等销售费用随之增加；管理费用</w:t>
      </w:r>
      <w:r>
        <w:rPr>
          <w:spacing w:val="-84"/>
        </w:rPr>
        <w:t> </w:t>
      </w:r>
      <w:r>
        <w:rPr>
          <w:spacing w:val="-84"/>
        </w:rPr>
      </w:r>
      <w:r>
        <w:rPr/>
        <w:t>中，研究开发费有较大的增长。上述两项费用占营业收入比重为</w:t>
      </w:r>
      <w:r>
        <w:rPr>
          <w:spacing w:val="-9"/>
        </w:rPr>
        <w:t> </w:t>
      </w:r>
      <w:r>
        <w:rPr>
          <w:rFonts w:ascii="Times New Roman" w:hAnsi="Times New Roman" w:cs="Times New Roman" w:eastAsia="Times New Roman" w:hint="default"/>
        </w:rPr>
        <w:t>20.04%</w:t>
      </w:r>
      <w:r>
        <w:rPr/>
        <w:t>，比上年同期下降 </w:t>
      </w:r>
      <w:r>
        <w:rPr>
          <w:rFonts w:ascii="Times New Roman" w:hAnsi="Times New Roman" w:cs="Times New Roman" w:eastAsia="Times New Roman" w:hint="default"/>
        </w:rPr>
        <w:t>1.17</w:t>
      </w:r>
      <w:r>
        <w:rPr>
          <w:rFonts w:ascii="Times New Roman" w:hAnsi="Times New Roman" w:cs="Times New Roman" w:eastAsia="Times New Roman" w:hint="default"/>
          <w:spacing w:val="11"/>
        </w:rPr>
        <w:t> </w:t>
      </w:r>
      <w:r>
        <w:rPr>
          <w:spacing w:val="-3"/>
        </w:rPr>
        <w:t>个百分点，且其增长幅度低于营业收入的增长幅度，一方面是规模效应产生的结果，另</w:t>
      </w:r>
      <w:r>
        <w:rPr>
          <w:spacing w:val="-102"/>
        </w:rPr>
        <w:t> </w:t>
      </w:r>
      <w:r>
        <w:rPr>
          <w:spacing w:val="-102"/>
        </w:rPr>
      </w:r>
      <w:r>
        <w:rPr/>
        <w:t>一方面表明公司内部费用控制进一步取得成效。</w:t>
      </w:r>
    </w:p>
    <w:p>
      <w:pPr>
        <w:pStyle w:val="BodyText"/>
        <w:spacing w:line="280" w:lineRule="auto" w:before="148"/>
        <w:ind w:right="216" w:firstLine="420"/>
        <w:jc w:val="both"/>
      </w:pPr>
      <w:r>
        <w:rPr/>
        <w:t>（</w:t>
      </w:r>
      <w:r>
        <w:rPr>
          <w:rFonts w:ascii="Times New Roman" w:hAnsi="Times New Roman" w:cs="Times New Roman" w:eastAsia="Times New Roman" w:hint="default"/>
        </w:rPr>
        <w:t>3</w:t>
      </w:r>
      <w:r>
        <w:rPr/>
        <w:t>）公司财务费用为</w:t>
      </w:r>
      <w:r>
        <w:rPr>
          <w:rFonts w:ascii="Times New Roman" w:hAnsi="Times New Roman" w:cs="Times New Roman" w:eastAsia="Times New Roman" w:hint="default"/>
        </w:rPr>
        <w:t>-901</w:t>
      </w:r>
      <w:r>
        <w:rPr>
          <w:rFonts w:ascii="Times New Roman" w:hAnsi="Times New Roman" w:cs="Times New Roman" w:eastAsia="Times New Roman" w:hint="default"/>
          <w:spacing w:val="-13"/>
        </w:rPr>
        <w:t> </w:t>
      </w:r>
      <w:r>
        <w:rPr/>
        <w:t>万元，比上年同期</w:t>
      </w:r>
      <w:r>
        <w:rPr>
          <w:rFonts w:ascii="Times New Roman" w:hAnsi="Times New Roman" w:cs="Times New Roman" w:eastAsia="Times New Roman" w:hint="default"/>
        </w:rPr>
        <w:t>-223</w:t>
      </w:r>
      <w:r>
        <w:rPr>
          <w:rFonts w:ascii="Times New Roman" w:hAnsi="Times New Roman" w:cs="Times New Roman" w:eastAsia="Times New Roman" w:hint="default"/>
          <w:spacing w:val="-13"/>
        </w:rPr>
        <w:t> </w:t>
      </w:r>
      <w:r>
        <w:rPr/>
        <w:t>万元下降</w:t>
      </w:r>
      <w:r>
        <w:rPr>
          <w:spacing w:val="-66"/>
        </w:rPr>
        <w:t> </w:t>
      </w:r>
      <w:r>
        <w:rPr>
          <w:rFonts w:ascii="Times New Roman" w:hAnsi="Times New Roman" w:cs="Times New Roman" w:eastAsia="Times New Roman" w:hint="default"/>
        </w:rPr>
        <w:t>304.09</w:t>
      </w:r>
      <w:r>
        <w:rPr>
          <w:rFonts w:ascii="Times New Roman" w:hAnsi="Times New Roman" w:cs="Times New Roman" w:eastAsia="Times New Roman" w:hint="default"/>
          <w:spacing w:val="-14"/>
        </w:rPr>
        <w:t> </w:t>
      </w:r>
      <w:r>
        <w:rPr>
          <w:rFonts w:ascii="Times New Roman" w:hAnsi="Times New Roman" w:cs="Times New Roman" w:eastAsia="Times New Roman" w:hint="default"/>
        </w:rPr>
        <w:t>%</w:t>
      </w:r>
      <w:r>
        <w:rPr/>
        <w:t>，主要是公司资金 充足产生的利息收入，以及公司通过合理使用外汇结算工具增加财务收入所致。</w:t>
      </w:r>
    </w:p>
    <w:p>
      <w:pPr>
        <w:pStyle w:val="BodyText"/>
        <w:spacing w:line="240" w:lineRule="auto" w:before="149"/>
        <w:ind w:left="560" w:right="0"/>
        <w:jc w:val="left"/>
      </w:pPr>
      <w:r>
        <w:rPr>
          <w:spacing w:val="-3"/>
        </w:rPr>
        <w:t>（</w:t>
      </w:r>
      <w:r>
        <w:rPr>
          <w:rFonts w:ascii="Times New Roman" w:hAnsi="Times New Roman" w:cs="Times New Roman" w:eastAsia="Times New Roman" w:hint="default"/>
          <w:spacing w:val="-3"/>
        </w:rPr>
        <w:t>4</w:t>
      </w:r>
      <w:r>
        <w:rPr>
          <w:spacing w:val="-3"/>
        </w:rPr>
        <w:t>）公司营业外收入</w:t>
      </w:r>
      <w:r>
        <w:rPr>
          <w:spacing w:val="-53"/>
        </w:rPr>
        <w:t> </w:t>
      </w:r>
      <w:r>
        <w:rPr>
          <w:rFonts w:ascii="Times New Roman" w:hAnsi="Times New Roman" w:cs="Times New Roman" w:eastAsia="Times New Roman" w:hint="default"/>
        </w:rPr>
        <w:t>6,774 </w:t>
      </w:r>
      <w:r>
        <w:rPr>
          <w:spacing w:val="-3"/>
        </w:rPr>
        <w:t>万元，比上年同期增加</w:t>
      </w:r>
      <w:r>
        <w:rPr>
          <w:spacing w:val="-53"/>
        </w:rPr>
        <w:t> </w:t>
      </w:r>
      <w:r>
        <w:rPr>
          <w:rFonts w:ascii="Times New Roman" w:hAnsi="Times New Roman" w:cs="Times New Roman" w:eastAsia="Times New Roman" w:hint="default"/>
        </w:rPr>
        <w:t>588 </w:t>
      </w:r>
      <w:r>
        <w:rPr>
          <w:spacing w:val="-6"/>
        </w:rPr>
        <w:t>万元，增长</w:t>
      </w:r>
      <w:r>
        <w:rPr>
          <w:spacing w:val="-53"/>
        </w:rPr>
        <w:t> </w:t>
      </w:r>
      <w:r>
        <w:rPr>
          <w:rFonts w:ascii="Times New Roman" w:hAnsi="Times New Roman" w:cs="Times New Roman" w:eastAsia="Times New Roman" w:hint="default"/>
          <w:spacing w:val="-3"/>
        </w:rPr>
        <w:t>9.5%</w:t>
      </w:r>
      <w:r>
        <w:rPr>
          <w:spacing w:val="-3"/>
        </w:rPr>
        <w:t>，主要原因为：</w:t>
      </w:r>
    </w:p>
    <w:p>
      <w:pPr>
        <w:pStyle w:val="BodyText"/>
        <w:spacing w:line="240" w:lineRule="auto"/>
        <w:ind w:right="0"/>
        <w:jc w:val="both"/>
      </w:pPr>
      <w:r>
        <w:rPr/>
        <w:t>因软件销售收入的增加使得本期收取的软件产品退税款增加</w:t>
      </w:r>
      <w:r>
        <w:rPr>
          <w:spacing w:val="-54"/>
        </w:rPr>
        <w:t> </w:t>
      </w:r>
      <w:r>
        <w:rPr>
          <w:rFonts w:ascii="Times New Roman" w:hAnsi="Times New Roman" w:cs="Times New Roman" w:eastAsia="Times New Roman" w:hint="default"/>
        </w:rPr>
        <w:t>1,147</w:t>
      </w:r>
      <w:r>
        <w:rPr>
          <w:rFonts w:ascii="Times New Roman" w:hAnsi="Times New Roman" w:cs="Times New Roman" w:eastAsia="Times New Roman" w:hint="default"/>
          <w:spacing w:val="-1"/>
        </w:rPr>
        <w:t> </w:t>
      </w:r>
      <w:r>
        <w:rPr>
          <w:spacing w:val="-4"/>
        </w:rPr>
        <w:t>万元，而其他政府补贴减</w:t>
      </w:r>
    </w:p>
    <w:p>
      <w:pPr>
        <w:pStyle w:val="BodyText"/>
        <w:spacing w:line="240" w:lineRule="auto"/>
        <w:ind w:right="0"/>
        <w:jc w:val="both"/>
      </w:pPr>
      <w:r>
        <w:rPr/>
        <w:t>少</w:t>
      </w:r>
      <w:r>
        <w:rPr>
          <w:spacing w:val="-55"/>
        </w:rPr>
        <w:t> </w:t>
      </w:r>
      <w:r>
        <w:rPr>
          <w:rFonts w:ascii="Times New Roman" w:hAnsi="Times New Roman" w:cs="Times New Roman" w:eastAsia="Times New Roman" w:hint="default"/>
        </w:rPr>
        <w:t>361</w:t>
      </w:r>
      <w:r>
        <w:rPr>
          <w:rFonts w:ascii="Times New Roman" w:hAnsi="Times New Roman" w:cs="Times New Roman" w:eastAsia="Times New Roman" w:hint="default"/>
          <w:spacing w:val="-2"/>
        </w:rPr>
        <w:t> </w:t>
      </w:r>
      <w:r>
        <w:rPr/>
        <w:t>万元，捐赠收入减少</w:t>
      </w:r>
      <w:r>
        <w:rPr>
          <w:spacing w:val="-55"/>
        </w:rPr>
        <w:t> </w:t>
      </w:r>
      <w:r>
        <w:rPr>
          <w:rFonts w:ascii="Times New Roman" w:hAnsi="Times New Roman" w:cs="Times New Roman" w:eastAsia="Times New Roman" w:hint="default"/>
        </w:rPr>
        <w:t>219</w:t>
      </w:r>
      <w:r>
        <w:rPr>
          <w:rFonts w:ascii="Times New Roman" w:hAnsi="Times New Roman" w:cs="Times New Roman" w:eastAsia="Times New Roman" w:hint="default"/>
          <w:spacing w:val="-2"/>
        </w:rPr>
        <w:t> </w:t>
      </w:r>
      <w:r>
        <w:rPr/>
        <w:t>万元。</w:t>
      </w:r>
    </w:p>
    <w:p>
      <w:pPr>
        <w:pStyle w:val="BodyText"/>
        <w:spacing w:line="280" w:lineRule="auto" w:before="169"/>
        <w:ind w:left="139" w:right="215" w:firstLine="420"/>
        <w:jc w:val="both"/>
      </w:pPr>
      <w:r>
        <w:rPr>
          <w:spacing w:val="-3"/>
        </w:rPr>
        <w:t>（</w:t>
      </w:r>
      <w:r>
        <w:rPr>
          <w:rFonts w:ascii="Times New Roman" w:hAnsi="Times New Roman" w:cs="Times New Roman" w:eastAsia="Times New Roman" w:hint="default"/>
          <w:spacing w:val="-3"/>
        </w:rPr>
        <w:t>5</w:t>
      </w:r>
      <w:r>
        <w:rPr>
          <w:spacing w:val="-3"/>
        </w:rPr>
        <w:t>）</w:t>
      </w:r>
      <w:r>
        <w:rPr>
          <w:rFonts w:ascii="Times New Roman" w:hAnsi="Times New Roman" w:cs="Times New Roman" w:eastAsia="Times New Roman" w:hint="default"/>
          <w:spacing w:val="-3"/>
        </w:rPr>
        <w:t>2008</w:t>
      </w:r>
      <w:r>
        <w:rPr>
          <w:rFonts w:ascii="Times New Roman" w:hAnsi="Times New Roman" w:cs="Times New Roman" w:eastAsia="Times New Roman" w:hint="default"/>
          <w:spacing w:val="-21"/>
        </w:rPr>
        <w:t> </w:t>
      </w:r>
      <w:r>
        <w:rPr/>
        <w:t>年度公司被国家发展和改革委员会、工业和信息化部、商务部和国家税务总 局认定为国家规划布局内重点软件企业，公司所得税减按</w:t>
      </w:r>
      <w:r>
        <w:rPr>
          <w:spacing w:val="30"/>
        </w:rPr>
        <w:t> </w:t>
      </w:r>
      <w:r>
        <w:rPr>
          <w:rFonts w:ascii="Times New Roman" w:hAnsi="Times New Roman" w:cs="Times New Roman" w:eastAsia="Times New Roman" w:hint="default"/>
        </w:rPr>
        <w:t>10%</w:t>
      </w:r>
      <w:r>
        <w:rPr/>
        <w:t>的税率征收，所得税费用实</w:t>
      </w:r>
      <w:r>
        <w:rPr>
          <w:spacing w:val="-100"/>
        </w:rPr>
        <w:t> </w:t>
      </w:r>
      <w:r>
        <w:rPr>
          <w:spacing w:val="-100"/>
        </w:rPr>
      </w:r>
      <w:r>
        <w:rPr/>
        <w:t>际比上年同期增长</w:t>
      </w:r>
      <w:r>
        <w:rPr>
          <w:spacing w:val="-57"/>
        </w:rPr>
        <w:t> </w:t>
      </w:r>
      <w:r>
        <w:rPr>
          <w:rFonts w:ascii="Times New Roman" w:hAnsi="Times New Roman" w:cs="Times New Roman" w:eastAsia="Times New Roman" w:hint="default"/>
        </w:rPr>
        <w:t>17.81%</w:t>
      </w:r>
      <w:r>
        <w:rPr/>
        <w:t>。</w:t>
      </w:r>
    </w:p>
    <w:p>
      <w:pPr>
        <w:pStyle w:val="BodyText"/>
        <w:spacing w:line="240" w:lineRule="auto" w:before="130"/>
        <w:ind w:left="560" w:right="102"/>
        <w:jc w:val="left"/>
      </w:pPr>
      <w:r>
        <w:rPr>
          <w:rFonts w:ascii="Times New Roman" w:hAnsi="Times New Roman" w:cs="Times New Roman" w:eastAsia="Times New Roman" w:hint="default"/>
        </w:rPr>
        <w:t>5</w:t>
      </w:r>
      <w:r>
        <w:rPr/>
        <w:t>、经营环境分析</w:t>
      </w:r>
    </w:p>
    <w:p>
      <w:pPr>
        <w:spacing w:line="240" w:lineRule="auto" w:before="8"/>
        <w:rPr>
          <w:rFonts w:ascii="宋体" w:hAnsi="宋体" w:cs="宋体" w:eastAsia="宋体" w:hint="default"/>
          <w:sz w:val="15"/>
          <w:szCs w:val="15"/>
        </w:rPr>
      </w:pPr>
    </w:p>
    <w:tbl>
      <w:tblPr>
        <w:tblW w:w="0" w:type="auto"/>
        <w:jc w:val="left"/>
        <w:tblInd w:w="262" w:type="dxa"/>
        <w:tblLayout w:type="fixed"/>
        <w:tblCellMar>
          <w:top w:w="0" w:type="dxa"/>
          <w:left w:w="0" w:type="dxa"/>
          <w:bottom w:w="0" w:type="dxa"/>
          <w:right w:w="0" w:type="dxa"/>
        </w:tblCellMar>
        <w:tblLook w:val="01E0"/>
      </w:tblPr>
      <w:tblGrid>
        <w:gridCol w:w="2130"/>
        <w:gridCol w:w="2130"/>
        <w:gridCol w:w="2131"/>
        <w:gridCol w:w="1660"/>
      </w:tblGrid>
      <w:tr>
        <w:trPr>
          <w:trHeight w:val="478" w:hRule="exact"/>
        </w:trPr>
        <w:tc>
          <w:tcPr>
            <w:tcW w:w="2130"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
              <w:jc w:val="center"/>
              <w:rPr>
                <w:rFonts w:ascii="宋体" w:hAnsi="宋体" w:cs="宋体" w:eastAsia="宋体" w:hint="default"/>
                <w:sz w:val="18"/>
                <w:szCs w:val="18"/>
              </w:rPr>
            </w:pPr>
            <w:r>
              <w:rPr>
                <w:rFonts w:ascii="宋体" w:hAnsi="宋体" w:cs="宋体" w:eastAsia="宋体" w:hint="default"/>
                <w:b/>
                <w:bCs/>
                <w:sz w:val="18"/>
                <w:szCs w:val="18"/>
              </w:rPr>
              <w:t>对</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2008</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年度业绩及财务</w:t>
            </w:r>
            <w:r>
              <w:rPr>
                <w:rFonts w:ascii="宋体" w:hAnsi="宋体" w:cs="宋体" w:eastAsia="宋体" w:hint="default"/>
                <w:sz w:val="18"/>
                <w:szCs w:val="18"/>
              </w:rPr>
            </w:r>
          </w:p>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b/>
                <w:bCs/>
                <w:sz w:val="18"/>
                <w:szCs w:val="18"/>
              </w:rPr>
              <w:t>状况影响情况</w:t>
            </w:r>
            <w:r>
              <w:rPr>
                <w:rFonts w:ascii="宋体" w:hAnsi="宋体" w:cs="宋体" w:eastAsia="宋体" w:hint="default"/>
                <w:sz w:val="18"/>
                <w:szCs w:val="18"/>
              </w:rPr>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b/>
                <w:bCs/>
                <w:sz w:val="18"/>
                <w:szCs w:val="18"/>
              </w:rPr>
              <w:t>对未来业绩及财务状况</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影响情况</w:t>
            </w:r>
            <w:r>
              <w:rPr>
                <w:rFonts w:ascii="宋体" w:hAnsi="宋体" w:cs="宋体" w:eastAsia="宋体" w:hint="default"/>
                <w:sz w:val="18"/>
                <w:szCs w:val="18"/>
              </w:rPr>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b/>
                <w:bCs/>
                <w:sz w:val="18"/>
                <w:szCs w:val="18"/>
              </w:rPr>
              <w:t>对公司承诺事项</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的影响情况</w:t>
            </w:r>
            <w:r>
              <w:rPr>
                <w:rFonts w:ascii="宋体" w:hAnsi="宋体" w:cs="宋体" w:eastAsia="宋体" w:hint="default"/>
                <w:sz w:val="18"/>
                <w:szCs w:val="18"/>
              </w:rPr>
            </w:r>
          </w:p>
        </w:tc>
      </w:tr>
      <w:tr>
        <w:trPr>
          <w:trHeight w:val="1177"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国内市场变化</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无影响</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电子信息行业振兴规划</w:t>
            </w:r>
            <w:r>
              <w:rPr>
                <w:rFonts w:ascii="宋体" w:hAnsi="宋体" w:cs="宋体" w:eastAsia="宋体" w:hint="default"/>
                <w:sz w:val="18"/>
                <w:szCs w:val="18"/>
              </w:rPr>
            </w:r>
          </w:p>
          <w:p>
            <w:pPr>
              <w:pStyle w:val="TableParagraph"/>
              <w:spacing w:line="237" w:lineRule="auto"/>
              <w:ind w:left="103" w:right="36"/>
              <w:jc w:val="left"/>
              <w:rPr>
                <w:rFonts w:ascii="宋体" w:hAnsi="宋体" w:cs="宋体" w:eastAsia="宋体" w:hint="default"/>
                <w:sz w:val="18"/>
                <w:szCs w:val="18"/>
              </w:rPr>
            </w:pPr>
            <w:r>
              <w:rPr>
                <w:rFonts w:ascii="宋体" w:hAnsi="宋体" w:cs="宋体" w:eastAsia="宋体" w:hint="default"/>
                <w:spacing w:val="-6"/>
                <w:sz w:val="18"/>
                <w:szCs w:val="18"/>
              </w:rPr>
              <w:t>等政策的实施，可能会对</w:t>
            </w:r>
            <w:r>
              <w:rPr>
                <w:rFonts w:ascii="宋体" w:hAnsi="宋体" w:cs="宋体" w:eastAsia="宋体" w:hint="default"/>
                <w:sz w:val="18"/>
                <w:szCs w:val="18"/>
              </w:rPr>
              <w:t> 公司开拓国内市场有利， </w:t>
            </w:r>
            <w:r>
              <w:rPr>
                <w:rFonts w:ascii="宋体" w:hAnsi="宋体" w:cs="宋体" w:eastAsia="宋体" w:hint="default"/>
                <w:spacing w:val="12"/>
                <w:sz w:val="18"/>
                <w:szCs w:val="18"/>
              </w:rPr>
              <w:t>对未来业绩及财务状况</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起到正面影响</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无影响</w:t>
            </w:r>
          </w:p>
        </w:tc>
      </w:tr>
      <w:tr>
        <w:trPr>
          <w:trHeight w:val="943"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国外市场变化</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03" w:right="87"/>
              <w:jc w:val="left"/>
              <w:rPr>
                <w:rFonts w:ascii="宋体" w:hAnsi="宋体" w:cs="宋体" w:eastAsia="宋体" w:hint="default"/>
                <w:sz w:val="18"/>
                <w:szCs w:val="18"/>
              </w:rPr>
            </w:pPr>
            <w:r>
              <w:rPr>
                <w:rFonts w:ascii="宋体" w:hAnsi="宋体" w:cs="宋体" w:eastAsia="宋体" w:hint="default"/>
                <w:spacing w:val="12"/>
                <w:sz w:val="18"/>
                <w:szCs w:val="18"/>
              </w:rPr>
              <w:t>因金融危机存在一定负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面影响</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6"/>
                <w:sz w:val="18"/>
                <w:szCs w:val="18"/>
              </w:rPr>
              <w:t>如金融危机持续，可能会</w:t>
            </w:r>
          </w:p>
          <w:p>
            <w:pPr>
              <w:pStyle w:val="TableParagraph"/>
              <w:spacing w:line="237" w:lineRule="auto"/>
              <w:ind w:left="103" w:right="87"/>
              <w:jc w:val="both"/>
              <w:rPr>
                <w:rFonts w:ascii="宋体" w:hAnsi="宋体" w:cs="宋体" w:eastAsia="宋体" w:hint="default"/>
                <w:sz w:val="18"/>
                <w:szCs w:val="18"/>
              </w:rPr>
            </w:pPr>
            <w:r>
              <w:rPr>
                <w:rFonts w:ascii="宋体" w:hAnsi="宋体" w:cs="宋体" w:eastAsia="宋体" w:hint="default"/>
                <w:spacing w:val="12"/>
                <w:sz w:val="18"/>
                <w:szCs w:val="18"/>
              </w:rPr>
              <w:t>影响到公司未来对海外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市场拓展，使得公司未来</w:t>
            </w:r>
            <w:r>
              <w:rPr>
                <w:rFonts w:ascii="宋体" w:hAnsi="宋体" w:cs="宋体" w:eastAsia="宋体" w:hint="default"/>
                <w:sz w:val="18"/>
                <w:szCs w:val="18"/>
              </w:rPr>
              <w:t> 海外销售增长速度放缓</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无影响</w:t>
            </w:r>
          </w:p>
        </w:tc>
      </w:tr>
      <w:tr>
        <w:trPr>
          <w:trHeight w:val="476"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信贷政策调整</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公司现金流比较充沛，不</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存在影响</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无影响</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无影响</w:t>
            </w:r>
          </w:p>
        </w:tc>
      </w:tr>
      <w:tr>
        <w:trPr>
          <w:trHeight w:val="1177"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汇率变动</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12"/>
                <w:sz w:val="18"/>
                <w:szCs w:val="18"/>
              </w:rPr>
              <w:t>人民币升值以及销售地</w:t>
            </w:r>
            <w:r>
              <w:rPr>
                <w:rFonts w:ascii="宋体" w:hAnsi="宋体" w:cs="宋体" w:eastAsia="宋体" w:hint="default"/>
                <w:sz w:val="18"/>
                <w:szCs w:val="18"/>
              </w:rPr>
            </w:r>
          </w:p>
          <w:p>
            <w:pPr>
              <w:pStyle w:val="TableParagraph"/>
              <w:spacing w:line="232" w:lineRule="auto" w:before="5"/>
              <w:ind w:left="103" w:right="87"/>
              <w:jc w:val="both"/>
              <w:rPr>
                <w:rFonts w:ascii="宋体" w:hAnsi="宋体" w:cs="宋体" w:eastAsia="宋体" w:hint="default"/>
                <w:sz w:val="18"/>
                <w:szCs w:val="18"/>
              </w:rPr>
            </w:pPr>
            <w:r>
              <w:rPr>
                <w:rFonts w:ascii="宋体" w:hAnsi="宋体" w:cs="宋体" w:eastAsia="宋体" w:hint="default"/>
                <w:spacing w:val="2"/>
                <w:sz w:val="18"/>
                <w:szCs w:val="18"/>
              </w:rPr>
              <w:t>国家的汇率变动对 </w:t>
            </w:r>
            <w:r>
              <w:rPr>
                <w:rFonts w:ascii="Times New Roman" w:hAnsi="Times New Roman" w:cs="Times New Roman" w:eastAsia="Times New Roman" w:hint="default"/>
                <w:sz w:val="18"/>
                <w:szCs w:val="18"/>
              </w:rPr>
              <w:t>2008 </w:t>
            </w:r>
            <w:r>
              <w:rPr>
                <w:rFonts w:ascii="宋体" w:hAnsi="宋体" w:cs="宋体" w:eastAsia="宋体" w:hint="default"/>
                <w:spacing w:val="-7"/>
                <w:sz w:val="18"/>
                <w:szCs w:val="18"/>
              </w:rPr>
              <w:t>年的业绩有一定影响，主</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2"/>
                <w:sz w:val="18"/>
                <w:szCs w:val="18"/>
              </w:rPr>
              <w:t>要表现为进口材料成本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降低，出口产品价格下降</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3" w:right="87"/>
              <w:jc w:val="both"/>
              <w:rPr>
                <w:rFonts w:ascii="宋体" w:hAnsi="宋体" w:cs="宋体" w:eastAsia="宋体" w:hint="default"/>
                <w:sz w:val="18"/>
                <w:szCs w:val="18"/>
              </w:rPr>
            </w:pPr>
            <w:r>
              <w:rPr>
                <w:rFonts w:ascii="宋体" w:hAnsi="宋体" w:cs="宋体" w:eastAsia="宋体" w:hint="default"/>
                <w:spacing w:val="-6"/>
                <w:sz w:val="18"/>
                <w:szCs w:val="18"/>
              </w:rPr>
              <w:t>如金融危机持续，可能会</w:t>
            </w:r>
            <w:r>
              <w:rPr>
                <w:rFonts w:ascii="宋体" w:hAnsi="宋体" w:cs="宋体" w:eastAsia="宋体" w:hint="default"/>
                <w:sz w:val="18"/>
                <w:szCs w:val="18"/>
              </w:rPr>
              <w:t> </w:t>
            </w:r>
            <w:r>
              <w:rPr>
                <w:rFonts w:ascii="宋体" w:hAnsi="宋体" w:cs="宋体" w:eastAsia="宋体" w:hint="default"/>
                <w:spacing w:val="12"/>
                <w:sz w:val="18"/>
                <w:szCs w:val="18"/>
              </w:rPr>
              <w:t>影响到公司未来对海外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市场的拓展，使公司未来</w:t>
            </w:r>
            <w:r>
              <w:rPr>
                <w:rFonts w:ascii="宋体" w:hAnsi="宋体" w:cs="宋体" w:eastAsia="宋体" w:hint="default"/>
                <w:sz w:val="18"/>
                <w:szCs w:val="18"/>
              </w:rPr>
              <w:t> 海外销售增长速度放缓</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无影响</w:t>
            </w:r>
          </w:p>
        </w:tc>
      </w:tr>
      <w:tr>
        <w:trPr>
          <w:trHeight w:val="325"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利率变动</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无影响</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无影响</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无影响</w:t>
            </w:r>
          </w:p>
        </w:tc>
      </w:tr>
      <w:tr>
        <w:trPr>
          <w:trHeight w:val="325"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成本要素的价格变化</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无影响</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有一定的影响</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无影响</w:t>
            </w:r>
          </w:p>
        </w:tc>
      </w:tr>
      <w:tr>
        <w:trPr>
          <w:trHeight w:val="325"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自然灾害</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无影响</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无影响</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无影响</w:t>
            </w:r>
          </w:p>
        </w:tc>
      </w:tr>
      <w:tr>
        <w:trPr>
          <w:trHeight w:val="325"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通货膨胀或通货紧缩</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无影响</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有一定的影响</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无影响</w:t>
            </w:r>
          </w:p>
        </w:tc>
      </w:tr>
    </w:tbl>
    <w:p>
      <w:pPr>
        <w:spacing w:after="0" w:line="240" w:lineRule="auto"/>
        <w:jc w:val="center"/>
        <w:rPr>
          <w:rFonts w:ascii="宋体" w:hAnsi="宋体" w:cs="宋体" w:eastAsia="宋体" w:hint="default"/>
          <w:sz w:val="18"/>
          <w:szCs w:val="18"/>
        </w:rPr>
        <w:sectPr>
          <w:pgSz w:w="11910" w:h="16840"/>
          <w:pgMar w:header="400" w:footer="982" w:top="1100" w:bottom="1180" w:left="1660" w:right="1580"/>
        </w:sectPr>
      </w:pPr>
    </w:p>
    <w:p>
      <w:pPr>
        <w:spacing w:line="240" w:lineRule="auto" w:before="1"/>
        <w:rPr>
          <w:rFonts w:ascii="宋体" w:hAnsi="宋体" w:cs="宋体" w:eastAsia="宋体" w:hint="default"/>
          <w:sz w:val="19"/>
          <w:szCs w:val="19"/>
        </w:rPr>
      </w:pPr>
    </w:p>
    <w:p>
      <w:pPr>
        <w:pStyle w:val="BodyText"/>
        <w:spacing w:line="240" w:lineRule="auto" w:before="35"/>
        <w:ind w:left="840" w:right="361"/>
        <w:jc w:val="left"/>
      </w:pPr>
      <w:r>
        <w:rPr>
          <w:rFonts w:ascii="Times New Roman" w:hAnsi="Times New Roman" w:cs="Times New Roman" w:eastAsia="Times New Roman" w:hint="default"/>
        </w:rPr>
        <w:t>6</w:t>
      </w:r>
      <w:r>
        <w:rPr/>
        <w:t>、公司经营活动、投资活动和筹资活动产生的现金流量的构成情况</w:t>
      </w:r>
    </w:p>
    <w:p>
      <w:pPr>
        <w:spacing w:line="240" w:lineRule="auto" w:before="4"/>
        <w:rPr>
          <w:rFonts w:ascii="宋体" w:hAnsi="宋体" w:cs="宋体" w:eastAsia="宋体" w:hint="default"/>
          <w:sz w:val="10"/>
          <w:szCs w:val="10"/>
        </w:rPr>
      </w:pPr>
    </w:p>
    <w:p>
      <w:pPr>
        <w:pStyle w:val="BodyText"/>
        <w:spacing w:line="240" w:lineRule="auto" w:before="35"/>
        <w:ind w:left="0" w:right="837"/>
        <w:jc w:val="right"/>
      </w:pPr>
      <w:r>
        <w:rPr/>
        <w:t>单位</w:t>
      </w:r>
      <w:r>
        <w:rPr>
          <w:spacing w:val="-93"/>
        </w:rPr>
        <w:t>：</w:t>
      </w:r>
      <w:r>
        <w:rPr/>
        <w:t>元</w:t>
      </w:r>
    </w:p>
    <w:p>
      <w:pPr>
        <w:spacing w:line="240" w:lineRule="auto" w:before="7"/>
        <w:rPr>
          <w:rFonts w:ascii="宋体" w:hAnsi="宋体" w:cs="宋体" w:eastAsia="宋体" w:hint="default"/>
          <w:sz w:val="2"/>
          <w:szCs w:val="2"/>
        </w:rPr>
      </w:pPr>
    </w:p>
    <w:tbl>
      <w:tblPr>
        <w:tblW w:w="0" w:type="auto"/>
        <w:jc w:val="left"/>
        <w:tblInd w:w="484" w:type="dxa"/>
        <w:tblLayout w:type="fixed"/>
        <w:tblCellMar>
          <w:top w:w="0" w:type="dxa"/>
          <w:left w:w="0" w:type="dxa"/>
          <w:bottom w:w="0" w:type="dxa"/>
          <w:right w:w="0" w:type="dxa"/>
        </w:tblCellMar>
        <w:tblLook w:val="01E0"/>
      </w:tblPr>
      <w:tblGrid>
        <w:gridCol w:w="2946"/>
        <w:gridCol w:w="1686"/>
        <w:gridCol w:w="1734"/>
        <w:gridCol w:w="1800"/>
      </w:tblGrid>
      <w:tr>
        <w:trPr>
          <w:trHeight w:val="282"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39"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9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1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7" w:right="0"/>
              <w:jc w:val="left"/>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tc>
      </w:tr>
      <w:tr>
        <w:trPr>
          <w:trHeight w:val="282"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1,545,880,649.02</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1,063,903,943.21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45.30%</w:t>
            </w:r>
          </w:p>
        </w:tc>
      </w:tr>
      <w:tr>
        <w:trPr>
          <w:trHeight w:val="283"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1,239,292,560.57</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822,036,464.12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50.76%</w:t>
            </w:r>
          </w:p>
        </w:tc>
      </w:tr>
      <w:tr>
        <w:trPr>
          <w:trHeight w:val="282"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306,588,088.45</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241,867,479.09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26.76%</w:t>
            </w:r>
          </w:p>
        </w:tc>
      </w:tr>
      <w:tr>
        <w:trPr>
          <w:trHeight w:val="282"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42,696.00</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1"/>
                <w:szCs w:val="21"/>
              </w:rPr>
            </w:pPr>
            <w:r>
              <w:rPr>
                <w:rFonts w:ascii="Times New Roman"/>
                <w:spacing w:val="-1"/>
                <w:sz w:val="21"/>
              </w:rPr>
              <w:t>63,250.00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1"/>
                <w:szCs w:val="21"/>
              </w:rPr>
            </w:pPr>
            <w:r>
              <w:rPr>
                <w:rFonts w:ascii="Times New Roman"/>
                <w:spacing w:val="-1"/>
                <w:sz w:val="21"/>
              </w:rPr>
              <w:t>-32.50%</w:t>
            </w:r>
          </w:p>
        </w:tc>
      </w:tr>
      <w:tr>
        <w:trPr>
          <w:trHeight w:val="282"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1"/>
                <w:szCs w:val="21"/>
              </w:rPr>
            </w:pPr>
            <w:r>
              <w:rPr>
                <w:rFonts w:ascii="Times New Roman"/>
                <w:spacing w:val="-1"/>
                <w:sz w:val="21"/>
              </w:rPr>
              <w:t>97,983,046.01</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1"/>
                <w:szCs w:val="21"/>
              </w:rPr>
            </w:pPr>
            <w:r>
              <w:rPr>
                <w:rFonts w:ascii="Times New Roman"/>
                <w:spacing w:val="-1"/>
                <w:sz w:val="21"/>
              </w:rPr>
              <w:t>60,130,516.85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62.95%</w:t>
            </w:r>
          </w:p>
        </w:tc>
      </w:tr>
      <w:tr>
        <w:trPr>
          <w:trHeight w:val="283"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1"/>
                <w:szCs w:val="21"/>
              </w:rPr>
            </w:pPr>
            <w:r>
              <w:rPr>
                <w:rFonts w:ascii="Times New Roman"/>
                <w:spacing w:val="-1"/>
                <w:sz w:val="21"/>
              </w:rPr>
              <w:t>-97,940,350.01</w:t>
            </w:r>
            <w:r>
              <w:rPr>
                <w:rFonts w:ascii="Times New Roman"/>
                <w:sz w:val="21"/>
              </w:rPr>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4"/>
              <w:jc w:val="right"/>
              <w:rPr>
                <w:rFonts w:ascii="Times New Roman" w:hAnsi="Times New Roman" w:cs="Times New Roman" w:eastAsia="Times New Roman" w:hint="default"/>
                <w:sz w:val="21"/>
                <w:szCs w:val="21"/>
              </w:rPr>
            </w:pPr>
            <w:r>
              <w:rPr>
                <w:rFonts w:ascii="Times New Roman"/>
                <w:spacing w:val="-1"/>
                <w:sz w:val="21"/>
              </w:rPr>
              <w:t>-60,067,266.85</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1"/>
                <w:szCs w:val="21"/>
              </w:rPr>
            </w:pPr>
            <w:r>
              <w:rPr>
                <w:rFonts w:ascii="Times New Roman"/>
                <w:spacing w:val="-1"/>
                <w:sz w:val="21"/>
              </w:rPr>
              <w:t>-63.05%</w:t>
            </w:r>
          </w:p>
        </w:tc>
      </w:tr>
      <w:tr>
        <w:trPr>
          <w:trHeight w:val="282"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1"/>
                <w:szCs w:val="21"/>
              </w:rPr>
            </w:pPr>
            <w:r>
              <w:rPr>
                <w:rFonts w:ascii="Times New Roman"/>
                <w:spacing w:val="-1"/>
                <w:sz w:val="21"/>
              </w:rPr>
              <w:t>14,700,000.00</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659,488,000.00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-97.77%</w:t>
            </w:r>
          </w:p>
        </w:tc>
      </w:tr>
      <w:tr>
        <w:trPr>
          <w:trHeight w:val="282"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1"/>
                <w:szCs w:val="21"/>
              </w:rPr>
            </w:pPr>
            <w:r>
              <w:rPr>
                <w:rFonts w:ascii="Times New Roman"/>
                <w:spacing w:val="-1"/>
                <w:sz w:val="21"/>
              </w:rPr>
              <w:t>30,936,576.19</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1"/>
                <w:szCs w:val="21"/>
              </w:rPr>
            </w:pPr>
            <w:r>
              <w:rPr>
                <w:rFonts w:ascii="Times New Roman"/>
                <w:spacing w:val="-1"/>
                <w:sz w:val="21"/>
              </w:rPr>
              <w:t>201,444,519.43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-84.64%</w:t>
            </w:r>
          </w:p>
        </w:tc>
      </w:tr>
      <w:tr>
        <w:trPr>
          <w:trHeight w:val="283"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1"/>
                <w:szCs w:val="21"/>
              </w:rPr>
            </w:pPr>
            <w:r>
              <w:rPr>
                <w:rFonts w:ascii="Times New Roman"/>
                <w:spacing w:val="-1"/>
                <w:sz w:val="21"/>
              </w:rPr>
              <w:t>-16,236,576.19</w:t>
            </w:r>
            <w:r>
              <w:rPr>
                <w:rFonts w:ascii="Times New Roman"/>
                <w:sz w:val="21"/>
              </w:rPr>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1"/>
                <w:szCs w:val="21"/>
              </w:rPr>
            </w:pPr>
            <w:r>
              <w:rPr>
                <w:rFonts w:ascii="Times New Roman"/>
                <w:spacing w:val="-1"/>
                <w:sz w:val="21"/>
              </w:rPr>
              <w:t>458,043,480.57</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-103.54%</w:t>
            </w:r>
          </w:p>
        </w:tc>
      </w:tr>
      <w:tr>
        <w:trPr>
          <w:trHeight w:val="282" w:hRule="exact"/>
        </w:trPr>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189,607,834.52</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1"/>
                <w:szCs w:val="21"/>
              </w:rPr>
            </w:pPr>
            <w:r>
              <w:rPr>
                <w:rFonts w:ascii="Times New Roman"/>
                <w:spacing w:val="-1"/>
                <w:sz w:val="21"/>
              </w:rPr>
              <w:t>639,424,974.64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1"/>
                <w:szCs w:val="21"/>
              </w:rPr>
            </w:pPr>
            <w:r>
              <w:rPr>
                <w:rFonts w:ascii="Times New Roman"/>
                <w:spacing w:val="-1"/>
                <w:sz w:val="21"/>
              </w:rPr>
              <w:t>-70.35%</w:t>
            </w:r>
          </w:p>
        </w:tc>
      </w:tr>
    </w:tbl>
    <w:p>
      <w:pPr>
        <w:spacing w:line="240" w:lineRule="auto" w:before="3"/>
        <w:rPr>
          <w:rFonts w:ascii="宋体" w:hAnsi="宋体" w:cs="宋体" w:eastAsia="宋体" w:hint="default"/>
          <w:sz w:val="22"/>
          <w:szCs w:val="22"/>
        </w:rPr>
      </w:pPr>
    </w:p>
    <w:p>
      <w:pPr>
        <w:pStyle w:val="BodyText"/>
        <w:spacing w:line="240" w:lineRule="auto" w:before="35"/>
        <w:ind w:left="840" w:right="361"/>
        <w:jc w:val="left"/>
      </w:pPr>
      <w:r>
        <w:rPr/>
        <w:t>（</w:t>
      </w:r>
      <w:r>
        <w:rPr>
          <w:rFonts w:ascii="Times New Roman" w:hAnsi="Times New Roman" w:cs="Times New Roman" w:eastAsia="Times New Roman" w:hint="default"/>
        </w:rPr>
        <w:t>1</w:t>
      </w:r>
      <w:r>
        <w:rPr/>
        <w:t>）经营活动现金流量</w:t>
      </w:r>
    </w:p>
    <w:p>
      <w:pPr>
        <w:pStyle w:val="BodyText"/>
        <w:spacing w:line="240" w:lineRule="auto" w:before="170"/>
        <w:ind w:left="840" w:right="361"/>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年，公司经营活动产生的现金流入为</w:t>
      </w:r>
      <w:r>
        <w:rPr>
          <w:spacing w:val="-59"/>
        </w:rPr>
        <w:t> </w:t>
      </w:r>
      <w:r>
        <w:rPr>
          <w:rFonts w:ascii="Times New Roman" w:hAnsi="Times New Roman" w:cs="Times New Roman" w:eastAsia="Times New Roman" w:hint="default"/>
        </w:rPr>
        <w:t>154,588</w:t>
      </w:r>
      <w:r>
        <w:rPr>
          <w:rFonts w:ascii="Times New Roman" w:hAnsi="Times New Roman" w:cs="Times New Roman" w:eastAsia="Times New Roman" w:hint="default"/>
          <w:spacing w:val="-6"/>
        </w:rPr>
        <w:t> </w:t>
      </w:r>
      <w:r>
        <w:rPr>
          <w:spacing w:val="-4"/>
        </w:rPr>
        <w:t>万元，比上年同期</w:t>
      </w:r>
      <w:r>
        <w:rPr>
          <w:spacing w:val="-59"/>
        </w:rPr>
        <w:t> </w:t>
      </w:r>
      <w:r>
        <w:rPr>
          <w:rFonts w:ascii="Times New Roman" w:hAnsi="Times New Roman" w:cs="Times New Roman" w:eastAsia="Times New Roman" w:hint="default"/>
        </w:rPr>
        <w:t>106,390</w:t>
      </w:r>
      <w:r>
        <w:rPr>
          <w:rFonts w:ascii="Times New Roman" w:hAnsi="Times New Roman" w:cs="Times New Roman" w:eastAsia="Times New Roman" w:hint="default"/>
          <w:spacing w:val="-5"/>
        </w:rPr>
        <w:t> </w:t>
      </w:r>
      <w:r>
        <w:rPr/>
        <w:t>万元增长</w:t>
      </w:r>
    </w:p>
    <w:p>
      <w:pPr>
        <w:pStyle w:val="BodyText"/>
        <w:spacing w:line="280" w:lineRule="auto"/>
        <w:ind w:left="420" w:right="361"/>
        <w:jc w:val="left"/>
      </w:pPr>
      <w:r>
        <w:rPr>
          <w:rFonts w:ascii="Times New Roman" w:hAnsi="Times New Roman" w:cs="Times New Roman" w:eastAsia="Times New Roman" w:hint="default"/>
        </w:rPr>
        <w:t>45.30%</w:t>
      </w:r>
      <w:r>
        <w:rPr/>
        <w:t>，公司通过销售产品所收到的现金是公司当期现金流入的主要来源，其所产生的现</w:t>
      </w:r>
      <w:r>
        <w:rPr>
          <w:spacing w:val="-28"/>
        </w:rPr>
        <w:t> </w:t>
      </w:r>
      <w:r>
        <w:rPr>
          <w:spacing w:val="-28"/>
        </w:rPr>
      </w:r>
      <w:r>
        <w:rPr/>
        <w:t>金能够满足经营活动的现金支出需求，其中销售产品、提供劳务收到的现金</w:t>
      </w:r>
      <w:r>
        <w:rPr>
          <w:spacing w:val="-55"/>
        </w:rPr>
        <w:t> </w:t>
      </w:r>
      <w:r>
        <w:rPr>
          <w:rFonts w:ascii="Times New Roman" w:hAnsi="Times New Roman" w:cs="Times New Roman" w:eastAsia="Times New Roman" w:hint="default"/>
        </w:rPr>
        <w:t>144,186</w:t>
      </w:r>
      <w:r>
        <w:rPr>
          <w:rFonts w:ascii="Times New Roman" w:hAnsi="Times New Roman" w:cs="Times New Roman" w:eastAsia="Times New Roman" w:hint="default"/>
          <w:spacing w:val="-2"/>
        </w:rPr>
        <w:t> </w:t>
      </w:r>
      <w:r>
        <w:rPr/>
        <w:t>万元，</w:t>
      </w:r>
    </w:p>
    <w:p>
      <w:pPr>
        <w:pStyle w:val="BodyText"/>
        <w:spacing w:line="240" w:lineRule="auto" w:before="10"/>
        <w:ind w:left="420" w:right="361"/>
        <w:jc w:val="left"/>
      </w:pPr>
      <w:r>
        <w:rPr/>
        <w:t>比上年同期</w:t>
      </w:r>
      <w:r>
        <w:rPr>
          <w:spacing w:val="-46"/>
        </w:rPr>
        <w:t> </w:t>
      </w:r>
      <w:r>
        <w:rPr>
          <w:rFonts w:ascii="Times New Roman" w:hAnsi="Times New Roman" w:cs="Times New Roman" w:eastAsia="Times New Roman" w:hint="default"/>
        </w:rPr>
        <w:t>99,691</w:t>
      </w:r>
      <w:r>
        <w:rPr>
          <w:rFonts w:ascii="Times New Roman" w:hAnsi="Times New Roman" w:cs="Times New Roman" w:eastAsia="Times New Roman" w:hint="default"/>
          <w:spacing w:val="7"/>
        </w:rPr>
        <w:t> </w:t>
      </w:r>
      <w:r>
        <w:rPr/>
        <w:t>万元增长</w:t>
      </w:r>
      <w:r>
        <w:rPr>
          <w:spacing w:val="-46"/>
        </w:rPr>
        <w:t> </w:t>
      </w:r>
      <w:r>
        <w:rPr>
          <w:rFonts w:ascii="Times New Roman" w:hAnsi="Times New Roman" w:cs="Times New Roman" w:eastAsia="Times New Roman" w:hint="default"/>
        </w:rPr>
        <w:t>44.63%</w:t>
      </w:r>
      <w:r>
        <w:rPr/>
        <w:t>；经营活动产生的现金流出为</w:t>
      </w:r>
      <w:r>
        <w:rPr>
          <w:spacing w:val="-46"/>
        </w:rPr>
        <w:t> </w:t>
      </w:r>
      <w:r>
        <w:rPr>
          <w:rFonts w:ascii="Times New Roman" w:hAnsi="Times New Roman" w:cs="Times New Roman" w:eastAsia="Times New Roman" w:hint="default"/>
        </w:rPr>
        <w:t>123,929</w:t>
      </w:r>
      <w:r>
        <w:rPr>
          <w:rFonts w:ascii="Times New Roman" w:hAnsi="Times New Roman" w:cs="Times New Roman" w:eastAsia="Times New Roman" w:hint="default"/>
          <w:spacing w:val="6"/>
        </w:rPr>
        <w:t> </w:t>
      </w:r>
      <w:r>
        <w:rPr/>
        <w:t>万元，比上年同</w:t>
      </w:r>
    </w:p>
    <w:p>
      <w:pPr>
        <w:pStyle w:val="BodyText"/>
        <w:spacing w:line="240" w:lineRule="auto"/>
        <w:ind w:left="420" w:right="361"/>
        <w:jc w:val="left"/>
        <w:rPr>
          <w:rFonts w:ascii="Times New Roman" w:hAnsi="Times New Roman" w:cs="Times New Roman" w:eastAsia="Times New Roman" w:hint="default"/>
        </w:rPr>
      </w:pPr>
      <w:r>
        <w:rPr/>
        <w:t>期</w:t>
      </w:r>
      <w:r>
        <w:rPr>
          <w:spacing w:val="-62"/>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2,20</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spacing w:val="-2"/>
        </w:rPr>
        <w:t>万</w:t>
      </w:r>
      <w:r>
        <w:rPr/>
        <w:t>元增长</w:t>
      </w:r>
      <w:r>
        <w:rPr>
          <w:spacing w:val="-62"/>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0.76</w:t>
      </w:r>
      <w:r>
        <w:rPr>
          <w:rFonts w:ascii="Times New Roman" w:hAnsi="Times New Roman" w:cs="Times New Roman" w:eastAsia="Times New Roman" w:hint="default"/>
        </w:rPr>
        <w:t>%</w:t>
      </w:r>
      <w:r>
        <w:rPr>
          <w:spacing w:val="-105"/>
        </w:rPr>
        <w:t>。</w:t>
      </w:r>
      <w:r>
        <w:rPr/>
        <w:t>经营活</w:t>
      </w:r>
      <w:r>
        <w:rPr>
          <w:spacing w:val="-2"/>
        </w:rPr>
        <w:t>动</w:t>
      </w:r>
      <w:r>
        <w:rPr/>
        <w:t>产生的现金流量净额为</w:t>
      </w:r>
      <w:r>
        <w:rPr>
          <w:spacing w:val="-62"/>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0</w:t>
      </w:r>
      <w:r>
        <w:rPr>
          <w:rFonts w:ascii="Times New Roman" w:hAnsi="Times New Roman" w:cs="Times New Roman" w:eastAsia="Times New Roman" w:hint="default"/>
          <w:spacing w:val="-1"/>
        </w:rPr>
        <w:t>,65</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万元</w:t>
      </w:r>
      <w:r>
        <w:rPr>
          <w:spacing w:val="-106"/>
        </w:rPr>
        <w:t>，</w:t>
      </w:r>
      <w:r>
        <w:rPr/>
        <w:t>比上年同期</w:t>
      </w:r>
      <w:r>
        <w:rPr>
          <w:spacing w:val="-62"/>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4</w:t>
      </w:r>
      <w:r>
        <w:rPr>
          <w:rFonts w:ascii="Times New Roman" w:hAnsi="Times New Roman" w:cs="Times New Roman" w:eastAsia="Times New Roman" w:hint="default"/>
          <w:spacing w:val="-1"/>
        </w:rPr>
        <w:t>,1</w:t>
      </w:r>
      <w:r>
        <w:rPr>
          <w:rFonts w:ascii="Times New Roman" w:hAnsi="Times New Roman" w:cs="Times New Roman" w:eastAsia="Times New Roman" w:hint="default"/>
        </w:rPr>
        <w:t>87</w:t>
      </w:r>
    </w:p>
    <w:p>
      <w:pPr>
        <w:pStyle w:val="BodyText"/>
        <w:spacing w:line="240" w:lineRule="auto"/>
        <w:ind w:left="420" w:right="361"/>
        <w:jc w:val="left"/>
      </w:pPr>
      <w:r>
        <w:rPr/>
        <w:t>万元增长</w:t>
      </w:r>
      <w:r>
        <w:rPr>
          <w:spacing w:val="-55"/>
        </w:rPr>
        <w:t> </w:t>
      </w:r>
      <w:r>
        <w:rPr>
          <w:rFonts w:ascii="Times New Roman" w:hAnsi="Times New Roman" w:cs="Times New Roman" w:eastAsia="Times New Roman" w:hint="default"/>
        </w:rPr>
        <w:t>26.76%</w:t>
      </w:r>
      <w:r>
        <w:rPr/>
        <w:t>。</w:t>
      </w:r>
    </w:p>
    <w:p>
      <w:pPr>
        <w:pStyle w:val="BodyText"/>
        <w:spacing w:line="240" w:lineRule="auto" w:before="169"/>
        <w:ind w:left="840" w:right="361"/>
        <w:jc w:val="left"/>
      </w:pPr>
      <w:r>
        <w:rPr/>
        <w:t>（</w:t>
      </w:r>
      <w:r>
        <w:rPr>
          <w:rFonts w:ascii="Times New Roman" w:hAnsi="Times New Roman" w:cs="Times New Roman" w:eastAsia="Times New Roman" w:hint="default"/>
        </w:rPr>
        <w:t>2</w:t>
      </w:r>
      <w:r>
        <w:rPr/>
        <w:t>）投资活动现金流量</w:t>
      </w:r>
    </w:p>
    <w:p>
      <w:pPr>
        <w:pStyle w:val="BodyText"/>
        <w:spacing w:line="285" w:lineRule="auto" w:before="170"/>
        <w:ind w:left="420" w:right="416" w:firstLine="420"/>
        <w:jc w:val="both"/>
      </w:pPr>
      <w:r>
        <w:rPr>
          <w:rFonts w:ascii="Times New Roman" w:hAnsi="Times New Roman" w:cs="Times New Roman" w:eastAsia="Times New Roman" w:hint="default"/>
        </w:rPr>
        <w:t>2008 </w:t>
      </w:r>
      <w:r>
        <w:rPr/>
        <w:t>年，公司投资活动产生的现金净流量</w:t>
      </w:r>
      <w:r>
        <w:rPr>
          <w:rFonts w:ascii="Times New Roman" w:hAnsi="Times New Roman" w:cs="Times New Roman" w:eastAsia="Times New Roman" w:hint="default"/>
        </w:rPr>
        <w:t>-9,794 </w:t>
      </w:r>
      <w:r>
        <w:rPr/>
        <w:t>万元，比上年同期降低了</w:t>
      </w:r>
      <w:r>
        <w:rPr>
          <w:spacing w:val="-37"/>
        </w:rPr>
        <w:t> </w:t>
      </w:r>
      <w:r>
        <w:rPr>
          <w:rFonts w:ascii="Times New Roman" w:hAnsi="Times New Roman" w:cs="Times New Roman" w:eastAsia="Times New Roman" w:hint="default"/>
        </w:rPr>
        <w:t>63.05%</w:t>
      </w:r>
      <w:r>
        <w:rPr/>
        <w:t>，主</w:t>
      </w:r>
      <w:r>
        <w:rPr>
          <w:spacing w:val="-2"/>
        </w:rPr>
        <w:t> </w:t>
      </w:r>
      <w:r>
        <w:rPr>
          <w:spacing w:val="-3"/>
        </w:rPr>
        <w:t>要是公司用于建设科学城产业园募投项目投资资金增加，其中构建固定资产、无形资产和其</w:t>
      </w:r>
      <w:r>
        <w:rPr>
          <w:spacing w:val="-79"/>
        </w:rPr>
        <w:t> </w:t>
      </w:r>
      <w:r>
        <w:rPr>
          <w:spacing w:val="-79"/>
        </w:rPr>
      </w:r>
      <w:r>
        <w:rPr/>
        <w:t>他长期资产支付</w:t>
      </w:r>
      <w:r>
        <w:rPr>
          <w:spacing w:val="-74"/>
        </w:rPr>
        <w:t> </w:t>
      </w:r>
      <w:r>
        <w:rPr>
          <w:rFonts w:ascii="Times New Roman" w:hAnsi="Times New Roman" w:cs="Times New Roman" w:eastAsia="Times New Roman" w:hint="default"/>
        </w:rPr>
        <w:t>9,798</w:t>
      </w:r>
      <w:r>
        <w:rPr>
          <w:rFonts w:ascii="Times New Roman" w:hAnsi="Times New Roman" w:cs="Times New Roman" w:eastAsia="Times New Roman" w:hint="default"/>
          <w:spacing w:val="-21"/>
        </w:rPr>
        <w:t> </w:t>
      </w:r>
      <w:r>
        <w:rPr/>
        <w:t>万元，其中募集资金项目工程建设费用由公司募集资金专户支出，其 他如经营活动所需设备、营运用</w:t>
      </w:r>
      <w:r>
        <w:rPr>
          <w:spacing w:val="-54"/>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2"/>
        </w:rPr>
        <w:t> </w:t>
      </w:r>
      <w:r>
        <w:rPr/>
        <w:t>设备由公司自有资金解决。</w:t>
      </w:r>
    </w:p>
    <w:p>
      <w:pPr>
        <w:pStyle w:val="BodyText"/>
        <w:spacing w:line="240" w:lineRule="auto" w:before="126"/>
        <w:ind w:left="840" w:right="361"/>
        <w:jc w:val="left"/>
      </w:pPr>
      <w:r>
        <w:rPr/>
        <w:t>（</w:t>
      </w:r>
      <w:r>
        <w:rPr>
          <w:rFonts w:ascii="Times New Roman" w:hAnsi="Times New Roman" w:cs="Times New Roman" w:eastAsia="Times New Roman" w:hint="default"/>
        </w:rPr>
        <w:t>3</w:t>
      </w:r>
      <w:r>
        <w:rPr/>
        <w:t>）筹资活动现金流量</w:t>
      </w:r>
    </w:p>
    <w:p>
      <w:pPr>
        <w:pStyle w:val="BodyText"/>
        <w:spacing w:line="240" w:lineRule="auto" w:before="169"/>
        <w:ind w:left="840" w:right="361"/>
        <w:jc w:val="left"/>
      </w:pPr>
      <w:r>
        <w:rPr>
          <w:rFonts w:ascii="Times New Roman" w:hAnsi="Times New Roman" w:cs="Times New Roman" w:eastAsia="Times New Roman" w:hint="default"/>
        </w:rPr>
        <w:t>2008  </w:t>
      </w:r>
      <w:r>
        <w:rPr/>
        <w:t>年，公司筹资活动产生的现金净流量为</w:t>
      </w:r>
      <w:r>
        <w:rPr>
          <w:rFonts w:ascii="Times New Roman" w:hAnsi="Times New Roman" w:cs="Times New Roman" w:eastAsia="Times New Roman" w:hint="default"/>
        </w:rPr>
        <w:t>-1,624</w:t>
      </w:r>
      <w:r>
        <w:rPr>
          <w:rFonts w:ascii="Times New Roman" w:hAnsi="Times New Roman" w:cs="Times New Roman" w:eastAsia="Times New Roman" w:hint="default"/>
          <w:spacing w:val="41"/>
        </w:rPr>
        <w:t> </w:t>
      </w:r>
      <w:r>
        <w:rPr/>
        <w:t>万元，其中因投资设立公司控股子</w:t>
      </w:r>
    </w:p>
    <w:p>
      <w:pPr>
        <w:pStyle w:val="BodyText"/>
        <w:spacing w:line="240" w:lineRule="auto"/>
        <w:ind w:left="419" w:right="361"/>
        <w:jc w:val="left"/>
      </w:pPr>
      <w:r>
        <w:rPr/>
        <w:t>公司广州穗通金融服务有限公司吸收广州汇卓、广州东亚、广州穗保出资</w:t>
      </w:r>
      <w:r>
        <w:rPr>
          <w:spacing w:val="-67"/>
        </w:rPr>
        <w:t> </w:t>
      </w:r>
      <w:r>
        <w:rPr>
          <w:rFonts w:ascii="Times New Roman" w:hAnsi="Times New Roman" w:cs="Times New Roman" w:eastAsia="Times New Roman" w:hint="default"/>
        </w:rPr>
        <w:t>1,470</w:t>
      </w:r>
      <w:r>
        <w:rPr>
          <w:rFonts w:ascii="Times New Roman" w:hAnsi="Times New Roman" w:cs="Times New Roman" w:eastAsia="Times New Roman" w:hint="default"/>
          <w:spacing w:val="-15"/>
        </w:rPr>
        <w:t> </w:t>
      </w:r>
      <w:r>
        <w:rPr>
          <w:spacing w:val="-4"/>
        </w:rPr>
        <w:t>万元；利润</w:t>
      </w:r>
    </w:p>
    <w:p>
      <w:pPr>
        <w:pStyle w:val="BodyText"/>
        <w:spacing w:line="240" w:lineRule="auto"/>
        <w:ind w:left="419" w:right="361"/>
        <w:jc w:val="left"/>
      </w:pPr>
      <w:r>
        <w:rPr/>
        <w:t>分配派发现金股利、偿付利息支出</w:t>
      </w:r>
      <w:r>
        <w:rPr>
          <w:spacing w:val="-55"/>
        </w:rPr>
        <w:t> </w:t>
      </w:r>
      <w:r>
        <w:rPr>
          <w:rFonts w:ascii="Times New Roman" w:hAnsi="Times New Roman" w:cs="Times New Roman" w:eastAsia="Times New Roman" w:hint="default"/>
        </w:rPr>
        <w:t>3,094</w:t>
      </w:r>
      <w:r>
        <w:rPr>
          <w:rFonts w:ascii="Times New Roman" w:hAnsi="Times New Roman" w:cs="Times New Roman" w:eastAsia="Times New Roman" w:hint="default"/>
          <w:spacing w:val="-2"/>
        </w:rPr>
        <w:t> </w:t>
      </w:r>
      <w:r>
        <w:rPr/>
        <w:t>万元。</w:t>
      </w:r>
    </w:p>
    <w:p>
      <w:pPr>
        <w:pStyle w:val="BodyText"/>
        <w:spacing w:line="240" w:lineRule="auto" w:before="169"/>
        <w:ind w:left="839" w:right="361"/>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年，现金及现金等价物净增加额为</w:t>
      </w:r>
      <w:r>
        <w:rPr>
          <w:spacing w:val="-55"/>
        </w:rPr>
        <w:t> </w:t>
      </w:r>
      <w:r>
        <w:rPr>
          <w:rFonts w:ascii="Times New Roman" w:hAnsi="Times New Roman" w:cs="Times New Roman" w:eastAsia="Times New Roman" w:hint="default"/>
        </w:rPr>
        <w:t>18,961</w:t>
      </w:r>
      <w:r>
        <w:rPr>
          <w:rFonts w:ascii="Times New Roman" w:hAnsi="Times New Roman" w:cs="Times New Roman" w:eastAsia="Times New Roman" w:hint="default"/>
          <w:spacing w:val="-3"/>
        </w:rPr>
        <w:t> </w:t>
      </w:r>
      <w:r>
        <w:rPr/>
        <w:t>万元。</w:t>
      </w:r>
    </w:p>
    <w:p>
      <w:pPr>
        <w:spacing w:line="240" w:lineRule="auto" w:before="6"/>
        <w:rPr>
          <w:rFonts w:ascii="宋体" w:hAnsi="宋体" w:cs="宋体" w:eastAsia="宋体" w:hint="default"/>
          <w:sz w:val="31"/>
          <w:szCs w:val="31"/>
        </w:rPr>
      </w:pPr>
    </w:p>
    <w:p>
      <w:pPr>
        <w:pStyle w:val="BodyText"/>
        <w:spacing w:line="240" w:lineRule="auto" w:before="0"/>
        <w:ind w:left="839" w:right="361"/>
        <w:jc w:val="left"/>
      </w:pPr>
      <w:r>
        <w:rPr>
          <w:rFonts w:ascii="Times New Roman" w:hAnsi="Times New Roman" w:cs="Times New Roman" w:eastAsia="Times New Roman" w:hint="default"/>
        </w:rPr>
        <w:t>7</w:t>
      </w:r>
      <w:r>
        <w:rPr/>
        <w:t>、存货情况</w:t>
      </w:r>
    </w:p>
    <w:p>
      <w:pPr>
        <w:pStyle w:val="BodyText"/>
        <w:spacing w:line="240" w:lineRule="auto" w:before="170"/>
        <w:ind w:left="0" w:right="836"/>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948"/>
        <w:gridCol w:w="1582"/>
        <w:gridCol w:w="1358"/>
        <w:gridCol w:w="896"/>
        <w:gridCol w:w="1328"/>
        <w:gridCol w:w="1289"/>
        <w:gridCol w:w="1517"/>
      </w:tblGrid>
      <w:tr>
        <w:trPr>
          <w:trHeight w:val="554"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00"/>
              <w:ind w:right="0"/>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8"/>
              <w:jc w:val="right"/>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4"/>
                <w:sz w:val="21"/>
                <w:szCs w:val="21"/>
              </w:rPr>
              <w:t> </w:t>
            </w:r>
            <w:r>
              <w:rPr>
                <w:rFonts w:ascii="宋体" w:hAnsi="宋体" w:cs="宋体" w:eastAsia="宋体" w:hint="default"/>
                <w:b/>
                <w:bCs/>
                <w:sz w:val="21"/>
                <w:szCs w:val="21"/>
              </w:rPr>
              <w:t>年末余额</w:t>
            </w:r>
            <w:r>
              <w:rPr>
                <w:rFonts w:ascii="宋体" w:hAnsi="宋体" w:cs="宋体" w:eastAsia="宋体" w:hint="default"/>
                <w:sz w:val="21"/>
                <w:szCs w:val="21"/>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46" w:right="0" w:hanging="45"/>
              <w:jc w:val="left"/>
              <w:rPr>
                <w:rFonts w:ascii="宋体" w:hAnsi="宋体" w:cs="宋体" w:eastAsia="宋体" w:hint="default"/>
                <w:sz w:val="21"/>
                <w:szCs w:val="21"/>
              </w:rPr>
            </w:pPr>
            <w:r>
              <w:rPr>
                <w:rFonts w:ascii="宋体" w:hAnsi="宋体" w:cs="宋体" w:eastAsia="宋体" w:hint="default"/>
                <w:b/>
                <w:bCs/>
                <w:sz w:val="21"/>
                <w:szCs w:val="21"/>
              </w:rPr>
              <w:t>占</w:t>
            </w:r>
            <w:r>
              <w:rPr>
                <w:rFonts w:ascii="宋体" w:hAnsi="宋体" w:cs="宋体" w:eastAsia="宋体" w:hint="default"/>
                <w:b/>
                <w:bCs/>
                <w:spacing w:val="-62"/>
                <w:sz w:val="21"/>
                <w:szCs w:val="21"/>
              </w:rPr>
              <w:t> </w:t>
            </w: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9"/>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p>
            <w:pPr>
              <w:pStyle w:val="TableParagraph"/>
              <w:spacing w:line="282" w:lineRule="exact"/>
              <w:ind w:left="146"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总资产的</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5" w:right="0" w:firstLine="1"/>
              <w:jc w:val="left"/>
              <w:rPr>
                <w:rFonts w:ascii="宋体" w:hAnsi="宋体" w:cs="宋体" w:eastAsia="宋体" w:hint="default"/>
                <w:sz w:val="21"/>
                <w:szCs w:val="21"/>
              </w:rPr>
            </w:pPr>
            <w:r>
              <w:rPr>
                <w:rFonts w:ascii="宋体" w:hAnsi="宋体" w:cs="宋体" w:eastAsia="宋体" w:hint="default"/>
                <w:b/>
                <w:bCs/>
                <w:sz w:val="21"/>
                <w:szCs w:val="21"/>
              </w:rPr>
              <w:t>市场供</w:t>
            </w:r>
            <w:r>
              <w:rPr>
                <w:rFonts w:ascii="宋体" w:hAnsi="宋体" w:cs="宋体" w:eastAsia="宋体" w:hint="default"/>
                <w:sz w:val="21"/>
                <w:szCs w:val="21"/>
              </w:rPr>
            </w:r>
          </w:p>
          <w:p>
            <w:pPr>
              <w:pStyle w:val="TableParagraph"/>
              <w:spacing w:line="274" w:lineRule="exact"/>
              <w:ind w:left="125" w:right="0"/>
              <w:jc w:val="left"/>
              <w:rPr>
                <w:rFonts w:ascii="宋体" w:hAnsi="宋体" w:cs="宋体" w:eastAsia="宋体" w:hint="default"/>
                <w:sz w:val="21"/>
                <w:szCs w:val="21"/>
              </w:rPr>
            </w:pPr>
            <w:r>
              <w:rPr>
                <w:rFonts w:ascii="宋体" w:hAnsi="宋体" w:cs="宋体" w:eastAsia="宋体" w:hint="default"/>
                <w:b/>
                <w:bCs/>
                <w:sz w:val="21"/>
                <w:szCs w:val="21"/>
              </w:rPr>
              <w:t>求情况</w:t>
            </w:r>
            <w:r>
              <w:rPr>
                <w:rFonts w:ascii="宋体" w:hAnsi="宋体" w:cs="宋体" w:eastAsia="宋体" w:hint="default"/>
                <w:sz w:val="21"/>
                <w:szCs w:val="21"/>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hAnsi="宋体" w:cs="宋体" w:eastAsia="宋体" w:hint="default"/>
                <w:b/>
                <w:bCs/>
                <w:sz w:val="21"/>
                <w:szCs w:val="21"/>
              </w:rPr>
              <w:t>产品销售价</w:t>
            </w:r>
            <w:r>
              <w:rPr>
                <w:rFonts w:ascii="宋体" w:hAnsi="宋体" w:cs="宋体" w:eastAsia="宋体" w:hint="default"/>
                <w:sz w:val="21"/>
                <w:szCs w:val="21"/>
              </w:rPr>
            </w:r>
          </w:p>
          <w:p>
            <w:pPr>
              <w:pStyle w:val="TableParagraph"/>
              <w:spacing w:line="274" w:lineRule="exact"/>
              <w:ind w:left="131" w:right="0"/>
              <w:jc w:val="left"/>
              <w:rPr>
                <w:rFonts w:ascii="宋体" w:hAnsi="宋体" w:cs="宋体" w:eastAsia="宋体" w:hint="default"/>
                <w:sz w:val="21"/>
                <w:szCs w:val="21"/>
              </w:rPr>
            </w:pPr>
            <w:r>
              <w:rPr>
                <w:rFonts w:ascii="宋体" w:hAnsi="宋体" w:cs="宋体" w:eastAsia="宋体" w:hint="default"/>
                <w:b/>
                <w:bCs/>
                <w:sz w:val="21"/>
                <w:szCs w:val="21"/>
              </w:rPr>
              <w:t>格变动情况</w:t>
            </w:r>
            <w:r>
              <w:rPr>
                <w:rFonts w:ascii="宋体" w:hAnsi="宋体" w:cs="宋体" w:eastAsia="宋体" w:hint="default"/>
                <w:sz w:val="21"/>
                <w:szCs w:val="21"/>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b/>
                <w:bCs/>
                <w:sz w:val="21"/>
                <w:szCs w:val="21"/>
              </w:rPr>
              <w:t>原材料价格</w:t>
            </w:r>
            <w:r>
              <w:rPr>
                <w:rFonts w:ascii="宋体" w:hAnsi="宋体" w:cs="宋体" w:eastAsia="宋体" w:hint="default"/>
                <w:sz w:val="21"/>
                <w:szCs w:val="21"/>
              </w:rPr>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变动情况</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b/>
                <w:bCs/>
                <w:sz w:val="21"/>
                <w:szCs w:val="21"/>
              </w:rPr>
              <w:t>存货跌价准备</w:t>
            </w:r>
            <w:r>
              <w:rPr>
                <w:rFonts w:ascii="宋体" w:hAnsi="宋体" w:cs="宋体" w:eastAsia="宋体" w:hint="default"/>
                <w:sz w:val="21"/>
                <w:szCs w:val="21"/>
              </w:rPr>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sz w:val="21"/>
                <w:szCs w:val="21"/>
              </w:rPr>
              <w:t>的计提情况</w:t>
            </w:r>
            <w:r>
              <w:rPr>
                <w:rFonts w:ascii="宋体" w:hAnsi="宋体" w:cs="宋体" w:eastAsia="宋体" w:hint="default"/>
                <w:sz w:val="21"/>
                <w:szCs w:val="21"/>
              </w:rPr>
            </w:r>
          </w:p>
        </w:tc>
      </w:tr>
      <w:tr>
        <w:trPr>
          <w:trHeight w:val="283"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原材料</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72,700,032.33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47"/>
              <w:jc w:val="right"/>
              <w:rPr>
                <w:rFonts w:ascii="Times New Roman" w:hAnsi="Times New Roman" w:cs="Times New Roman" w:eastAsia="Times New Roman" w:hint="default"/>
                <w:sz w:val="21"/>
                <w:szCs w:val="21"/>
              </w:rPr>
            </w:pPr>
            <w:r>
              <w:rPr>
                <w:rFonts w:ascii="Times New Roman"/>
                <w:spacing w:val="-1"/>
                <w:sz w:val="21"/>
              </w:rPr>
              <w:t>3.50%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稳定</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较小</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较小</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未提</w:t>
            </w:r>
          </w:p>
        </w:tc>
      </w:tr>
      <w:tr>
        <w:trPr>
          <w:trHeight w:val="282"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在产品</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37,517,823.27</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47"/>
              <w:jc w:val="right"/>
              <w:rPr>
                <w:rFonts w:ascii="Times New Roman" w:hAnsi="Times New Roman" w:cs="Times New Roman" w:eastAsia="Times New Roman" w:hint="default"/>
                <w:sz w:val="21"/>
                <w:szCs w:val="21"/>
              </w:rPr>
            </w:pPr>
            <w:r>
              <w:rPr>
                <w:rFonts w:ascii="Times New Roman"/>
                <w:spacing w:val="-1"/>
                <w:sz w:val="21"/>
              </w:rPr>
              <w:t>1.81%</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稳定</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较小</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较小</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未提</w:t>
            </w:r>
          </w:p>
        </w:tc>
      </w:tr>
      <w:tr>
        <w:trPr>
          <w:trHeight w:val="282"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产成品</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402,397,523.08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46"/>
              <w:jc w:val="right"/>
              <w:rPr>
                <w:rFonts w:ascii="Times New Roman" w:hAnsi="Times New Roman" w:cs="Times New Roman" w:eastAsia="Times New Roman" w:hint="default"/>
                <w:sz w:val="21"/>
                <w:szCs w:val="21"/>
              </w:rPr>
            </w:pPr>
            <w:r>
              <w:rPr>
                <w:rFonts w:ascii="Times New Roman"/>
                <w:spacing w:val="-1"/>
                <w:sz w:val="21"/>
              </w:rPr>
              <w:t>19.36%</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稳定</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较小</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较小</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未提</w:t>
            </w:r>
          </w:p>
        </w:tc>
      </w:tr>
      <w:tr>
        <w:trPr>
          <w:trHeight w:val="283"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512,615,378.68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46"/>
              <w:jc w:val="right"/>
              <w:rPr>
                <w:rFonts w:ascii="Times New Roman" w:hAnsi="Times New Roman" w:cs="Times New Roman" w:eastAsia="Times New Roman" w:hint="default"/>
                <w:sz w:val="21"/>
                <w:szCs w:val="21"/>
              </w:rPr>
            </w:pPr>
            <w:r>
              <w:rPr>
                <w:rFonts w:ascii="Times New Roman"/>
                <w:spacing w:val="-1"/>
                <w:sz w:val="21"/>
              </w:rPr>
              <w:t>24.67%</w:t>
            </w:r>
          </w:p>
        </w:tc>
        <w:tc>
          <w:tcPr>
            <w:tcW w:w="89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400" w:footer="982" w:top="1100" w:bottom="1180" w:left="1380" w:right="1380"/>
        </w:sectPr>
      </w:pPr>
    </w:p>
    <w:p>
      <w:pPr>
        <w:spacing w:line="240" w:lineRule="auto" w:before="1"/>
        <w:rPr>
          <w:rFonts w:ascii="宋体" w:hAnsi="宋体" w:cs="宋体" w:eastAsia="宋体" w:hint="default"/>
          <w:sz w:val="19"/>
          <w:szCs w:val="19"/>
        </w:rPr>
      </w:pPr>
    </w:p>
    <w:p>
      <w:pPr>
        <w:pStyle w:val="BodyText"/>
        <w:spacing w:line="280" w:lineRule="auto" w:before="35"/>
        <w:ind w:right="129" w:firstLine="420"/>
        <w:jc w:val="left"/>
      </w:pPr>
      <w:r>
        <w:rPr/>
        <w:t>（</w:t>
      </w:r>
      <w:r>
        <w:rPr>
          <w:rFonts w:ascii="Times New Roman" w:hAnsi="Times New Roman" w:cs="Times New Roman" w:eastAsia="Times New Roman" w:hint="default"/>
        </w:rPr>
        <w:t>1</w:t>
      </w:r>
      <w:r>
        <w:rPr/>
        <w:t>）公司存货主要由原材料、产成品和在产品构成，其中产成品占比相对较大，但均 属于正常范围内，系根据订单情况做的正常储备。</w:t>
      </w:r>
    </w:p>
    <w:p>
      <w:pPr>
        <w:pStyle w:val="BodyText"/>
        <w:spacing w:line="280" w:lineRule="auto" w:before="149"/>
        <w:ind w:right="129" w:firstLine="420"/>
        <w:jc w:val="left"/>
      </w:pPr>
      <w:r>
        <w:rPr/>
        <w:t>（</w:t>
      </w:r>
      <w:r>
        <w:rPr>
          <w:rFonts w:ascii="Times New Roman" w:hAnsi="Times New Roman" w:cs="Times New Roman" w:eastAsia="Times New Roman" w:hint="default"/>
        </w:rPr>
        <w:t>2</w:t>
      </w:r>
      <w:r>
        <w:rPr/>
        <w:t>）公司的年末存货按账面成本与可变现净值孰低法计价，按单项比较存货的账面成 本与可变现净值，</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年末存货没有发生跌价。</w:t>
      </w:r>
    </w:p>
    <w:p>
      <w:pPr>
        <w:pStyle w:val="BodyText"/>
        <w:spacing w:line="240" w:lineRule="auto" w:before="130"/>
        <w:ind w:left="559" w:right="1090"/>
        <w:jc w:val="left"/>
      </w:pPr>
      <w:r>
        <w:rPr>
          <w:rFonts w:ascii="Times New Roman" w:hAnsi="Times New Roman" w:cs="Times New Roman" w:eastAsia="Times New Roman" w:hint="default"/>
        </w:rPr>
        <w:t>8</w:t>
      </w:r>
      <w:r>
        <w:rPr/>
        <w:t>、重要资产情况</w:t>
      </w:r>
    </w:p>
    <w:p>
      <w:pPr>
        <w:spacing w:line="240" w:lineRule="auto" w:before="8"/>
        <w:rPr>
          <w:rFonts w:ascii="宋体" w:hAnsi="宋体" w:cs="宋体" w:eastAsia="宋体" w:hint="default"/>
          <w:sz w:val="15"/>
          <w:szCs w:val="15"/>
        </w:rPr>
      </w:pPr>
    </w:p>
    <w:tbl>
      <w:tblPr>
        <w:tblW w:w="0" w:type="auto"/>
        <w:jc w:val="left"/>
        <w:tblInd w:w="140" w:type="dxa"/>
        <w:tblLayout w:type="fixed"/>
        <w:tblCellMar>
          <w:top w:w="0" w:type="dxa"/>
          <w:left w:w="0" w:type="dxa"/>
          <w:bottom w:w="0" w:type="dxa"/>
          <w:right w:w="0" w:type="dxa"/>
        </w:tblCellMar>
        <w:tblLook w:val="01E0"/>
      </w:tblPr>
      <w:tblGrid>
        <w:gridCol w:w="1949"/>
        <w:gridCol w:w="2191"/>
        <w:gridCol w:w="1980"/>
        <w:gridCol w:w="2166"/>
      </w:tblGrid>
      <w:tr>
        <w:trPr>
          <w:trHeight w:val="336" w:hRule="exact"/>
        </w:trPr>
        <w:tc>
          <w:tcPr>
            <w:tcW w:w="1949" w:type="dxa"/>
            <w:tcBorders>
              <w:top w:val="single" w:sz="8" w:space="0" w:color="000000"/>
              <w:left w:val="single" w:sz="8" w:space="0" w:color="000000"/>
              <w:bottom w:val="single" w:sz="8" w:space="0" w:color="000000"/>
              <w:right w:val="single" w:sz="8" w:space="0" w:color="000000"/>
            </w:tcBorders>
          </w:tcPr>
          <w:p>
            <w:pPr>
              <w:pStyle w:val="TableParagraph"/>
              <w:tabs>
                <w:tab w:pos="422" w:val="left" w:leader="none"/>
              </w:tabs>
              <w:spacing w:line="261" w:lineRule="exact"/>
              <w:ind w:right="1"/>
              <w:jc w:val="center"/>
              <w:rPr>
                <w:rFonts w:ascii="宋体" w:hAnsi="宋体" w:cs="宋体" w:eastAsia="宋体" w:hint="default"/>
                <w:sz w:val="21"/>
                <w:szCs w:val="21"/>
              </w:rPr>
            </w:pPr>
            <w:r>
              <w:rPr>
                <w:rFonts w:ascii="宋体" w:hAnsi="宋体" w:cs="宋体" w:eastAsia="宋体" w:hint="default"/>
                <w:b/>
                <w:bCs/>
                <w:w w:val="95"/>
                <w:sz w:val="21"/>
                <w:szCs w:val="21"/>
              </w:rPr>
              <w:t>类</w:t>
              <w:tab/>
            </w:r>
            <w:r>
              <w:rPr>
                <w:rFonts w:ascii="宋体" w:hAnsi="宋体" w:cs="宋体" w:eastAsia="宋体" w:hint="default"/>
                <w:b/>
                <w:bCs/>
                <w:sz w:val="21"/>
                <w:szCs w:val="21"/>
              </w:rPr>
              <w:t>别</w:t>
            </w:r>
            <w:r>
              <w:rPr>
                <w:rFonts w:ascii="宋体" w:hAnsi="宋体" w:cs="宋体" w:eastAsia="宋体" w:hint="default"/>
                <w:sz w:val="21"/>
                <w:szCs w:val="21"/>
              </w:rPr>
            </w:r>
          </w:p>
        </w:tc>
        <w:tc>
          <w:tcPr>
            <w:tcW w:w="2191"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b/>
                <w:bCs/>
                <w:sz w:val="21"/>
                <w:szCs w:val="21"/>
              </w:rPr>
              <w:t>年初账面价值</w:t>
            </w:r>
            <w:r>
              <w:rPr>
                <w:rFonts w:ascii="宋体" w:hAnsi="宋体" w:cs="宋体" w:eastAsia="宋体" w:hint="default"/>
                <w:sz w:val="21"/>
                <w:szCs w:val="21"/>
              </w:rPr>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left="348" w:right="0"/>
              <w:jc w:val="left"/>
              <w:rPr>
                <w:rFonts w:ascii="宋体" w:hAnsi="宋体" w:cs="宋体" w:eastAsia="宋体" w:hint="default"/>
                <w:sz w:val="21"/>
                <w:szCs w:val="21"/>
              </w:rPr>
            </w:pPr>
            <w:r>
              <w:rPr>
                <w:rFonts w:ascii="宋体" w:hAnsi="宋体" w:cs="宋体" w:eastAsia="宋体" w:hint="default"/>
                <w:b/>
                <w:bCs/>
                <w:sz w:val="21"/>
                <w:szCs w:val="21"/>
              </w:rPr>
              <w:t>年末账面价值</w:t>
            </w:r>
            <w:r>
              <w:rPr>
                <w:rFonts w:ascii="宋体" w:hAnsi="宋体" w:cs="宋体" w:eastAsia="宋体" w:hint="default"/>
                <w:sz w:val="21"/>
                <w:szCs w:val="21"/>
              </w:rPr>
            </w:r>
          </w:p>
        </w:tc>
        <w:tc>
          <w:tcPr>
            <w:tcW w:w="2166"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left="229" w:right="0"/>
              <w:jc w:val="left"/>
              <w:rPr>
                <w:rFonts w:ascii="宋体" w:hAnsi="宋体" w:cs="宋体" w:eastAsia="宋体" w:hint="default"/>
                <w:sz w:val="21"/>
                <w:szCs w:val="21"/>
              </w:rPr>
            </w:pPr>
            <w:r>
              <w:rPr>
                <w:rFonts w:ascii="宋体" w:hAnsi="宋体" w:cs="宋体" w:eastAsia="宋体" w:hint="default"/>
                <w:b/>
                <w:bCs/>
                <w:sz w:val="21"/>
                <w:szCs w:val="21"/>
              </w:rPr>
              <w:t>占固定资产比率％</w:t>
            </w:r>
            <w:r>
              <w:rPr>
                <w:rFonts w:ascii="宋体" w:hAnsi="宋体" w:cs="宋体" w:eastAsia="宋体" w:hint="default"/>
                <w:sz w:val="21"/>
                <w:szCs w:val="21"/>
              </w:rPr>
            </w:r>
          </w:p>
        </w:tc>
      </w:tr>
      <w:tr>
        <w:trPr>
          <w:trHeight w:val="335" w:hRule="exact"/>
        </w:trPr>
        <w:tc>
          <w:tcPr>
            <w:tcW w:w="1949"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房屋及建筑物</w:t>
            </w:r>
          </w:p>
        </w:tc>
        <w:tc>
          <w:tcPr>
            <w:tcW w:w="21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0.00</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4"/>
              <w:jc w:val="right"/>
              <w:rPr>
                <w:rFonts w:ascii="Times New Roman" w:hAnsi="Times New Roman" w:cs="Times New Roman" w:eastAsia="Times New Roman" w:hint="default"/>
                <w:sz w:val="21"/>
                <w:szCs w:val="21"/>
              </w:rPr>
            </w:pPr>
            <w:r>
              <w:rPr>
                <w:rFonts w:ascii="Times New Roman"/>
                <w:spacing w:val="-1"/>
                <w:sz w:val="21"/>
              </w:rPr>
              <w:t>85,909,238.95</w:t>
            </w:r>
          </w:p>
        </w:tc>
        <w:tc>
          <w:tcPr>
            <w:tcW w:w="2166"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right="96"/>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53.05</w:t>
            </w:r>
            <w:r>
              <w:rPr>
                <w:rFonts w:ascii="宋体" w:hAnsi="宋体" w:cs="宋体" w:eastAsia="宋体" w:hint="default"/>
                <w:spacing w:val="-1"/>
                <w:sz w:val="21"/>
                <w:szCs w:val="21"/>
              </w:rPr>
              <w:t>％</w:t>
            </w:r>
          </w:p>
        </w:tc>
      </w:tr>
      <w:tr>
        <w:trPr>
          <w:trHeight w:val="335" w:hRule="exact"/>
        </w:trPr>
        <w:tc>
          <w:tcPr>
            <w:tcW w:w="1949"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营运业务用</w:t>
            </w:r>
            <w:r>
              <w:rPr>
                <w:rFonts w:ascii="宋体" w:hAnsi="宋体" w:cs="宋体" w:eastAsia="宋体" w:hint="default"/>
                <w:spacing w:val="-54"/>
                <w:sz w:val="21"/>
                <w:szCs w:val="21"/>
              </w:rPr>
              <w:t> </w:t>
            </w:r>
            <w:r>
              <w:rPr>
                <w:rFonts w:ascii="Times New Roman" w:hAnsi="Times New Roman" w:cs="Times New Roman" w:eastAsia="Times New Roman" w:hint="default"/>
                <w:spacing w:val="-8"/>
                <w:sz w:val="21"/>
                <w:szCs w:val="21"/>
              </w:rPr>
              <w:t>ATM</w:t>
            </w:r>
          </w:p>
        </w:tc>
        <w:tc>
          <w:tcPr>
            <w:tcW w:w="21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5"/>
              <w:jc w:val="right"/>
              <w:rPr>
                <w:rFonts w:ascii="Times New Roman" w:hAnsi="Times New Roman" w:cs="Times New Roman" w:eastAsia="Times New Roman" w:hint="default"/>
                <w:sz w:val="21"/>
                <w:szCs w:val="21"/>
              </w:rPr>
            </w:pPr>
            <w:r>
              <w:rPr>
                <w:rFonts w:ascii="Times New Roman"/>
                <w:spacing w:val="-1"/>
                <w:sz w:val="21"/>
              </w:rPr>
              <w:t>50,100,936.73</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4"/>
              <w:jc w:val="right"/>
              <w:rPr>
                <w:rFonts w:ascii="Times New Roman" w:hAnsi="Times New Roman" w:cs="Times New Roman" w:eastAsia="Times New Roman" w:hint="default"/>
                <w:sz w:val="21"/>
                <w:szCs w:val="21"/>
              </w:rPr>
            </w:pPr>
            <w:r>
              <w:rPr>
                <w:rFonts w:ascii="Times New Roman"/>
                <w:spacing w:val="-1"/>
                <w:sz w:val="21"/>
              </w:rPr>
              <w:t>50,557,479.18</w:t>
            </w:r>
          </w:p>
        </w:tc>
        <w:tc>
          <w:tcPr>
            <w:tcW w:w="2166"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right="96"/>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31.22</w:t>
            </w:r>
            <w:r>
              <w:rPr>
                <w:rFonts w:ascii="宋体" w:hAnsi="宋体" w:cs="宋体" w:eastAsia="宋体" w:hint="default"/>
                <w:spacing w:val="-1"/>
                <w:sz w:val="21"/>
                <w:szCs w:val="21"/>
              </w:rPr>
              <w:t>％</w:t>
            </w:r>
          </w:p>
        </w:tc>
      </w:tr>
      <w:tr>
        <w:trPr>
          <w:trHeight w:val="335" w:hRule="exact"/>
        </w:trPr>
        <w:tc>
          <w:tcPr>
            <w:tcW w:w="1949" w:type="dxa"/>
            <w:tcBorders>
              <w:top w:val="single" w:sz="8" w:space="0" w:color="000000"/>
              <w:left w:val="single" w:sz="8" w:space="0" w:color="000000"/>
              <w:bottom w:val="single" w:sz="8" w:space="0" w:color="000000"/>
              <w:right w:val="single" w:sz="8" w:space="0" w:color="000000"/>
            </w:tcBorders>
          </w:tcPr>
          <w:p>
            <w:pPr>
              <w:pStyle w:val="TableParagraph"/>
              <w:tabs>
                <w:tab w:pos="421" w:val="left" w:leader="none"/>
              </w:tabs>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其</w:t>
              <w:tab/>
              <w:t>他</w:t>
            </w:r>
          </w:p>
        </w:tc>
        <w:tc>
          <w:tcPr>
            <w:tcW w:w="21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5"/>
              <w:jc w:val="right"/>
              <w:rPr>
                <w:rFonts w:ascii="Times New Roman" w:hAnsi="Times New Roman" w:cs="Times New Roman" w:eastAsia="Times New Roman" w:hint="default"/>
                <w:sz w:val="21"/>
                <w:szCs w:val="21"/>
              </w:rPr>
            </w:pPr>
            <w:r>
              <w:rPr>
                <w:rFonts w:ascii="Times New Roman"/>
                <w:spacing w:val="-1"/>
                <w:sz w:val="21"/>
              </w:rPr>
              <w:t>17,833,623.45</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4"/>
              <w:jc w:val="right"/>
              <w:rPr>
                <w:rFonts w:ascii="Times New Roman" w:hAnsi="Times New Roman" w:cs="Times New Roman" w:eastAsia="Times New Roman" w:hint="default"/>
                <w:sz w:val="21"/>
                <w:szCs w:val="21"/>
              </w:rPr>
            </w:pPr>
            <w:r>
              <w:rPr>
                <w:rFonts w:ascii="Times New Roman"/>
                <w:spacing w:val="-1"/>
                <w:sz w:val="21"/>
              </w:rPr>
              <w:t>25,461,735.41</w:t>
            </w:r>
          </w:p>
        </w:tc>
        <w:tc>
          <w:tcPr>
            <w:tcW w:w="21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4"/>
              <w:jc w:val="right"/>
              <w:rPr>
                <w:rFonts w:ascii="Times New Roman" w:hAnsi="Times New Roman" w:cs="Times New Roman" w:eastAsia="Times New Roman" w:hint="default"/>
                <w:sz w:val="21"/>
                <w:szCs w:val="21"/>
              </w:rPr>
            </w:pPr>
            <w:r>
              <w:rPr>
                <w:rFonts w:ascii="Times New Roman"/>
                <w:spacing w:val="-1"/>
                <w:sz w:val="21"/>
              </w:rPr>
              <w:t>15.72%</w:t>
            </w:r>
          </w:p>
        </w:tc>
      </w:tr>
      <w:tr>
        <w:trPr>
          <w:trHeight w:val="335" w:hRule="exact"/>
        </w:trPr>
        <w:tc>
          <w:tcPr>
            <w:tcW w:w="1949"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固定资产合计</w:t>
            </w:r>
          </w:p>
        </w:tc>
        <w:tc>
          <w:tcPr>
            <w:tcW w:w="21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67,934,560.18</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161,928,453.54</w:t>
            </w:r>
          </w:p>
        </w:tc>
        <w:tc>
          <w:tcPr>
            <w:tcW w:w="21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100.00%</w:t>
            </w:r>
          </w:p>
        </w:tc>
      </w:tr>
    </w:tbl>
    <w:p>
      <w:pPr>
        <w:pStyle w:val="BodyText"/>
        <w:spacing w:line="280" w:lineRule="auto" w:before="86"/>
        <w:ind w:right="136" w:firstLine="420"/>
        <w:jc w:val="both"/>
      </w:pPr>
      <w:r>
        <w:rPr/>
        <w:t>（</w:t>
      </w:r>
      <w:r>
        <w:rPr>
          <w:rFonts w:ascii="Times New Roman" w:hAnsi="Times New Roman" w:cs="Times New Roman" w:eastAsia="Times New Roman" w:hint="default"/>
        </w:rPr>
        <w:t>1</w:t>
      </w:r>
      <w:r>
        <w:rPr/>
        <w:t>）报告期内，公司核心资产的盈利能力没有发生变动，也未出现替代资产或资产升 级换代导致公司核心资产盈利能力降低情形。</w:t>
      </w:r>
    </w:p>
    <w:p>
      <w:pPr>
        <w:pStyle w:val="BodyText"/>
        <w:spacing w:line="280" w:lineRule="auto" w:before="149"/>
        <w:ind w:left="139" w:right="136" w:firstLine="420"/>
        <w:jc w:val="both"/>
      </w:pPr>
      <w:r>
        <w:rPr/>
        <w:t>（</w:t>
      </w:r>
      <w:r>
        <w:rPr>
          <w:rFonts w:ascii="Times New Roman" w:hAnsi="Times New Roman" w:cs="Times New Roman" w:eastAsia="Times New Roman" w:hint="default"/>
        </w:rPr>
        <w:t>2</w:t>
      </w:r>
      <w:r>
        <w:rPr/>
        <w:t>）报告期内，公司的核心资产主要包括厂房和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7"/>
        </w:rPr>
        <w:t> </w:t>
      </w:r>
      <w:r>
        <w:rPr/>
        <w:t>营运设备，均为在用，资产成 新率（即固定资产净值</w:t>
      </w:r>
      <w:r>
        <w:rPr>
          <w:rFonts w:ascii="Times New Roman" w:hAnsi="Times New Roman" w:cs="Times New Roman" w:eastAsia="Times New Roman" w:hint="default"/>
        </w:rPr>
        <w:t>/</w:t>
      </w:r>
      <w:r>
        <w:rPr/>
        <w:t>固定资产原值）约为</w:t>
      </w:r>
      <w:r>
        <w:rPr>
          <w:spacing w:val="-49"/>
        </w:rPr>
        <w:t> </w:t>
      </w:r>
      <w:r>
        <w:rPr>
          <w:rFonts w:ascii="Times New Roman" w:hAnsi="Times New Roman" w:cs="Times New Roman" w:eastAsia="Times New Roman" w:hint="default"/>
        </w:rPr>
        <w:t>81%</w:t>
      </w:r>
      <w:r>
        <w:rPr/>
        <w:t>。其中房屋及建筑物占</w:t>
      </w:r>
      <w:r>
        <w:rPr>
          <w:spacing w:val="-49"/>
        </w:rPr>
        <w:t> </w:t>
      </w:r>
      <w:r>
        <w:rPr>
          <w:rFonts w:ascii="Times New Roman" w:hAnsi="Times New Roman" w:cs="Times New Roman" w:eastAsia="Times New Roman" w:hint="default"/>
        </w:rPr>
        <w:t>53.05%,</w:t>
      </w:r>
      <w:r>
        <w:rPr/>
        <w:t>为</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月份 科学城生产基地一期中已投入使用结转的部分资产；</w:t>
      </w:r>
      <w:r>
        <w:rPr>
          <w:rFonts w:ascii="Times New Roman" w:hAnsi="Times New Roman" w:cs="Times New Roman" w:eastAsia="Times New Roman" w:hint="default"/>
        </w:rPr>
        <w:t>ATM</w:t>
      </w:r>
      <w:r>
        <w:rPr>
          <w:rFonts w:ascii="Times New Roman" w:hAnsi="Times New Roman" w:cs="Times New Roman" w:eastAsia="Times New Roman" w:hint="default"/>
          <w:spacing w:val="-27"/>
        </w:rPr>
        <w:t> </w:t>
      </w:r>
      <w:r>
        <w:rPr/>
        <w:t>营运设备占</w:t>
      </w:r>
      <w:r>
        <w:rPr>
          <w:spacing w:val="-79"/>
        </w:rPr>
        <w:t> </w:t>
      </w:r>
      <w:r>
        <w:rPr>
          <w:rFonts w:ascii="Times New Roman" w:hAnsi="Times New Roman" w:cs="Times New Roman" w:eastAsia="Times New Roman" w:hint="default"/>
        </w:rPr>
        <w:t>31.22%</w:t>
      </w:r>
      <w:r>
        <w:rPr/>
        <w:t>，正在营运收 费，不存在减值的情况。</w:t>
      </w:r>
    </w:p>
    <w:p>
      <w:pPr>
        <w:pStyle w:val="BodyText"/>
        <w:spacing w:line="379" w:lineRule="auto" w:before="150"/>
        <w:ind w:left="559" w:right="135"/>
        <w:jc w:val="left"/>
      </w:pPr>
      <w:r>
        <w:rPr>
          <w:rFonts w:ascii="Times New Roman" w:hAnsi="Times New Roman" w:cs="Times New Roman" w:eastAsia="Times New Roman" w:hint="default"/>
        </w:rPr>
        <w:t>9</w:t>
      </w:r>
      <w:r>
        <w:rPr/>
        <w:t>、主要会计政策、会计估计及核算方法变更情况和重大前期会计差错情况 </w:t>
      </w:r>
      <w:r>
        <w:rPr>
          <w:spacing w:val="-3"/>
        </w:rPr>
        <w:t>报告期内公司不存在主要会计政策、会计估计及核算方法变更情况和重大前期会计差错</w:t>
      </w:r>
    </w:p>
    <w:p>
      <w:pPr>
        <w:pStyle w:val="BodyText"/>
        <w:spacing w:line="218" w:lineRule="exact" w:before="0"/>
        <w:ind w:left="139" w:right="1090"/>
        <w:jc w:val="left"/>
      </w:pPr>
      <w:r>
        <w:rPr/>
        <w:t>情况。</w:t>
      </w:r>
    </w:p>
    <w:p>
      <w:pPr>
        <w:spacing w:line="240" w:lineRule="auto" w:before="3"/>
        <w:rPr>
          <w:rFonts w:ascii="宋体" w:hAnsi="宋体" w:cs="宋体" w:eastAsia="宋体" w:hint="default"/>
          <w:sz w:val="14"/>
          <w:szCs w:val="14"/>
        </w:rPr>
      </w:pPr>
    </w:p>
    <w:p>
      <w:pPr>
        <w:pStyle w:val="BodyText"/>
        <w:spacing w:line="379" w:lineRule="auto" w:before="0"/>
        <w:ind w:left="559" w:right="135"/>
        <w:jc w:val="left"/>
      </w:pPr>
      <w:r>
        <w:rPr>
          <w:rFonts w:ascii="Times New Roman" w:hAnsi="Times New Roman" w:cs="Times New Roman" w:eastAsia="Times New Roman" w:hint="default"/>
        </w:rPr>
        <w:t>10</w:t>
      </w:r>
      <w:r>
        <w:rPr/>
        <w:t>、金融资产投资情况 </w:t>
      </w:r>
      <w:r>
        <w:rPr>
          <w:spacing w:val="-3"/>
        </w:rPr>
        <w:t>报告期末，公司不存在较大金额的证券投资等金融资产、委托理财等财务性投资或套期</w:t>
      </w:r>
    </w:p>
    <w:p>
      <w:pPr>
        <w:pStyle w:val="BodyText"/>
        <w:spacing w:line="219" w:lineRule="exact" w:before="0"/>
        <w:ind w:left="139" w:right="1090"/>
        <w:jc w:val="left"/>
      </w:pPr>
      <w:r>
        <w:rPr/>
        <w:t>保值等相关业务。</w:t>
      </w:r>
    </w:p>
    <w:p>
      <w:pPr>
        <w:spacing w:line="240" w:lineRule="auto" w:before="2"/>
        <w:rPr>
          <w:rFonts w:ascii="宋体" w:hAnsi="宋体" w:cs="宋体" w:eastAsia="宋体" w:hint="default"/>
          <w:sz w:val="14"/>
          <w:szCs w:val="14"/>
        </w:rPr>
      </w:pPr>
    </w:p>
    <w:p>
      <w:pPr>
        <w:pStyle w:val="BodyText"/>
        <w:spacing w:line="280" w:lineRule="auto" w:before="0"/>
        <w:ind w:left="139" w:right="136" w:firstLine="420"/>
        <w:jc w:val="both"/>
      </w:pPr>
      <w:r>
        <w:rPr>
          <w:rFonts w:ascii="Times New Roman" w:hAnsi="Times New Roman" w:cs="Times New Roman" w:eastAsia="Times New Roman" w:hint="default"/>
          <w:spacing w:val="-3"/>
        </w:rPr>
        <w:t>11</w:t>
      </w:r>
      <w:r>
        <w:rPr>
          <w:spacing w:val="-3"/>
        </w:rPr>
        <w:t>、主要资产的计量：报告期内公司主要资产采用实际成本计量；主要资产计量属性在</w:t>
      </w:r>
      <w:r>
        <w:rPr/>
        <w:t> 报告期内未发生重大变化。</w:t>
      </w:r>
    </w:p>
    <w:p>
      <w:pPr>
        <w:pStyle w:val="BodyText"/>
        <w:spacing w:line="240" w:lineRule="auto" w:before="150"/>
        <w:ind w:left="559" w:right="1090"/>
        <w:jc w:val="left"/>
      </w:pPr>
      <w:r>
        <w:rPr>
          <w:rFonts w:ascii="Times New Roman" w:hAnsi="Times New Roman" w:cs="Times New Roman" w:eastAsia="Times New Roman" w:hint="default"/>
        </w:rPr>
        <w:t>12</w:t>
      </w:r>
      <w:r>
        <w:rPr/>
        <w:t>、公司不存在 </w:t>
      </w:r>
      <w:r>
        <w:rPr>
          <w:rFonts w:ascii="Times New Roman" w:hAnsi="Times New Roman" w:cs="Times New Roman" w:eastAsia="Times New Roman" w:hint="default"/>
        </w:rPr>
        <w:t>PE</w:t>
      </w:r>
      <w:r>
        <w:rPr>
          <w:rFonts w:ascii="Times New Roman" w:hAnsi="Times New Roman" w:cs="Times New Roman" w:eastAsia="Times New Roman" w:hint="default"/>
          <w:spacing w:val="-6"/>
        </w:rPr>
        <w:t> </w:t>
      </w:r>
      <w:r>
        <w:rPr/>
        <w:t>投资的情况。</w:t>
      </w:r>
    </w:p>
    <w:p>
      <w:pPr>
        <w:pStyle w:val="BodyText"/>
        <w:spacing w:line="240" w:lineRule="auto" w:before="169"/>
        <w:ind w:left="559" w:right="1090"/>
        <w:jc w:val="left"/>
      </w:pPr>
      <w:r>
        <w:rPr>
          <w:rFonts w:ascii="Times New Roman" w:hAnsi="Times New Roman" w:cs="Times New Roman" w:eastAsia="Times New Roman" w:hint="default"/>
        </w:rPr>
        <w:t>13</w:t>
      </w:r>
      <w:r>
        <w:rPr/>
        <w:t>、债务变动</w:t>
      </w:r>
    </w:p>
    <w:p>
      <w:pPr>
        <w:spacing w:line="240" w:lineRule="auto" w:before="9"/>
        <w:rPr>
          <w:rFonts w:ascii="宋体" w:hAnsi="宋体" w:cs="宋体" w:eastAsia="宋体" w:hint="default"/>
          <w:sz w:val="15"/>
          <w:szCs w:val="15"/>
        </w:rPr>
      </w:pPr>
    </w:p>
    <w:tbl>
      <w:tblPr>
        <w:tblW w:w="0" w:type="auto"/>
        <w:jc w:val="left"/>
        <w:tblInd w:w="528" w:type="dxa"/>
        <w:tblLayout w:type="fixed"/>
        <w:tblCellMar>
          <w:top w:w="0" w:type="dxa"/>
          <w:left w:w="0" w:type="dxa"/>
          <w:bottom w:w="0" w:type="dxa"/>
          <w:right w:w="0" w:type="dxa"/>
        </w:tblCellMar>
        <w:tblLook w:val="01E0"/>
      </w:tblPr>
      <w:tblGrid>
        <w:gridCol w:w="1766"/>
        <w:gridCol w:w="1918"/>
        <w:gridCol w:w="1918"/>
        <w:gridCol w:w="1918"/>
      </w:tblGrid>
      <w:tr>
        <w:trPr>
          <w:trHeight w:val="295"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tabs>
                <w:tab w:pos="983" w:val="left" w:leader="none"/>
              </w:tabs>
              <w:spacing w:line="246" w:lineRule="exact"/>
              <w:ind w:left="561" w:right="0"/>
              <w:jc w:val="left"/>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1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1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27" w:right="0"/>
              <w:jc w:val="left"/>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tc>
      </w:tr>
      <w:tr>
        <w:trPr>
          <w:trHeight w:val="295"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91,405,501.23</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62,269,592.17</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46.79%</w:t>
            </w:r>
          </w:p>
        </w:tc>
      </w:tr>
      <w:tr>
        <w:trPr>
          <w:trHeight w:val="295"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126,754,221.93</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26,100,000.00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385.65%</w:t>
            </w:r>
          </w:p>
        </w:tc>
      </w:tr>
      <w:tr>
        <w:trPr>
          <w:trHeight w:val="294"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162,485,574.59</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266,161,441.15</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-38.95%</w:t>
            </w:r>
          </w:p>
        </w:tc>
      </w:tr>
      <w:tr>
        <w:trPr>
          <w:trHeight w:val="295"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247,453,092.19</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136,460,686.83</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81.34%</w:t>
            </w:r>
          </w:p>
        </w:tc>
      </w:tr>
      <w:tr>
        <w:trPr>
          <w:trHeight w:val="295"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29,480,794.78</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32,705,166.39</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-9.86%</w:t>
            </w:r>
          </w:p>
        </w:tc>
      </w:tr>
      <w:tr>
        <w:trPr>
          <w:trHeight w:val="295"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51,282,284.07</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46,946,781.69</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9.23%</w:t>
            </w:r>
          </w:p>
        </w:tc>
      </w:tr>
      <w:tr>
        <w:trPr>
          <w:trHeight w:val="295"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13,000,026.98</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4,744,671.98</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173.99%</w:t>
            </w:r>
          </w:p>
        </w:tc>
      </w:tr>
      <w:tr>
        <w:trPr>
          <w:trHeight w:val="295"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11,409,918.82</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11,094,152.55</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2.85%</w:t>
            </w:r>
          </w:p>
        </w:tc>
      </w:tr>
    </w:tbl>
    <w:p>
      <w:pPr>
        <w:pStyle w:val="BodyText"/>
        <w:spacing w:line="240" w:lineRule="auto" w:before="84"/>
        <w:ind w:left="560" w:right="135"/>
        <w:jc w:val="left"/>
      </w:pPr>
      <w:r>
        <w:rPr/>
        <w:t>（</w:t>
      </w:r>
      <w:r>
        <w:rPr>
          <w:rFonts w:ascii="Times New Roman" w:hAnsi="Times New Roman" w:cs="Times New Roman" w:eastAsia="Times New Roman" w:hint="default"/>
        </w:rPr>
        <w:t>1</w:t>
      </w:r>
      <w:r>
        <w:rPr/>
        <w:t>）短期借款比上年同期增长</w:t>
      </w:r>
      <w:r>
        <w:rPr>
          <w:spacing w:val="-58"/>
        </w:rPr>
        <w:t> </w:t>
      </w:r>
      <w:r>
        <w:rPr>
          <w:rFonts w:ascii="Times New Roman" w:hAnsi="Times New Roman" w:cs="Times New Roman" w:eastAsia="Times New Roman" w:hint="default"/>
        </w:rPr>
        <w:t>46.79</w:t>
      </w:r>
      <w:r>
        <w:rPr/>
        <w:t>％，主要是银行信用证押汇借款的增加；</w:t>
      </w:r>
    </w:p>
    <w:p>
      <w:pPr>
        <w:pStyle w:val="BodyText"/>
        <w:spacing w:line="240" w:lineRule="auto" w:before="170"/>
        <w:ind w:left="560" w:right="0"/>
        <w:jc w:val="left"/>
      </w:pPr>
      <w:r>
        <w:rPr/>
        <w:t>（</w:t>
      </w:r>
      <w:r>
        <w:rPr>
          <w:rFonts w:ascii="Times New Roman" w:hAnsi="Times New Roman" w:cs="Times New Roman" w:eastAsia="Times New Roman" w:hint="default"/>
        </w:rPr>
        <w:t>2</w:t>
      </w:r>
      <w:r>
        <w:rPr/>
        <w:t>）应付票据比上年同期增长</w:t>
      </w:r>
      <w:r>
        <w:rPr>
          <w:spacing w:val="-48"/>
        </w:rPr>
        <w:t> </w:t>
      </w:r>
      <w:r>
        <w:rPr>
          <w:rFonts w:ascii="Times New Roman" w:hAnsi="Times New Roman" w:cs="Times New Roman" w:eastAsia="Times New Roman" w:hint="default"/>
        </w:rPr>
        <w:t>385.65</w:t>
      </w:r>
      <w:r>
        <w:rPr/>
        <w:t>％，主要原因为报告期采用信用证方式支付的货</w:t>
      </w:r>
    </w:p>
    <w:p>
      <w:pPr>
        <w:spacing w:after="0" w:line="240" w:lineRule="auto"/>
        <w:jc w:val="left"/>
        <w:sectPr>
          <w:pgSz w:w="11910" w:h="16840"/>
          <w:pgMar w:header="400" w:footer="982" w:top="1100" w:bottom="1180" w:left="1660" w:right="1660"/>
        </w:sectPr>
      </w:pPr>
    </w:p>
    <w:p>
      <w:pPr>
        <w:spacing w:line="240" w:lineRule="auto" w:before="1"/>
        <w:rPr>
          <w:rFonts w:ascii="宋体" w:hAnsi="宋体" w:cs="宋体" w:eastAsia="宋体" w:hint="default"/>
          <w:sz w:val="19"/>
          <w:szCs w:val="19"/>
        </w:rPr>
      </w:pPr>
    </w:p>
    <w:p>
      <w:pPr>
        <w:pStyle w:val="BodyText"/>
        <w:spacing w:line="240" w:lineRule="auto" w:before="35"/>
        <w:ind w:left="220" w:right="211"/>
        <w:jc w:val="left"/>
      </w:pPr>
      <w:r>
        <w:rPr/>
        <w:t>款中，</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年末已承兑但未到期的信用证增加；</w:t>
      </w:r>
    </w:p>
    <w:p>
      <w:pPr>
        <w:pStyle w:val="BodyText"/>
        <w:spacing w:line="280" w:lineRule="auto" w:before="170"/>
        <w:ind w:left="219" w:right="211" w:firstLine="420"/>
        <w:jc w:val="left"/>
      </w:pPr>
      <w:r>
        <w:rPr>
          <w:spacing w:val="-3"/>
        </w:rPr>
        <w:t>（</w:t>
      </w:r>
      <w:r>
        <w:rPr>
          <w:rFonts w:ascii="Times New Roman" w:hAnsi="Times New Roman" w:cs="Times New Roman" w:eastAsia="Times New Roman" w:hint="default"/>
          <w:spacing w:val="-3"/>
        </w:rPr>
        <w:t>3</w:t>
      </w:r>
      <w:r>
        <w:rPr>
          <w:spacing w:val="-3"/>
        </w:rPr>
        <w:t>）应付账款比上年同期减少</w:t>
      </w:r>
      <w:r>
        <w:rPr>
          <w:spacing w:val="-36"/>
        </w:rPr>
        <w:t> </w:t>
      </w:r>
      <w:r>
        <w:rPr>
          <w:rFonts w:ascii="Times New Roman" w:hAnsi="Times New Roman" w:cs="Times New Roman" w:eastAsia="Times New Roman" w:hint="default"/>
          <w:spacing w:val="-3"/>
        </w:rPr>
        <w:t>38.95</w:t>
      </w:r>
      <w:r>
        <w:rPr>
          <w:spacing w:val="-3"/>
        </w:rPr>
        <w:t>％，一是支付了部分货款，二是采用信用证方式支</w:t>
      </w:r>
      <w:r>
        <w:rPr/>
        <w:t> 付货款使得应付票据增加，从而减少了应付帐款；</w:t>
      </w:r>
    </w:p>
    <w:p>
      <w:pPr>
        <w:pStyle w:val="BodyText"/>
        <w:spacing w:line="240" w:lineRule="auto" w:before="150"/>
        <w:ind w:left="639" w:right="211"/>
        <w:jc w:val="left"/>
      </w:pPr>
      <w:r>
        <w:rPr/>
        <w:t>（</w:t>
      </w:r>
      <w:r>
        <w:rPr>
          <w:rFonts w:ascii="Times New Roman" w:hAnsi="Times New Roman" w:cs="Times New Roman" w:eastAsia="Times New Roman" w:hint="default"/>
        </w:rPr>
        <w:t>4</w:t>
      </w:r>
      <w:r>
        <w:rPr/>
        <w:t>）预收款项比上年同期增长</w:t>
      </w:r>
      <w:r>
        <w:rPr>
          <w:spacing w:val="-58"/>
        </w:rPr>
        <w:t> </w:t>
      </w:r>
      <w:r>
        <w:rPr>
          <w:rFonts w:ascii="Times New Roman" w:hAnsi="Times New Roman" w:cs="Times New Roman" w:eastAsia="Times New Roman" w:hint="default"/>
        </w:rPr>
        <w:t>81.34</w:t>
      </w:r>
      <w:r>
        <w:rPr/>
        <w:t>％，主要是按合同约定收到客户的预付货款；</w:t>
      </w:r>
    </w:p>
    <w:p>
      <w:pPr>
        <w:pStyle w:val="BodyText"/>
        <w:spacing w:line="280" w:lineRule="auto" w:before="170"/>
        <w:ind w:left="220" w:right="204" w:firstLine="420"/>
        <w:jc w:val="left"/>
      </w:pPr>
      <w:r>
        <w:rPr/>
        <w:t>（</w:t>
      </w:r>
      <w:r>
        <w:rPr>
          <w:rFonts w:ascii="Times New Roman" w:hAnsi="Times New Roman" w:cs="Times New Roman" w:eastAsia="Times New Roman" w:hint="default"/>
        </w:rPr>
        <w:t>5</w:t>
      </w:r>
      <w:r>
        <w:rPr/>
        <w:t>）其他应付款比上年同期增长</w:t>
      </w:r>
      <w:r>
        <w:rPr>
          <w:spacing w:val="-48"/>
        </w:rPr>
        <w:t> </w:t>
      </w:r>
      <w:r>
        <w:rPr>
          <w:rFonts w:ascii="Times New Roman" w:hAnsi="Times New Roman" w:cs="Times New Roman" w:eastAsia="Times New Roman" w:hint="default"/>
        </w:rPr>
        <w:t>173.99</w:t>
      </w:r>
      <w:r>
        <w:rPr/>
        <w:t>％，主要是按合同计提的技术服务费及代理费 增加。</w:t>
      </w:r>
    </w:p>
    <w:p>
      <w:pPr>
        <w:spacing w:line="240" w:lineRule="auto" w:before="12"/>
        <w:rPr>
          <w:rFonts w:ascii="宋体" w:hAnsi="宋体" w:cs="宋体" w:eastAsia="宋体" w:hint="default"/>
          <w:sz w:val="29"/>
          <w:szCs w:val="29"/>
        </w:rPr>
      </w:pPr>
    </w:p>
    <w:p>
      <w:pPr>
        <w:pStyle w:val="BodyText"/>
        <w:spacing w:line="240" w:lineRule="auto" w:before="0"/>
        <w:ind w:left="640" w:right="211"/>
        <w:jc w:val="left"/>
      </w:pPr>
      <w:r>
        <w:rPr>
          <w:rFonts w:ascii="Times New Roman" w:hAnsi="Times New Roman" w:cs="Times New Roman" w:eastAsia="Times New Roman" w:hint="default"/>
        </w:rPr>
        <w:t>14</w:t>
      </w:r>
      <w:r>
        <w:rPr/>
        <w:t>、偿债能力分析</w:t>
      </w:r>
    </w:p>
    <w:p>
      <w:pPr>
        <w:spacing w:line="240" w:lineRule="auto" w:before="9"/>
        <w:rPr>
          <w:rFonts w:ascii="宋体" w:hAnsi="宋体" w:cs="宋体" w:eastAsia="宋体" w:hint="default"/>
          <w:sz w:val="15"/>
          <w:szCs w:val="15"/>
        </w:rPr>
      </w:pPr>
    </w:p>
    <w:tbl>
      <w:tblPr>
        <w:tblW w:w="0" w:type="auto"/>
        <w:jc w:val="left"/>
        <w:tblInd w:w="107" w:type="dxa"/>
        <w:tblLayout w:type="fixed"/>
        <w:tblCellMar>
          <w:top w:w="0" w:type="dxa"/>
          <w:left w:w="0" w:type="dxa"/>
          <w:bottom w:w="0" w:type="dxa"/>
          <w:right w:w="0" w:type="dxa"/>
        </w:tblCellMar>
        <w:tblLook w:val="01E0"/>
      </w:tblPr>
      <w:tblGrid>
        <w:gridCol w:w="2448"/>
        <w:gridCol w:w="1518"/>
        <w:gridCol w:w="1519"/>
        <w:gridCol w:w="1518"/>
        <w:gridCol w:w="1519"/>
      </w:tblGrid>
      <w:tr>
        <w:trPr>
          <w:trHeight w:val="310"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797" w:right="0"/>
              <w:jc w:val="left"/>
              <w:rPr>
                <w:rFonts w:ascii="宋体" w:hAnsi="宋体" w:cs="宋体" w:eastAsia="宋体" w:hint="default"/>
                <w:sz w:val="21"/>
                <w:szCs w:val="21"/>
              </w:rPr>
            </w:pPr>
            <w:r>
              <w:rPr>
                <w:rFonts w:ascii="宋体" w:hAnsi="宋体" w:cs="宋体" w:eastAsia="宋体" w:hint="default"/>
                <w:b/>
                <w:bCs/>
                <w:sz w:val="21"/>
                <w:szCs w:val="21"/>
              </w:rPr>
              <w:t>财务指标</w:t>
            </w:r>
            <w:r>
              <w:rPr>
                <w:rFonts w:ascii="宋体" w:hAnsi="宋体" w:cs="宋体" w:eastAsia="宋体" w:hint="default"/>
                <w:sz w:val="21"/>
                <w:szCs w:val="21"/>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06"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0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2"/>
              <w:jc w:val="left"/>
              <w:rPr>
                <w:rFonts w:ascii="宋体" w:hAnsi="宋体" w:cs="宋体" w:eastAsia="宋体" w:hint="default"/>
                <w:sz w:val="21"/>
                <w:szCs w:val="21"/>
              </w:rPr>
            </w:pPr>
            <w:r>
              <w:rPr>
                <w:rFonts w:ascii="宋体" w:hAnsi="宋体" w:cs="宋体" w:eastAsia="宋体" w:hint="default"/>
                <w:b/>
                <w:bCs/>
                <w:spacing w:val="-10"/>
                <w:sz w:val="21"/>
                <w:szCs w:val="21"/>
              </w:rPr>
              <w:t>同比增减（</w:t>
            </w:r>
            <w:r>
              <w:rPr>
                <w:rFonts w:ascii="Times New Roman" w:hAnsi="Times New Roman" w:cs="Times New Roman" w:eastAsia="Times New Roman" w:hint="default"/>
                <w:b/>
                <w:bCs/>
                <w:spacing w:val="-10"/>
                <w:sz w:val="21"/>
                <w:szCs w:val="21"/>
              </w:rPr>
              <w:t>%</w:t>
            </w:r>
            <w:r>
              <w:rPr>
                <w:rFonts w:ascii="宋体" w:hAnsi="宋体" w:cs="宋体" w:eastAsia="宋体" w:hint="default"/>
                <w:b/>
                <w:bCs/>
                <w:spacing w:val="-10"/>
                <w:sz w:val="21"/>
                <w:szCs w:val="21"/>
              </w:rPr>
              <w:t>）</w:t>
            </w:r>
            <w:r>
              <w:rPr>
                <w:rFonts w:ascii="宋体" w:hAnsi="宋体" w:cs="宋体" w:eastAsia="宋体" w:hint="default"/>
                <w:spacing w:val="-10"/>
                <w:sz w:val="21"/>
                <w:szCs w:val="21"/>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0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2006</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r>
      <w:tr>
        <w:trPr>
          <w:trHeight w:val="311"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流动比率（倍）</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2.58</w:t>
            </w:r>
            <w:r>
              <w:rPr>
                <w:rFonts w:ascii="Times New Roman"/>
                <w:sz w:val="21"/>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2.61</w:t>
            </w:r>
            <w:r>
              <w:rPr>
                <w:rFonts w:ascii="Times New Roman"/>
                <w:sz w:val="21"/>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92" w:right="0"/>
              <w:jc w:val="left"/>
              <w:rPr>
                <w:rFonts w:ascii="Times New Roman" w:hAnsi="Times New Roman" w:cs="Times New Roman" w:eastAsia="Times New Roman" w:hint="default"/>
                <w:sz w:val="21"/>
                <w:szCs w:val="21"/>
              </w:rPr>
            </w:pPr>
            <w:r>
              <w:rPr>
                <w:rFonts w:ascii="Times New Roman"/>
                <w:sz w:val="21"/>
              </w:rPr>
              <w:t>-1.15%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1"/>
                <w:szCs w:val="21"/>
              </w:rPr>
            </w:pPr>
            <w:r>
              <w:rPr>
                <w:rFonts w:ascii="Times New Roman"/>
                <w:spacing w:val="-1"/>
                <w:sz w:val="21"/>
              </w:rPr>
              <w:t>1.57</w:t>
            </w:r>
            <w:r>
              <w:rPr>
                <w:rFonts w:ascii="Times New Roman"/>
                <w:sz w:val="21"/>
              </w:rPr>
            </w:r>
          </w:p>
        </w:tc>
      </w:tr>
      <w:tr>
        <w:trPr>
          <w:trHeight w:val="310"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速动比率（倍）</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1.87</w:t>
            </w:r>
            <w:r>
              <w:rPr>
                <w:rFonts w:ascii="Times New Roman"/>
                <w:sz w:val="21"/>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1.89</w:t>
            </w:r>
            <w:r>
              <w:rPr>
                <w:rFonts w:ascii="Times New Roman"/>
                <w:sz w:val="21"/>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92" w:right="0"/>
              <w:jc w:val="left"/>
              <w:rPr>
                <w:rFonts w:ascii="Times New Roman" w:hAnsi="Times New Roman" w:cs="Times New Roman" w:eastAsia="Times New Roman" w:hint="default"/>
                <w:sz w:val="21"/>
                <w:szCs w:val="21"/>
              </w:rPr>
            </w:pPr>
            <w:r>
              <w:rPr>
                <w:rFonts w:ascii="Times New Roman"/>
                <w:sz w:val="21"/>
              </w:rPr>
              <w:t>-1.06%</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1"/>
                <w:szCs w:val="21"/>
              </w:rPr>
            </w:pPr>
            <w:r>
              <w:rPr>
                <w:rFonts w:ascii="Times New Roman"/>
                <w:spacing w:val="-1"/>
                <w:sz w:val="21"/>
              </w:rPr>
              <w:t>1.18</w:t>
            </w:r>
            <w:r>
              <w:rPr>
                <w:rFonts w:ascii="Times New Roman"/>
                <w:sz w:val="21"/>
              </w:rPr>
            </w:r>
          </w:p>
        </w:tc>
      </w:tr>
      <w:tr>
        <w:trPr>
          <w:trHeight w:val="310"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3"/>
              <w:jc w:val="left"/>
              <w:rPr>
                <w:rFonts w:ascii="宋体" w:hAnsi="宋体" w:cs="宋体" w:eastAsia="宋体" w:hint="default"/>
                <w:sz w:val="21"/>
                <w:szCs w:val="21"/>
              </w:rPr>
            </w:pPr>
            <w:r>
              <w:rPr>
                <w:rFonts w:ascii="宋体" w:hAnsi="宋体" w:cs="宋体" w:eastAsia="宋体" w:hint="default"/>
                <w:sz w:val="21"/>
                <w:szCs w:val="21"/>
              </w:rPr>
              <w:t>资产负债</w:t>
            </w:r>
            <w:r>
              <w:rPr>
                <w:rFonts w:ascii="宋体" w:hAnsi="宋体" w:cs="宋体" w:eastAsia="宋体" w:hint="default"/>
                <w:spacing w:val="-96"/>
                <w:sz w:val="21"/>
                <w:szCs w:val="21"/>
              </w:rPr>
              <w:t>率</w:t>
            </w:r>
            <w:r>
              <w:rPr>
                <w:rFonts w:ascii="宋体" w:hAnsi="宋体" w:cs="宋体" w:eastAsia="宋体" w:hint="default"/>
                <w:sz w:val="21"/>
                <w:szCs w:val="21"/>
              </w:rPr>
              <w:t>（母公司</w:t>
            </w:r>
            <w:r>
              <w:rPr>
                <w:rFonts w:ascii="宋体" w:hAnsi="宋体" w:cs="宋体" w:eastAsia="宋体" w:hint="default"/>
                <w:spacing w:val="-192"/>
                <w:sz w:val="21"/>
                <w:szCs w:val="21"/>
              </w:rPr>
              <w:t>）</w:t>
            </w:r>
            <w:r>
              <w:rPr>
                <w:rFonts w:ascii="宋体" w:hAnsi="宋体" w:cs="宋体" w:eastAsia="宋体" w:hint="default"/>
                <w:sz w:val="21"/>
                <w:szCs w:val="21"/>
              </w:rPr>
              <w:t>（%）</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1"/>
                <w:szCs w:val="21"/>
              </w:rPr>
            </w:pPr>
            <w:r>
              <w:rPr>
                <w:rFonts w:ascii="Times New Roman"/>
                <w:spacing w:val="-1"/>
                <w:sz w:val="21"/>
              </w:rPr>
              <w:t>36.20%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1"/>
                <w:szCs w:val="21"/>
              </w:rPr>
            </w:pPr>
            <w:r>
              <w:rPr>
                <w:rFonts w:ascii="Times New Roman"/>
                <w:spacing w:val="-1"/>
                <w:sz w:val="21"/>
              </w:rPr>
              <w:t>36.48%</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91" w:right="0"/>
              <w:jc w:val="left"/>
              <w:rPr>
                <w:rFonts w:ascii="Times New Roman" w:hAnsi="Times New Roman" w:cs="Times New Roman" w:eastAsia="Times New Roman" w:hint="default"/>
                <w:sz w:val="21"/>
                <w:szCs w:val="21"/>
              </w:rPr>
            </w:pPr>
            <w:r>
              <w:rPr>
                <w:rFonts w:ascii="Times New Roman"/>
                <w:sz w:val="21"/>
              </w:rPr>
              <w:t>-0.28%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1"/>
                <w:szCs w:val="21"/>
              </w:rPr>
            </w:pPr>
            <w:r>
              <w:rPr>
                <w:rFonts w:ascii="Times New Roman"/>
                <w:spacing w:val="-1"/>
                <w:sz w:val="21"/>
              </w:rPr>
              <w:t>59.81%</w:t>
            </w:r>
          </w:p>
        </w:tc>
      </w:tr>
      <w:tr>
        <w:trPr>
          <w:trHeight w:val="311"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利息保障倍数</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150.74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43.71</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51" w:right="0"/>
              <w:jc w:val="left"/>
              <w:rPr>
                <w:rFonts w:ascii="Times New Roman" w:hAnsi="Times New Roman" w:cs="Times New Roman" w:eastAsia="Times New Roman" w:hint="default"/>
                <w:sz w:val="21"/>
                <w:szCs w:val="21"/>
              </w:rPr>
            </w:pPr>
            <w:r>
              <w:rPr>
                <w:rFonts w:ascii="Times New Roman"/>
                <w:sz w:val="21"/>
              </w:rPr>
              <w:t>244.83%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20.83</w:t>
            </w:r>
          </w:p>
        </w:tc>
      </w:tr>
    </w:tbl>
    <w:p>
      <w:pPr>
        <w:pStyle w:val="BodyText"/>
        <w:spacing w:line="285" w:lineRule="auto" w:before="84"/>
        <w:ind w:left="220" w:right="104" w:firstLine="420"/>
        <w:jc w:val="left"/>
      </w:pPr>
      <w:r>
        <w:rPr/>
        <w:t>报告期内，公司流动比率、速动比率和资产负债率与</w:t>
      </w:r>
      <w:r>
        <w:rPr>
          <w:spacing w:val="-4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年相比变动不大，流动比率 超过</w:t>
      </w:r>
      <w:r>
        <w:rPr>
          <w:spacing w:val="-48"/>
        </w:rPr>
        <w:t> </w:t>
      </w:r>
      <w:r>
        <w:rPr>
          <w:rFonts w:ascii="Times New Roman" w:hAnsi="Times New Roman" w:cs="Times New Roman" w:eastAsia="Times New Roman" w:hint="default"/>
        </w:rPr>
        <w:t>2</w:t>
      </w:r>
      <w:r>
        <w:rPr/>
        <w:t>，速动比率均超过</w:t>
      </w:r>
      <w:r>
        <w:rPr>
          <w:spacing w:val="-48"/>
        </w:rPr>
        <w:t> </w:t>
      </w:r>
      <w:r>
        <w:rPr>
          <w:rFonts w:ascii="Times New Roman" w:hAnsi="Times New Roman" w:cs="Times New Roman" w:eastAsia="Times New Roman" w:hint="default"/>
        </w:rPr>
        <w:t>1</w:t>
      </w:r>
      <w:r>
        <w:rPr/>
        <w:t>，显示了公司良好的资产流动性和短期偿债能力；利息保障倍数 因不存在支付银行贷款利息（只有少量押汇利息）而大幅度提高。与</w:t>
      </w:r>
      <w:r>
        <w:rPr>
          <w:spacing w:val="-49"/>
        </w:rPr>
        <w:t> </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年相比，流动比 率、速动比率、利息保障倍数大幅提高，公司资产负债率大幅降低，主要是由于公司上市， 以及近几年公司业绩大幅增长所致。</w:t>
      </w:r>
    </w:p>
    <w:p>
      <w:pPr>
        <w:pStyle w:val="BodyText"/>
        <w:spacing w:line="297" w:lineRule="auto" w:before="146"/>
        <w:ind w:left="220" w:right="211" w:firstLine="420"/>
        <w:jc w:val="left"/>
      </w:pPr>
      <w:r>
        <w:rPr>
          <w:spacing w:val="-3"/>
        </w:rPr>
        <w:t>报告期，公司资金充裕，盈利能力较强，且公司与银行保持着良好的合作关系，不存在</w:t>
      </w:r>
      <w:r>
        <w:rPr/>
        <w:t> 偿债能力风险。公司连续多年荣获“全国守合同重信用企业”的称号。</w:t>
      </w:r>
    </w:p>
    <w:p>
      <w:pPr>
        <w:spacing w:line="240" w:lineRule="auto" w:before="9"/>
        <w:rPr>
          <w:rFonts w:ascii="宋体" w:hAnsi="宋体" w:cs="宋体" w:eastAsia="宋体" w:hint="default"/>
          <w:sz w:val="7"/>
          <w:szCs w:val="7"/>
        </w:rPr>
      </w:pPr>
    </w:p>
    <w:p>
      <w:pPr>
        <w:pStyle w:val="BodyText"/>
        <w:spacing w:line="282" w:lineRule="exact" w:before="35"/>
        <w:ind w:left="640" w:right="211"/>
        <w:jc w:val="left"/>
      </w:pPr>
      <w:r>
        <w:rPr>
          <w:rFonts w:ascii="Times New Roman" w:hAnsi="Times New Roman" w:cs="Times New Roman" w:eastAsia="Times New Roman" w:hint="default"/>
        </w:rPr>
        <w:t>15</w:t>
      </w:r>
      <w:r>
        <w:rPr/>
        <w:t>、资产营运能力分析</w:t>
      </w:r>
    </w:p>
    <w:p>
      <w:pPr>
        <w:pStyle w:val="BodyText"/>
        <w:spacing w:line="282" w:lineRule="exact" w:before="0"/>
        <w:ind w:left="0" w:right="216"/>
        <w:jc w:val="right"/>
      </w:pPr>
      <w:r>
        <w:rPr/>
        <w:t>单位：次</w:t>
      </w:r>
      <w:r>
        <w:rPr>
          <w:rFonts w:ascii="Times New Roman" w:hAnsi="Times New Roman" w:cs="Times New Roman" w:eastAsia="Times New Roman" w:hint="default"/>
        </w:rPr>
        <w:t>/</w:t>
      </w:r>
      <w:r>
        <w:rPr/>
        <w:t>年</w:t>
      </w:r>
    </w:p>
    <w:tbl>
      <w:tblPr>
        <w:tblW w:w="0" w:type="auto"/>
        <w:jc w:val="left"/>
        <w:tblInd w:w="107" w:type="dxa"/>
        <w:tblLayout w:type="fixed"/>
        <w:tblCellMar>
          <w:top w:w="0" w:type="dxa"/>
          <w:left w:w="0" w:type="dxa"/>
          <w:bottom w:w="0" w:type="dxa"/>
          <w:right w:w="0" w:type="dxa"/>
        </w:tblCellMar>
        <w:tblLook w:val="01E0"/>
      </w:tblPr>
      <w:tblGrid>
        <w:gridCol w:w="1704"/>
        <w:gridCol w:w="1704"/>
        <w:gridCol w:w="1704"/>
        <w:gridCol w:w="1705"/>
        <w:gridCol w:w="1705"/>
      </w:tblGrid>
      <w:tr>
        <w:trPr>
          <w:trHeight w:val="282"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39" w:lineRule="exact"/>
              <w:ind w:right="1"/>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b/>
                <w:bCs/>
                <w:sz w:val="21"/>
                <w:szCs w:val="21"/>
              </w:rPr>
              <w:t>同比增减（</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2006</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r>
      <w:tr>
        <w:trPr>
          <w:trHeight w:val="282"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应收账款周转率</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3.76</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2.87</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31.01%</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1.98</w:t>
            </w:r>
          </w:p>
        </w:tc>
      </w:tr>
      <w:tr>
        <w:trPr>
          <w:trHeight w:val="28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存货周转率</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1.42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1.51</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-5.96%</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1.79</w:t>
            </w:r>
          </w:p>
        </w:tc>
      </w:tr>
    </w:tbl>
    <w:p>
      <w:pPr>
        <w:spacing w:line="240" w:lineRule="auto" w:before="1"/>
        <w:rPr>
          <w:rFonts w:ascii="宋体" w:hAnsi="宋体" w:cs="宋体" w:eastAsia="宋体" w:hint="default"/>
          <w:sz w:val="5"/>
          <w:szCs w:val="5"/>
        </w:rPr>
      </w:pPr>
    </w:p>
    <w:p>
      <w:pPr>
        <w:pStyle w:val="BodyText"/>
        <w:spacing w:line="288" w:lineRule="auto" w:before="35"/>
        <w:ind w:left="220" w:right="216" w:firstLine="420"/>
        <w:jc w:val="both"/>
      </w:pPr>
      <w:r>
        <w:rPr/>
        <w:t>（</w:t>
      </w:r>
      <w:r>
        <w:rPr>
          <w:rFonts w:ascii="Times New Roman" w:hAnsi="Times New Roman" w:cs="Times New Roman" w:eastAsia="Times New Roman" w:hint="default"/>
        </w:rPr>
        <w:t>1</w:t>
      </w:r>
      <w:r>
        <w:rPr/>
        <w:t>）报告期内公司加大了收款力度，应收账款周转率有所增加，同时由于客户主要为 </w:t>
      </w:r>
      <w:r>
        <w:rPr>
          <w:spacing w:val="-3"/>
        </w:rPr>
        <w:t>大型金融企业，具有良好的财务状况和经济实力，信用状况较好，因此公司应收账款可收回</w:t>
      </w:r>
      <w:r>
        <w:rPr>
          <w:spacing w:val="-81"/>
        </w:rPr>
        <w:t> </w:t>
      </w:r>
      <w:r>
        <w:rPr>
          <w:spacing w:val="-81"/>
        </w:rPr>
      </w:r>
      <w:r>
        <w:rPr/>
        <w:t>性良好。从公司历年的账款回收情况来看，出现坏账损失的情况极少。</w:t>
      </w:r>
    </w:p>
    <w:p>
      <w:pPr>
        <w:pStyle w:val="BodyText"/>
        <w:spacing w:line="288" w:lineRule="auto" w:before="144"/>
        <w:ind w:left="219" w:right="216" w:firstLine="420"/>
        <w:jc w:val="both"/>
      </w:pPr>
      <w:r>
        <w:rPr>
          <w:spacing w:val="-5"/>
        </w:rPr>
        <w:t>（</w:t>
      </w:r>
      <w:r>
        <w:rPr>
          <w:rFonts w:ascii="Times New Roman" w:hAnsi="Times New Roman" w:cs="Times New Roman" w:eastAsia="Times New Roman" w:hint="default"/>
          <w:spacing w:val="-5"/>
        </w:rPr>
        <w:t>2</w:t>
      </w:r>
      <w:r>
        <w:rPr>
          <w:spacing w:val="-5"/>
        </w:rPr>
        <w:t>）由于 </w:t>
      </w:r>
      <w:r>
        <w:rPr>
          <w:rFonts w:ascii="Times New Roman" w:hAnsi="Times New Roman" w:cs="Times New Roman" w:eastAsia="Times New Roman" w:hint="default"/>
        </w:rPr>
        <w:t>2008</w:t>
      </w:r>
      <w:r>
        <w:rPr>
          <w:rFonts w:ascii="Times New Roman" w:hAnsi="Times New Roman" w:cs="Times New Roman" w:eastAsia="Times New Roman" w:hint="default"/>
          <w:spacing w:val="-33"/>
        </w:rPr>
        <w:t> </w:t>
      </w:r>
      <w:r>
        <w:rPr>
          <w:spacing w:val="-3"/>
        </w:rPr>
        <w:t>年末签订了较多的订单，为能及时交货，公司提前备货，其中部份货物</w:t>
      </w:r>
      <w:r>
        <w:rPr/>
        <w:t> </w:t>
      </w:r>
      <w:r>
        <w:rPr>
          <w:spacing w:val="-3"/>
        </w:rPr>
        <w:t>已发出但未收到签收凭证，按照公司收入确认原则当年无法结转收入及成本，因而导致存货</w:t>
      </w:r>
      <w:r>
        <w:rPr>
          <w:spacing w:val="-79"/>
        </w:rPr>
        <w:t> </w:t>
      </w:r>
      <w:r>
        <w:rPr>
          <w:spacing w:val="-79"/>
        </w:rPr>
      </w:r>
      <w:r>
        <w:rPr/>
        <w:t>周转率有所降低。从公司历年的生产和销售情况来看，公司产品没有滞销现象。</w:t>
      </w:r>
    </w:p>
    <w:p>
      <w:pPr>
        <w:pStyle w:val="BodyText"/>
        <w:spacing w:line="324" w:lineRule="auto" w:before="144"/>
        <w:ind w:left="640" w:right="5144"/>
        <w:jc w:val="left"/>
      </w:pPr>
      <w:r>
        <w:rPr>
          <w:rFonts w:ascii="Times New Roman" w:hAnsi="Times New Roman" w:cs="Times New Roman" w:eastAsia="Times New Roman" w:hint="default"/>
        </w:rPr>
        <w:t>16</w:t>
      </w:r>
      <w:r>
        <w:rPr/>
        <w:t>、研发情况 公司近三年研发投入情况如下：</w:t>
      </w:r>
    </w:p>
    <w:p>
      <w:pPr>
        <w:pStyle w:val="BodyText"/>
        <w:spacing w:line="240" w:lineRule="auto" w:before="112"/>
        <w:ind w:left="0" w:right="216"/>
        <w:jc w:val="right"/>
      </w:pPr>
      <w:r>
        <w:rPr/>
        <w:t>单位：元</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840"/>
        <w:gridCol w:w="2840"/>
        <w:gridCol w:w="2842"/>
      </w:tblGrid>
      <w:tr>
        <w:trPr>
          <w:trHeight w:val="295"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39"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年</w:t>
              <w:tab/>
            </w:r>
            <w:r>
              <w:rPr>
                <w:rFonts w:ascii="宋体" w:hAnsi="宋体" w:cs="宋体" w:eastAsia="宋体" w:hint="default"/>
                <w:b/>
                <w:bCs/>
                <w:sz w:val="21"/>
                <w:szCs w:val="21"/>
              </w:rPr>
              <w:t>限</w:t>
            </w:r>
            <w:r>
              <w:rPr>
                <w:rFonts w:ascii="宋体" w:hAnsi="宋体" w:cs="宋体" w:eastAsia="宋体" w:hint="default"/>
                <w:sz w:val="21"/>
                <w:szCs w:val="21"/>
              </w:rPr>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研发支出</w:t>
            </w:r>
            <w:r>
              <w:rPr>
                <w:rFonts w:ascii="宋体" w:hAnsi="宋体" w:cs="宋体" w:eastAsia="宋体" w:hint="default"/>
                <w:sz w:val="21"/>
                <w:szCs w:val="21"/>
              </w:rPr>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b/>
                <w:bCs/>
                <w:sz w:val="21"/>
                <w:szCs w:val="21"/>
              </w:rPr>
              <w:t>占营业收入的比（</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294"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Times New Roman" w:hAnsi="Times New Roman" w:cs="Times New Roman" w:eastAsia="Times New Roman" w:hint="default"/>
                <w:sz w:val="21"/>
                <w:szCs w:val="21"/>
              </w:rPr>
            </w:pPr>
            <w:r>
              <w:rPr>
                <w:rFonts w:ascii="Times New Roman"/>
                <w:sz w:val="21"/>
              </w:rPr>
              <w:t>70,638,703.80</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1"/>
                <w:szCs w:val="21"/>
              </w:rPr>
            </w:pPr>
            <w:r>
              <w:rPr>
                <w:rFonts w:ascii="Times New Roman"/>
                <w:sz w:val="21"/>
              </w:rPr>
              <w:t>5.89%</w:t>
            </w:r>
          </w:p>
        </w:tc>
      </w:tr>
      <w:tr>
        <w:trPr>
          <w:trHeight w:val="295"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Times New Roman" w:hAnsi="Times New Roman" w:cs="Times New Roman" w:eastAsia="Times New Roman" w:hint="default"/>
                <w:sz w:val="21"/>
                <w:szCs w:val="21"/>
              </w:rPr>
            </w:pPr>
            <w:r>
              <w:rPr>
                <w:rFonts w:ascii="Times New Roman"/>
                <w:sz w:val="21"/>
              </w:rPr>
              <w:t>51,979,470.31</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1"/>
                <w:szCs w:val="21"/>
              </w:rPr>
            </w:pPr>
            <w:r>
              <w:rPr>
                <w:rFonts w:ascii="Times New Roman"/>
                <w:sz w:val="21"/>
              </w:rPr>
              <w:t>6.66%</w:t>
            </w:r>
          </w:p>
        </w:tc>
      </w:tr>
      <w:tr>
        <w:trPr>
          <w:trHeight w:val="295"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Times New Roman" w:hAnsi="Times New Roman" w:cs="Times New Roman" w:eastAsia="Times New Roman" w:hint="default"/>
                <w:sz w:val="21"/>
                <w:szCs w:val="21"/>
              </w:rPr>
            </w:pPr>
            <w:r>
              <w:rPr>
                <w:rFonts w:ascii="Times New Roman"/>
                <w:sz w:val="21"/>
              </w:rPr>
              <w:t>27,303,256.08</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1"/>
                <w:szCs w:val="21"/>
              </w:rPr>
            </w:pPr>
            <w:r>
              <w:rPr>
                <w:rFonts w:ascii="Times New Roman"/>
                <w:sz w:val="21"/>
              </w:rPr>
              <w:t>6.78%</w:t>
            </w:r>
          </w:p>
        </w:tc>
      </w:tr>
    </w:tbl>
    <w:p>
      <w:pPr>
        <w:spacing w:after="0" w:line="240" w:lineRule="auto"/>
        <w:jc w:val="center"/>
        <w:rPr>
          <w:rFonts w:ascii="Times New Roman" w:hAnsi="Times New Roman" w:cs="Times New Roman" w:eastAsia="Times New Roman" w:hint="default"/>
          <w:sz w:val="21"/>
          <w:szCs w:val="21"/>
        </w:rPr>
        <w:sectPr>
          <w:pgSz w:w="11910" w:h="16840"/>
          <w:pgMar w:header="400" w:footer="982" w:top="1100" w:bottom="1180" w:left="1580" w:right="1580"/>
        </w:sectPr>
      </w:pPr>
    </w:p>
    <w:p>
      <w:pPr>
        <w:spacing w:line="240" w:lineRule="auto" w:before="1"/>
        <w:rPr>
          <w:rFonts w:ascii="宋体" w:hAnsi="宋体" w:cs="宋体" w:eastAsia="宋体" w:hint="default"/>
          <w:sz w:val="19"/>
          <w:szCs w:val="19"/>
        </w:rPr>
      </w:pPr>
    </w:p>
    <w:p>
      <w:pPr>
        <w:pStyle w:val="BodyText"/>
        <w:spacing w:line="297" w:lineRule="auto" w:before="35"/>
        <w:ind w:left="320" w:right="199" w:firstLine="420"/>
        <w:jc w:val="left"/>
      </w:pPr>
      <w:r>
        <w:rPr>
          <w:spacing w:val="-3"/>
        </w:rPr>
        <w:t>公司一直以来紧紧围绕政府所倡导的“自主创新，中国品牌”的战略思想，以振兴民族</w:t>
      </w:r>
      <w:r>
        <w:rPr/>
        <w:t> </w:t>
      </w:r>
      <w:r>
        <w:rPr>
          <w:spacing w:val="-5"/>
        </w:rPr>
        <w:t>金融电子产业为己任，自主创新，始终坚持对研发高投入，将技术创新作为企业成长的基石。</w:t>
      </w:r>
      <w:r>
        <w:rPr>
          <w:spacing w:val="-98"/>
        </w:rPr>
        <w:t> </w:t>
      </w:r>
      <w:r>
        <w:rPr>
          <w:spacing w:val="-98"/>
        </w:rPr>
      </w:r>
      <w:r>
        <w:rPr>
          <w:spacing w:val="-3"/>
        </w:rPr>
        <w:t>公司自主研发的多项核心技术填补了国内空白，引领我国钞票识别技术和出钞技术达到国际</w:t>
      </w:r>
      <w:r>
        <w:rPr>
          <w:spacing w:val="-79"/>
        </w:rPr>
        <w:t> </w:t>
      </w:r>
      <w:r>
        <w:rPr>
          <w:spacing w:val="-79"/>
        </w:rPr>
      </w:r>
      <w:r>
        <w:rPr>
          <w:spacing w:val="-3"/>
        </w:rPr>
        <w:t>先进水平，改写了我国金融自助设备钞票识别技术和出钞机技术一直依赖国外的历史，现公</w:t>
      </w:r>
      <w:r>
        <w:rPr>
          <w:spacing w:val="-79"/>
        </w:rPr>
        <w:t> </w:t>
      </w:r>
      <w:r>
        <w:rPr>
          <w:spacing w:val="-79"/>
        </w:rPr>
      </w:r>
      <w:r>
        <w:rPr/>
        <w:t>司已成为</w:t>
      </w:r>
      <w:r>
        <w:rPr>
          <w:spacing w:val="-55"/>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2"/>
        </w:rPr>
        <w:t> </w:t>
      </w:r>
      <w:r>
        <w:rPr/>
        <w:t>国际行业协会和</w:t>
      </w:r>
      <w:r>
        <w:rPr>
          <w:spacing w:val="-55"/>
        </w:rPr>
        <w:t> </w:t>
      </w:r>
      <w:r>
        <w:rPr>
          <w:rFonts w:ascii="Times New Roman" w:hAnsi="Times New Roman" w:cs="Times New Roman" w:eastAsia="Times New Roman" w:hint="default"/>
        </w:rPr>
        <w:t>CEN/XFS</w:t>
      </w:r>
      <w:r>
        <w:rPr>
          <w:rFonts w:ascii="Times New Roman" w:hAnsi="Times New Roman" w:cs="Times New Roman" w:eastAsia="Times New Roman" w:hint="default"/>
          <w:spacing w:val="-2"/>
        </w:rPr>
        <w:t> </w:t>
      </w:r>
      <w:r>
        <w:rPr/>
        <w:t>组织的核心成员。</w:t>
      </w:r>
    </w:p>
    <w:p>
      <w:pPr>
        <w:pStyle w:val="BodyText"/>
        <w:spacing w:line="290" w:lineRule="auto" w:before="113"/>
        <w:ind w:left="320" w:right="315" w:firstLine="420"/>
        <w:jc w:val="both"/>
      </w:pPr>
      <w:r>
        <w:rPr>
          <w:spacing w:val="-3"/>
        </w:rPr>
        <w:t>公司自主研发的系列银行自动柜员机多次被评为省市及国家级优秀新产品；系列地铁自</w:t>
      </w:r>
      <w:r>
        <w:rPr/>
        <w:t> </w:t>
      </w:r>
      <w:r>
        <w:rPr>
          <w:spacing w:val="-3"/>
        </w:rPr>
        <w:t>动售检票设备已成功应用于广州地铁四号线、北京地铁一号线、二号线及八通线、南京地铁</w:t>
      </w:r>
      <w:r>
        <w:rPr>
          <w:spacing w:val="-81"/>
        </w:rPr>
        <w:t> </w:t>
      </w:r>
      <w:r>
        <w:rPr>
          <w:spacing w:val="-81"/>
        </w:rPr>
      </w:r>
      <w:r>
        <w:rPr>
          <w:spacing w:val="-3"/>
        </w:rPr>
        <w:t>一号线南延线以及京津城际高速铁路等全国十多条轨道交通线路。奥运期间，公司在北京地</w:t>
      </w:r>
      <w:r>
        <w:rPr>
          <w:spacing w:val="-79"/>
        </w:rPr>
        <w:t> </w:t>
      </w:r>
      <w:r>
        <w:rPr>
          <w:spacing w:val="-79"/>
        </w:rPr>
      </w:r>
      <w:r>
        <w:rPr/>
        <w:t>铁一号线、二号线及八通线运行的</w:t>
      </w:r>
      <w:r>
        <w:rPr>
          <w:spacing w:val="-43"/>
        </w:rPr>
        <w:t> </w:t>
      </w:r>
      <w:r>
        <w:rPr>
          <w:rFonts w:ascii="Times New Roman" w:hAnsi="Times New Roman" w:cs="Times New Roman" w:eastAsia="Times New Roman" w:hint="default"/>
        </w:rPr>
        <w:t>AFC</w:t>
      </w:r>
      <w:r>
        <w:rPr>
          <w:rFonts w:ascii="Times New Roman" w:hAnsi="Times New Roman" w:cs="Times New Roman" w:eastAsia="Times New Roman" w:hint="default"/>
          <w:spacing w:val="10"/>
        </w:rPr>
        <w:t> </w:t>
      </w:r>
      <w:r>
        <w:rPr/>
        <w:t>设备表现优秀，各项重要指标均领先于其它线路上 由几家外国品牌提供的</w:t>
      </w:r>
      <w:r>
        <w:rPr>
          <w:spacing w:val="-43"/>
        </w:rPr>
        <w:t> </w:t>
      </w:r>
      <w:r>
        <w:rPr>
          <w:rFonts w:ascii="Times New Roman" w:hAnsi="Times New Roman" w:cs="Times New Roman" w:eastAsia="Times New Roman" w:hint="default"/>
        </w:rPr>
        <w:t>AFC</w:t>
      </w:r>
      <w:r>
        <w:rPr>
          <w:rFonts w:ascii="Times New Roman" w:hAnsi="Times New Roman" w:cs="Times New Roman" w:eastAsia="Times New Roman" w:hint="default"/>
          <w:spacing w:val="10"/>
        </w:rPr>
        <w:t> </w:t>
      </w:r>
      <w:r>
        <w:rPr/>
        <w:t>设备。为此，北京地铁特意赠送“通力协作、技术精湛、服务 奥运、贡献显著”的锦旗和证书，公司也成为唯一获得北京地铁奥运保障表彰的分包商。</w:t>
      </w:r>
    </w:p>
    <w:p>
      <w:pPr>
        <w:pStyle w:val="BodyText"/>
        <w:spacing w:line="280" w:lineRule="auto" w:before="142"/>
        <w:ind w:left="320" w:right="199" w:firstLine="419"/>
        <w:jc w:val="left"/>
      </w:pPr>
      <w:r>
        <w:rPr/>
        <w:t>多年来，公司连续被评为广州市重点软件企业，</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年度被评为国家规划布局内重点 软件企业，</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年在广东省高新技术企业重新评定中，继续获得高新技术企业资格。</w:t>
      </w:r>
    </w:p>
    <w:p>
      <w:pPr>
        <w:pStyle w:val="BodyText"/>
        <w:spacing w:line="240" w:lineRule="auto" w:before="130"/>
        <w:ind w:left="740" w:right="199"/>
        <w:jc w:val="left"/>
      </w:pPr>
      <w:r>
        <w:rPr/>
        <w:t>公司近三年主要专利情况如下：</w:t>
      </w:r>
    </w:p>
    <w:p>
      <w:pPr>
        <w:spacing w:line="240" w:lineRule="auto" w:before="12"/>
        <w:rPr>
          <w:rFonts w:ascii="宋体" w:hAnsi="宋体" w:cs="宋体" w:eastAsia="宋体" w:hint="default"/>
          <w:sz w:val="16"/>
          <w:szCs w:val="16"/>
        </w:rPr>
      </w:pPr>
    </w:p>
    <w:tbl>
      <w:tblPr>
        <w:tblW w:w="0" w:type="auto"/>
        <w:jc w:val="left"/>
        <w:tblInd w:w="114" w:type="dxa"/>
        <w:tblLayout w:type="fixed"/>
        <w:tblCellMar>
          <w:top w:w="0" w:type="dxa"/>
          <w:left w:w="0" w:type="dxa"/>
          <w:bottom w:w="0" w:type="dxa"/>
          <w:right w:w="0" w:type="dxa"/>
        </w:tblCellMar>
        <w:tblLook w:val="01E0"/>
      </w:tblPr>
      <w:tblGrid>
        <w:gridCol w:w="602"/>
        <w:gridCol w:w="655"/>
        <w:gridCol w:w="1722"/>
        <w:gridCol w:w="4762"/>
        <w:gridCol w:w="954"/>
      </w:tblGrid>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655"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136" w:right="0"/>
              <w:jc w:val="left"/>
              <w:rPr>
                <w:rFonts w:ascii="宋体" w:hAnsi="宋体" w:cs="宋体" w:eastAsia="宋体" w:hint="default"/>
                <w:sz w:val="18"/>
                <w:szCs w:val="18"/>
              </w:rPr>
            </w:pPr>
            <w:r>
              <w:rPr>
                <w:rFonts w:ascii="宋体" w:hAnsi="宋体" w:cs="宋体" w:eastAsia="宋体" w:hint="default"/>
                <w:b/>
                <w:bCs/>
                <w:sz w:val="18"/>
                <w:szCs w:val="18"/>
              </w:rPr>
              <w:t>年份</w:t>
            </w:r>
            <w:r>
              <w:rPr>
                <w:rFonts w:ascii="宋体" w:hAnsi="宋体" w:cs="宋体" w:eastAsia="宋体" w:hint="default"/>
                <w:sz w:val="18"/>
                <w:szCs w:val="18"/>
              </w:rPr>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476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b/>
                <w:bCs/>
                <w:sz w:val="18"/>
                <w:szCs w:val="18"/>
              </w:rPr>
              <w:t>专利类型</w:t>
            </w:r>
            <w:r>
              <w:rPr>
                <w:rFonts w:ascii="宋体" w:hAnsi="宋体" w:cs="宋体" w:eastAsia="宋体" w:hint="default"/>
                <w:sz w:val="18"/>
                <w:szCs w:val="18"/>
              </w:rPr>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1"/>
              <w:jc w:val="center"/>
              <w:rPr>
                <w:rFonts w:ascii="Times New Roman" w:hAnsi="Times New Roman" w:cs="Times New Roman" w:eastAsia="Times New Roman" w:hint="default"/>
                <w:sz w:val="18"/>
                <w:szCs w:val="18"/>
              </w:rPr>
            </w:pPr>
            <w:r>
              <w:rPr>
                <w:rFonts w:ascii="Times New Roman"/>
                <w:sz w:val="18"/>
              </w:rPr>
              <w:t>1</w:t>
            </w:r>
          </w:p>
        </w:tc>
        <w:tc>
          <w:tcPr>
            <w:tcW w:w="6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138" w:right="0"/>
              <w:jc w:val="left"/>
              <w:rPr>
                <w:rFonts w:ascii="Times New Roman" w:hAnsi="Times New Roman" w:cs="Times New Roman" w:eastAsia="Times New Roman" w:hint="default"/>
                <w:sz w:val="18"/>
                <w:szCs w:val="18"/>
              </w:rPr>
            </w:pPr>
            <w:r>
              <w:rPr>
                <w:rFonts w:ascii="Times New Roman"/>
                <w:sz w:val="18"/>
              </w:rPr>
              <w:t>2006</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CN200610032687.2</w:t>
            </w:r>
          </w:p>
        </w:tc>
        <w:tc>
          <w:tcPr>
            <w:tcW w:w="476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从固定容器中提取物品的安全方法及安全箱</w:t>
            </w: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1"/>
              <w:jc w:val="center"/>
              <w:rPr>
                <w:rFonts w:ascii="Times New Roman" w:hAnsi="Times New Roman" w:cs="Times New Roman" w:eastAsia="Times New Roman" w:hint="default"/>
                <w:sz w:val="18"/>
                <w:szCs w:val="18"/>
              </w:rPr>
            </w:pPr>
            <w:r>
              <w:rPr>
                <w:rFonts w:ascii="Times New Roman"/>
                <w:sz w:val="18"/>
              </w:rPr>
              <w:t>2</w:t>
            </w:r>
          </w:p>
        </w:tc>
        <w:tc>
          <w:tcPr>
            <w:tcW w:w="6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138" w:right="0"/>
              <w:jc w:val="left"/>
              <w:rPr>
                <w:rFonts w:ascii="Times New Roman" w:hAnsi="Times New Roman" w:cs="Times New Roman" w:eastAsia="Times New Roman" w:hint="default"/>
                <w:sz w:val="18"/>
                <w:szCs w:val="18"/>
              </w:rPr>
            </w:pPr>
            <w:r>
              <w:rPr>
                <w:rFonts w:ascii="Times New Roman"/>
                <w:sz w:val="18"/>
              </w:rPr>
              <w:t>2006</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CN200610032746.6</w:t>
            </w:r>
          </w:p>
        </w:tc>
        <w:tc>
          <w:tcPr>
            <w:tcW w:w="476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薄片类介质激光检测设备</w:t>
            </w: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1"/>
              <w:jc w:val="center"/>
              <w:rPr>
                <w:rFonts w:ascii="Times New Roman" w:hAnsi="Times New Roman" w:cs="Times New Roman" w:eastAsia="Times New Roman" w:hint="default"/>
                <w:sz w:val="18"/>
                <w:szCs w:val="18"/>
              </w:rPr>
            </w:pPr>
            <w:r>
              <w:rPr>
                <w:rFonts w:ascii="Times New Roman"/>
                <w:sz w:val="18"/>
              </w:rPr>
              <w:t>3</w:t>
            </w:r>
          </w:p>
        </w:tc>
        <w:tc>
          <w:tcPr>
            <w:tcW w:w="6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138" w:right="0"/>
              <w:jc w:val="left"/>
              <w:rPr>
                <w:rFonts w:ascii="Times New Roman" w:hAnsi="Times New Roman" w:cs="Times New Roman" w:eastAsia="Times New Roman" w:hint="default"/>
                <w:sz w:val="18"/>
                <w:szCs w:val="18"/>
              </w:rPr>
            </w:pPr>
            <w:r>
              <w:rPr>
                <w:rFonts w:ascii="Times New Roman"/>
                <w:sz w:val="18"/>
              </w:rPr>
              <w:t>2006</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CN200620053423.0</w:t>
            </w:r>
          </w:p>
        </w:tc>
        <w:tc>
          <w:tcPr>
            <w:tcW w:w="476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薄片类介质磁性检测设备</w:t>
            </w: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306"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1"/>
              <w:jc w:val="center"/>
              <w:rPr>
                <w:rFonts w:ascii="Times New Roman" w:hAnsi="Times New Roman" w:cs="Times New Roman" w:eastAsia="Times New Roman" w:hint="default"/>
                <w:sz w:val="18"/>
                <w:szCs w:val="18"/>
              </w:rPr>
            </w:pPr>
            <w:r>
              <w:rPr>
                <w:rFonts w:ascii="Times New Roman"/>
                <w:sz w:val="18"/>
              </w:rPr>
              <w:t>4</w:t>
            </w:r>
          </w:p>
        </w:tc>
        <w:tc>
          <w:tcPr>
            <w:tcW w:w="6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138" w:right="0"/>
              <w:jc w:val="left"/>
              <w:rPr>
                <w:rFonts w:ascii="Times New Roman" w:hAnsi="Times New Roman" w:cs="Times New Roman" w:eastAsia="Times New Roman" w:hint="default"/>
                <w:sz w:val="18"/>
                <w:szCs w:val="18"/>
              </w:rPr>
            </w:pPr>
            <w:r>
              <w:rPr>
                <w:rFonts w:ascii="Times New Roman"/>
                <w:sz w:val="18"/>
              </w:rPr>
              <w:t>2006</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CN200610032854.3</w:t>
            </w:r>
          </w:p>
        </w:tc>
        <w:tc>
          <w:tcPr>
            <w:tcW w:w="4762" w:type="dxa"/>
            <w:tcBorders>
              <w:top w:val="single" w:sz="8" w:space="0" w:color="000000"/>
              <w:left w:val="single" w:sz="8" w:space="0" w:color="000000"/>
              <w:bottom w:val="single" w:sz="8" w:space="0" w:color="000000"/>
              <w:right w:val="single" w:sz="8" w:space="0" w:color="000000"/>
            </w:tcBorders>
          </w:tcPr>
          <w:p>
            <w:pPr>
              <w:pStyle w:val="TableParagraph"/>
              <w:spacing w:line="245" w:lineRule="exact"/>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CIS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精密检测设备</w:t>
            </w: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1"/>
              <w:jc w:val="center"/>
              <w:rPr>
                <w:rFonts w:ascii="Times New Roman" w:hAnsi="Times New Roman" w:cs="Times New Roman" w:eastAsia="Times New Roman" w:hint="default"/>
                <w:sz w:val="18"/>
                <w:szCs w:val="18"/>
              </w:rPr>
            </w:pPr>
            <w:r>
              <w:rPr>
                <w:rFonts w:ascii="Times New Roman"/>
                <w:sz w:val="18"/>
              </w:rPr>
              <w:t>5</w:t>
            </w:r>
          </w:p>
        </w:tc>
        <w:tc>
          <w:tcPr>
            <w:tcW w:w="6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138" w:right="0"/>
              <w:jc w:val="left"/>
              <w:rPr>
                <w:rFonts w:ascii="Times New Roman" w:hAnsi="Times New Roman" w:cs="Times New Roman" w:eastAsia="Times New Roman" w:hint="default"/>
                <w:sz w:val="18"/>
                <w:szCs w:val="18"/>
              </w:rPr>
            </w:pPr>
            <w:r>
              <w:rPr>
                <w:rFonts w:ascii="Times New Roman"/>
                <w:sz w:val="18"/>
              </w:rPr>
              <w:t>2006</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200610032853.9</w:t>
            </w:r>
          </w:p>
        </w:tc>
        <w:tc>
          <w:tcPr>
            <w:tcW w:w="476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闸门反扣装置</w:t>
            </w: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1"/>
              <w:jc w:val="center"/>
              <w:rPr>
                <w:rFonts w:ascii="Times New Roman" w:hAnsi="Times New Roman" w:cs="Times New Roman" w:eastAsia="Times New Roman" w:hint="default"/>
                <w:sz w:val="18"/>
                <w:szCs w:val="18"/>
              </w:rPr>
            </w:pPr>
            <w:r>
              <w:rPr>
                <w:rFonts w:ascii="Times New Roman"/>
                <w:sz w:val="18"/>
              </w:rPr>
              <w:t>6</w:t>
            </w:r>
          </w:p>
        </w:tc>
        <w:tc>
          <w:tcPr>
            <w:tcW w:w="6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138" w:right="0"/>
              <w:jc w:val="left"/>
              <w:rPr>
                <w:rFonts w:ascii="Times New Roman" w:hAnsi="Times New Roman" w:cs="Times New Roman" w:eastAsia="Times New Roman" w:hint="default"/>
                <w:sz w:val="18"/>
                <w:szCs w:val="18"/>
              </w:rPr>
            </w:pPr>
            <w:r>
              <w:rPr>
                <w:rFonts w:ascii="Times New Roman"/>
                <w:sz w:val="18"/>
              </w:rPr>
              <w:t>2006</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1"/>
              <w:jc w:val="center"/>
              <w:rPr>
                <w:rFonts w:ascii="Times New Roman" w:hAnsi="Times New Roman" w:cs="Times New Roman" w:eastAsia="Times New Roman" w:hint="default"/>
                <w:sz w:val="18"/>
                <w:szCs w:val="18"/>
              </w:rPr>
            </w:pPr>
            <w:r>
              <w:rPr>
                <w:rFonts w:ascii="Times New Roman"/>
                <w:sz w:val="18"/>
              </w:rPr>
              <w:t>CN200610032851.X</w:t>
            </w:r>
          </w:p>
        </w:tc>
        <w:tc>
          <w:tcPr>
            <w:tcW w:w="476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介质传输通道速度匹配装置</w:t>
            </w: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1"/>
              <w:jc w:val="center"/>
              <w:rPr>
                <w:rFonts w:ascii="Times New Roman" w:hAnsi="Times New Roman" w:cs="Times New Roman" w:eastAsia="Times New Roman" w:hint="default"/>
                <w:sz w:val="18"/>
                <w:szCs w:val="18"/>
              </w:rPr>
            </w:pPr>
            <w:r>
              <w:rPr>
                <w:rFonts w:ascii="Times New Roman"/>
                <w:sz w:val="18"/>
              </w:rPr>
              <w:t>7</w:t>
            </w:r>
          </w:p>
        </w:tc>
        <w:tc>
          <w:tcPr>
            <w:tcW w:w="6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138" w:right="0"/>
              <w:jc w:val="left"/>
              <w:rPr>
                <w:rFonts w:ascii="Times New Roman" w:hAnsi="Times New Roman" w:cs="Times New Roman" w:eastAsia="Times New Roman" w:hint="default"/>
                <w:sz w:val="18"/>
                <w:szCs w:val="18"/>
              </w:rPr>
            </w:pPr>
            <w:r>
              <w:rPr>
                <w:rFonts w:ascii="Times New Roman"/>
                <w:sz w:val="18"/>
              </w:rPr>
              <w:t>2006</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CN200610032852.4</w:t>
            </w:r>
          </w:p>
        </w:tc>
        <w:tc>
          <w:tcPr>
            <w:tcW w:w="476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薄片类介质分离装置</w:t>
            </w: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1"/>
              <w:jc w:val="center"/>
              <w:rPr>
                <w:rFonts w:ascii="Times New Roman" w:hAnsi="Times New Roman" w:cs="Times New Roman" w:eastAsia="Times New Roman" w:hint="default"/>
                <w:sz w:val="18"/>
                <w:szCs w:val="18"/>
              </w:rPr>
            </w:pPr>
            <w:r>
              <w:rPr>
                <w:rFonts w:ascii="Times New Roman"/>
                <w:sz w:val="18"/>
              </w:rPr>
              <w:t>8</w:t>
            </w:r>
          </w:p>
        </w:tc>
        <w:tc>
          <w:tcPr>
            <w:tcW w:w="6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138" w:right="0"/>
              <w:jc w:val="left"/>
              <w:rPr>
                <w:rFonts w:ascii="Times New Roman" w:hAnsi="Times New Roman" w:cs="Times New Roman" w:eastAsia="Times New Roman" w:hint="default"/>
                <w:sz w:val="18"/>
                <w:szCs w:val="18"/>
              </w:rPr>
            </w:pPr>
            <w:r>
              <w:rPr>
                <w:rFonts w:ascii="Times New Roman"/>
                <w:sz w:val="18"/>
              </w:rPr>
              <w:t>2006</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CN200610033001.1</w:t>
            </w:r>
          </w:p>
        </w:tc>
        <w:tc>
          <w:tcPr>
            <w:tcW w:w="476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磁性锁扣及一种使用该磁性锁扣的钱箱</w:t>
            </w: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320"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1"/>
              <w:jc w:val="center"/>
              <w:rPr>
                <w:rFonts w:ascii="Times New Roman" w:hAnsi="Times New Roman" w:cs="Times New Roman" w:eastAsia="Times New Roman" w:hint="default"/>
                <w:sz w:val="18"/>
                <w:szCs w:val="18"/>
              </w:rPr>
            </w:pPr>
            <w:r>
              <w:rPr>
                <w:rFonts w:ascii="Times New Roman"/>
                <w:sz w:val="18"/>
              </w:rPr>
              <w:t>9</w:t>
            </w:r>
          </w:p>
        </w:tc>
        <w:tc>
          <w:tcPr>
            <w:tcW w:w="6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138" w:right="0"/>
              <w:jc w:val="left"/>
              <w:rPr>
                <w:rFonts w:ascii="Times New Roman" w:hAnsi="Times New Roman" w:cs="Times New Roman" w:eastAsia="Times New Roman" w:hint="default"/>
                <w:sz w:val="18"/>
                <w:szCs w:val="18"/>
              </w:rPr>
            </w:pPr>
            <w:r>
              <w:rPr>
                <w:rFonts w:ascii="Times New Roman"/>
                <w:sz w:val="18"/>
              </w:rPr>
              <w:t>2006</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Times New Roman" w:hAnsi="Times New Roman" w:cs="Times New Roman" w:eastAsia="Times New Roman" w:hint="default"/>
                <w:sz w:val="18"/>
                <w:szCs w:val="18"/>
              </w:rPr>
            </w:pPr>
            <w:r>
              <w:rPr>
                <w:rFonts w:ascii="Times New Roman"/>
                <w:sz w:val="18"/>
              </w:rPr>
              <w:t>CN200610033635.7</w:t>
            </w:r>
          </w:p>
        </w:tc>
        <w:tc>
          <w:tcPr>
            <w:tcW w:w="47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一种卡片刮送装置及使用该卡片刮送装置的卡片发送系统</w:t>
            </w: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1"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10</w:t>
            </w:r>
          </w:p>
        </w:tc>
        <w:tc>
          <w:tcPr>
            <w:tcW w:w="6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137" w:right="0"/>
              <w:jc w:val="left"/>
              <w:rPr>
                <w:rFonts w:ascii="Times New Roman" w:hAnsi="Times New Roman" w:cs="Times New Roman" w:eastAsia="Times New Roman" w:hint="default"/>
                <w:sz w:val="18"/>
                <w:szCs w:val="18"/>
              </w:rPr>
            </w:pPr>
            <w:r>
              <w:rPr>
                <w:rFonts w:ascii="Times New Roman"/>
                <w:sz w:val="18"/>
              </w:rPr>
              <w:t>2006</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CN200610033641.2</w:t>
            </w:r>
          </w:p>
        </w:tc>
        <w:tc>
          <w:tcPr>
            <w:tcW w:w="476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现金出纳机</w:t>
            </w: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320"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Times New Roman" w:hAnsi="Times New Roman" w:cs="Times New Roman" w:eastAsia="Times New Roman" w:hint="default"/>
                <w:sz w:val="18"/>
                <w:szCs w:val="18"/>
              </w:rPr>
            </w:pPr>
            <w:r>
              <w:rPr>
                <w:rFonts w:ascii="Times New Roman"/>
                <w:spacing w:val="-4"/>
                <w:sz w:val="18"/>
              </w:rPr>
              <w:t>11</w:t>
            </w:r>
          </w:p>
        </w:tc>
        <w:tc>
          <w:tcPr>
            <w:tcW w:w="6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137" w:right="0"/>
              <w:jc w:val="left"/>
              <w:rPr>
                <w:rFonts w:ascii="Times New Roman" w:hAnsi="Times New Roman" w:cs="Times New Roman" w:eastAsia="Times New Roman" w:hint="default"/>
                <w:sz w:val="18"/>
                <w:szCs w:val="18"/>
              </w:rPr>
            </w:pPr>
            <w:r>
              <w:rPr>
                <w:rFonts w:ascii="Times New Roman"/>
                <w:sz w:val="18"/>
              </w:rPr>
              <w:t>2006</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Times New Roman" w:hAnsi="Times New Roman" w:cs="Times New Roman" w:eastAsia="Times New Roman" w:hint="default"/>
                <w:sz w:val="18"/>
                <w:szCs w:val="18"/>
              </w:rPr>
            </w:pPr>
            <w:r>
              <w:rPr>
                <w:rFonts w:ascii="Times New Roman"/>
                <w:sz w:val="18"/>
              </w:rPr>
              <w:t>CN200610033828.2</w:t>
            </w:r>
          </w:p>
        </w:tc>
        <w:tc>
          <w:tcPr>
            <w:tcW w:w="47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一种刮卡系统及其卡片刮送装置</w:t>
            </w: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1"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319"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Times New Roman" w:hAnsi="Times New Roman" w:cs="Times New Roman" w:eastAsia="Times New Roman" w:hint="default"/>
                <w:sz w:val="18"/>
                <w:szCs w:val="18"/>
              </w:rPr>
            </w:pPr>
            <w:r>
              <w:rPr>
                <w:rFonts w:ascii="Times New Roman"/>
                <w:sz w:val="18"/>
              </w:rPr>
              <w:t>12</w:t>
            </w:r>
          </w:p>
        </w:tc>
        <w:tc>
          <w:tcPr>
            <w:tcW w:w="6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137" w:right="0"/>
              <w:jc w:val="left"/>
              <w:rPr>
                <w:rFonts w:ascii="Times New Roman" w:hAnsi="Times New Roman" w:cs="Times New Roman" w:eastAsia="Times New Roman" w:hint="default"/>
                <w:sz w:val="18"/>
                <w:szCs w:val="18"/>
              </w:rPr>
            </w:pPr>
            <w:r>
              <w:rPr>
                <w:rFonts w:ascii="Times New Roman"/>
                <w:sz w:val="18"/>
              </w:rPr>
              <w:t>2006</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Times New Roman" w:hAnsi="Times New Roman" w:cs="Times New Roman" w:eastAsia="Times New Roman" w:hint="default"/>
                <w:sz w:val="18"/>
                <w:szCs w:val="18"/>
              </w:rPr>
            </w:pPr>
            <w:r>
              <w:rPr>
                <w:rFonts w:ascii="Times New Roman"/>
                <w:sz w:val="18"/>
              </w:rPr>
              <w:t>CN200610034729.6</w:t>
            </w:r>
          </w:p>
        </w:tc>
        <w:tc>
          <w:tcPr>
            <w:tcW w:w="47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自动售票机卡片压紧装置</w:t>
            </w: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1"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320"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Times New Roman" w:hAnsi="Times New Roman" w:cs="Times New Roman" w:eastAsia="Times New Roman" w:hint="default"/>
                <w:sz w:val="18"/>
                <w:szCs w:val="18"/>
              </w:rPr>
            </w:pPr>
            <w:r>
              <w:rPr>
                <w:rFonts w:ascii="Times New Roman"/>
                <w:sz w:val="18"/>
              </w:rPr>
              <w:t>13</w:t>
            </w:r>
          </w:p>
        </w:tc>
        <w:tc>
          <w:tcPr>
            <w:tcW w:w="6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137" w:right="0"/>
              <w:jc w:val="left"/>
              <w:rPr>
                <w:rFonts w:ascii="Times New Roman" w:hAnsi="Times New Roman" w:cs="Times New Roman" w:eastAsia="Times New Roman" w:hint="default"/>
                <w:sz w:val="18"/>
                <w:szCs w:val="18"/>
              </w:rPr>
            </w:pPr>
            <w:r>
              <w:rPr>
                <w:rFonts w:ascii="Times New Roman"/>
                <w:sz w:val="18"/>
              </w:rPr>
              <w:t>2006</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Times New Roman" w:hAnsi="Times New Roman" w:cs="Times New Roman" w:eastAsia="Times New Roman" w:hint="default"/>
                <w:sz w:val="18"/>
                <w:szCs w:val="18"/>
              </w:rPr>
            </w:pPr>
            <w:r>
              <w:rPr>
                <w:rFonts w:ascii="Times New Roman"/>
                <w:sz w:val="18"/>
              </w:rPr>
              <w:t>CN200610035061.7</w:t>
            </w:r>
          </w:p>
        </w:tc>
        <w:tc>
          <w:tcPr>
            <w:tcW w:w="47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介质堆叠装置</w:t>
            </w: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1"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14</w:t>
            </w:r>
          </w:p>
        </w:tc>
        <w:tc>
          <w:tcPr>
            <w:tcW w:w="6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137" w:right="0"/>
              <w:jc w:val="left"/>
              <w:rPr>
                <w:rFonts w:ascii="Times New Roman" w:hAnsi="Times New Roman" w:cs="Times New Roman" w:eastAsia="Times New Roman" w:hint="default"/>
                <w:sz w:val="18"/>
                <w:szCs w:val="18"/>
              </w:rPr>
            </w:pPr>
            <w:r>
              <w:rPr>
                <w:rFonts w:ascii="Times New Roman"/>
                <w:sz w:val="18"/>
              </w:rPr>
              <w:t>2006</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CN200610036151.8</w:t>
            </w:r>
          </w:p>
        </w:tc>
        <w:tc>
          <w:tcPr>
            <w:tcW w:w="476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币类票处理装置</w:t>
            </w: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15</w:t>
            </w:r>
          </w:p>
        </w:tc>
        <w:tc>
          <w:tcPr>
            <w:tcW w:w="6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137" w:right="0"/>
              <w:jc w:val="left"/>
              <w:rPr>
                <w:rFonts w:ascii="Times New Roman" w:hAnsi="Times New Roman" w:cs="Times New Roman" w:eastAsia="Times New Roman" w:hint="default"/>
                <w:sz w:val="18"/>
                <w:szCs w:val="18"/>
              </w:rPr>
            </w:pPr>
            <w:r>
              <w:rPr>
                <w:rFonts w:ascii="Times New Roman"/>
                <w:sz w:val="18"/>
              </w:rPr>
              <w:t>2006</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1"/>
              <w:jc w:val="center"/>
              <w:rPr>
                <w:rFonts w:ascii="Times New Roman" w:hAnsi="Times New Roman" w:cs="Times New Roman" w:eastAsia="Times New Roman" w:hint="default"/>
                <w:sz w:val="18"/>
                <w:szCs w:val="18"/>
              </w:rPr>
            </w:pPr>
            <w:r>
              <w:rPr>
                <w:rFonts w:ascii="Times New Roman"/>
                <w:sz w:val="18"/>
              </w:rPr>
              <w:t>CN200630065010.X</w:t>
            </w:r>
          </w:p>
        </w:tc>
        <w:tc>
          <w:tcPr>
            <w:tcW w:w="476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自动柜员机</w:t>
            </w: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外观设计</w:t>
            </w:r>
          </w:p>
        </w:tc>
      </w:tr>
      <w:tr>
        <w:trPr>
          <w:trHeight w:val="306"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16</w:t>
            </w:r>
          </w:p>
        </w:tc>
        <w:tc>
          <w:tcPr>
            <w:tcW w:w="6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137" w:right="0"/>
              <w:jc w:val="left"/>
              <w:rPr>
                <w:rFonts w:ascii="Times New Roman" w:hAnsi="Times New Roman" w:cs="Times New Roman" w:eastAsia="Times New Roman" w:hint="default"/>
                <w:sz w:val="18"/>
                <w:szCs w:val="18"/>
              </w:rPr>
            </w:pPr>
            <w:r>
              <w:rPr>
                <w:rFonts w:ascii="Times New Roman"/>
                <w:sz w:val="18"/>
              </w:rPr>
              <w:t>2006</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CN200610036412.6</w:t>
            </w:r>
          </w:p>
        </w:tc>
        <w:tc>
          <w:tcPr>
            <w:tcW w:w="476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存款柜</w:t>
            </w: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17</w:t>
            </w:r>
          </w:p>
        </w:tc>
        <w:tc>
          <w:tcPr>
            <w:tcW w:w="6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137" w:right="0"/>
              <w:jc w:val="left"/>
              <w:rPr>
                <w:rFonts w:ascii="Times New Roman" w:hAnsi="Times New Roman" w:cs="Times New Roman" w:eastAsia="Times New Roman" w:hint="default"/>
                <w:sz w:val="18"/>
                <w:szCs w:val="18"/>
              </w:rPr>
            </w:pPr>
            <w:r>
              <w:rPr>
                <w:rFonts w:ascii="Times New Roman"/>
                <w:sz w:val="18"/>
              </w:rPr>
              <w:t>2007</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CN200710028798.0</w:t>
            </w:r>
          </w:p>
        </w:tc>
        <w:tc>
          <w:tcPr>
            <w:tcW w:w="476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出钞机</w:t>
            </w: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18</w:t>
            </w:r>
          </w:p>
        </w:tc>
        <w:tc>
          <w:tcPr>
            <w:tcW w:w="6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137" w:right="0"/>
              <w:jc w:val="left"/>
              <w:rPr>
                <w:rFonts w:ascii="Times New Roman" w:hAnsi="Times New Roman" w:cs="Times New Roman" w:eastAsia="Times New Roman" w:hint="default"/>
                <w:sz w:val="18"/>
                <w:szCs w:val="18"/>
              </w:rPr>
            </w:pPr>
            <w:r>
              <w:rPr>
                <w:rFonts w:ascii="Times New Roman"/>
                <w:sz w:val="18"/>
              </w:rPr>
              <w:t>2007</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CN200710028800.4</w:t>
            </w:r>
          </w:p>
        </w:tc>
        <w:tc>
          <w:tcPr>
            <w:tcW w:w="476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整扎出钞机</w:t>
            </w: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19</w:t>
            </w:r>
          </w:p>
        </w:tc>
        <w:tc>
          <w:tcPr>
            <w:tcW w:w="6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137" w:right="0"/>
              <w:jc w:val="left"/>
              <w:rPr>
                <w:rFonts w:ascii="Times New Roman" w:hAnsi="Times New Roman" w:cs="Times New Roman" w:eastAsia="Times New Roman" w:hint="default"/>
                <w:sz w:val="18"/>
                <w:szCs w:val="18"/>
              </w:rPr>
            </w:pPr>
            <w:r>
              <w:rPr>
                <w:rFonts w:ascii="Times New Roman"/>
                <w:sz w:val="18"/>
              </w:rPr>
              <w:t>2007</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CN200710028797.6</w:t>
            </w:r>
          </w:p>
        </w:tc>
        <w:tc>
          <w:tcPr>
            <w:tcW w:w="476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现金循环机</w:t>
            </w: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20</w:t>
            </w:r>
          </w:p>
        </w:tc>
        <w:tc>
          <w:tcPr>
            <w:tcW w:w="6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137" w:right="0"/>
              <w:jc w:val="left"/>
              <w:rPr>
                <w:rFonts w:ascii="Times New Roman" w:hAnsi="Times New Roman" w:cs="Times New Roman" w:eastAsia="Times New Roman" w:hint="default"/>
                <w:sz w:val="18"/>
                <w:szCs w:val="18"/>
              </w:rPr>
            </w:pPr>
            <w:r>
              <w:rPr>
                <w:rFonts w:ascii="Times New Roman"/>
                <w:sz w:val="18"/>
              </w:rPr>
              <w:t>2007</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CN200710029934.8</w:t>
            </w:r>
          </w:p>
        </w:tc>
        <w:tc>
          <w:tcPr>
            <w:tcW w:w="476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一种分布处理现金和资金的交易方法和系统</w:t>
            </w: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21</w:t>
            </w:r>
          </w:p>
        </w:tc>
        <w:tc>
          <w:tcPr>
            <w:tcW w:w="6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137" w:right="0"/>
              <w:jc w:val="left"/>
              <w:rPr>
                <w:rFonts w:ascii="Times New Roman" w:hAnsi="Times New Roman" w:cs="Times New Roman" w:eastAsia="Times New Roman" w:hint="default"/>
                <w:sz w:val="18"/>
                <w:szCs w:val="18"/>
              </w:rPr>
            </w:pPr>
            <w:r>
              <w:rPr>
                <w:rFonts w:ascii="Times New Roman"/>
                <w:sz w:val="18"/>
              </w:rPr>
              <w:t>2007</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CN200720056951.6</w:t>
            </w:r>
          </w:p>
        </w:tc>
        <w:tc>
          <w:tcPr>
            <w:tcW w:w="476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卡片收纳整理装置</w:t>
            </w: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306"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22</w:t>
            </w:r>
          </w:p>
        </w:tc>
        <w:tc>
          <w:tcPr>
            <w:tcW w:w="6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137" w:right="0"/>
              <w:jc w:val="left"/>
              <w:rPr>
                <w:rFonts w:ascii="Times New Roman" w:hAnsi="Times New Roman" w:cs="Times New Roman" w:eastAsia="Times New Roman" w:hint="default"/>
                <w:sz w:val="18"/>
                <w:szCs w:val="18"/>
              </w:rPr>
            </w:pPr>
            <w:r>
              <w:rPr>
                <w:rFonts w:ascii="Times New Roman"/>
                <w:sz w:val="18"/>
              </w:rPr>
              <w:t>2007</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200710030922.7</w:t>
            </w:r>
          </w:p>
        </w:tc>
        <w:tc>
          <w:tcPr>
            <w:tcW w:w="476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一种分步处理现金交易的方法和系统</w:t>
            </w: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23</w:t>
            </w:r>
          </w:p>
        </w:tc>
        <w:tc>
          <w:tcPr>
            <w:tcW w:w="6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137" w:right="0"/>
              <w:jc w:val="left"/>
              <w:rPr>
                <w:rFonts w:ascii="Times New Roman" w:hAnsi="Times New Roman" w:cs="Times New Roman" w:eastAsia="Times New Roman" w:hint="default"/>
                <w:sz w:val="18"/>
                <w:szCs w:val="18"/>
              </w:rPr>
            </w:pPr>
            <w:r>
              <w:rPr>
                <w:rFonts w:ascii="Times New Roman"/>
                <w:sz w:val="18"/>
              </w:rPr>
              <w:t>2007</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200710031220.0</w:t>
            </w:r>
          </w:p>
        </w:tc>
        <w:tc>
          <w:tcPr>
            <w:tcW w:w="476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一种验证钞票来源的方法、相关装置以及系统</w:t>
            </w: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24</w:t>
            </w:r>
          </w:p>
        </w:tc>
        <w:tc>
          <w:tcPr>
            <w:tcW w:w="6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137" w:right="0"/>
              <w:jc w:val="left"/>
              <w:rPr>
                <w:rFonts w:ascii="Times New Roman" w:hAnsi="Times New Roman" w:cs="Times New Roman" w:eastAsia="Times New Roman" w:hint="default"/>
                <w:sz w:val="18"/>
                <w:szCs w:val="18"/>
              </w:rPr>
            </w:pPr>
            <w:r>
              <w:rPr>
                <w:rFonts w:ascii="Times New Roman"/>
                <w:sz w:val="18"/>
              </w:rPr>
              <w:t>2007</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200710031384.3</w:t>
            </w:r>
          </w:p>
        </w:tc>
        <w:tc>
          <w:tcPr>
            <w:tcW w:w="476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一种闸机通道系统、闸机通道的通行目标识别方法及系统</w:t>
            </w: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25</w:t>
            </w:r>
          </w:p>
        </w:tc>
        <w:tc>
          <w:tcPr>
            <w:tcW w:w="6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137" w:right="0"/>
              <w:jc w:val="left"/>
              <w:rPr>
                <w:rFonts w:ascii="Times New Roman" w:hAnsi="Times New Roman" w:cs="Times New Roman" w:eastAsia="Times New Roman" w:hint="default"/>
                <w:sz w:val="18"/>
                <w:szCs w:val="18"/>
              </w:rPr>
            </w:pPr>
            <w:r>
              <w:rPr>
                <w:rFonts w:ascii="Times New Roman"/>
                <w:sz w:val="18"/>
              </w:rPr>
              <w:t>2007</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200720060926.5</w:t>
            </w:r>
          </w:p>
        </w:tc>
        <w:tc>
          <w:tcPr>
            <w:tcW w:w="476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一种售检票设备机架</w:t>
            </w: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26</w:t>
            </w:r>
          </w:p>
        </w:tc>
        <w:tc>
          <w:tcPr>
            <w:tcW w:w="6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137" w:right="0"/>
              <w:jc w:val="left"/>
              <w:rPr>
                <w:rFonts w:ascii="Times New Roman" w:hAnsi="Times New Roman" w:cs="Times New Roman" w:eastAsia="Times New Roman" w:hint="default"/>
                <w:sz w:val="18"/>
                <w:szCs w:val="18"/>
              </w:rPr>
            </w:pPr>
            <w:r>
              <w:rPr>
                <w:rFonts w:ascii="Times New Roman"/>
                <w:sz w:val="18"/>
              </w:rPr>
              <w:t>2007</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200720060925.0</w:t>
            </w:r>
          </w:p>
        </w:tc>
        <w:tc>
          <w:tcPr>
            <w:tcW w:w="476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一种散装介质收纳装置</w:t>
            </w: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27</w:t>
            </w:r>
          </w:p>
        </w:tc>
        <w:tc>
          <w:tcPr>
            <w:tcW w:w="6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137" w:right="0"/>
              <w:jc w:val="left"/>
              <w:rPr>
                <w:rFonts w:ascii="Times New Roman" w:hAnsi="Times New Roman" w:cs="Times New Roman" w:eastAsia="Times New Roman" w:hint="default"/>
                <w:sz w:val="18"/>
                <w:szCs w:val="18"/>
              </w:rPr>
            </w:pPr>
            <w:r>
              <w:rPr>
                <w:rFonts w:ascii="Times New Roman"/>
                <w:sz w:val="18"/>
              </w:rPr>
              <w:t>2007</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200710032453.2</w:t>
            </w:r>
          </w:p>
        </w:tc>
        <w:tc>
          <w:tcPr>
            <w:tcW w:w="476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有价票据真伪鉴别方法及系统</w:t>
            </w: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发明</w:t>
            </w:r>
          </w:p>
        </w:tc>
      </w:tr>
    </w:tbl>
    <w:p>
      <w:pPr>
        <w:spacing w:after="0" w:line="232" w:lineRule="exact"/>
        <w:jc w:val="center"/>
        <w:rPr>
          <w:rFonts w:ascii="宋体" w:hAnsi="宋体" w:cs="宋体" w:eastAsia="宋体" w:hint="default"/>
          <w:sz w:val="18"/>
          <w:szCs w:val="18"/>
        </w:rPr>
        <w:sectPr>
          <w:pgSz w:w="11910" w:h="16840"/>
          <w:pgMar w:header="400" w:footer="982" w:top="1100" w:bottom="1180" w:left="1480" w:right="1480"/>
        </w:sectPr>
      </w:pPr>
    </w:p>
    <w:p>
      <w:pPr>
        <w:spacing w:line="240" w:lineRule="auto" w:before="6"/>
        <w:rPr>
          <w:rFonts w:ascii="宋体" w:hAnsi="宋体" w:cs="宋体" w:eastAsia="宋体" w:hint="default"/>
          <w:sz w:val="24"/>
          <w:szCs w:val="24"/>
        </w:rPr>
      </w:pPr>
    </w:p>
    <w:tbl>
      <w:tblPr>
        <w:tblW w:w="0" w:type="auto"/>
        <w:jc w:val="left"/>
        <w:tblInd w:w="154" w:type="dxa"/>
        <w:tblLayout w:type="fixed"/>
        <w:tblCellMar>
          <w:top w:w="0" w:type="dxa"/>
          <w:left w:w="0" w:type="dxa"/>
          <w:bottom w:w="0" w:type="dxa"/>
          <w:right w:w="0" w:type="dxa"/>
        </w:tblCellMar>
        <w:tblLook w:val="01E0"/>
      </w:tblPr>
      <w:tblGrid>
        <w:gridCol w:w="602"/>
        <w:gridCol w:w="655"/>
        <w:gridCol w:w="1722"/>
        <w:gridCol w:w="4762"/>
        <w:gridCol w:w="954"/>
      </w:tblGrid>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655"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136" w:right="0"/>
              <w:jc w:val="left"/>
              <w:rPr>
                <w:rFonts w:ascii="宋体" w:hAnsi="宋体" w:cs="宋体" w:eastAsia="宋体" w:hint="default"/>
                <w:sz w:val="18"/>
                <w:szCs w:val="18"/>
              </w:rPr>
            </w:pPr>
            <w:r>
              <w:rPr>
                <w:rFonts w:ascii="宋体" w:hAnsi="宋体" w:cs="宋体" w:eastAsia="宋体" w:hint="default"/>
                <w:b/>
                <w:bCs/>
                <w:sz w:val="18"/>
                <w:szCs w:val="18"/>
              </w:rPr>
              <w:t>年份</w:t>
            </w:r>
            <w:r>
              <w:rPr>
                <w:rFonts w:ascii="宋体" w:hAnsi="宋体" w:cs="宋体" w:eastAsia="宋体" w:hint="default"/>
                <w:sz w:val="18"/>
                <w:szCs w:val="18"/>
              </w:rPr>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476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b/>
                <w:bCs/>
                <w:sz w:val="18"/>
                <w:szCs w:val="18"/>
              </w:rPr>
              <w:t>专利类型</w:t>
            </w:r>
            <w:r>
              <w:rPr>
                <w:rFonts w:ascii="宋体" w:hAnsi="宋体" w:cs="宋体" w:eastAsia="宋体" w:hint="default"/>
                <w:sz w:val="18"/>
                <w:szCs w:val="18"/>
              </w:rPr>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28</w:t>
            </w:r>
          </w:p>
        </w:tc>
        <w:tc>
          <w:tcPr>
            <w:tcW w:w="6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138" w:right="0"/>
              <w:jc w:val="left"/>
              <w:rPr>
                <w:rFonts w:ascii="Times New Roman" w:hAnsi="Times New Roman" w:cs="Times New Roman" w:eastAsia="Times New Roman" w:hint="default"/>
                <w:sz w:val="18"/>
                <w:szCs w:val="18"/>
              </w:rPr>
            </w:pPr>
            <w:r>
              <w:rPr>
                <w:rFonts w:ascii="Times New Roman"/>
                <w:sz w:val="18"/>
              </w:rPr>
              <w:t>2008</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200810026756.8</w:t>
            </w:r>
          </w:p>
        </w:tc>
        <w:tc>
          <w:tcPr>
            <w:tcW w:w="476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一种整扎出钞机</w:t>
            </w: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306"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29</w:t>
            </w:r>
          </w:p>
        </w:tc>
        <w:tc>
          <w:tcPr>
            <w:tcW w:w="6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137" w:right="0"/>
              <w:jc w:val="left"/>
              <w:rPr>
                <w:rFonts w:ascii="Times New Roman" w:hAnsi="Times New Roman" w:cs="Times New Roman" w:eastAsia="Times New Roman" w:hint="default"/>
                <w:sz w:val="18"/>
                <w:szCs w:val="18"/>
              </w:rPr>
            </w:pPr>
            <w:r>
              <w:rPr>
                <w:rFonts w:ascii="Times New Roman"/>
                <w:sz w:val="18"/>
              </w:rPr>
              <w:t>2008</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200820044790.3</w:t>
            </w:r>
          </w:p>
        </w:tc>
        <w:tc>
          <w:tcPr>
            <w:tcW w:w="476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一种整扎出钞机</w:t>
            </w: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30</w:t>
            </w:r>
          </w:p>
        </w:tc>
        <w:tc>
          <w:tcPr>
            <w:tcW w:w="655"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98" w:right="0"/>
              <w:jc w:val="left"/>
              <w:rPr>
                <w:rFonts w:ascii="Times New Roman" w:hAnsi="Times New Roman" w:cs="Times New Roman" w:eastAsia="Times New Roman" w:hint="default"/>
                <w:sz w:val="18"/>
                <w:szCs w:val="18"/>
              </w:rPr>
            </w:pPr>
            <w:r>
              <w:rPr>
                <w:rFonts w:ascii="Times New Roman"/>
                <w:sz w:val="18"/>
              </w:rPr>
              <w:t>2008</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200820044793.7</w:t>
            </w:r>
          </w:p>
        </w:tc>
        <w:tc>
          <w:tcPr>
            <w:tcW w:w="476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整扎钞票容纳装置</w:t>
            </w: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31</w:t>
            </w:r>
          </w:p>
        </w:tc>
        <w:tc>
          <w:tcPr>
            <w:tcW w:w="655"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98" w:right="0"/>
              <w:jc w:val="left"/>
              <w:rPr>
                <w:rFonts w:ascii="Times New Roman" w:hAnsi="Times New Roman" w:cs="Times New Roman" w:eastAsia="Times New Roman" w:hint="default"/>
                <w:sz w:val="18"/>
                <w:szCs w:val="18"/>
              </w:rPr>
            </w:pPr>
            <w:r>
              <w:rPr>
                <w:rFonts w:ascii="Times New Roman"/>
                <w:sz w:val="18"/>
              </w:rPr>
              <w:t>2008</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200820044792.2</w:t>
            </w:r>
          </w:p>
        </w:tc>
        <w:tc>
          <w:tcPr>
            <w:tcW w:w="476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一种双层滑动闸门机构</w:t>
            </w: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32</w:t>
            </w:r>
          </w:p>
        </w:tc>
        <w:tc>
          <w:tcPr>
            <w:tcW w:w="655"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98" w:right="0"/>
              <w:jc w:val="left"/>
              <w:rPr>
                <w:rFonts w:ascii="Times New Roman" w:hAnsi="Times New Roman" w:cs="Times New Roman" w:eastAsia="Times New Roman" w:hint="default"/>
                <w:sz w:val="18"/>
                <w:szCs w:val="18"/>
              </w:rPr>
            </w:pPr>
            <w:r>
              <w:rPr>
                <w:rFonts w:ascii="Times New Roman"/>
                <w:sz w:val="18"/>
              </w:rPr>
              <w:t>2008</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200820044789.0</w:t>
            </w:r>
          </w:p>
        </w:tc>
        <w:tc>
          <w:tcPr>
            <w:tcW w:w="476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一种整扎钞票处理设备的通道门装置</w:t>
            </w: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33</w:t>
            </w:r>
          </w:p>
        </w:tc>
        <w:tc>
          <w:tcPr>
            <w:tcW w:w="655"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98" w:right="0"/>
              <w:jc w:val="left"/>
              <w:rPr>
                <w:rFonts w:ascii="Times New Roman" w:hAnsi="Times New Roman" w:cs="Times New Roman" w:eastAsia="Times New Roman" w:hint="default"/>
                <w:sz w:val="18"/>
                <w:szCs w:val="18"/>
              </w:rPr>
            </w:pPr>
            <w:r>
              <w:rPr>
                <w:rFonts w:ascii="Times New Roman"/>
                <w:sz w:val="18"/>
              </w:rPr>
              <w:t>2008</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200820045946.X</w:t>
            </w:r>
          </w:p>
        </w:tc>
        <w:tc>
          <w:tcPr>
            <w:tcW w:w="476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一种保险柜</w:t>
            </w: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34</w:t>
            </w:r>
          </w:p>
        </w:tc>
        <w:tc>
          <w:tcPr>
            <w:tcW w:w="655"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98" w:right="0"/>
              <w:jc w:val="left"/>
              <w:rPr>
                <w:rFonts w:ascii="Times New Roman" w:hAnsi="Times New Roman" w:cs="Times New Roman" w:eastAsia="Times New Roman" w:hint="default"/>
                <w:sz w:val="18"/>
                <w:szCs w:val="18"/>
              </w:rPr>
            </w:pPr>
            <w:r>
              <w:rPr>
                <w:rFonts w:ascii="Times New Roman"/>
                <w:sz w:val="18"/>
              </w:rPr>
              <w:t>2008</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200820045947.4</w:t>
            </w:r>
          </w:p>
        </w:tc>
        <w:tc>
          <w:tcPr>
            <w:tcW w:w="476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一种薄片类介质处理装置</w:t>
            </w: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306"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35</w:t>
            </w:r>
          </w:p>
        </w:tc>
        <w:tc>
          <w:tcPr>
            <w:tcW w:w="655"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98" w:right="0"/>
              <w:jc w:val="left"/>
              <w:rPr>
                <w:rFonts w:ascii="Times New Roman" w:hAnsi="Times New Roman" w:cs="Times New Roman" w:eastAsia="Times New Roman" w:hint="default"/>
                <w:sz w:val="18"/>
                <w:szCs w:val="18"/>
              </w:rPr>
            </w:pPr>
            <w:r>
              <w:rPr>
                <w:rFonts w:ascii="Times New Roman"/>
                <w:sz w:val="18"/>
              </w:rPr>
              <w:t>2008</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200820045945.5</w:t>
            </w:r>
          </w:p>
        </w:tc>
        <w:tc>
          <w:tcPr>
            <w:tcW w:w="4762" w:type="dxa"/>
            <w:tcBorders>
              <w:top w:val="single" w:sz="8" w:space="0" w:color="000000"/>
              <w:left w:val="single" w:sz="8" w:space="0" w:color="000000"/>
              <w:bottom w:val="single" w:sz="8" w:space="0" w:color="000000"/>
              <w:right w:val="single" w:sz="8" w:space="0" w:color="000000"/>
            </w:tcBorders>
          </w:tcPr>
          <w:p>
            <w:pPr>
              <w:pStyle w:val="TableParagraph"/>
              <w:spacing w:line="245" w:lineRule="exact"/>
              <w:ind w:left="98"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宋体" w:hAnsi="宋体" w:cs="宋体" w:eastAsia="宋体" w:hint="default"/>
                <w:spacing w:val="-45"/>
                <w:sz w:val="18"/>
                <w:szCs w:val="18"/>
              </w:rPr>
              <w:t> </w:t>
            </w: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柜门锁</w:t>
            </w: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36</w:t>
            </w:r>
          </w:p>
        </w:tc>
        <w:tc>
          <w:tcPr>
            <w:tcW w:w="655"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98" w:right="0"/>
              <w:jc w:val="left"/>
              <w:rPr>
                <w:rFonts w:ascii="Times New Roman" w:hAnsi="Times New Roman" w:cs="Times New Roman" w:eastAsia="Times New Roman" w:hint="default"/>
                <w:sz w:val="18"/>
                <w:szCs w:val="18"/>
              </w:rPr>
            </w:pPr>
            <w:r>
              <w:rPr>
                <w:rFonts w:ascii="Times New Roman"/>
                <w:sz w:val="18"/>
              </w:rPr>
              <w:t>2008</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200810027225.0</w:t>
            </w:r>
          </w:p>
        </w:tc>
        <w:tc>
          <w:tcPr>
            <w:tcW w:w="476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一种薄片类介质处理装置</w:t>
            </w: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37</w:t>
            </w:r>
          </w:p>
        </w:tc>
        <w:tc>
          <w:tcPr>
            <w:tcW w:w="655"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98" w:right="0"/>
              <w:jc w:val="left"/>
              <w:rPr>
                <w:rFonts w:ascii="Times New Roman" w:hAnsi="Times New Roman" w:cs="Times New Roman" w:eastAsia="Times New Roman" w:hint="default"/>
                <w:sz w:val="18"/>
                <w:szCs w:val="18"/>
              </w:rPr>
            </w:pPr>
            <w:r>
              <w:rPr>
                <w:rFonts w:ascii="Times New Roman"/>
                <w:sz w:val="18"/>
              </w:rPr>
              <w:t>2008</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200810198770.6</w:t>
            </w:r>
          </w:p>
        </w:tc>
        <w:tc>
          <w:tcPr>
            <w:tcW w:w="476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一种身高测量方法及其测量装置</w:t>
            </w: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38</w:t>
            </w:r>
          </w:p>
        </w:tc>
        <w:tc>
          <w:tcPr>
            <w:tcW w:w="655"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98" w:right="0"/>
              <w:jc w:val="left"/>
              <w:rPr>
                <w:rFonts w:ascii="Times New Roman" w:hAnsi="Times New Roman" w:cs="Times New Roman" w:eastAsia="Times New Roman" w:hint="default"/>
                <w:sz w:val="18"/>
                <w:szCs w:val="18"/>
              </w:rPr>
            </w:pPr>
            <w:r>
              <w:rPr>
                <w:rFonts w:ascii="Times New Roman"/>
                <w:sz w:val="18"/>
              </w:rPr>
              <w:t>2008</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200820201602.3</w:t>
            </w:r>
          </w:p>
        </w:tc>
        <w:tc>
          <w:tcPr>
            <w:tcW w:w="476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自动柜员机闸门机构</w:t>
            </w: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39</w:t>
            </w:r>
          </w:p>
        </w:tc>
        <w:tc>
          <w:tcPr>
            <w:tcW w:w="655"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98" w:right="0"/>
              <w:jc w:val="left"/>
              <w:rPr>
                <w:rFonts w:ascii="Times New Roman" w:hAnsi="Times New Roman" w:cs="Times New Roman" w:eastAsia="Times New Roman" w:hint="default"/>
                <w:sz w:val="18"/>
                <w:szCs w:val="18"/>
              </w:rPr>
            </w:pPr>
            <w:r>
              <w:rPr>
                <w:rFonts w:ascii="Times New Roman"/>
                <w:sz w:val="18"/>
              </w:rPr>
              <w:t>2008</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200820203486.9</w:t>
            </w:r>
          </w:p>
        </w:tc>
        <w:tc>
          <w:tcPr>
            <w:tcW w:w="476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暂存装置</w:t>
            </w: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40</w:t>
            </w:r>
          </w:p>
        </w:tc>
        <w:tc>
          <w:tcPr>
            <w:tcW w:w="655"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98" w:right="0"/>
              <w:jc w:val="left"/>
              <w:rPr>
                <w:rFonts w:ascii="Times New Roman" w:hAnsi="Times New Roman" w:cs="Times New Roman" w:eastAsia="Times New Roman" w:hint="default"/>
                <w:sz w:val="18"/>
                <w:szCs w:val="18"/>
              </w:rPr>
            </w:pPr>
            <w:r>
              <w:rPr>
                <w:rFonts w:ascii="Times New Roman"/>
                <w:sz w:val="18"/>
              </w:rPr>
              <w:t>2008</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200810219145.5</w:t>
            </w:r>
          </w:p>
        </w:tc>
        <w:tc>
          <w:tcPr>
            <w:tcW w:w="476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暂存装置</w:t>
            </w: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306"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41</w:t>
            </w:r>
          </w:p>
        </w:tc>
        <w:tc>
          <w:tcPr>
            <w:tcW w:w="655"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98" w:right="0"/>
              <w:jc w:val="left"/>
              <w:rPr>
                <w:rFonts w:ascii="Times New Roman" w:hAnsi="Times New Roman" w:cs="Times New Roman" w:eastAsia="Times New Roman" w:hint="default"/>
                <w:sz w:val="18"/>
                <w:szCs w:val="18"/>
              </w:rPr>
            </w:pPr>
            <w:r>
              <w:rPr>
                <w:rFonts w:ascii="Times New Roman"/>
                <w:sz w:val="18"/>
              </w:rPr>
              <w:t>2008</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200820203814.5</w:t>
            </w:r>
          </w:p>
        </w:tc>
        <w:tc>
          <w:tcPr>
            <w:tcW w:w="476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键盘防窥罩</w:t>
            </w: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42</w:t>
            </w:r>
          </w:p>
        </w:tc>
        <w:tc>
          <w:tcPr>
            <w:tcW w:w="655"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98" w:right="0"/>
              <w:jc w:val="left"/>
              <w:rPr>
                <w:rFonts w:ascii="Times New Roman" w:hAnsi="Times New Roman" w:cs="Times New Roman" w:eastAsia="Times New Roman" w:hint="default"/>
                <w:sz w:val="18"/>
                <w:szCs w:val="18"/>
              </w:rPr>
            </w:pPr>
            <w:r>
              <w:rPr>
                <w:rFonts w:ascii="Times New Roman"/>
                <w:sz w:val="18"/>
              </w:rPr>
              <w:t>2008</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200830220282.1</w:t>
            </w:r>
          </w:p>
        </w:tc>
        <w:tc>
          <w:tcPr>
            <w:tcW w:w="4762" w:type="dxa"/>
            <w:tcBorders>
              <w:top w:val="single" w:sz="8" w:space="0" w:color="000000"/>
              <w:left w:val="single" w:sz="8" w:space="0" w:color="000000"/>
              <w:bottom w:val="single" w:sz="8" w:space="0" w:color="000000"/>
              <w:right w:val="single" w:sz="8" w:space="0" w:color="000000"/>
            </w:tcBorders>
          </w:tcPr>
          <w:p>
            <w:pPr>
              <w:pStyle w:val="TableParagraph"/>
              <w:spacing w:line="245" w:lineRule="exact"/>
              <w:ind w:left="98" w:right="0"/>
              <w:jc w:val="left"/>
              <w:rPr>
                <w:rFonts w:ascii="宋体" w:hAnsi="宋体" w:cs="宋体" w:eastAsia="宋体" w:hint="default"/>
                <w:sz w:val="18"/>
                <w:szCs w:val="18"/>
              </w:rPr>
            </w:pPr>
            <w:r>
              <w:rPr>
                <w:rFonts w:ascii="宋体" w:hAnsi="宋体" w:cs="宋体" w:eastAsia="宋体" w:hint="default"/>
                <w:sz w:val="18"/>
                <w:szCs w:val="18"/>
              </w:rPr>
              <w:t>自动柜员机（</w:t>
            </w:r>
            <w:r>
              <w:rPr>
                <w:rFonts w:ascii="Times New Roman" w:hAnsi="Times New Roman" w:cs="Times New Roman" w:eastAsia="Times New Roman" w:hint="default"/>
                <w:sz w:val="18"/>
                <w:szCs w:val="18"/>
              </w:rPr>
              <w:t>E300L</w:t>
            </w:r>
            <w:r>
              <w:rPr>
                <w:rFonts w:ascii="宋体" w:hAnsi="宋体" w:cs="宋体" w:eastAsia="宋体" w:hint="default"/>
                <w:sz w:val="18"/>
                <w:szCs w:val="18"/>
              </w:rPr>
              <w:t>）</w:t>
            </w: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外观设计</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43</w:t>
            </w:r>
          </w:p>
        </w:tc>
        <w:tc>
          <w:tcPr>
            <w:tcW w:w="655"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98" w:right="0"/>
              <w:jc w:val="left"/>
              <w:rPr>
                <w:rFonts w:ascii="Times New Roman" w:hAnsi="Times New Roman" w:cs="Times New Roman" w:eastAsia="Times New Roman" w:hint="default"/>
                <w:sz w:val="18"/>
                <w:szCs w:val="18"/>
              </w:rPr>
            </w:pPr>
            <w:r>
              <w:rPr>
                <w:rFonts w:ascii="Times New Roman"/>
                <w:sz w:val="18"/>
              </w:rPr>
              <w:t>2008</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200820203928.X</w:t>
            </w:r>
          </w:p>
        </w:tc>
        <w:tc>
          <w:tcPr>
            <w:tcW w:w="476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后台维护终端的旋转机构</w:t>
            </w: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实用新型</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44</w:t>
            </w:r>
          </w:p>
        </w:tc>
        <w:tc>
          <w:tcPr>
            <w:tcW w:w="655"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98" w:right="0"/>
              <w:jc w:val="left"/>
              <w:rPr>
                <w:rFonts w:ascii="Times New Roman" w:hAnsi="Times New Roman" w:cs="Times New Roman" w:eastAsia="Times New Roman" w:hint="default"/>
                <w:sz w:val="18"/>
                <w:szCs w:val="18"/>
              </w:rPr>
            </w:pPr>
            <w:r>
              <w:rPr>
                <w:rFonts w:ascii="Times New Roman"/>
                <w:sz w:val="18"/>
              </w:rPr>
              <w:t>2008</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200810219797.9</w:t>
            </w:r>
          </w:p>
        </w:tc>
        <w:tc>
          <w:tcPr>
            <w:tcW w:w="476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钞票识别系统及具有该系统的钞票识别方法</w:t>
            </w: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45</w:t>
            </w:r>
          </w:p>
        </w:tc>
        <w:tc>
          <w:tcPr>
            <w:tcW w:w="655"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98" w:right="0"/>
              <w:jc w:val="left"/>
              <w:rPr>
                <w:rFonts w:ascii="Times New Roman" w:hAnsi="Times New Roman" w:cs="Times New Roman" w:eastAsia="Times New Roman" w:hint="default"/>
                <w:sz w:val="18"/>
                <w:szCs w:val="18"/>
              </w:rPr>
            </w:pPr>
            <w:r>
              <w:rPr>
                <w:rFonts w:ascii="Times New Roman"/>
                <w:sz w:val="18"/>
              </w:rPr>
              <w:t>2008</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200810220016.8</w:t>
            </w:r>
          </w:p>
        </w:tc>
        <w:tc>
          <w:tcPr>
            <w:tcW w:w="476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成叠出票装置</w:t>
            </w: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发明</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before="35"/>
        <w:ind w:left="780" w:right="269"/>
        <w:jc w:val="left"/>
      </w:pPr>
      <w:r>
        <w:rPr>
          <w:rFonts w:ascii="Times New Roman" w:hAnsi="Times New Roman" w:cs="Times New Roman" w:eastAsia="Times New Roman" w:hint="default"/>
        </w:rPr>
        <w:t>17</w:t>
      </w:r>
      <w:r>
        <w:rPr/>
        <w:t>、报告期内，公司没有发生并购重组事项</w:t>
      </w:r>
    </w:p>
    <w:p>
      <w:pPr>
        <w:pStyle w:val="BodyText"/>
        <w:spacing w:line="240" w:lineRule="auto" w:before="170"/>
        <w:ind w:left="780" w:right="269"/>
        <w:jc w:val="left"/>
      </w:pPr>
      <w:r>
        <w:rPr>
          <w:rFonts w:ascii="Times New Roman" w:hAnsi="Times New Roman" w:cs="Times New Roman" w:eastAsia="Times New Roman" w:hint="default"/>
        </w:rPr>
        <w:t>18</w:t>
      </w:r>
      <w:r>
        <w:rPr/>
        <w:t>、董事、监事和高管年度报酬情况</w:t>
      </w:r>
    </w:p>
    <w:p>
      <w:pPr>
        <w:pStyle w:val="BodyText"/>
        <w:spacing w:line="280" w:lineRule="auto" w:before="170"/>
        <w:ind w:left="360" w:right="269" w:firstLine="420"/>
        <w:jc w:val="left"/>
      </w:pPr>
      <w:r>
        <w:rPr>
          <w:spacing w:val="-8"/>
        </w:rPr>
        <w:t>（</w:t>
      </w:r>
      <w:r>
        <w:rPr>
          <w:rFonts w:ascii="Times New Roman" w:hAnsi="Times New Roman" w:cs="Times New Roman" w:eastAsia="Times New Roman" w:hint="default"/>
          <w:spacing w:val="-8"/>
        </w:rPr>
        <w:t>1</w:t>
      </w:r>
      <w:r>
        <w:rPr>
          <w:spacing w:val="-8"/>
        </w:rPr>
        <w:t>）报告期内，在公司任职的董事（非独立董事）、监事未在公司领薪，兼任公司董事、</w:t>
      </w:r>
      <w:r>
        <w:rPr/>
        <w:t> </w:t>
      </w:r>
      <w:r>
        <w:rPr>
          <w:spacing w:val="-3"/>
        </w:rPr>
        <w:t>监事的高管、员工不以董事、监事职务领取报酬。高管人员按其职务根据公司董事会批准的</w:t>
      </w:r>
    </w:p>
    <w:p>
      <w:pPr>
        <w:pStyle w:val="BodyText"/>
        <w:spacing w:line="297" w:lineRule="auto" w:before="30"/>
        <w:ind w:left="360" w:right="376"/>
        <w:jc w:val="both"/>
      </w:pPr>
      <w:r>
        <w:rPr>
          <w:spacing w:val="-3"/>
        </w:rPr>
        <w:t>《高管层年度业绩考核与薪酬管理办法》，在每年年初落实有关考核指标及相关事项，在年</w:t>
      </w:r>
      <w:r>
        <w:rPr>
          <w:spacing w:val="-84"/>
        </w:rPr>
        <w:t> </w:t>
      </w:r>
      <w:r>
        <w:rPr>
          <w:spacing w:val="-84"/>
        </w:rPr>
      </w:r>
      <w:r>
        <w:rPr>
          <w:spacing w:val="-3"/>
        </w:rPr>
        <w:t>度结束后对全年计划完成情况进行考核，由董事会薪酬与考核委员会根据公司统一的薪酬管</w:t>
      </w:r>
      <w:r>
        <w:rPr>
          <w:spacing w:val="-79"/>
        </w:rPr>
        <w:t> </w:t>
      </w:r>
      <w:r>
        <w:rPr>
          <w:spacing w:val="-79"/>
        </w:rPr>
      </w:r>
      <w:r>
        <w:rPr/>
        <w:t>理制度规定的标准制定议案，审议通过相关议案后，提交董事会审议并执行。</w:t>
      </w:r>
    </w:p>
    <w:p>
      <w:pPr>
        <w:pStyle w:val="BodyText"/>
        <w:spacing w:line="280" w:lineRule="auto" w:before="134"/>
        <w:ind w:left="360" w:right="360" w:firstLine="420"/>
        <w:jc w:val="left"/>
      </w:pPr>
      <w:r>
        <w:rPr/>
        <w:t>独立董事津贴按照股东大会决议执行，为每人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万元</w:t>
      </w:r>
      <w:r>
        <w:rPr>
          <w:rFonts w:ascii="Times New Roman" w:hAnsi="Times New Roman" w:cs="Times New Roman" w:eastAsia="Times New Roman" w:hint="default"/>
        </w:rPr>
        <w:t>/</w:t>
      </w:r>
      <w:r>
        <w:rPr/>
        <w:t>年；独立董事参加会议发生的差 旅费，办公费等履职费用由本公司承担。</w:t>
      </w:r>
    </w:p>
    <w:p>
      <w:pPr>
        <w:pStyle w:val="BodyText"/>
        <w:spacing w:line="240" w:lineRule="auto" w:before="150"/>
        <w:ind w:left="780" w:right="269"/>
        <w:jc w:val="left"/>
      </w:pPr>
      <w:r>
        <w:rPr/>
        <w:t>（</w:t>
      </w:r>
      <w:r>
        <w:rPr>
          <w:rFonts w:ascii="Times New Roman" w:hAnsi="Times New Roman" w:cs="Times New Roman" w:eastAsia="Times New Roman" w:hint="default"/>
        </w:rPr>
        <w:t>2</w:t>
      </w:r>
      <w:r>
        <w:rPr/>
        <w:t>）现任高级管理人员、职工监事薪酬情况表</w:t>
      </w:r>
    </w:p>
    <w:p>
      <w:pPr>
        <w:spacing w:line="240" w:lineRule="auto" w:before="8"/>
        <w:rPr>
          <w:rFonts w:ascii="宋体" w:hAnsi="宋体" w:cs="宋体" w:eastAsia="宋体" w:hint="default"/>
          <w:sz w:val="15"/>
          <w:szCs w:val="15"/>
        </w:rPr>
      </w:pPr>
    </w:p>
    <w:tbl>
      <w:tblPr>
        <w:tblW w:w="0" w:type="auto"/>
        <w:jc w:val="left"/>
        <w:tblInd w:w="100" w:type="dxa"/>
        <w:tblLayout w:type="fixed"/>
        <w:tblCellMar>
          <w:top w:w="0" w:type="dxa"/>
          <w:left w:w="0" w:type="dxa"/>
          <w:bottom w:w="0" w:type="dxa"/>
          <w:right w:w="0" w:type="dxa"/>
        </w:tblCellMar>
        <w:tblLook w:val="01E0"/>
      </w:tblPr>
      <w:tblGrid>
        <w:gridCol w:w="778"/>
        <w:gridCol w:w="1784"/>
        <w:gridCol w:w="1322"/>
        <w:gridCol w:w="1374"/>
        <w:gridCol w:w="976"/>
        <w:gridCol w:w="960"/>
        <w:gridCol w:w="1620"/>
      </w:tblGrid>
      <w:tr>
        <w:trPr>
          <w:trHeight w:val="710"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1"/>
              <w:jc w:val="right"/>
              <w:rPr>
                <w:rFonts w:ascii="宋体" w:hAnsi="宋体" w:cs="宋体" w:eastAsia="宋体" w:hint="default"/>
                <w:sz w:val="18"/>
                <w:szCs w:val="18"/>
              </w:rPr>
            </w:pPr>
            <w:r>
              <w:rPr>
                <w:rFonts w:ascii="宋体" w:hAnsi="宋体" w:cs="宋体" w:eastAsia="宋体" w:hint="default"/>
                <w:b/>
                <w:bCs/>
                <w:sz w:val="18"/>
                <w:szCs w:val="18"/>
              </w:rPr>
              <w:t>姓</w:t>
            </w:r>
            <w:r>
              <w:rPr>
                <w:rFonts w:ascii="宋体" w:hAnsi="宋体" w:cs="宋体" w:eastAsia="宋体" w:hint="default"/>
                <w:b/>
                <w:bCs/>
                <w:spacing w:val="90"/>
                <w:sz w:val="18"/>
                <w:szCs w:val="18"/>
              </w:rPr>
              <w:t> </w:t>
            </w:r>
            <w:r>
              <w:rPr>
                <w:rFonts w:ascii="宋体" w:hAnsi="宋体" w:cs="宋体" w:eastAsia="宋体" w:hint="default"/>
                <w:b/>
                <w:bCs/>
                <w:sz w:val="18"/>
                <w:szCs w:val="18"/>
              </w:rPr>
              <w:t>名</w:t>
            </w:r>
            <w:r>
              <w:rPr>
                <w:rFonts w:ascii="宋体" w:hAnsi="宋体" w:cs="宋体" w:eastAsia="宋体" w:hint="default"/>
                <w:sz w:val="18"/>
                <w:szCs w:val="18"/>
              </w:rPr>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职</w:t>
            </w:r>
            <w:r>
              <w:rPr>
                <w:rFonts w:ascii="宋体" w:hAnsi="宋体" w:cs="宋体" w:eastAsia="宋体" w:hint="default"/>
                <w:b/>
                <w:bCs/>
                <w:spacing w:val="90"/>
                <w:sz w:val="18"/>
                <w:szCs w:val="18"/>
              </w:rPr>
              <w:t> </w:t>
            </w:r>
            <w:r>
              <w:rPr>
                <w:rFonts w:ascii="宋体" w:hAnsi="宋体" w:cs="宋体" w:eastAsia="宋体" w:hint="default"/>
                <w:b/>
                <w:bCs/>
                <w:sz w:val="18"/>
                <w:szCs w:val="18"/>
              </w:rPr>
              <w:t>务</w:t>
            </w:r>
            <w:r>
              <w:rPr>
                <w:rFonts w:ascii="宋体" w:hAnsi="宋体" w:cs="宋体" w:eastAsia="宋体" w:hint="default"/>
                <w:sz w:val="18"/>
                <w:szCs w:val="18"/>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15" w:right="0" w:hanging="1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2008</w:t>
            </w:r>
            <w:r>
              <w:rPr>
                <w:rFonts w:ascii="Times New Roman" w:hAnsi="Times New Roman" w:cs="Times New Roman" w:eastAsia="Times New Roman" w:hint="default"/>
                <w:b/>
                <w:bCs/>
                <w:spacing w:val="-24"/>
                <w:sz w:val="18"/>
                <w:szCs w:val="18"/>
              </w:rPr>
              <w:t> </w:t>
            </w:r>
            <w:r>
              <w:rPr>
                <w:rFonts w:ascii="宋体" w:hAnsi="宋体" w:cs="宋体" w:eastAsia="宋体" w:hint="default"/>
                <w:b/>
                <w:bCs/>
                <w:sz w:val="18"/>
                <w:szCs w:val="18"/>
              </w:rPr>
              <w:t>年度从公</w:t>
            </w:r>
            <w:r>
              <w:rPr>
                <w:rFonts w:ascii="宋体" w:hAnsi="宋体" w:cs="宋体" w:eastAsia="宋体" w:hint="default"/>
                <w:sz w:val="18"/>
                <w:szCs w:val="18"/>
              </w:rPr>
            </w:r>
          </w:p>
          <w:p>
            <w:pPr>
              <w:pStyle w:val="TableParagraph"/>
              <w:spacing w:line="232" w:lineRule="exact" w:before="17"/>
              <w:ind w:left="115" w:right="111"/>
              <w:jc w:val="left"/>
              <w:rPr>
                <w:rFonts w:ascii="宋体" w:hAnsi="宋体" w:cs="宋体" w:eastAsia="宋体" w:hint="default"/>
                <w:sz w:val="18"/>
                <w:szCs w:val="18"/>
              </w:rPr>
            </w:pPr>
            <w:r>
              <w:rPr>
                <w:rFonts w:ascii="宋体" w:hAnsi="宋体" w:cs="宋体" w:eastAsia="宋体" w:hint="default"/>
                <w:b/>
                <w:bCs/>
                <w:sz w:val="18"/>
                <w:szCs w:val="18"/>
              </w:rPr>
              <w:t>司领取的报酬</w:t>
            </w:r>
            <w:r>
              <w:rPr>
                <w:rFonts w:ascii="宋体" w:hAnsi="宋体" w:cs="宋体" w:eastAsia="宋体" w:hint="default"/>
                <w:b/>
                <w:bCs/>
                <w:w w:val="99"/>
                <w:sz w:val="18"/>
                <w:szCs w:val="18"/>
              </w:rPr>
              <w:t> </w:t>
            </w:r>
            <w:r>
              <w:rPr>
                <w:rFonts w:ascii="宋体" w:hAnsi="宋体" w:cs="宋体" w:eastAsia="宋体" w:hint="default"/>
                <w:b/>
                <w:bCs/>
                <w:sz w:val="18"/>
                <w:szCs w:val="18"/>
              </w:rPr>
              <w:t>总额（万元）</w:t>
            </w:r>
            <w:r>
              <w:rPr>
                <w:rFonts w:ascii="宋体" w:hAnsi="宋体" w:cs="宋体" w:eastAsia="宋体" w:hint="default"/>
                <w:sz w:val="18"/>
                <w:szCs w:val="18"/>
              </w:rPr>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40" w:right="0" w:hanging="2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2007</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年度从公</w:t>
            </w:r>
            <w:r>
              <w:rPr>
                <w:rFonts w:ascii="宋体" w:hAnsi="宋体" w:cs="宋体" w:eastAsia="宋体" w:hint="default"/>
                <w:sz w:val="18"/>
                <w:szCs w:val="18"/>
              </w:rPr>
            </w:r>
          </w:p>
          <w:p>
            <w:pPr>
              <w:pStyle w:val="TableParagraph"/>
              <w:spacing w:line="232" w:lineRule="exact" w:before="17"/>
              <w:ind w:left="140" w:right="138"/>
              <w:jc w:val="left"/>
              <w:rPr>
                <w:rFonts w:ascii="宋体" w:hAnsi="宋体" w:cs="宋体" w:eastAsia="宋体" w:hint="default"/>
                <w:sz w:val="18"/>
                <w:szCs w:val="18"/>
              </w:rPr>
            </w:pPr>
            <w:r>
              <w:rPr>
                <w:rFonts w:ascii="宋体" w:hAnsi="宋体" w:cs="宋体" w:eastAsia="宋体" w:hint="default"/>
                <w:b/>
                <w:bCs/>
                <w:sz w:val="18"/>
                <w:szCs w:val="18"/>
              </w:rPr>
              <w:t>司领取的报酬</w:t>
            </w:r>
            <w:r>
              <w:rPr>
                <w:rFonts w:ascii="宋体" w:hAnsi="宋体" w:cs="宋体" w:eastAsia="宋体" w:hint="default"/>
                <w:b/>
                <w:bCs/>
                <w:w w:val="99"/>
                <w:sz w:val="18"/>
                <w:szCs w:val="18"/>
              </w:rPr>
              <w:t> </w:t>
            </w:r>
            <w:r>
              <w:rPr>
                <w:rFonts w:ascii="宋体" w:hAnsi="宋体" w:cs="宋体" w:eastAsia="宋体" w:hint="default"/>
                <w:b/>
                <w:bCs/>
                <w:sz w:val="18"/>
                <w:szCs w:val="18"/>
              </w:rPr>
              <w:t>总额（万元）</w:t>
            </w:r>
            <w:r>
              <w:rPr>
                <w:rFonts w:ascii="宋体" w:hAnsi="宋体" w:cs="宋体" w:eastAsia="宋体" w:hint="default"/>
                <w:sz w:val="18"/>
                <w:szCs w:val="18"/>
              </w:rPr>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薪酬总额</w:t>
            </w:r>
            <w:r>
              <w:rPr>
                <w:rFonts w:ascii="宋体" w:hAnsi="宋体" w:cs="宋体" w:eastAsia="宋体" w:hint="default"/>
                <w:sz w:val="18"/>
                <w:szCs w:val="18"/>
              </w:rPr>
            </w:r>
          </w:p>
          <w:p>
            <w:pPr>
              <w:pStyle w:val="TableParagraph"/>
              <w:spacing w:line="233"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同比增减</w:t>
            </w:r>
            <w:r>
              <w:rPr>
                <w:rFonts w:ascii="宋体" w:hAnsi="宋体" w:cs="宋体" w:eastAsia="宋体" w:hint="default"/>
                <w:sz w:val="18"/>
                <w:szCs w:val="18"/>
              </w:rPr>
            </w:r>
          </w:p>
          <w:p>
            <w:pPr>
              <w:pStyle w:val="TableParagraph"/>
              <w:spacing w:line="248" w:lineRule="exact"/>
              <w:ind w:left="212"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3" w:right="0"/>
              <w:jc w:val="left"/>
              <w:rPr>
                <w:rFonts w:ascii="宋体" w:hAnsi="宋体" w:cs="宋体" w:eastAsia="宋体" w:hint="default"/>
                <w:sz w:val="18"/>
                <w:szCs w:val="18"/>
              </w:rPr>
            </w:pPr>
            <w:r>
              <w:rPr>
                <w:rFonts w:ascii="宋体" w:hAnsi="宋体" w:cs="宋体" w:eastAsia="宋体" w:hint="default"/>
                <w:b/>
                <w:bCs/>
                <w:sz w:val="18"/>
                <w:szCs w:val="18"/>
              </w:rPr>
              <w:t>公司净利</w:t>
            </w:r>
            <w:r>
              <w:rPr>
                <w:rFonts w:ascii="宋体" w:hAnsi="宋体" w:cs="宋体" w:eastAsia="宋体" w:hint="default"/>
                <w:sz w:val="18"/>
                <w:szCs w:val="18"/>
              </w:rPr>
            </w:r>
          </w:p>
          <w:p>
            <w:pPr>
              <w:pStyle w:val="TableParagraph"/>
              <w:spacing w:line="232" w:lineRule="exact" w:before="24"/>
              <w:ind w:left="113" w:right="112"/>
              <w:jc w:val="left"/>
              <w:rPr>
                <w:rFonts w:ascii="宋体" w:hAnsi="宋体" w:cs="宋体" w:eastAsia="宋体" w:hint="default"/>
                <w:sz w:val="18"/>
                <w:szCs w:val="18"/>
              </w:rPr>
            </w:pPr>
            <w:r>
              <w:rPr>
                <w:rFonts w:ascii="宋体" w:hAnsi="宋体" w:cs="宋体" w:eastAsia="宋体" w:hint="default"/>
                <w:b/>
                <w:bCs/>
                <w:sz w:val="18"/>
                <w:szCs w:val="18"/>
              </w:rPr>
              <w:t>润同比增</w:t>
            </w:r>
            <w:r>
              <w:rPr>
                <w:rFonts w:ascii="宋体" w:hAnsi="宋体" w:cs="宋体" w:eastAsia="宋体" w:hint="default"/>
                <w:b/>
                <w:bCs/>
                <w:w w:val="99"/>
                <w:sz w:val="18"/>
                <w:szCs w:val="18"/>
              </w:rPr>
              <w:t> </w:t>
            </w:r>
            <w:r>
              <w:rPr>
                <w:rFonts w:ascii="宋体" w:hAnsi="宋体" w:cs="宋体" w:eastAsia="宋体" w:hint="default"/>
                <w:b/>
                <w:bCs/>
                <w:sz w:val="18"/>
                <w:szCs w:val="18"/>
              </w:rPr>
              <w:t>减（</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3" w:right="0"/>
              <w:jc w:val="left"/>
              <w:rPr>
                <w:rFonts w:ascii="宋体" w:hAnsi="宋体" w:cs="宋体" w:eastAsia="宋体" w:hint="default"/>
                <w:sz w:val="18"/>
                <w:szCs w:val="18"/>
              </w:rPr>
            </w:pPr>
            <w:r>
              <w:rPr>
                <w:rFonts w:ascii="宋体" w:hAnsi="宋体" w:cs="宋体" w:eastAsia="宋体" w:hint="default"/>
                <w:b/>
                <w:bCs/>
                <w:sz w:val="18"/>
                <w:szCs w:val="18"/>
              </w:rPr>
              <w:t>薪酬同比变动与</w:t>
            </w:r>
            <w:r>
              <w:rPr>
                <w:rFonts w:ascii="宋体" w:hAnsi="宋体" w:cs="宋体" w:eastAsia="宋体" w:hint="default"/>
                <w:sz w:val="18"/>
                <w:szCs w:val="18"/>
              </w:rPr>
            </w:r>
          </w:p>
          <w:p>
            <w:pPr>
              <w:pStyle w:val="TableParagraph"/>
              <w:spacing w:line="232" w:lineRule="exact" w:before="24"/>
              <w:ind w:left="353" w:right="171" w:hanging="180"/>
              <w:jc w:val="left"/>
              <w:rPr>
                <w:rFonts w:ascii="宋体" w:hAnsi="宋体" w:cs="宋体" w:eastAsia="宋体" w:hint="default"/>
                <w:sz w:val="18"/>
                <w:szCs w:val="18"/>
              </w:rPr>
            </w:pPr>
            <w:r>
              <w:rPr>
                <w:rFonts w:ascii="宋体" w:hAnsi="宋体" w:cs="宋体" w:eastAsia="宋体" w:hint="default"/>
                <w:b/>
                <w:bCs/>
                <w:sz w:val="18"/>
                <w:szCs w:val="18"/>
              </w:rPr>
              <w:t>净利润同比变动</w:t>
            </w:r>
            <w:r>
              <w:rPr>
                <w:rFonts w:ascii="宋体" w:hAnsi="宋体" w:cs="宋体" w:eastAsia="宋体" w:hint="default"/>
                <w:b/>
                <w:bCs/>
                <w:w w:val="99"/>
                <w:sz w:val="18"/>
                <w:szCs w:val="18"/>
              </w:rPr>
              <w:t> </w:t>
            </w:r>
            <w:r>
              <w:rPr>
                <w:rFonts w:ascii="宋体" w:hAnsi="宋体" w:cs="宋体" w:eastAsia="宋体" w:hint="default"/>
                <w:b/>
                <w:bCs/>
                <w:sz w:val="18"/>
                <w:szCs w:val="18"/>
              </w:rPr>
              <w:t>的比较说明</w:t>
            </w:r>
            <w:r>
              <w:rPr>
                <w:rFonts w:ascii="宋体" w:hAnsi="宋体" w:cs="宋体" w:eastAsia="宋体" w:hint="default"/>
                <w:sz w:val="18"/>
                <w:szCs w:val="18"/>
              </w:rPr>
            </w:r>
          </w:p>
        </w:tc>
      </w:tr>
      <w:tr>
        <w:trPr>
          <w:trHeight w:val="244"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3"/>
              <w:jc w:val="right"/>
              <w:rPr>
                <w:rFonts w:ascii="宋体" w:hAnsi="宋体" w:cs="宋体" w:eastAsia="宋体" w:hint="default"/>
                <w:sz w:val="18"/>
                <w:szCs w:val="18"/>
              </w:rPr>
            </w:pPr>
            <w:r>
              <w:rPr>
                <w:rFonts w:ascii="宋体" w:hAnsi="宋体" w:cs="宋体" w:eastAsia="宋体" w:hint="default"/>
                <w:sz w:val="18"/>
                <w:szCs w:val="18"/>
              </w:rPr>
              <w:t>叶子瑜</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6"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06"/>
              <w:jc w:val="right"/>
              <w:rPr>
                <w:rFonts w:ascii="Times New Roman" w:hAnsi="Times New Roman" w:cs="Times New Roman" w:eastAsia="Times New Roman" w:hint="default"/>
                <w:sz w:val="18"/>
                <w:szCs w:val="18"/>
              </w:rPr>
            </w:pPr>
            <w:r>
              <w:rPr>
                <w:rFonts w:ascii="Times New Roman"/>
                <w:sz w:val="18"/>
              </w:rPr>
              <w:t>161.26</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32"/>
              <w:jc w:val="right"/>
              <w:rPr>
                <w:rFonts w:ascii="Times New Roman" w:hAnsi="Times New Roman" w:cs="Times New Roman" w:eastAsia="Times New Roman" w:hint="default"/>
                <w:sz w:val="18"/>
                <w:szCs w:val="18"/>
              </w:rPr>
            </w:pPr>
            <w:r>
              <w:rPr>
                <w:rFonts w:ascii="Times New Roman"/>
                <w:sz w:val="18"/>
              </w:rPr>
              <w:t>181.59</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-11.20%</w:t>
            </w:r>
          </w:p>
        </w:tc>
        <w:tc>
          <w:tcPr>
            <w:tcW w:w="9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43.17%</w:t>
            </w:r>
          </w:p>
        </w:tc>
        <w:tc>
          <w:tcPr>
            <w:tcW w:w="1620" w:type="dxa"/>
            <w:vMerge w:val="restart"/>
            <w:tcBorders>
              <w:top w:val="single" w:sz="4" w:space="0" w:color="000000"/>
              <w:left w:val="single" w:sz="4" w:space="0" w:color="000000"/>
              <w:right w:val="single" w:sz="4" w:space="0" w:color="000000"/>
            </w:tcBorders>
          </w:tcPr>
          <w:p>
            <w:pPr>
              <w:pStyle w:val="TableParagraph"/>
              <w:spacing w:line="235" w:lineRule="auto"/>
              <w:ind w:left="103" w:right="77"/>
              <w:jc w:val="both"/>
              <w:rPr>
                <w:rFonts w:ascii="宋体" w:hAnsi="宋体" w:cs="宋体" w:eastAsia="宋体" w:hint="default"/>
                <w:sz w:val="18"/>
                <w:szCs w:val="18"/>
              </w:rPr>
            </w:pPr>
            <w:r>
              <w:rPr>
                <w:rFonts w:ascii="宋体" w:hAnsi="宋体" w:cs="宋体" w:eastAsia="宋体" w:hint="default"/>
                <w:spacing w:val="20"/>
                <w:sz w:val="18"/>
                <w:szCs w:val="18"/>
              </w:rPr>
              <w:t>面对目前全球金</w:t>
            </w:r>
            <w:r>
              <w:rPr>
                <w:rFonts w:ascii="宋体" w:hAnsi="宋体" w:cs="宋体" w:eastAsia="宋体" w:hint="default"/>
                <w:spacing w:val="-87"/>
                <w:sz w:val="18"/>
                <w:szCs w:val="18"/>
              </w:rPr>
              <w:t> </w:t>
            </w:r>
            <w:r>
              <w:rPr>
                <w:rFonts w:ascii="宋体" w:hAnsi="宋体" w:cs="宋体" w:eastAsia="宋体" w:hint="default"/>
                <w:spacing w:val="5"/>
                <w:sz w:val="18"/>
                <w:szCs w:val="18"/>
              </w:rPr>
              <w:t>融危机，</w:t>
            </w:r>
            <w:r>
              <w:rPr>
                <w:rFonts w:ascii="Times New Roman" w:hAnsi="Times New Roman" w:cs="Times New Roman" w:eastAsia="Times New Roman" w:hint="default"/>
                <w:spacing w:val="5"/>
                <w:sz w:val="18"/>
                <w:szCs w:val="18"/>
              </w:rPr>
              <w:t>2008 </w:t>
            </w:r>
            <w:r>
              <w:rPr>
                <w:rFonts w:ascii="宋体" w:hAnsi="宋体" w:cs="宋体" w:eastAsia="宋体" w:hint="default"/>
                <w:sz w:val="18"/>
                <w:szCs w:val="18"/>
              </w:rPr>
              <w:t>年 </w:t>
            </w:r>
            <w:r>
              <w:rPr>
                <w:rFonts w:ascii="宋体" w:hAnsi="宋体" w:cs="宋体" w:eastAsia="宋体" w:hint="default"/>
                <w:spacing w:val="-5"/>
                <w:sz w:val="18"/>
                <w:szCs w:val="18"/>
              </w:rPr>
              <w:t>度，尽管公司业绩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持续提升，但高管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人员主动降薪，以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增强危机意识（公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sz w:val="18"/>
                <w:szCs w:val="18"/>
              </w:rPr>
              <w:t>司员工不降薪）。</w:t>
            </w:r>
          </w:p>
        </w:tc>
      </w:tr>
      <w:tr>
        <w:trPr>
          <w:trHeight w:val="244"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3"/>
              <w:jc w:val="right"/>
              <w:rPr>
                <w:rFonts w:ascii="宋体" w:hAnsi="宋体" w:cs="宋体" w:eastAsia="宋体" w:hint="default"/>
                <w:sz w:val="18"/>
                <w:szCs w:val="18"/>
              </w:rPr>
            </w:pPr>
            <w:r>
              <w:rPr>
                <w:rFonts w:ascii="宋体" w:hAnsi="宋体" w:cs="宋体" w:eastAsia="宋体" w:hint="default"/>
                <w:sz w:val="18"/>
                <w:szCs w:val="18"/>
              </w:rPr>
              <w:t>陈振光</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06"/>
              <w:jc w:val="right"/>
              <w:rPr>
                <w:rFonts w:ascii="Times New Roman" w:hAnsi="Times New Roman" w:cs="Times New Roman" w:eastAsia="Times New Roman" w:hint="default"/>
                <w:sz w:val="18"/>
                <w:szCs w:val="18"/>
              </w:rPr>
            </w:pPr>
            <w:r>
              <w:rPr>
                <w:rFonts w:ascii="Times New Roman"/>
                <w:sz w:val="18"/>
              </w:rPr>
              <w:t>80.57</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36"/>
              <w:jc w:val="right"/>
              <w:rPr>
                <w:rFonts w:ascii="Times New Roman" w:hAnsi="Times New Roman" w:cs="Times New Roman" w:eastAsia="Times New Roman" w:hint="default"/>
                <w:sz w:val="18"/>
                <w:szCs w:val="18"/>
              </w:rPr>
            </w:pPr>
            <w:r>
              <w:rPr>
                <w:rFonts w:ascii="Times New Roman"/>
                <w:spacing w:val="-2"/>
                <w:sz w:val="18"/>
              </w:rPr>
              <w:t>117.78</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-31.59%</w:t>
            </w:r>
          </w:p>
        </w:tc>
        <w:tc>
          <w:tcPr>
            <w:tcW w:w="960" w:type="dxa"/>
            <w:vMerge/>
            <w:tcBorders>
              <w:left w:val="single" w:sz="4" w:space="0" w:color="000000"/>
              <w:right w:val="single" w:sz="4" w:space="0" w:color="000000"/>
            </w:tcBorders>
          </w:tcPr>
          <w:p>
            <w:pPr/>
          </w:p>
        </w:tc>
        <w:tc>
          <w:tcPr>
            <w:tcW w:w="1620" w:type="dxa"/>
            <w:vMerge/>
            <w:tcBorders>
              <w:left w:val="single" w:sz="4" w:space="0" w:color="000000"/>
              <w:right w:val="single" w:sz="4" w:space="0" w:color="000000"/>
            </w:tcBorders>
          </w:tcPr>
          <w:p>
            <w:pPr/>
          </w:p>
        </w:tc>
      </w:tr>
      <w:tr>
        <w:trPr>
          <w:trHeight w:val="244"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3"/>
              <w:jc w:val="right"/>
              <w:rPr>
                <w:rFonts w:ascii="宋体" w:hAnsi="宋体" w:cs="宋体" w:eastAsia="宋体" w:hint="default"/>
                <w:sz w:val="18"/>
                <w:szCs w:val="18"/>
              </w:rPr>
            </w:pPr>
            <w:r>
              <w:rPr>
                <w:rFonts w:ascii="宋体" w:hAnsi="宋体" w:cs="宋体" w:eastAsia="宋体" w:hint="default"/>
                <w:sz w:val="18"/>
                <w:szCs w:val="18"/>
              </w:rPr>
              <w:t>束  萌</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06"/>
              <w:jc w:val="right"/>
              <w:rPr>
                <w:rFonts w:ascii="Times New Roman" w:hAnsi="Times New Roman" w:cs="Times New Roman" w:eastAsia="Times New Roman" w:hint="default"/>
                <w:sz w:val="18"/>
                <w:szCs w:val="18"/>
              </w:rPr>
            </w:pPr>
            <w:r>
              <w:rPr>
                <w:rFonts w:ascii="Times New Roman"/>
                <w:sz w:val="18"/>
              </w:rPr>
              <w:t>170.03</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32"/>
              <w:jc w:val="right"/>
              <w:rPr>
                <w:rFonts w:ascii="Times New Roman" w:hAnsi="Times New Roman" w:cs="Times New Roman" w:eastAsia="Times New Roman" w:hint="default"/>
                <w:sz w:val="18"/>
                <w:szCs w:val="18"/>
              </w:rPr>
            </w:pPr>
            <w:r>
              <w:rPr>
                <w:rFonts w:ascii="Times New Roman"/>
                <w:sz w:val="18"/>
              </w:rPr>
              <w:t>174.06</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9" w:right="0"/>
              <w:jc w:val="center"/>
              <w:rPr>
                <w:rFonts w:ascii="Times New Roman" w:hAnsi="Times New Roman" w:cs="Times New Roman" w:eastAsia="Times New Roman" w:hint="default"/>
                <w:sz w:val="18"/>
                <w:szCs w:val="18"/>
              </w:rPr>
            </w:pPr>
            <w:r>
              <w:rPr>
                <w:rFonts w:ascii="Times New Roman"/>
                <w:sz w:val="18"/>
              </w:rPr>
              <w:t>-2.32%</w:t>
            </w:r>
          </w:p>
        </w:tc>
        <w:tc>
          <w:tcPr>
            <w:tcW w:w="960" w:type="dxa"/>
            <w:vMerge/>
            <w:tcBorders>
              <w:left w:val="single" w:sz="4" w:space="0" w:color="000000"/>
              <w:right w:val="single" w:sz="4" w:space="0" w:color="000000"/>
            </w:tcBorders>
          </w:tcPr>
          <w:p>
            <w:pPr/>
          </w:p>
        </w:tc>
        <w:tc>
          <w:tcPr>
            <w:tcW w:w="1620" w:type="dxa"/>
            <w:vMerge/>
            <w:tcBorders>
              <w:left w:val="single" w:sz="4" w:space="0" w:color="000000"/>
              <w:right w:val="single" w:sz="4" w:space="0" w:color="000000"/>
            </w:tcBorders>
          </w:tcPr>
          <w:p>
            <w:pPr/>
          </w:p>
        </w:tc>
      </w:tr>
      <w:tr>
        <w:trPr>
          <w:trHeight w:val="244"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3"/>
              <w:jc w:val="right"/>
              <w:rPr>
                <w:rFonts w:ascii="宋体" w:hAnsi="宋体" w:cs="宋体" w:eastAsia="宋体" w:hint="default"/>
                <w:sz w:val="18"/>
                <w:szCs w:val="18"/>
              </w:rPr>
            </w:pPr>
            <w:r>
              <w:rPr>
                <w:rFonts w:ascii="宋体" w:hAnsi="宋体" w:cs="宋体" w:eastAsia="宋体" w:hint="default"/>
                <w:sz w:val="18"/>
                <w:szCs w:val="18"/>
              </w:rPr>
              <w:t>曾  文</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06"/>
              <w:jc w:val="right"/>
              <w:rPr>
                <w:rFonts w:ascii="Times New Roman" w:hAnsi="Times New Roman" w:cs="Times New Roman" w:eastAsia="Times New Roman" w:hint="default"/>
                <w:sz w:val="18"/>
                <w:szCs w:val="18"/>
              </w:rPr>
            </w:pPr>
            <w:r>
              <w:rPr>
                <w:rFonts w:ascii="Times New Roman"/>
                <w:sz w:val="18"/>
              </w:rPr>
              <w:t>80.38</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32"/>
              <w:jc w:val="right"/>
              <w:rPr>
                <w:rFonts w:ascii="Times New Roman" w:hAnsi="Times New Roman" w:cs="Times New Roman" w:eastAsia="Times New Roman" w:hint="default"/>
                <w:sz w:val="18"/>
                <w:szCs w:val="18"/>
              </w:rPr>
            </w:pPr>
            <w:r>
              <w:rPr>
                <w:rFonts w:ascii="Times New Roman"/>
                <w:sz w:val="18"/>
              </w:rPr>
              <w:t>95.64</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-15.96%</w:t>
            </w:r>
          </w:p>
        </w:tc>
        <w:tc>
          <w:tcPr>
            <w:tcW w:w="960" w:type="dxa"/>
            <w:vMerge/>
            <w:tcBorders>
              <w:left w:val="single" w:sz="4" w:space="0" w:color="000000"/>
              <w:right w:val="single" w:sz="4" w:space="0" w:color="000000"/>
            </w:tcBorders>
          </w:tcPr>
          <w:p>
            <w:pPr/>
          </w:p>
        </w:tc>
        <w:tc>
          <w:tcPr>
            <w:tcW w:w="1620" w:type="dxa"/>
            <w:vMerge/>
            <w:tcBorders>
              <w:left w:val="single" w:sz="4" w:space="0" w:color="000000"/>
              <w:right w:val="single" w:sz="4" w:space="0" w:color="000000"/>
            </w:tcBorders>
          </w:tcPr>
          <w:p>
            <w:pPr/>
          </w:p>
        </w:tc>
      </w:tr>
      <w:tr>
        <w:trPr>
          <w:trHeight w:val="244"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3"/>
              <w:jc w:val="right"/>
              <w:rPr>
                <w:rFonts w:ascii="宋体" w:hAnsi="宋体" w:cs="宋体" w:eastAsia="宋体" w:hint="default"/>
                <w:sz w:val="18"/>
                <w:szCs w:val="18"/>
              </w:rPr>
            </w:pPr>
            <w:r>
              <w:rPr>
                <w:rFonts w:ascii="宋体" w:hAnsi="宋体" w:cs="宋体" w:eastAsia="宋体" w:hint="default"/>
                <w:sz w:val="18"/>
                <w:szCs w:val="18"/>
              </w:rPr>
              <w:t>陈建良</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06"/>
              <w:jc w:val="right"/>
              <w:rPr>
                <w:rFonts w:ascii="Times New Roman" w:hAnsi="Times New Roman" w:cs="Times New Roman" w:eastAsia="Times New Roman" w:hint="default"/>
                <w:sz w:val="18"/>
                <w:szCs w:val="18"/>
              </w:rPr>
            </w:pPr>
            <w:r>
              <w:rPr>
                <w:rFonts w:ascii="Times New Roman"/>
                <w:sz w:val="18"/>
              </w:rPr>
              <w:t>84.42</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32"/>
              <w:jc w:val="right"/>
              <w:rPr>
                <w:rFonts w:ascii="Times New Roman" w:hAnsi="Times New Roman" w:cs="Times New Roman" w:eastAsia="Times New Roman" w:hint="default"/>
                <w:sz w:val="18"/>
                <w:szCs w:val="18"/>
              </w:rPr>
            </w:pPr>
            <w:r>
              <w:rPr>
                <w:rFonts w:ascii="Times New Roman"/>
                <w:sz w:val="18"/>
              </w:rPr>
              <w:t>97.20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-13.15%</w:t>
            </w:r>
          </w:p>
        </w:tc>
        <w:tc>
          <w:tcPr>
            <w:tcW w:w="960" w:type="dxa"/>
            <w:vMerge/>
            <w:tcBorders>
              <w:left w:val="single" w:sz="4" w:space="0" w:color="000000"/>
              <w:right w:val="single" w:sz="4" w:space="0" w:color="000000"/>
            </w:tcBorders>
          </w:tcPr>
          <w:p>
            <w:pPr/>
          </w:p>
        </w:tc>
        <w:tc>
          <w:tcPr>
            <w:tcW w:w="1620" w:type="dxa"/>
            <w:vMerge/>
            <w:tcBorders>
              <w:left w:val="single" w:sz="4" w:space="0" w:color="000000"/>
              <w:right w:val="single" w:sz="4" w:space="0" w:color="000000"/>
            </w:tcBorders>
          </w:tcPr>
          <w:p>
            <w:pPr/>
          </w:p>
        </w:tc>
      </w:tr>
      <w:tr>
        <w:trPr>
          <w:trHeight w:val="242"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3"/>
              <w:jc w:val="right"/>
              <w:rPr>
                <w:rFonts w:ascii="宋体" w:hAnsi="宋体" w:cs="宋体" w:eastAsia="宋体" w:hint="default"/>
                <w:sz w:val="18"/>
                <w:szCs w:val="18"/>
              </w:rPr>
            </w:pPr>
            <w:r>
              <w:rPr>
                <w:rFonts w:ascii="宋体" w:hAnsi="宋体" w:cs="宋体" w:eastAsia="宋体" w:hint="default"/>
                <w:sz w:val="18"/>
                <w:szCs w:val="18"/>
              </w:rPr>
              <w:t>李叶东</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06"/>
              <w:jc w:val="right"/>
              <w:rPr>
                <w:rFonts w:ascii="Times New Roman" w:hAnsi="Times New Roman" w:cs="Times New Roman" w:eastAsia="Times New Roman" w:hint="default"/>
                <w:sz w:val="18"/>
                <w:szCs w:val="18"/>
              </w:rPr>
            </w:pPr>
            <w:r>
              <w:rPr>
                <w:rFonts w:ascii="Times New Roman"/>
                <w:sz w:val="18"/>
              </w:rPr>
              <w:t>80.62</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36"/>
              <w:jc w:val="right"/>
              <w:rPr>
                <w:rFonts w:ascii="Times New Roman" w:hAnsi="Times New Roman" w:cs="Times New Roman" w:eastAsia="Times New Roman" w:hint="default"/>
                <w:sz w:val="18"/>
                <w:szCs w:val="18"/>
              </w:rPr>
            </w:pPr>
            <w:r>
              <w:rPr>
                <w:rFonts w:ascii="Times New Roman"/>
                <w:spacing w:val="-2"/>
                <w:sz w:val="18"/>
              </w:rPr>
              <w:t>90.11</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-10.53%</w:t>
            </w:r>
          </w:p>
        </w:tc>
        <w:tc>
          <w:tcPr>
            <w:tcW w:w="960" w:type="dxa"/>
            <w:vMerge/>
            <w:tcBorders>
              <w:left w:val="single" w:sz="4" w:space="0" w:color="000000"/>
              <w:right w:val="single" w:sz="4" w:space="0" w:color="000000"/>
            </w:tcBorders>
          </w:tcPr>
          <w:p>
            <w:pPr/>
          </w:p>
        </w:tc>
        <w:tc>
          <w:tcPr>
            <w:tcW w:w="1620" w:type="dxa"/>
            <w:vMerge/>
            <w:tcBorders>
              <w:left w:val="single" w:sz="4" w:space="0" w:color="000000"/>
              <w:right w:val="single" w:sz="4" w:space="0" w:color="000000"/>
            </w:tcBorders>
          </w:tcPr>
          <w:p>
            <w:pPr/>
          </w:p>
        </w:tc>
      </w:tr>
      <w:tr>
        <w:trPr>
          <w:trHeight w:val="244"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3"/>
              <w:jc w:val="right"/>
              <w:rPr>
                <w:rFonts w:ascii="宋体" w:hAnsi="宋体" w:cs="宋体" w:eastAsia="宋体" w:hint="default"/>
                <w:sz w:val="18"/>
                <w:szCs w:val="18"/>
              </w:rPr>
            </w:pPr>
            <w:r>
              <w:rPr>
                <w:rFonts w:ascii="宋体" w:hAnsi="宋体" w:cs="宋体" w:eastAsia="宋体" w:hint="default"/>
                <w:sz w:val="18"/>
                <w:szCs w:val="18"/>
              </w:rPr>
              <w:t>蒋春晨</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06"/>
              <w:jc w:val="right"/>
              <w:rPr>
                <w:rFonts w:ascii="Times New Roman" w:hAnsi="Times New Roman" w:cs="Times New Roman" w:eastAsia="Times New Roman" w:hint="default"/>
                <w:sz w:val="18"/>
                <w:szCs w:val="18"/>
              </w:rPr>
            </w:pPr>
            <w:r>
              <w:rPr>
                <w:rFonts w:ascii="Times New Roman"/>
                <w:sz w:val="18"/>
              </w:rPr>
              <w:t>42.57</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32"/>
              <w:jc w:val="right"/>
              <w:rPr>
                <w:rFonts w:ascii="Times New Roman" w:hAnsi="Times New Roman" w:cs="Times New Roman" w:eastAsia="Times New Roman" w:hint="default"/>
                <w:sz w:val="18"/>
                <w:szCs w:val="18"/>
              </w:rPr>
            </w:pPr>
            <w:r>
              <w:rPr>
                <w:rFonts w:ascii="Times New Roman"/>
                <w:sz w:val="18"/>
              </w:rPr>
              <w:t>48.60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-12.41%</w:t>
            </w:r>
          </w:p>
        </w:tc>
        <w:tc>
          <w:tcPr>
            <w:tcW w:w="960" w:type="dxa"/>
            <w:vMerge/>
            <w:tcBorders>
              <w:left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r>
      <w:tr>
        <w:trPr>
          <w:trHeight w:val="478"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3"/>
              <w:jc w:val="right"/>
              <w:rPr>
                <w:rFonts w:ascii="宋体" w:hAnsi="宋体" w:cs="宋体" w:eastAsia="宋体" w:hint="default"/>
                <w:sz w:val="18"/>
                <w:szCs w:val="18"/>
              </w:rPr>
            </w:pPr>
            <w:r>
              <w:rPr>
                <w:rFonts w:ascii="宋体" w:hAnsi="宋体" w:cs="宋体" w:eastAsia="宋体" w:hint="default"/>
                <w:sz w:val="18"/>
                <w:szCs w:val="18"/>
              </w:rPr>
              <w:t>任  斌</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66"/>
              <w:jc w:val="right"/>
              <w:rPr>
                <w:rFonts w:ascii="宋体" w:hAnsi="宋体" w:cs="宋体" w:eastAsia="宋体" w:hint="default"/>
                <w:sz w:val="18"/>
                <w:szCs w:val="18"/>
              </w:rPr>
            </w:pPr>
            <w:r>
              <w:rPr>
                <w:rFonts w:ascii="宋体" w:hAnsi="宋体" w:cs="宋体" w:eastAsia="宋体" w:hint="default"/>
                <w:sz w:val="18"/>
                <w:szCs w:val="18"/>
              </w:rPr>
              <w:t>董事、董事会秘书</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406"/>
              <w:jc w:val="right"/>
              <w:rPr>
                <w:rFonts w:ascii="Times New Roman" w:hAnsi="Times New Roman" w:cs="Times New Roman" w:eastAsia="Times New Roman" w:hint="default"/>
                <w:sz w:val="18"/>
                <w:szCs w:val="18"/>
              </w:rPr>
            </w:pPr>
            <w:r>
              <w:rPr>
                <w:rFonts w:ascii="Times New Roman"/>
                <w:sz w:val="18"/>
              </w:rPr>
              <w:t>33.24</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432"/>
              <w:jc w:val="right"/>
              <w:rPr>
                <w:rFonts w:ascii="Times New Roman" w:hAnsi="Times New Roman" w:cs="Times New Roman" w:eastAsia="Times New Roman" w:hint="default"/>
                <w:sz w:val="18"/>
                <w:szCs w:val="18"/>
              </w:rPr>
            </w:pPr>
            <w:r>
              <w:rPr>
                <w:rFonts w:ascii="Times New Roman"/>
                <w:sz w:val="18"/>
              </w:rPr>
              <w:t>3.40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60" w:type="dxa"/>
            <w:vMerge/>
            <w:tcBorders>
              <w:left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年从</w:t>
            </w:r>
            <w:r>
              <w:rPr>
                <w:rFonts w:ascii="宋体" w:hAnsi="宋体" w:cs="宋体" w:eastAsia="宋体" w:hint="default"/>
                <w:spacing w:val="-40"/>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月开</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始领薪</w:t>
            </w:r>
          </w:p>
        </w:tc>
      </w:tr>
      <w:tr>
        <w:trPr>
          <w:trHeight w:val="244"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3"/>
              <w:jc w:val="right"/>
              <w:rPr>
                <w:rFonts w:ascii="宋体" w:hAnsi="宋体" w:cs="宋体" w:eastAsia="宋体" w:hint="default"/>
                <w:sz w:val="18"/>
                <w:szCs w:val="18"/>
              </w:rPr>
            </w:pPr>
            <w:r>
              <w:rPr>
                <w:rFonts w:ascii="宋体" w:hAnsi="宋体" w:cs="宋体" w:eastAsia="宋体" w:hint="default"/>
                <w:sz w:val="18"/>
                <w:szCs w:val="18"/>
              </w:rPr>
              <w:t>冯丰穗</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pacing w:val="-6"/>
                <w:sz w:val="18"/>
                <w:szCs w:val="18"/>
              </w:rPr>
              <w:t>职工监事、工会主席</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06"/>
              <w:jc w:val="right"/>
              <w:rPr>
                <w:rFonts w:ascii="Times New Roman" w:hAnsi="Times New Roman" w:cs="Times New Roman" w:eastAsia="Times New Roman" w:hint="default"/>
                <w:sz w:val="18"/>
                <w:szCs w:val="18"/>
              </w:rPr>
            </w:pPr>
            <w:r>
              <w:rPr>
                <w:rFonts w:ascii="Times New Roman"/>
                <w:sz w:val="18"/>
              </w:rPr>
              <w:t>12.98</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36"/>
              <w:jc w:val="right"/>
              <w:rPr>
                <w:rFonts w:ascii="Times New Roman" w:hAnsi="Times New Roman" w:cs="Times New Roman" w:eastAsia="Times New Roman" w:hint="default"/>
                <w:sz w:val="18"/>
                <w:szCs w:val="18"/>
              </w:rPr>
            </w:pPr>
            <w:r>
              <w:rPr>
                <w:rFonts w:ascii="Times New Roman"/>
                <w:spacing w:val="-2"/>
                <w:sz w:val="18"/>
              </w:rPr>
              <w:t>11.38</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14.06%</w:t>
            </w:r>
          </w:p>
        </w:tc>
        <w:tc>
          <w:tcPr>
            <w:tcW w:w="960" w:type="dxa"/>
            <w:vMerge/>
            <w:tcBorders>
              <w:left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778"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  计</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06"/>
              <w:jc w:val="right"/>
              <w:rPr>
                <w:rFonts w:ascii="Times New Roman" w:hAnsi="Times New Roman" w:cs="Times New Roman" w:eastAsia="Times New Roman" w:hint="default"/>
                <w:sz w:val="18"/>
                <w:szCs w:val="18"/>
              </w:rPr>
            </w:pPr>
            <w:r>
              <w:rPr>
                <w:rFonts w:ascii="Times New Roman"/>
                <w:sz w:val="18"/>
              </w:rPr>
              <w:t>746.07</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32"/>
              <w:jc w:val="right"/>
              <w:rPr>
                <w:rFonts w:ascii="Times New Roman" w:hAnsi="Times New Roman" w:cs="Times New Roman" w:eastAsia="Times New Roman" w:hint="default"/>
                <w:sz w:val="18"/>
                <w:szCs w:val="18"/>
              </w:rPr>
            </w:pPr>
            <w:r>
              <w:rPr>
                <w:rFonts w:ascii="Times New Roman"/>
                <w:sz w:val="18"/>
              </w:rPr>
              <w:t>819.76</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9" w:right="0"/>
              <w:jc w:val="center"/>
              <w:rPr>
                <w:rFonts w:ascii="Times New Roman" w:hAnsi="Times New Roman" w:cs="Times New Roman" w:eastAsia="Times New Roman" w:hint="default"/>
                <w:sz w:val="18"/>
                <w:szCs w:val="18"/>
              </w:rPr>
            </w:pPr>
            <w:r>
              <w:rPr>
                <w:rFonts w:ascii="Times New Roman"/>
                <w:sz w:val="18"/>
              </w:rPr>
              <w:t>-8.99%</w:t>
            </w:r>
          </w:p>
        </w:tc>
        <w:tc>
          <w:tcPr>
            <w:tcW w:w="960" w:type="dxa"/>
            <w:vMerge/>
            <w:tcBorders>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400" w:footer="982" w:top="1100" w:bottom="1180" w:left="1440" w:right="1420"/>
        </w:sectPr>
      </w:pPr>
    </w:p>
    <w:p>
      <w:pPr>
        <w:spacing w:line="240" w:lineRule="auto" w:before="1"/>
        <w:rPr>
          <w:rFonts w:ascii="宋体" w:hAnsi="宋体" w:cs="宋体" w:eastAsia="宋体" w:hint="default"/>
          <w:sz w:val="19"/>
          <w:szCs w:val="19"/>
        </w:rPr>
      </w:pPr>
    </w:p>
    <w:p>
      <w:pPr>
        <w:pStyle w:val="BodyText"/>
        <w:spacing w:line="240" w:lineRule="auto" w:before="35"/>
        <w:ind w:left="560" w:right="1090"/>
        <w:jc w:val="left"/>
      </w:pPr>
      <w:r>
        <w:rPr>
          <w:rFonts w:ascii="Times New Roman" w:hAnsi="Times New Roman" w:cs="Times New Roman" w:eastAsia="Times New Roman" w:hint="default"/>
        </w:rPr>
        <w:t>19</w:t>
      </w:r>
      <w:r>
        <w:rPr/>
        <w:t>、主要控股公司及参股公司的经营情况及业绩</w:t>
      </w:r>
    </w:p>
    <w:p>
      <w:pPr>
        <w:pStyle w:val="BodyText"/>
        <w:spacing w:line="240" w:lineRule="auto" w:before="170"/>
        <w:ind w:left="560" w:right="1090"/>
        <w:jc w:val="left"/>
      </w:pPr>
      <w:r>
        <w:rPr/>
        <w:t>（</w:t>
      </w:r>
      <w:r>
        <w:rPr>
          <w:rFonts w:ascii="Times New Roman" w:hAnsi="Times New Roman" w:cs="Times New Roman" w:eastAsia="Times New Roman" w:hint="default"/>
        </w:rPr>
        <w:t>1</w:t>
      </w:r>
      <w:r>
        <w:rPr/>
        <w:t>）全资子公司——深圳银通</w:t>
      </w:r>
    </w:p>
    <w:p>
      <w:pPr>
        <w:pStyle w:val="BodyText"/>
        <w:spacing w:line="240" w:lineRule="auto" w:before="169"/>
        <w:ind w:left="560" w:right="0"/>
        <w:jc w:val="left"/>
      </w:pPr>
      <w:r>
        <w:rPr/>
        <w:t>深圳银通成立于</w:t>
      </w:r>
      <w:r>
        <w:rPr>
          <w:spacing w:val="-56"/>
        </w:rPr>
        <w:t> </w:t>
      </w:r>
      <w:r>
        <w:rPr>
          <w:rFonts w:ascii="Times New Roman" w:hAnsi="Times New Roman" w:cs="Times New Roman" w:eastAsia="Times New Roman" w:hint="default"/>
        </w:rPr>
        <w:t>2004</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spacing w:val="-3"/>
        </w:rPr>
        <w:t>日，注册资本为人民币</w:t>
      </w:r>
      <w:r>
        <w:rPr>
          <w:spacing w:val="-56"/>
        </w:rPr>
        <w:t> </w:t>
      </w:r>
      <w:r>
        <w:rPr>
          <w:rFonts w:ascii="Times New Roman" w:hAnsi="Times New Roman" w:cs="Times New Roman" w:eastAsia="Times New Roman" w:hint="default"/>
        </w:rPr>
        <w:t>6,500</w:t>
      </w:r>
      <w:r>
        <w:rPr>
          <w:rFonts w:ascii="Times New Roman" w:hAnsi="Times New Roman" w:cs="Times New Roman" w:eastAsia="Times New Roman" w:hint="default"/>
          <w:spacing w:val="-4"/>
        </w:rPr>
        <w:t> </w:t>
      </w:r>
      <w:r>
        <w:rPr/>
        <w:t>万元，注册地为深圳市福</w:t>
      </w:r>
    </w:p>
    <w:p>
      <w:pPr>
        <w:pStyle w:val="BodyText"/>
        <w:spacing w:line="288" w:lineRule="auto"/>
        <w:ind w:left="139" w:right="136"/>
        <w:jc w:val="both"/>
      </w:pPr>
      <w:r>
        <w:rPr/>
        <w:t>田区深南路竹子林博园商务大厦</w:t>
      </w:r>
      <w:r>
        <w:rPr>
          <w:spacing w:val="-44"/>
        </w:rPr>
        <w:t> </w:t>
      </w:r>
      <w:r>
        <w:rPr>
          <w:rFonts w:ascii="Times New Roman" w:hAnsi="Times New Roman" w:cs="Times New Roman" w:eastAsia="Times New Roman" w:hint="default"/>
        </w:rPr>
        <w:t>805</w:t>
      </w:r>
      <w:r>
        <w:rPr>
          <w:rFonts w:ascii="Times New Roman" w:hAnsi="Times New Roman" w:cs="Times New Roman" w:eastAsia="Times New Roman" w:hint="default"/>
          <w:spacing w:val="9"/>
        </w:rPr>
        <w:t> </w:t>
      </w:r>
      <w:r>
        <w:rPr>
          <w:spacing w:val="-5"/>
        </w:rPr>
        <w:t>房，法定代表人为赵友永，经营范围为研发、生产经营</w:t>
      </w:r>
      <w:r>
        <w:rPr>
          <w:spacing w:val="-103"/>
        </w:rPr>
        <w:t> </w:t>
      </w:r>
      <w:r>
        <w:rPr>
          <w:spacing w:val="-103"/>
        </w:rPr>
      </w:r>
      <w:r>
        <w:rPr>
          <w:spacing w:val="-3"/>
        </w:rPr>
        <w:t>金融电子设备、从事金融电子系统软件开发、金融电子系统集成，并提供相关的技术支持和</w:t>
      </w:r>
      <w:r>
        <w:rPr>
          <w:spacing w:val="-81"/>
        </w:rPr>
        <w:t> </w:t>
      </w:r>
      <w:r>
        <w:rPr>
          <w:spacing w:val="-81"/>
        </w:rPr>
      </w:r>
      <w:r>
        <w:rPr/>
        <w:t>服务。截止</w:t>
      </w:r>
      <w:r>
        <w:rPr>
          <w:spacing w:val="-54"/>
        </w:rPr>
        <w:t> </w:t>
      </w:r>
      <w:r>
        <w:rPr>
          <w:rFonts w:ascii="Times New Roman" w:hAnsi="Times New Roman" w:cs="Times New Roman" w:eastAsia="Times New Roman" w:hint="default"/>
        </w:rPr>
        <w:t>2008 </w:t>
      </w:r>
      <w:r>
        <w:rPr/>
        <w:t>年</w:t>
      </w:r>
      <w:r>
        <w:rPr>
          <w:spacing w:val="-55"/>
        </w:rPr>
        <w:t> </w:t>
      </w:r>
      <w:r>
        <w:rPr>
          <w:rFonts w:ascii="Times New Roman" w:hAnsi="Times New Roman" w:cs="Times New Roman" w:eastAsia="Times New Roman" w:hint="default"/>
        </w:rPr>
        <w:t>12 </w:t>
      </w:r>
      <w:r>
        <w:rPr/>
        <w:t>月</w:t>
      </w:r>
      <w:r>
        <w:rPr>
          <w:spacing w:val="-55"/>
        </w:rPr>
        <w:t> </w:t>
      </w:r>
      <w:r>
        <w:rPr>
          <w:rFonts w:ascii="Times New Roman" w:hAnsi="Times New Roman" w:cs="Times New Roman" w:eastAsia="Times New Roman" w:hint="default"/>
        </w:rPr>
        <w:t>31 </w:t>
      </w:r>
      <w:r>
        <w:rPr/>
        <w:t>日，深圳银通总资产为</w:t>
      </w:r>
      <w:r>
        <w:rPr>
          <w:spacing w:val="-54"/>
        </w:rPr>
        <w:t> </w:t>
      </w:r>
      <w:r>
        <w:rPr>
          <w:rFonts w:ascii="Times New Roman" w:hAnsi="Times New Roman" w:cs="Times New Roman" w:eastAsia="Times New Roman" w:hint="default"/>
        </w:rPr>
        <w:t>13,948.68</w:t>
      </w:r>
      <w:r>
        <w:rPr>
          <w:rFonts w:ascii="Times New Roman" w:hAnsi="Times New Roman" w:cs="Times New Roman" w:eastAsia="Times New Roman" w:hint="default"/>
          <w:spacing w:val="-2"/>
        </w:rPr>
        <w:t> </w:t>
      </w:r>
      <w:r>
        <w:rPr/>
        <w:t>万元，净资产为</w:t>
      </w:r>
      <w:r>
        <w:rPr>
          <w:spacing w:val="-54"/>
        </w:rPr>
        <w:t> </w:t>
      </w:r>
      <w:r>
        <w:rPr>
          <w:rFonts w:ascii="Times New Roman" w:hAnsi="Times New Roman" w:cs="Times New Roman" w:eastAsia="Times New Roman" w:hint="default"/>
        </w:rPr>
        <w:t>12,938.72</w:t>
      </w:r>
      <w:r>
        <w:rPr>
          <w:rFonts w:ascii="Times New Roman" w:hAnsi="Times New Roman" w:cs="Times New Roman" w:eastAsia="Times New Roman" w:hint="default"/>
          <w:spacing w:val="-1"/>
        </w:rPr>
        <w:t> </w:t>
      </w:r>
      <w:r>
        <w:rPr/>
        <w:t>万</w:t>
      </w:r>
    </w:p>
    <w:p>
      <w:pPr>
        <w:pStyle w:val="BodyText"/>
        <w:spacing w:line="280" w:lineRule="auto" w:before="3"/>
        <w:ind w:left="138" w:right="138"/>
        <w:jc w:val="both"/>
      </w:pPr>
      <w:r>
        <w:rPr>
          <w:spacing w:val="-1"/>
        </w:rPr>
        <w:t>元，</w:t>
      </w:r>
      <w:r>
        <w:rPr>
          <w:rFonts w:ascii="Times New Roman" w:hAnsi="Times New Roman" w:cs="Times New Roman" w:eastAsia="Times New Roman" w:hint="default"/>
          <w:spacing w:val="-1"/>
        </w:rPr>
        <w:t>2008</w:t>
      </w:r>
      <w:r>
        <w:rPr>
          <w:rFonts w:ascii="Times New Roman" w:hAnsi="Times New Roman" w:cs="Times New Roman" w:eastAsia="Times New Roman" w:hint="default"/>
        </w:rPr>
        <w:t> </w:t>
      </w:r>
      <w:r>
        <w:rPr>
          <w:spacing w:val="-1"/>
        </w:rPr>
        <w:t>年度净利润为</w:t>
      </w:r>
      <w:r>
        <w:rPr/>
        <w:t> </w:t>
      </w:r>
      <w:r>
        <w:rPr>
          <w:rFonts w:ascii="Times New Roman" w:hAnsi="Times New Roman" w:cs="Times New Roman" w:eastAsia="Times New Roman" w:hint="default"/>
          <w:spacing w:val="-1"/>
        </w:rPr>
        <w:t>1,570.02</w:t>
      </w:r>
      <w:r>
        <w:rPr>
          <w:rFonts w:ascii="Times New Roman" w:hAnsi="Times New Roman" w:cs="Times New Roman" w:eastAsia="Times New Roman" w:hint="default"/>
        </w:rPr>
        <w:t> </w:t>
      </w:r>
      <w:r>
        <w:rPr>
          <w:spacing w:val="-5"/>
        </w:rPr>
        <w:t>万元（经立信羊城会计师事务所有限公司审计），比</w:t>
      </w:r>
      <w:r>
        <w:rPr>
          <w:spacing w:val="-74"/>
        </w:rPr>
        <w:t> </w:t>
      </w:r>
      <w:r>
        <w:rPr>
          <w:rFonts w:ascii="Times New Roman" w:hAnsi="Times New Roman" w:cs="Times New Roman" w:eastAsia="Times New Roman" w:hint="default"/>
          <w:spacing w:val="-1"/>
        </w:rPr>
        <w:t>2007</w:t>
      </w:r>
      <w:r>
        <w:rPr>
          <w:rFonts w:ascii="Times New Roman" w:hAnsi="Times New Roman" w:cs="Times New Roman" w:eastAsia="Times New Roman" w:hint="default"/>
        </w:rPr>
        <w:t> </w:t>
      </w:r>
      <w:r>
        <w:rPr/>
        <w:t>年度增长</w:t>
      </w:r>
      <w:r>
        <w:rPr>
          <w:spacing w:val="-10"/>
        </w:rPr>
        <w:t> </w:t>
      </w:r>
      <w:r>
        <w:rPr>
          <w:rFonts w:ascii="Times New Roman" w:hAnsi="Times New Roman" w:cs="Times New Roman" w:eastAsia="Times New Roman" w:hint="default"/>
        </w:rPr>
        <w:t>43.64%</w:t>
      </w:r>
      <w:r>
        <w:rPr/>
        <w:t>，现无对外投资的控股、参股企业。目前，深圳银通主要从事货币自动处 理设备的维护服务及</w:t>
      </w:r>
      <w:r>
        <w:rPr>
          <w:spacing w:val="-54"/>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2"/>
        </w:rPr>
        <w:t> </w:t>
      </w:r>
      <w:r>
        <w:rPr/>
        <w:t>营运业务。</w:t>
      </w:r>
    </w:p>
    <w:p>
      <w:pPr>
        <w:pStyle w:val="BodyText"/>
        <w:spacing w:line="292" w:lineRule="auto" w:before="129"/>
        <w:ind w:left="138" w:right="137" w:firstLine="420"/>
        <w:jc w:val="both"/>
      </w:pPr>
      <w:r>
        <w:rPr>
          <w:spacing w:val="-3"/>
        </w:rPr>
        <w:t>报告期内，为应对快速增长的服务规模，深圳银通加大对服务的投入力度，在提升公司</w:t>
      </w:r>
      <w:r>
        <w:rPr/>
        <w:t> </w:t>
      </w:r>
      <w:r>
        <w:rPr>
          <w:spacing w:val="-3"/>
        </w:rPr>
        <w:t>整体服务运作管理水平、加大员工培训力度、增强一线服务人员战斗力的同时，新增服务网</w:t>
      </w:r>
      <w:r>
        <w:rPr>
          <w:spacing w:val="-81"/>
        </w:rPr>
        <w:t> </w:t>
      </w:r>
      <w:r>
        <w:rPr>
          <w:spacing w:val="-81"/>
        </w:rPr>
      </w:r>
      <w:r>
        <w:rPr/>
        <w:t>点</w:t>
      </w:r>
      <w:r>
        <w:rPr>
          <w:spacing w:val="-53"/>
        </w:rPr>
        <w:t> </w:t>
      </w:r>
      <w:r>
        <w:rPr>
          <w:rFonts w:ascii="Times New Roman" w:hAnsi="Times New Roman" w:cs="Times New Roman" w:eastAsia="Times New Roman" w:hint="default"/>
        </w:rPr>
        <w:t>72</w:t>
      </w:r>
      <w:r>
        <w:rPr>
          <w:rFonts w:ascii="Times New Roman" w:hAnsi="Times New Roman" w:cs="Times New Roman" w:eastAsia="Times New Roman" w:hint="default"/>
          <w:spacing w:val="1"/>
        </w:rPr>
        <w:t> </w:t>
      </w:r>
      <w:r>
        <w:rPr/>
        <w:t>个，使深圳银通服务网点由年初的</w:t>
      </w:r>
      <w:r>
        <w:rPr>
          <w:spacing w:val="-53"/>
        </w:rPr>
        <w:t> </w:t>
      </w:r>
      <w:r>
        <w:rPr>
          <w:rFonts w:ascii="Times New Roman" w:hAnsi="Times New Roman" w:cs="Times New Roman" w:eastAsia="Times New Roman" w:hint="default"/>
        </w:rPr>
        <w:t>102</w:t>
      </w:r>
      <w:r>
        <w:rPr>
          <w:rFonts w:ascii="Times New Roman" w:hAnsi="Times New Roman" w:cs="Times New Roman" w:eastAsia="Times New Roman" w:hint="default"/>
          <w:spacing w:val="1"/>
        </w:rPr>
        <w:t> </w:t>
      </w:r>
      <w:r>
        <w:rPr/>
        <w:t>个增加至</w:t>
      </w:r>
      <w:r>
        <w:rPr>
          <w:spacing w:val="-53"/>
        </w:rPr>
        <w:t> </w:t>
      </w:r>
      <w:r>
        <w:rPr>
          <w:rFonts w:ascii="Times New Roman" w:hAnsi="Times New Roman" w:cs="Times New Roman" w:eastAsia="Times New Roman" w:hint="default"/>
        </w:rPr>
        <w:t>174</w:t>
      </w:r>
      <w:r>
        <w:rPr>
          <w:rFonts w:ascii="Times New Roman" w:hAnsi="Times New Roman" w:cs="Times New Roman" w:eastAsia="Times New Roman" w:hint="default"/>
          <w:spacing w:val="-1"/>
        </w:rPr>
        <w:t> </w:t>
      </w:r>
      <w:r>
        <w:rPr/>
        <w:t>个，总体客户满意度和设备运行 </w:t>
      </w:r>
      <w:r>
        <w:rPr>
          <w:spacing w:val="-3"/>
        </w:rPr>
        <w:t>质量逐步提升。在奥运服务保障项目中，深圳银通完美兑现“要求更高、响应更快、服务更</w:t>
      </w:r>
      <w:r>
        <w:rPr>
          <w:spacing w:val="-84"/>
        </w:rPr>
        <w:t> </w:t>
      </w:r>
      <w:r>
        <w:rPr>
          <w:spacing w:val="-84"/>
        </w:rPr>
      </w:r>
      <w:r>
        <w:rPr/>
        <w:t>强”的奥运服务保障承诺，获得客户高度认可。</w:t>
      </w:r>
    </w:p>
    <w:p>
      <w:pPr>
        <w:pStyle w:val="BodyText"/>
        <w:spacing w:line="240" w:lineRule="auto" w:before="139"/>
        <w:ind w:left="558" w:right="1090"/>
        <w:jc w:val="left"/>
      </w:pPr>
      <w:r>
        <w:rPr/>
        <w:t>（</w:t>
      </w:r>
      <w:r>
        <w:rPr>
          <w:rFonts w:ascii="Times New Roman" w:hAnsi="Times New Roman" w:cs="Times New Roman" w:eastAsia="Times New Roman" w:hint="default"/>
        </w:rPr>
        <w:t>2</w:t>
      </w:r>
      <w:r>
        <w:rPr/>
        <w:t>）全资</w:t>
      </w:r>
      <w:r>
        <w:rPr>
          <w:spacing w:val="-2"/>
        </w:rPr>
        <w:t>子</w:t>
      </w:r>
      <w:r>
        <w:rPr/>
        <w:t>公司——广电运通国际有限公司（以下简称“运通国际</w:t>
      </w:r>
      <w:r>
        <w:rPr>
          <w:spacing w:val="-105"/>
        </w:rPr>
        <w:t>”</w:t>
      </w:r>
      <w:r>
        <w:rPr/>
        <w:t>）</w:t>
      </w:r>
    </w:p>
    <w:p>
      <w:pPr>
        <w:pStyle w:val="BodyText"/>
        <w:spacing w:line="240" w:lineRule="auto" w:before="169"/>
        <w:ind w:left="558" w:right="0"/>
        <w:jc w:val="left"/>
      </w:pPr>
      <w:r>
        <w:rPr/>
        <w:t>运通国际</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7 </w:t>
      </w:r>
      <w:r>
        <w:rPr/>
        <w:t>日取得《公司注册证书</w:t>
      </w:r>
      <w:r>
        <w:rPr>
          <w:spacing w:val="-106"/>
        </w:rPr>
        <w:t>》</w:t>
      </w:r>
      <w:r>
        <w:rPr/>
        <w:t>，注册资本为</w:t>
      </w:r>
      <w:r>
        <w:rPr>
          <w:spacing w:val="-52"/>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万美</w:t>
      </w:r>
      <w:r>
        <w:rPr>
          <w:spacing w:val="-2"/>
        </w:rPr>
        <w:t>元</w:t>
      </w:r>
      <w:r>
        <w:rPr/>
        <w:t>，地址为香</w:t>
      </w:r>
    </w:p>
    <w:p>
      <w:pPr>
        <w:pStyle w:val="BodyText"/>
        <w:spacing w:line="240" w:lineRule="auto"/>
        <w:ind w:left="138" w:right="0"/>
        <w:jc w:val="both"/>
      </w:pPr>
      <w:r>
        <w:rPr/>
        <w:t>港上环德辅道中</w:t>
      </w:r>
      <w:r>
        <w:rPr>
          <w:spacing w:val="-54"/>
        </w:rPr>
        <w:t> </w:t>
      </w:r>
      <w:r>
        <w:rPr>
          <w:rFonts w:ascii="Times New Roman" w:hAnsi="Times New Roman" w:cs="Times New Roman" w:eastAsia="Times New Roman" w:hint="default"/>
        </w:rPr>
        <w:t>248 </w:t>
      </w:r>
      <w:r>
        <w:rPr/>
        <w:t>号东协商业大厦</w:t>
      </w:r>
      <w:r>
        <w:rPr>
          <w:spacing w:val="-54"/>
        </w:rPr>
        <w:t> </w:t>
      </w:r>
      <w:r>
        <w:rPr>
          <w:rFonts w:ascii="Times New Roman" w:hAnsi="Times New Roman" w:cs="Times New Roman" w:eastAsia="Times New Roman" w:hint="default"/>
        </w:rPr>
        <w:t>17 </w:t>
      </w:r>
      <w:r>
        <w:rPr/>
        <w:t>楼</w:t>
      </w:r>
      <w:r>
        <w:rPr>
          <w:spacing w:val="-55"/>
        </w:rPr>
        <w:t> </w:t>
      </w:r>
      <w:r>
        <w:rPr>
          <w:rFonts w:ascii="Times New Roman" w:hAnsi="Times New Roman" w:cs="Times New Roman" w:eastAsia="Times New Roman" w:hint="default"/>
        </w:rPr>
        <w:t>1702 </w:t>
      </w:r>
      <w:r>
        <w:rPr/>
        <w:t>室。截止</w:t>
      </w:r>
      <w:r>
        <w:rPr>
          <w:spacing w:val="-54"/>
        </w:rPr>
        <w:t> </w:t>
      </w:r>
      <w:r>
        <w:rPr>
          <w:rFonts w:ascii="Times New Roman" w:hAnsi="Times New Roman" w:cs="Times New Roman" w:eastAsia="Times New Roman" w:hint="default"/>
        </w:rPr>
        <w:t>2008 </w:t>
      </w:r>
      <w:r>
        <w:rPr/>
        <w:t>年</w:t>
      </w:r>
      <w:r>
        <w:rPr>
          <w:spacing w:val="-55"/>
        </w:rPr>
        <w:t> </w:t>
      </w:r>
      <w:r>
        <w:rPr>
          <w:rFonts w:ascii="Times New Roman" w:hAnsi="Times New Roman" w:cs="Times New Roman" w:eastAsia="Times New Roman" w:hint="default"/>
        </w:rPr>
        <w:t>12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日，运通国际总</w:t>
      </w:r>
    </w:p>
    <w:p>
      <w:pPr>
        <w:pStyle w:val="BodyText"/>
        <w:spacing w:line="280" w:lineRule="auto"/>
        <w:ind w:left="138" w:right="139"/>
        <w:jc w:val="both"/>
      </w:pPr>
      <w:r>
        <w:rPr/>
        <w:t>资产为</w:t>
      </w:r>
      <w:r>
        <w:rPr>
          <w:spacing w:val="-63"/>
        </w:rPr>
        <w:t> </w:t>
      </w:r>
      <w:r>
        <w:rPr>
          <w:rFonts w:ascii="Times New Roman" w:hAnsi="Times New Roman" w:cs="Times New Roman" w:eastAsia="Times New Roman" w:hint="default"/>
        </w:rPr>
        <w:t>1,230</w:t>
      </w:r>
      <w:r>
        <w:rPr>
          <w:rFonts w:ascii="Times New Roman" w:hAnsi="Times New Roman" w:cs="Times New Roman" w:eastAsia="Times New Roman" w:hint="default"/>
          <w:spacing w:val="-11"/>
        </w:rPr>
        <w:t> </w:t>
      </w:r>
      <w:r>
        <w:rPr/>
        <w:t>万元人民币，净资产为</w:t>
      </w:r>
      <w:r>
        <w:rPr>
          <w:spacing w:val="-63"/>
        </w:rPr>
        <w:t> </w:t>
      </w:r>
      <w:r>
        <w:rPr>
          <w:rFonts w:ascii="Times New Roman" w:hAnsi="Times New Roman" w:cs="Times New Roman" w:eastAsia="Times New Roman" w:hint="default"/>
        </w:rPr>
        <w:t>1,230</w:t>
      </w:r>
      <w:r>
        <w:rPr>
          <w:rFonts w:ascii="Times New Roman" w:hAnsi="Times New Roman" w:cs="Times New Roman" w:eastAsia="Times New Roman" w:hint="default"/>
          <w:spacing w:val="-10"/>
        </w:rPr>
        <w:t> </w:t>
      </w:r>
      <w:r>
        <w:rPr/>
        <w:t>万元人民币，</w:t>
      </w:r>
      <w:r>
        <w:rPr>
          <w:rFonts w:ascii="Times New Roman" w:hAnsi="Times New Roman" w:cs="Times New Roman" w:eastAsia="Times New Roman" w:hint="default"/>
        </w:rPr>
        <w:t>2008</w:t>
      </w:r>
      <w:r>
        <w:rPr>
          <w:rFonts w:ascii="Times New Roman" w:hAnsi="Times New Roman" w:cs="Times New Roman" w:eastAsia="Times New Roman" w:hint="default"/>
          <w:spacing w:val="-11"/>
        </w:rPr>
        <w:t> </w:t>
      </w:r>
      <w:r>
        <w:rPr/>
        <w:t>年度未经营。该公司将作为广 电运通进行海外拓展的平台来运作。</w:t>
      </w:r>
    </w:p>
    <w:p>
      <w:pPr>
        <w:pStyle w:val="BodyText"/>
        <w:spacing w:line="460" w:lineRule="exact" w:before="27"/>
        <w:ind w:left="558" w:right="132"/>
        <w:jc w:val="left"/>
      </w:pPr>
      <w:r>
        <w:rPr>
          <w:spacing w:val="-4"/>
        </w:rPr>
        <w:t>（</w:t>
      </w:r>
      <w:r>
        <w:rPr>
          <w:rFonts w:ascii="Times New Roman" w:hAnsi="Times New Roman" w:cs="Times New Roman" w:eastAsia="Times New Roman" w:hint="default"/>
          <w:spacing w:val="-4"/>
        </w:rPr>
        <w:t>3</w:t>
      </w:r>
      <w:r>
        <w:rPr>
          <w:spacing w:val="-4"/>
        </w:rPr>
        <w:t>）控股子公司——广州穗通金融服务有限公司（以下简称“穗通公司”）</w:t>
      </w:r>
      <w:r>
        <w:rPr>
          <w:spacing w:val="-76"/>
        </w:rPr>
        <w:t> </w:t>
      </w:r>
      <w:r>
        <w:rPr>
          <w:spacing w:val="-76"/>
        </w:rPr>
      </w:r>
      <w:r>
        <w:rPr/>
        <w:t>穗通公司成立于</w:t>
      </w:r>
      <w:r>
        <w:rPr>
          <w:spacing w:val="-4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5"/>
        </w:rPr>
        <w:t> </w:t>
      </w:r>
      <w:r>
        <w:rPr/>
        <w:t>日，注册资本为人民币</w:t>
      </w:r>
      <w:r>
        <w:rPr>
          <w:spacing w:val="-46"/>
        </w:rPr>
        <w:t> </w:t>
      </w:r>
      <w:r>
        <w:rPr>
          <w:rFonts w:ascii="Times New Roman" w:hAnsi="Times New Roman" w:cs="Times New Roman" w:eastAsia="Times New Roman" w:hint="default"/>
        </w:rPr>
        <w:t>3,000</w:t>
      </w:r>
      <w:r>
        <w:rPr>
          <w:rFonts w:ascii="Times New Roman" w:hAnsi="Times New Roman" w:cs="Times New Roman" w:eastAsia="Times New Roman" w:hint="default"/>
          <w:spacing w:val="7"/>
        </w:rPr>
        <w:t> </w:t>
      </w:r>
      <w:r>
        <w:rPr/>
        <w:t>万元，注册地为广州市</w:t>
      </w:r>
    </w:p>
    <w:p>
      <w:pPr>
        <w:pStyle w:val="BodyText"/>
        <w:spacing w:line="280" w:lineRule="auto" w:before="3"/>
        <w:ind w:left="139" w:right="136"/>
        <w:jc w:val="both"/>
      </w:pPr>
      <w:r>
        <w:rPr/>
        <w:t>天河区黄埔大道西平云路</w:t>
      </w:r>
      <w:r>
        <w:rPr>
          <w:spacing w:val="-49"/>
        </w:rPr>
        <w:t> </w:t>
      </w:r>
      <w:r>
        <w:rPr>
          <w:rFonts w:ascii="Times New Roman" w:hAnsi="Times New Roman" w:cs="Times New Roman" w:eastAsia="Times New Roman" w:hint="default"/>
        </w:rPr>
        <w:t>163</w:t>
      </w:r>
      <w:r>
        <w:rPr>
          <w:rFonts w:ascii="Times New Roman" w:hAnsi="Times New Roman" w:cs="Times New Roman" w:eastAsia="Times New Roman" w:hint="default"/>
          <w:spacing w:val="4"/>
        </w:rPr>
        <w:t> </w:t>
      </w:r>
      <w:r>
        <w:rPr>
          <w:spacing w:val="-4"/>
        </w:rPr>
        <w:t>号通讯车间大楼七楼东面，法定代表人为赵友永，经营范围为</w:t>
      </w:r>
      <w:r>
        <w:rPr/>
        <w:t> 受银行委托对自动柜员机进行日常维护及管理，对现金及有价证券提供清分处理服务。</w:t>
      </w:r>
    </w:p>
    <w:p>
      <w:pPr>
        <w:pStyle w:val="BodyText"/>
        <w:spacing w:line="288" w:lineRule="auto" w:before="150"/>
        <w:ind w:left="139" w:right="136" w:firstLine="420"/>
        <w:jc w:val="both"/>
      </w:pPr>
      <w:r>
        <w:rPr>
          <w:spacing w:val="-8"/>
        </w:rPr>
        <w:t>公司由于成立不久，目前尚处于市场开拓期。随着离行式</w:t>
      </w:r>
      <w:r>
        <w:rPr>
          <w:spacing w:val="-51"/>
        </w:rPr>
        <w:t> </w:t>
      </w:r>
      <w:r>
        <w:rPr>
          <w:rFonts w:ascii="Times New Roman" w:hAnsi="Times New Roman" w:cs="Times New Roman" w:eastAsia="Times New Roman" w:hint="default"/>
          <w:spacing w:val="-8"/>
          <w:w w:val="99"/>
        </w:rPr>
        <w:t>ATM</w:t>
      </w:r>
      <w:r>
        <w:rPr>
          <w:rFonts w:ascii="Times New Roman" w:hAnsi="Times New Roman" w:cs="Times New Roman" w:eastAsia="Times New Roman" w:hint="default"/>
          <w:spacing w:val="1"/>
          <w:w w:val="99"/>
        </w:rPr>
        <w:t> </w:t>
      </w:r>
      <w:r>
        <w:rPr>
          <w:spacing w:val="-12"/>
        </w:rPr>
        <w:t>越来越多，对离行式</w:t>
      </w:r>
      <w:r>
        <w:rPr>
          <w:spacing w:val="-51"/>
        </w:rPr>
        <w:t> </w:t>
      </w:r>
      <w:r>
        <w:rPr>
          <w:rFonts w:ascii="Times New Roman" w:hAnsi="Times New Roman" w:cs="Times New Roman" w:eastAsia="Times New Roman" w:hint="default"/>
          <w:spacing w:val="-8"/>
          <w:w w:val="99"/>
        </w:rPr>
        <w:t>ATM</w:t>
      </w:r>
      <w:r>
        <w:rPr>
          <w:rFonts w:ascii="Times New Roman" w:hAnsi="Times New Roman" w:cs="Times New Roman" w:eastAsia="Times New Roman" w:hint="default"/>
          <w:w w:val="99"/>
        </w:rPr>
        <w:t> </w:t>
      </w:r>
      <w:r>
        <w:rPr>
          <w:spacing w:val="-3"/>
        </w:rPr>
        <w:t>的集中管理不断增加了银行的管理难度，因此银行服务外包的需求日益明确并增强，这也给</w:t>
      </w:r>
      <w:r>
        <w:rPr>
          <w:spacing w:val="-79"/>
        </w:rPr>
        <w:t> </w:t>
      </w:r>
      <w:r>
        <w:rPr>
          <w:spacing w:val="-79"/>
        </w:rPr>
      </w:r>
      <w:r>
        <w:rPr/>
        <w:t>穗通公司创造了一个很好的发展机会。</w:t>
      </w:r>
    </w:p>
    <w:p>
      <w:pPr>
        <w:pStyle w:val="BodyText"/>
        <w:spacing w:line="240" w:lineRule="auto" w:before="144"/>
        <w:ind w:left="559" w:right="0"/>
        <w:jc w:val="left"/>
      </w:pPr>
      <w:r>
        <w:rPr/>
        <w:t>截止</w:t>
      </w:r>
      <w:r>
        <w:rPr>
          <w:spacing w:val="-4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日，穗通公司总资产为</w:t>
      </w:r>
      <w:r>
        <w:rPr>
          <w:spacing w:val="-46"/>
        </w:rPr>
        <w:t> </w:t>
      </w:r>
      <w:r>
        <w:rPr>
          <w:rFonts w:ascii="Times New Roman" w:hAnsi="Times New Roman" w:cs="Times New Roman" w:eastAsia="Times New Roman" w:hint="default"/>
        </w:rPr>
        <w:t>3,000</w:t>
      </w:r>
      <w:r>
        <w:rPr>
          <w:rFonts w:ascii="Times New Roman" w:hAnsi="Times New Roman" w:cs="Times New Roman" w:eastAsia="Times New Roman" w:hint="default"/>
          <w:spacing w:val="7"/>
        </w:rPr>
        <w:t> </w:t>
      </w:r>
      <w:r>
        <w:rPr/>
        <w:t>万元，归属于上市公司的净资产为</w:t>
      </w:r>
    </w:p>
    <w:p>
      <w:pPr>
        <w:pStyle w:val="BodyText"/>
        <w:spacing w:line="240" w:lineRule="auto"/>
        <w:ind w:right="0"/>
        <w:jc w:val="both"/>
      </w:pPr>
      <w:r>
        <w:rPr>
          <w:rFonts w:ascii="Times New Roman" w:hAnsi="Times New Roman" w:cs="Times New Roman" w:eastAsia="Times New Roman" w:hint="default"/>
        </w:rPr>
        <w:t>1,530 </w:t>
      </w:r>
      <w:r>
        <w:rPr/>
        <w:t>万元，</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年度未经营。</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8"/>
          <w:szCs w:val="18"/>
        </w:rPr>
      </w:pPr>
    </w:p>
    <w:p>
      <w:pPr>
        <w:pStyle w:val="BodyText"/>
        <w:spacing w:line="240" w:lineRule="auto" w:before="0"/>
        <w:ind w:left="139" w:right="0"/>
        <w:jc w:val="both"/>
      </w:pPr>
      <w:r>
        <w:rPr/>
        <w:t>（二）对公司未来发展的展望</w:t>
      </w:r>
    </w:p>
    <w:p>
      <w:pPr>
        <w:spacing w:line="240" w:lineRule="auto" w:before="2"/>
        <w:rPr>
          <w:rFonts w:ascii="宋体" w:hAnsi="宋体" w:cs="宋体" w:eastAsia="宋体" w:hint="default"/>
          <w:sz w:val="14"/>
          <w:szCs w:val="14"/>
        </w:rPr>
      </w:pPr>
    </w:p>
    <w:p>
      <w:pPr>
        <w:pStyle w:val="BodyText"/>
        <w:spacing w:line="240" w:lineRule="auto" w:before="0"/>
        <w:ind w:left="559" w:right="1090"/>
        <w:jc w:val="left"/>
      </w:pPr>
      <w:r>
        <w:rPr>
          <w:rFonts w:ascii="Times New Roman" w:hAnsi="Times New Roman" w:cs="Times New Roman" w:eastAsia="Times New Roman" w:hint="default"/>
        </w:rPr>
        <w:t>1</w:t>
      </w:r>
      <w:r>
        <w:rPr/>
        <w:t>、行业发展趋势及市场竞争格局</w:t>
      </w:r>
    </w:p>
    <w:p>
      <w:pPr>
        <w:pStyle w:val="BodyText"/>
        <w:spacing w:line="240" w:lineRule="auto" w:before="170"/>
        <w:ind w:left="559" w:right="1090"/>
        <w:jc w:val="left"/>
      </w:pPr>
      <w:r>
        <w:rPr/>
        <w:t>（</w:t>
      </w:r>
      <w:r>
        <w:rPr>
          <w:rFonts w:ascii="Times New Roman" w:hAnsi="Times New Roman" w:cs="Times New Roman" w:eastAsia="Times New Roman" w:hint="default"/>
        </w:rPr>
        <w:t>1</w:t>
      </w:r>
      <w:r>
        <w:rPr/>
        <w:t>）行业发展趋势</w:t>
      </w:r>
    </w:p>
    <w:p>
      <w:pPr>
        <w:pStyle w:val="BodyText"/>
        <w:spacing w:line="285" w:lineRule="auto" w:before="170"/>
        <w:ind w:left="139" w:right="136" w:firstLine="420"/>
        <w:jc w:val="both"/>
      </w:pPr>
      <w:r>
        <w:rPr/>
        <w:t>根据日前国务院通过</w:t>
      </w:r>
      <w:r>
        <w:rPr>
          <w:spacing w:val="-17"/>
        </w:rPr>
        <w:t>的</w:t>
      </w:r>
      <w:r>
        <w:rPr/>
        <w:t>《电子信息产业振兴规</w:t>
      </w:r>
      <w:r>
        <w:rPr>
          <w:spacing w:val="-17"/>
        </w:rPr>
        <w:t>划</w:t>
      </w:r>
      <w:r>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09 </w:t>
      </w:r>
      <w:r>
        <w:rPr/>
        <w:t>年</w:t>
      </w:r>
      <w:r>
        <w:rPr>
          <w:rFonts w:ascii="Times New Roman" w:hAnsi="Times New Roman" w:cs="Times New Roman" w:eastAsia="Times New Roman" w:hint="default"/>
          <w:spacing w:val="-2"/>
        </w:rPr>
        <w:t>-</w:t>
      </w:r>
      <w:r>
        <w:rPr>
          <w:rFonts w:ascii="Times New Roman" w:hAnsi="Times New Roman" w:cs="Times New Roman" w:eastAsia="Times New Roman" w:hint="default"/>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t>年</w:t>
      </w:r>
      <w:r>
        <w:rPr>
          <w:spacing w:val="-106"/>
        </w:rPr>
        <w:t>）</w:t>
      </w:r>
      <w:r>
        <w:rPr>
          <w:spacing w:val="-105"/>
        </w:rPr>
        <w:t>》</w:t>
      </w:r>
      <w:r>
        <w:rPr>
          <w:spacing w:val="-19"/>
        </w:rPr>
        <w:t>，</w:t>
      </w:r>
      <w:r>
        <w:rPr/>
        <w:t>政府将积极推动</w:t>
      </w:r>
      <w:r>
        <w:rPr/>
        <w:t> 具有自主知识产权的金</w:t>
      </w:r>
      <w:r>
        <w:rPr>
          <w:spacing w:val="-7"/>
        </w:rPr>
        <w:t>融</w:t>
      </w:r>
      <w:r>
        <w:rPr/>
        <w:t>（</w:t>
      </w:r>
      <w:r>
        <w:rPr>
          <w:rFonts w:ascii="Times New Roman" w:hAnsi="Times New Roman" w:cs="Times New Roman" w:eastAsia="Times New Roman" w:hint="default"/>
          <w:spacing w:val="-24"/>
          <w:w w:val="99"/>
        </w:rPr>
        <w:t>A</w:t>
      </w:r>
      <w:r>
        <w:rPr>
          <w:rFonts w:ascii="Times New Roman" w:hAnsi="Times New Roman" w:cs="Times New Roman" w:eastAsia="Times New Roman" w:hint="default"/>
          <w:w w:val="99"/>
        </w:rPr>
        <w:t>TM</w:t>
      </w:r>
      <w:r>
        <w:rPr>
          <w:spacing w:val="-7"/>
        </w:rPr>
        <w:t>、</w:t>
      </w:r>
      <w:r>
        <w:rPr>
          <w:rFonts w:ascii="Times New Roman" w:hAnsi="Times New Roman" w:cs="Times New Roman" w:eastAsia="Times New Roman" w:hint="default"/>
          <w:spacing w:val="-1"/>
          <w:w w:val="99"/>
        </w:rPr>
        <w:t>PO</w:t>
      </w:r>
      <w:r>
        <w:rPr>
          <w:rFonts w:ascii="Times New Roman" w:hAnsi="Times New Roman" w:cs="Times New Roman" w:eastAsia="Times New Roman" w:hint="default"/>
          <w:w w:val="99"/>
        </w:rPr>
        <w:t>S</w:t>
      </w:r>
      <w:r>
        <w:rPr>
          <w:rFonts w:ascii="Times New Roman" w:hAnsi="Times New Roman" w:cs="Times New Roman" w:eastAsia="Times New Roman" w:hint="default"/>
        </w:rPr>
        <w:t> </w:t>
      </w:r>
      <w:r>
        <w:rPr/>
        <w:t>机等</w:t>
      </w:r>
      <w:r>
        <w:rPr>
          <w:spacing w:val="-105"/>
        </w:rPr>
        <w:t>）</w:t>
      </w:r>
      <w:r>
        <w:rPr>
          <w:spacing w:val="-7"/>
        </w:rPr>
        <w:t>、</w:t>
      </w:r>
      <w:r>
        <w:rPr/>
        <w:t>财</w:t>
      </w:r>
      <w:r>
        <w:rPr>
          <w:spacing w:val="-7"/>
        </w:rPr>
        <w:t>税</w:t>
      </w:r>
      <w:r>
        <w:rPr/>
        <w:t>（税控收款机</w:t>
      </w:r>
      <w:r>
        <w:rPr>
          <w:spacing w:val="-7"/>
        </w:rPr>
        <w:t>）</w:t>
      </w:r>
      <w:r>
        <w:rPr/>
        <w:t>等应用系统设备的国内</w:t>
      </w:r>
      <w:r>
        <w:rPr/>
        <w:t> 市场应用</w:t>
      </w:r>
      <w:r>
        <w:rPr>
          <w:spacing w:val="1"/>
        </w:rPr>
        <w:t>。</w:t>
      </w:r>
      <w:r>
        <w:rPr/>
        <w:t>支持骨干</w:t>
      </w:r>
      <w:r>
        <w:rPr>
          <w:spacing w:val="1"/>
        </w:rPr>
        <w:t>企</w:t>
      </w:r>
      <w:r>
        <w:rPr/>
        <w:t>业“走出去</w:t>
      </w:r>
      <w:r>
        <w:rPr>
          <w:spacing w:val="-104"/>
        </w:rPr>
        <w:t>”</w:t>
      </w:r>
      <w:r>
        <w:rPr/>
        <w:t>，开拓全</w:t>
      </w:r>
      <w:r>
        <w:rPr>
          <w:spacing w:val="1"/>
        </w:rPr>
        <w:t>球</w:t>
      </w:r>
      <w:r>
        <w:rPr/>
        <w:t>特别是新</w:t>
      </w:r>
      <w:r>
        <w:rPr>
          <w:spacing w:val="1"/>
        </w:rPr>
        <w:t>兴</w:t>
      </w:r>
      <w:r>
        <w:rPr/>
        <w:t>国家和发</w:t>
      </w:r>
      <w:r>
        <w:rPr>
          <w:spacing w:val="1"/>
        </w:rPr>
        <w:t>展</w:t>
      </w:r>
      <w:r>
        <w:rPr/>
        <w:t>中国家市</w:t>
      </w:r>
      <w:r>
        <w:rPr>
          <w:spacing w:val="1"/>
        </w:rPr>
        <w:t>场</w:t>
      </w:r>
      <w:r>
        <w:rPr/>
        <w:t>。与此同</w:t>
      </w:r>
      <w:r>
        <w:rPr/>
        <w:t> 时，政府</w:t>
      </w:r>
      <w:r>
        <w:rPr>
          <w:spacing w:val="1"/>
        </w:rPr>
        <w:t>还</w:t>
      </w:r>
      <w:r>
        <w:rPr/>
        <w:t>将加快出</w:t>
      </w:r>
      <w:r>
        <w:rPr>
          <w:spacing w:val="1"/>
        </w:rPr>
        <w:t>台</w:t>
      </w:r>
      <w:r>
        <w:rPr/>
        <w:t>和落实财</w:t>
      </w:r>
      <w:r>
        <w:rPr>
          <w:spacing w:val="1"/>
        </w:rPr>
        <w:t>税</w:t>
      </w:r>
      <w:r>
        <w:rPr/>
        <w:t>扶持政策</w:t>
      </w:r>
      <w:r>
        <w:rPr>
          <w:spacing w:val="-105"/>
        </w:rPr>
        <w:t>，</w:t>
      </w:r>
      <w:r>
        <w:rPr>
          <w:spacing w:val="1"/>
        </w:rPr>
        <w:t>“</w:t>
      </w:r>
      <w:r>
        <w:rPr/>
        <w:t>加快出台</w:t>
      </w:r>
      <w:r>
        <w:rPr>
          <w:spacing w:val="1"/>
        </w:rPr>
        <w:t>进</w:t>
      </w:r>
      <w:r>
        <w:rPr/>
        <w:t>一步鼓励</w:t>
      </w:r>
      <w:r>
        <w:rPr>
          <w:spacing w:val="1"/>
        </w:rPr>
        <w:t>软</w:t>
      </w:r>
      <w:r>
        <w:rPr/>
        <w:t>件产业和</w:t>
      </w:r>
      <w:r>
        <w:rPr>
          <w:spacing w:val="1"/>
        </w:rPr>
        <w:t>集</w:t>
      </w:r>
      <w:r>
        <w:rPr/>
        <w:t>成电路产</w:t>
      </w:r>
    </w:p>
    <w:p>
      <w:pPr>
        <w:spacing w:after="0" w:line="285" w:lineRule="auto"/>
        <w:jc w:val="both"/>
        <w:sectPr>
          <w:pgSz w:w="11910" w:h="16840"/>
          <w:pgMar w:header="400" w:footer="982" w:top="1100" w:bottom="1180" w:left="1660" w:right="1660"/>
        </w:sectPr>
      </w:pPr>
    </w:p>
    <w:p>
      <w:pPr>
        <w:spacing w:line="240" w:lineRule="auto" w:before="1"/>
        <w:rPr>
          <w:rFonts w:ascii="宋体" w:hAnsi="宋体" w:cs="宋体" w:eastAsia="宋体" w:hint="default"/>
          <w:sz w:val="19"/>
          <w:szCs w:val="19"/>
        </w:rPr>
      </w:pPr>
    </w:p>
    <w:p>
      <w:pPr>
        <w:pStyle w:val="BodyText"/>
        <w:spacing w:line="292" w:lineRule="auto" w:before="35"/>
        <w:ind w:right="100" w:hanging="1"/>
        <w:jc w:val="left"/>
      </w:pPr>
      <w:r>
        <w:rPr>
          <w:spacing w:val="-5"/>
        </w:rPr>
        <w:t>业的若干政策，继续延长原来鼓励政策实施期限（延续集成电路进口设备免进口环节增值税、</w:t>
      </w:r>
      <w:r>
        <w:rPr>
          <w:spacing w:val="-100"/>
        </w:rPr>
        <w:t> </w:t>
      </w:r>
      <w:r>
        <w:rPr>
          <w:spacing w:val="-100"/>
        </w:rPr>
      </w:r>
      <w:r>
        <w:rPr/>
        <w:t>延长</w:t>
      </w:r>
      <w:r>
        <w:rPr>
          <w:spacing w:val="-4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spacing w:val="-6"/>
        </w:rPr>
        <w:t>年到期的软件产品增值税政策）”。上述有关政策的落实与实施，将为国内金融电</w:t>
      </w:r>
      <w:r>
        <w:rPr/>
        <w:t> </w:t>
      </w:r>
      <w:r>
        <w:rPr>
          <w:spacing w:val="-3"/>
        </w:rPr>
        <w:t>子设备企业积极应对危机、发展振兴创造良好的政策环境，为其开拓国内外市场带来有力的</w:t>
      </w:r>
      <w:r>
        <w:rPr>
          <w:spacing w:val="-80"/>
        </w:rPr>
        <w:t> </w:t>
      </w:r>
      <w:r>
        <w:rPr>
          <w:spacing w:val="-80"/>
        </w:rPr>
      </w:r>
      <w:r>
        <w:rPr/>
        <w:t>支撑。</w:t>
      </w:r>
    </w:p>
    <w:p>
      <w:pPr>
        <w:pStyle w:val="BodyText"/>
        <w:spacing w:line="280" w:lineRule="auto" w:before="139"/>
        <w:ind w:right="204" w:firstLine="419"/>
        <w:jc w:val="left"/>
        <w:rPr>
          <w:rFonts w:ascii="Times New Roman" w:hAnsi="Times New Roman" w:cs="Times New Roman" w:eastAsia="Times New Roman" w:hint="default"/>
        </w:rPr>
      </w:pPr>
      <w:r>
        <w:rPr/>
        <w:t>我国</w:t>
      </w:r>
      <w:r>
        <w:rPr>
          <w:spacing w:val="-50"/>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3"/>
        </w:rPr>
        <w:t> </w:t>
      </w:r>
      <w:r>
        <w:rPr/>
        <w:t>市场需求，从央行</w:t>
      </w:r>
      <w:r>
        <w:rPr>
          <w:spacing w:val="-50"/>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日发布的《</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年第三季度支付体系运 </w:t>
      </w:r>
      <w:r>
        <w:rPr>
          <w:spacing w:val="-4"/>
        </w:rPr>
        <w:t>行总体情况》来看，可以从以下三个方面分析：一是我国银行卡发卡量持续增长。截至</w:t>
      </w:r>
      <w:r>
        <w:rPr>
          <w:spacing w:val="-53"/>
        </w:rPr>
        <w:t> </w:t>
      </w:r>
      <w:r>
        <w:rPr>
          <w:rFonts w:ascii="Times New Roman" w:hAnsi="Times New Roman" w:cs="Times New Roman" w:eastAsia="Times New Roman" w:hint="default"/>
        </w:rPr>
        <w:t>2008</w:t>
      </w:r>
    </w:p>
    <w:p>
      <w:pPr>
        <w:pStyle w:val="BodyText"/>
        <w:spacing w:line="240" w:lineRule="auto" w:before="10"/>
        <w:ind w:right="102"/>
        <w:jc w:val="left"/>
      </w:pPr>
      <w:r>
        <w:rPr/>
        <w:t>年第三季度末，全国累计发行银行卡</w:t>
      </w:r>
      <w:r>
        <w:rPr>
          <w:spacing w:val="-46"/>
        </w:rPr>
        <w:t> </w:t>
      </w:r>
      <w:r>
        <w:rPr>
          <w:rFonts w:ascii="Times New Roman" w:hAnsi="Times New Roman" w:cs="Times New Roman" w:eastAsia="Times New Roman" w:hint="default"/>
        </w:rPr>
        <w:t>17.3</w:t>
      </w:r>
      <w:r>
        <w:rPr>
          <w:rFonts w:ascii="Times New Roman" w:hAnsi="Times New Roman" w:cs="Times New Roman" w:eastAsia="Times New Roman" w:hint="default"/>
          <w:spacing w:val="7"/>
        </w:rPr>
        <w:t> </w:t>
      </w:r>
      <w:r>
        <w:rPr/>
        <w:t>亿张，同比增长</w:t>
      </w:r>
      <w:r>
        <w:rPr>
          <w:spacing w:val="-46"/>
        </w:rPr>
        <w:t> </w:t>
      </w:r>
      <w:r>
        <w:rPr>
          <w:rFonts w:ascii="Times New Roman" w:hAnsi="Times New Roman" w:cs="Times New Roman" w:eastAsia="Times New Roman" w:hint="default"/>
        </w:rPr>
        <w:t>18.8%</w:t>
      </w:r>
      <w:r>
        <w:rPr/>
        <w:t>，较上年同期回落</w:t>
      </w:r>
      <w:r>
        <w:rPr>
          <w:spacing w:val="-46"/>
        </w:rPr>
        <w:t> </w:t>
      </w:r>
      <w:r>
        <w:rPr>
          <w:rFonts w:ascii="Times New Roman" w:hAnsi="Times New Roman" w:cs="Times New Roman" w:eastAsia="Times New Roman" w:hint="default"/>
        </w:rPr>
        <w:t>10.3</w:t>
      </w:r>
      <w:r>
        <w:rPr>
          <w:rFonts w:ascii="Times New Roman" w:hAnsi="Times New Roman" w:cs="Times New Roman" w:eastAsia="Times New Roman" w:hint="default"/>
          <w:spacing w:val="7"/>
        </w:rPr>
        <w:t> </w:t>
      </w:r>
      <w:r>
        <w:rPr/>
        <w:t>个</w:t>
      </w:r>
    </w:p>
    <w:p>
      <w:pPr>
        <w:pStyle w:val="BodyText"/>
        <w:spacing w:line="240" w:lineRule="auto"/>
        <w:ind w:right="0"/>
        <w:jc w:val="left"/>
      </w:pPr>
      <w:r>
        <w:rPr>
          <w:spacing w:val="-4"/>
        </w:rPr>
        <w:t>百分点。其中，借记卡发卡量为</w:t>
      </w:r>
      <w:r>
        <w:rPr>
          <w:spacing w:val="-50"/>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spacing w:val="-4"/>
        </w:rPr>
        <w:t>亿张，同比增长</w:t>
      </w:r>
      <w:r>
        <w:rPr>
          <w:spacing w:val="-50"/>
        </w:rPr>
        <w:t> </w:t>
      </w:r>
      <w:r>
        <w:rPr>
          <w:rFonts w:ascii="Times New Roman" w:hAnsi="Times New Roman" w:cs="Times New Roman" w:eastAsia="Times New Roman" w:hint="default"/>
          <w:spacing w:val="-3"/>
        </w:rPr>
        <w:t>15.8%</w:t>
      </w:r>
      <w:r>
        <w:rPr>
          <w:spacing w:val="-3"/>
        </w:rPr>
        <w:t>，较上年同期回落</w:t>
      </w:r>
      <w:r>
        <w:rPr>
          <w:spacing w:val="-50"/>
        </w:rPr>
        <w:t> </w:t>
      </w:r>
      <w:r>
        <w:rPr>
          <w:rFonts w:ascii="Times New Roman" w:hAnsi="Times New Roman" w:cs="Times New Roman" w:eastAsia="Times New Roman" w:hint="default"/>
          <w:spacing w:val="-3"/>
        </w:rPr>
        <w:t>11.7</w:t>
      </w:r>
      <w:r>
        <w:rPr>
          <w:rFonts w:ascii="Times New Roman" w:hAnsi="Times New Roman" w:cs="Times New Roman" w:eastAsia="Times New Roman" w:hint="default"/>
          <w:spacing w:val="3"/>
        </w:rPr>
        <w:t> </w:t>
      </w:r>
      <w:r>
        <w:rPr/>
        <w:t>个百分点，</w:t>
      </w:r>
    </w:p>
    <w:p>
      <w:pPr>
        <w:pStyle w:val="BodyText"/>
        <w:spacing w:line="280" w:lineRule="auto"/>
        <w:ind w:right="205"/>
        <w:jc w:val="left"/>
      </w:pPr>
      <w:r>
        <w:rPr/>
        <w:t>占银行卡发卡量的</w:t>
      </w:r>
      <w:r>
        <w:rPr>
          <w:spacing w:val="-45"/>
        </w:rPr>
        <w:t> </w:t>
      </w:r>
      <w:r>
        <w:rPr>
          <w:rFonts w:ascii="Times New Roman" w:hAnsi="Times New Roman" w:cs="Times New Roman" w:eastAsia="Times New Roman" w:hint="default"/>
        </w:rPr>
        <w:t>92.4%</w:t>
      </w:r>
      <w:r>
        <w:rPr/>
        <w:t>，占比同比减少</w:t>
      </w:r>
      <w:r>
        <w:rPr>
          <w:spacing w:val="-45"/>
        </w:rPr>
        <w:t> </w:t>
      </w:r>
      <w:r>
        <w:rPr>
          <w:rFonts w:ascii="Times New Roman" w:hAnsi="Times New Roman" w:cs="Times New Roman" w:eastAsia="Times New Roman" w:hint="default"/>
        </w:rPr>
        <w:t>2.4</w:t>
      </w:r>
      <w:r>
        <w:rPr>
          <w:rFonts w:ascii="Times New Roman" w:hAnsi="Times New Roman" w:cs="Times New Roman" w:eastAsia="Times New Roman" w:hint="default"/>
          <w:spacing w:val="8"/>
        </w:rPr>
        <w:t> </w:t>
      </w:r>
      <w:r>
        <w:rPr/>
        <w:t>个百分点；信用卡发卡量为</w:t>
      </w:r>
      <w:r>
        <w:rPr>
          <w:spacing w:val="-45"/>
        </w:rPr>
        <w:t> </w:t>
      </w:r>
      <w:r>
        <w:rPr>
          <w:rFonts w:ascii="Times New Roman" w:hAnsi="Times New Roman" w:cs="Times New Roman" w:eastAsia="Times New Roman" w:hint="default"/>
        </w:rPr>
        <w:t>1.3</w:t>
      </w:r>
      <w:r>
        <w:rPr>
          <w:rFonts w:ascii="Times New Roman" w:hAnsi="Times New Roman" w:cs="Times New Roman" w:eastAsia="Times New Roman" w:hint="default"/>
          <w:spacing w:val="8"/>
        </w:rPr>
        <w:t> </w:t>
      </w:r>
      <w:r>
        <w:rPr/>
        <w:t>亿张，同比增 长</w:t>
      </w:r>
      <w:r>
        <w:rPr>
          <w:spacing w:val="-55"/>
        </w:rPr>
        <w:t> </w:t>
      </w:r>
      <w:r>
        <w:rPr>
          <w:rFonts w:ascii="Times New Roman" w:hAnsi="Times New Roman" w:cs="Times New Roman" w:eastAsia="Times New Roman" w:hint="default"/>
        </w:rPr>
        <w:t>72.9%</w:t>
      </w:r>
      <w:r>
        <w:rPr/>
        <w:t>，较上年同期加快</w:t>
      </w:r>
      <w:r>
        <w:rPr>
          <w:spacing w:val="-55"/>
        </w:rPr>
        <w:t> </w:t>
      </w:r>
      <w:r>
        <w:rPr>
          <w:rFonts w:ascii="Times New Roman" w:hAnsi="Times New Roman" w:cs="Times New Roman" w:eastAsia="Times New Roman" w:hint="default"/>
        </w:rPr>
        <w:t>5.9</w:t>
      </w:r>
      <w:r>
        <w:rPr>
          <w:rFonts w:ascii="Times New Roman" w:hAnsi="Times New Roman" w:cs="Times New Roman" w:eastAsia="Times New Roman" w:hint="default"/>
          <w:spacing w:val="-2"/>
        </w:rPr>
        <w:t> </w:t>
      </w:r>
      <w:r>
        <w:rPr/>
        <w:t>个百分点。</w:t>
      </w:r>
    </w:p>
    <w:p>
      <w:pPr>
        <w:pStyle w:val="BodyText"/>
        <w:spacing w:line="280" w:lineRule="auto" w:before="130"/>
        <w:ind w:right="99" w:firstLine="420"/>
        <w:jc w:val="left"/>
      </w:pPr>
      <w:r>
        <w:rPr>
          <w:spacing w:val="-4"/>
        </w:rPr>
        <w:t>二是银行卡受理环境持续改善，但与发达国家相比仍有差距。截至</w:t>
      </w:r>
      <w:r>
        <w:rPr>
          <w:spacing w:val="-4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年第三季度末， 银行卡跨行支付系统联网商户</w:t>
      </w:r>
      <w:r>
        <w:rPr>
          <w:spacing w:val="-54"/>
        </w:rPr>
        <w:t> </w:t>
      </w:r>
      <w:r>
        <w:rPr>
          <w:rFonts w:ascii="Times New Roman" w:hAnsi="Times New Roman" w:cs="Times New Roman" w:eastAsia="Times New Roman" w:hint="default"/>
        </w:rPr>
        <w:t>104.96</w:t>
      </w:r>
      <w:r>
        <w:rPr>
          <w:rFonts w:ascii="Times New Roman" w:hAnsi="Times New Roman" w:cs="Times New Roman" w:eastAsia="Times New Roman" w:hint="default"/>
          <w:spacing w:val="-1"/>
        </w:rPr>
        <w:t> </w:t>
      </w:r>
      <w:r>
        <w:rPr/>
        <w:t>万户、联网</w:t>
      </w:r>
      <w:r>
        <w:rPr>
          <w:spacing w:val="-54"/>
        </w:rPr>
        <w:t> </w:t>
      </w:r>
      <w:r>
        <w:rPr>
          <w:rFonts w:ascii="Times New Roman" w:hAnsi="Times New Roman" w:cs="Times New Roman" w:eastAsia="Times New Roman" w:hint="default"/>
        </w:rPr>
        <w:t>POS</w:t>
      </w:r>
      <w:r>
        <w:rPr>
          <w:rFonts w:ascii="Times New Roman" w:hAnsi="Times New Roman" w:cs="Times New Roman" w:eastAsia="Times New Roman" w:hint="default"/>
          <w:spacing w:val="-1"/>
        </w:rPr>
        <w:t> </w:t>
      </w:r>
      <w:r>
        <w:rPr/>
        <w:t>机具</w:t>
      </w:r>
      <w:r>
        <w:rPr>
          <w:spacing w:val="-54"/>
        </w:rPr>
        <w:t> </w:t>
      </w:r>
      <w:r>
        <w:rPr>
          <w:rFonts w:ascii="Times New Roman" w:hAnsi="Times New Roman" w:cs="Times New Roman" w:eastAsia="Times New Roman" w:hint="default"/>
        </w:rPr>
        <w:t>163.87</w:t>
      </w:r>
      <w:r>
        <w:rPr>
          <w:rFonts w:ascii="Times New Roman" w:hAnsi="Times New Roman" w:cs="Times New Roman" w:eastAsia="Times New Roman" w:hint="default"/>
          <w:spacing w:val="-1"/>
        </w:rPr>
        <w:t> </w:t>
      </w:r>
      <w:r>
        <w:rPr>
          <w:spacing w:val="-5"/>
        </w:rPr>
        <w:t>万台、</w:t>
      </w:r>
      <w:r>
        <w:rPr>
          <w:rFonts w:ascii="Times New Roman" w:hAnsi="Times New Roman" w:cs="Times New Roman" w:eastAsia="Times New Roman" w:hint="default"/>
          <w:spacing w:val="-5"/>
        </w:rPr>
        <w:t>ATM</w:t>
      </w:r>
      <w:r>
        <w:rPr>
          <w:rFonts w:ascii="Times New Roman" w:hAnsi="Times New Roman" w:cs="Times New Roman" w:eastAsia="Times New Roman" w:hint="default"/>
          <w:spacing w:val="-1"/>
        </w:rPr>
        <w:t> </w:t>
      </w:r>
      <w:r>
        <w:rPr>
          <w:rFonts w:ascii="Times New Roman" w:hAnsi="Times New Roman" w:cs="Times New Roman" w:eastAsia="Times New Roman" w:hint="default"/>
        </w:rPr>
        <w:t>15.83</w:t>
      </w:r>
      <w:r>
        <w:rPr>
          <w:rFonts w:ascii="Times New Roman" w:hAnsi="Times New Roman" w:cs="Times New Roman" w:eastAsia="Times New Roman" w:hint="default"/>
          <w:spacing w:val="-1"/>
        </w:rPr>
        <w:t> </w:t>
      </w:r>
      <w:r>
        <w:rPr/>
        <w:t>万台， 较</w:t>
      </w:r>
      <w:r>
        <w:rPr>
          <w:spacing w:val="-5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年第二季度末分别增长</w:t>
      </w:r>
      <w:r>
        <w:rPr>
          <w:spacing w:val="-53"/>
        </w:rPr>
        <w:t> </w:t>
      </w:r>
      <w:r>
        <w:rPr>
          <w:rFonts w:ascii="Times New Roman" w:hAnsi="Times New Roman" w:cs="Times New Roman" w:eastAsia="Times New Roman" w:hint="default"/>
        </w:rPr>
        <w:t>12.7</w:t>
      </w:r>
      <w:r>
        <w:rPr>
          <w:rFonts w:ascii="Times New Roman" w:hAnsi="Times New Roman" w:cs="Times New Roman" w:eastAsia="Times New Roman" w:hint="default"/>
          <w:spacing w:val="-1"/>
        </w:rPr>
        <w:t> </w:t>
      </w:r>
      <w:r>
        <w:rPr/>
        <w:t>万户、</w:t>
      </w:r>
      <w:r>
        <w:rPr>
          <w:rFonts w:ascii="Times New Roman" w:hAnsi="Times New Roman" w:cs="Times New Roman" w:eastAsia="Times New Roman" w:hint="default"/>
        </w:rPr>
        <w:t>18.97</w:t>
      </w:r>
      <w:r>
        <w:rPr>
          <w:rFonts w:ascii="Times New Roman" w:hAnsi="Times New Roman" w:cs="Times New Roman" w:eastAsia="Times New Roman" w:hint="default"/>
          <w:spacing w:val="-1"/>
        </w:rPr>
        <w:t> </w:t>
      </w:r>
      <w:r>
        <w:rPr/>
        <w:t>万台和</w:t>
      </w:r>
      <w:r>
        <w:rPr>
          <w:spacing w:val="-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万台。</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年第三季度末，我 国每台</w:t>
      </w:r>
      <w:r>
        <w:rPr>
          <w:spacing w:val="-54"/>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2"/>
        </w:rPr>
        <w:t> </w:t>
      </w:r>
      <w:r>
        <w:rPr/>
        <w:t>对应的银行卡数量为</w:t>
      </w:r>
      <w:r>
        <w:rPr>
          <w:spacing w:val="-54"/>
        </w:rPr>
        <w:t> </w:t>
      </w:r>
      <w:r>
        <w:rPr>
          <w:rFonts w:ascii="Times New Roman" w:hAnsi="Times New Roman" w:cs="Times New Roman" w:eastAsia="Times New Roman" w:hint="default"/>
        </w:rPr>
        <w:t>1.09</w:t>
      </w:r>
      <w:r>
        <w:rPr>
          <w:rFonts w:ascii="Times New Roman" w:hAnsi="Times New Roman" w:cs="Times New Roman" w:eastAsia="Times New Roman" w:hint="default"/>
          <w:spacing w:val="-1"/>
        </w:rPr>
        <w:t> </w:t>
      </w:r>
      <w:r>
        <w:rPr/>
        <w:t>万张。</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spacing w:val="-3"/>
        </w:rPr>
        <w:t>年末，美国、法国、德国每台</w:t>
      </w:r>
      <w:r>
        <w:rPr>
          <w:spacing w:val="-54"/>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2"/>
        </w:rPr>
        <w:t> </w:t>
      </w:r>
      <w:r>
        <w:rPr/>
        <w:t>对应 的银行卡数量分别为</w:t>
      </w:r>
      <w:r>
        <w:rPr>
          <w:spacing w:val="-56"/>
        </w:rPr>
        <w:t> </w:t>
      </w:r>
      <w:r>
        <w:rPr>
          <w:rFonts w:ascii="Times New Roman" w:hAnsi="Times New Roman" w:cs="Times New Roman" w:eastAsia="Times New Roman" w:hint="default"/>
        </w:rPr>
        <w:t>4023</w:t>
      </w:r>
      <w:r>
        <w:rPr>
          <w:rFonts w:ascii="Times New Roman" w:hAnsi="Times New Roman" w:cs="Times New Roman" w:eastAsia="Times New Roman" w:hint="default"/>
          <w:spacing w:val="-3"/>
        </w:rPr>
        <w:t> </w:t>
      </w:r>
      <w:r>
        <w:rPr/>
        <w:t>张、</w:t>
      </w:r>
      <w:r>
        <w:rPr>
          <w:rFonts w:ascii="Times New Roman" w:hAnsi="Times New Roman" w:cs="Times New Roman" w:eastAsia="Times New Roman" w:hint="default"/>
        </w:rPr>
        <w:t>1967</w:t>
      </w:r>
      <w:r>
        <w:rPr>
          <w:rFonts w:ascii="Times New Roman" w:hAnsi="Times New Roman" w:cs="Times New Roman" w:eastAsia="Times New Roman" w:hint="default"/>
          <w:spacing w:val="-4"/>
        </w:rPr>
        <w:t> </w:t>
      </w:r>
      <w:r>
        <w:rPr/>
        <w:t>张、</w:t>
      </w:r>
      <w:r>
        <w:rPr>
          <w:rFonts w:ascii="Times New Roman" w:hAnsi="Times New Roman" w:cs="Times New Roman" w:eastAsia="Times New Roman" w:hint="default"/>
        </w:rPr>
        <w:t>2204</w:t>
      </w:r>
      <w:r>
        <w:rPr>
          <w:rFonts w:ascii="Times New Roman" w:hAnsi="Times New Roman" w:cs="Times New Roman" w:eastAsia="Times New Roman" w:hint="default"/>
          <w:spacing w:val="-3"/>
        </w:rPr>
        <w:t> </w:t>
      </w:r>
      <w:r>
        <w:rPr/>
        <w:t>张。</w:t>
      </w:r>
    </w:p>
    <w:p>
      <w:pPr>
        <w:pStyle w:val="BodyText"/>
        <w:spacing w:line="240" w:lineRule="auto" w:before="129"/>
        <w:ind w:left="559" w:right="102"/>
        <w:jc w:val="left"/>
      </w:pPr>
      <w:r>
        <w:rPr/>
        <w:t>三是农民工银行卡特色服务业务量继续大幅攀升。截至</w:t>
      </w:r>
      <w:r>
        <w:rPr>
          <w:spacing w:val="-5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w:t>
      </w:r>
      <w:r>
        <w:rPr>
          <w:spacing w:val="-59"/>
        </w:rPr>
        <w:t> </w:t>
      </w:r>
      <w:r>
        <w:rPr>
          <w:rFonts w:ascii="Times New Roman" w:hAnsi="Times New Roman" w:cs="Times New Roman" w:eastAsia="Times New Roman" w:hint="default"/>
        </w:rPr>
        <w:t>30</w:t>
      </w:r>
      <w:r>
        <w:rPr>
          <w:rFonts w:ascii="Times New Roman" w:hAnsi="Times New Roman" w:cs="Times New Roman" w:eastAsia="Times New Roman" w:hint="default"/>
          <w:spacing w:val="-6"/>
        </w:rPr>
        <w:t> </w:t>
      </w:r>
      <w:r>
        <w:rPr>
          <w:spacing w:val="-10"/>
        </w:rPr>
        <w:t>日，贵州、湖南</w:t>
      </w:r>
    </w:p>
    <w:p>
      <w:pPr>
        <w:pStyle w:val="BodyText"/>
        <w:spacing w:line="240" w:lineRule="auto"/>
        <w:ind w:left="139" w:right="102"/>
        <w:jc w:val="left"/>
        <w:rPr>
          <w:rFonts w:ascii="Times New Roman" w:hAnsi="Times New Roman" w:cs="Times New Roman" w:eastAsia="Times New Roman" w:hint="default"/>
        </w:rPr>
      </w:pPr>
      <w:r>
        <w:rPr/>
        <w:t>等</w:t>
      </w:r>
      <w:r>
        <w:rPr>
          <w:spacing w:val="-52"/>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个省（市、自治区）辖内</w:t>
      </w:r>
      <w:r>
        <w:rPr>
          <w:spacing w:val="-52"/>
        </w:rPr>
        <w:t> </w:t>
      </w:r>
      <w:r>
        <w:rPr>
          <w:rFonts w:ascii="Times New Roman" w:hAnsi="Times New Roman" w:cs="Times New Roman" w:eastAsia="Times New Roman" w:hint="default"/>
        </w:rPr>
        <w:t>4.5</w:t>
      </w:r>
      <w:r>
        <w:rPr>
          <w:rFonts w:ascii="Times New Roman" w:hAnsi="Times New Roman" w:cs="Times New Roman" w:eastAsia="Times New Roman" w:hint="default"/>
          <w:spacing w:val="1"/>
        </w:rPr>
        <w:t> </w:t>
      </w:r>
      <w:r>
        <w:rPr/>
        <w:t>万个县及县以下的农村合作金融机构营业网点、全国</w:t>
      </w:r>
      <w:r>
        <w:rPr>
          <w:spacing w:val="-52"/>
        </w:rPr>
        <w:t> </w:t>
      </w:r>
      <w:r>
        <w:rPr>
          <w:rFonts w:ascii="Times New Roman" w:hAnsi="Times New Roman" w:cs="Times New Roman" w:eastAsia="Times New Roman" w:hint="default"/>
        </w:rPr>
        <w:t>31</w:t>
      </w:r>
    </w:p>
    <w:p>
      <w:pPr>
        <w:pStyle w:val="BodyText"/>
        <w:spacing w:line="240" w:lineRule="auto"/>
        <w:ind w:left="139" w:right="102"/>
        <w:jc w:val="left"/>
      </w:pPr>
      <w:r>
        <w:rPr>
          <w:spacing w:val="-4"/>
        </w:rPr>
        <w:t>个省（市、自治区）辖内</w:t>
      </w:r>
      <w:r>
        <w:rPr>
          <w:spacing w:val="-55"/>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万个县及县以下的中国邮政储蓄银行营业网点开通了农民工银</w:t>
      </w:r>
    </w:p>
    <w:p>
      <w:pPr>
        <w:pStyle w:val="BodyText"/>
        <w:spacing w:line="240" w:lineRule="auto" w:before="49"/>
        <w:ind w:left="139" w:right="102"/>
        <w:jc w:val="left"/>
      </w:pPr>
      <w:r>
        <w:rPr/>
        <w:t>行卡特色服务受理方业务。第三季度，农民工银行卡特色服务取款业务 </w:t>
      </w:r>
      <w:r>
        <w:rPr>
          <w:rFonts w:ascii="Times New Roman" w:hAnsi="Times New Roman" w:cs="Times New Roman" w:eastAsia="Times New Roman" w:hint="default"/>
        </w:rPr>
        <w:t>154.53</w:t>
      </w:r>
      <w:r>
        <w:rPr>
          <w:rFonts w:ascii="Times New Roman" w:hAnsi="Times New Roman" w:cs="Times New Roman" w:eastAsia="Times New Roman" w:hint="default"/>
          <w:spacing w:val="7"/>
        </w:rPr>
        <w:t> </w:t>
      </w:r>
      <w:r>
        <w:rPr/>
        <w:t>万笔，金额</w:t>
      </w:r>
    </w:p>
    <w:p>
      <w:pPr>
        <w:pStyle w:val="BodyText"/>
        <w:spacing w:line="379" w:lineRule="auto"/>
        <w:ind w:left="559" w:right="102" w:hanging="420"/>
        <w:jc w:val="left"/>
      </w:pPr>
      <w:r>
        <w:rPr>
          <w:rFonts w:ascii="Times New Roman" w:hAnsi="Times New Roman" w:cs="Times New Roman" w:eastAsia="Times New Roman" w:hint="default"/>
        </w:rPr>
        <w:t>19.44</w:t>
      </w:r>
      <w:r>
        <w:rPr>
          <w:rFonts w:ascii="Times New Roman" w:hAnsi="Times New Roman" w:cs="Times New Roman" w:eastAsia="Times New Roman" w:hint="default"/>
          <w:spacing w:val="-1"/>
        </w:rPr>
        <w:t> </w:t>
      </w:r>
      <w:r>
        <w:rPr/>
        <w:t>亿元，分别较上年同期增长</w:t>
      </w:r>
      <w:r>
        <w:rPr>
          <w:spacing w:val="-54"/>
        </w:rPr>
        <w:t> </w:t>
      </w:r>
      <w:r>
        <w:rPr>
          <w:rFonts w:ascii="Times New Roman" w:hAnsi="Times New Roman" w:cs="Times New Roman" w:eastAsia="Times New Roman" w:hint="default"/>
        </w:rPr>
        <w:t>232.87%</w:t>
      </w:r>
      <w:r>
        <w:rPr/>
        <w:t>和</w:t>
      </w:r>
      <w:r>
        <w:rPr>
          <w:spacing w:val="-54"/>
        </w:rPr>
        <w:t> </w:t>
      </w:r>
      <w:r>
        <w:rPr>
          <w:rFonts w:ascii="Times New Roman" w:hAnsi="Times New Roman" w:cs="Times New Roman" w:eastAsia="Times New Roman" w:hint="default"/>
        </w:rPr>
        <w:t>235.19%</w:t>
      </w:r>
      <w:r>
        <w:rPr/>
        <w:t>。 </w:t>
      </w:r>
      <w:r>
        <w:rPr>
          <w:spacing w:val="-6"/>
        </w:rPr>
        <w:t>另据有关报道，推进惠农卡和农户小额贷款工作，成为农行落实面向“三农”市场定位、</w:t>
      </w:r>
    </w:p>
    <w:p>
      <w:pPr>
        <w:pStyle w:val="BodyText"/>
        <w:spacing w:line="235" w:lineRule="exact" w:before="0"/>
        <w:ind w:left="139" w:right="102"/>
        <w:jc w:val="left"/>
      </w:pPr>
      <w:r>
        <w:rPr/>
        <w:t>拓展县域蓝海市场的重大战略举措。至</w:t>
      </w:r>
      <w:r>
        <w:rPr>
          <w:spacing w:val="-5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年末，试点分行共计发卡</w:t>
      </w:r>
      <w:r>
        <w:rPr>
          <w:spacing w:val="-52"/>
        </w:rPr>
        <w:t> </w:t>
      </w:r>
      <w:r>
        <w:rPr>
          <w:rFonts w:ascii="Times New Roman" w:hAnsi="Times New Roman" w:cs="Times New Roman" w:eastAsia="Times New Roman" w:hint="default"/>
        </w:rPr>
        <w:t>810</w:t>
      </w:r>
      <w:r>
        <w:rPr>
          <w:rFonts w:ascii="Times New Roman" w:hAnsi="Times New Roman" w:cs="Times New Roman" w:eastAsia="Times New Roman" w:hint="default"/>
          <w:spacing w:val="1"/>
        </w:rPr>
        <w:t> </w:t>
      </w:r>
      <w:r>
        <w:rPr/>
        <w:t>万张，完成全年</w:t>
      </w:r>
    </w:p>
    <w:p>
      <w:pPr>
        <w:pStyle w:val="BodyText"/>
        <w:spacing w:line="240" w:lineRule="auto" w:before="49"/>
        <w:ind w:left="139" w:right="102"/>
        <w:jc w:val="left"/>
      </w:pPr>
      <w:r>
        <w:rPr/>
        <w:t>发卡任务的</w:t>
      </w:r>
      <w:r>
        <w:rPr>
          <w:spacing w:val="-41"/>
        </w:rPr>
        <w:t> </w:t>
      </w:r>
      <w:r>
        <w:rPr>
          <w:rFonts w:ascii="Times New Roman" w:hAnsi="Times New Roman" w:cs="Times New Roman" w:eastAsia="Times New Roman" w:hint="default"/>
        </w:rPr>
        <w:t>162%</w:t>
      </w:r>
      <w:r>
        <w:rPr/>
        <w:t>；农户小额贷款授信</w:t>
      </w:r>
      <w:r>
        <w:rPr>
          <w:spacing w:val="-40"/>
        </w:rPr>
        <w:t> </w:t>
      </w:r>
      <w:r>
        <w:rPr>
          <w:rFonts w:ascii="Times New Roman" w:hAnsi="Times New Roman" w:cs="Times New Roman" w:eastAsia="Times New Roman" w:hint="default"/>
        </w:rPr>
        <w:t>30</w:t>
      </w:r>
      <w:r>
        <w:rPr>
          <w:rFonts w:ascii="Times New Roman" w:hAnsi="Times New Roman" w:cs="Times New Roman" w:eastAsia="Times New Roman" w:hint="default"/>
          <w:spacing w:val="13"/>
        </w:rPr>
        <w:t> </w:t>
      </w:r>
      <w:r>
        <w:rPr/>
        <w:t>万户，授信总额度</w:t>
      </w:r>
      <w:r>
        <w:rPr>
          <w:spacing w:val="-41"/>
        </w:rPr>
        <w:t> </w:t>
      </w:r>
      <w:r>
        <w:rPr>
          <w:rFonts w:ascii="Times New Roman" w:hAnsi="Times New Roman" w:cs="Times New Roman" w:eastAsia="Times New Roman" w:hint="default"/>
        </w:rPr>
        <w:t>66</w:t>
      </w:r>
      <w:r>
        <w:rPr>
          <w:rFonts w:ascii="Times New Roman" w:hAnsi="Times New Roman" w:cs="Times New Roman" w:eastAsia="Times New Roman" w:hint="default"/>
          <w:spacing w:val="13"/>
        </w:rPr>
        <w:t> </w:t>
      </w:r>
      <w:r>
        <w:rPr/>
        <w:t>亿元；贷款</w:t>
      </w:r>
      <w:r>
        <w:rPr>
          <w:spacing w:val="-41"/>
        </w:rPr>
        <w:t> </w:t>
      </w:r>
      <w:r>
        <w:rPr>
          <w:rFonts w:ascii="Times New Roman" w:hAnsi="Times New Roman" w:cs="Times New Roman" w:eastAsia="Times New Roman" w:hint="default"/>
        </w:rPr>
        <w:t>19</w:t>
      </w:r>
      <w:r>
        <w:rPr>
          <w:rFonts w:ascii="Times New Roman" w:hAnsi="Times New Roman" w:cs="Times New Roman" w:eastAsia="Times New Roman" w:hint="default"/>
          <w:spacing w:val="13"/>
        </w:rPr>
        <w:t> </w:t>
      </w:r>
      <w:r>
        <w:rPr/>
        <w:t>万户，贷款</w:t>
      </w:r>
    </w:p>
    <w:p>
      <w:pPr>
        <w:pStyle w:val="BodyText"/>
        <w:spacing w:line="240" w:lineRule="auto"/>
        <w:ind w:left="139" w:right="102"/>
        <w:jc w:val="left"/>
      </w:pPr>
      <w:r>
        <w:rPr/>
        <w:t>余额</w:t>
      </w:r>
      <w:r>
        <w:rPr>
          <w:spacing w:val="-57"/>
        </w:rPr>
        <w:t> </w:t>
      </w:r>
      <w:r>
        <w:rPr>
          <w:rFonts w:ascii="Times New Roman" w:hAnsi="Times New Roman" w:cs="Times New Roman" w:eastAsia="Times New Roman" w:hint="default"/>
        </w:rPr>
        <w:t>47</w:t>
      </w:r>
      <w:r>
        <w:rPr>
          <w:rFonts w:ascii="Times New Roman" w:hAnsi="Times New Roman" w:cs="Times New Roman" w:eastAsia="Times New Roman" w:hint="default"/>
          <w:spacing w:val="-4"/>
        </w:rPr>
        <w:t> </w:t>
      </w:r>
      <w:r>
        <w:rPr>
          <w:spacing w:val="-4"/>
        </w:rPr>
        <w:t>亿元。</w:t>
      </w:r>
      <w:r>
        <w:rPr>
          <w:rFonts w:ascii="Times New Roman" w:hAnsi="Times New Roman" w:cs="Times New Roman" w:eastAsia="Times New Roman" w:hint="default"/>
          <w:spacing w:val="-4"/>
        </w:rPr>
        <w:t>2009 </w:t>
      </w:r>
      <w:r>
        <w:rPr/>
        <w:t>年</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月在京召开惠农卡和农户小额贷款工作视频会议上，中国农业银行</w:t>
      </w:r>
    </w:p>
    <w:p>
      <w:pPr>
        <w:pStyle w:val="BodyText"/>
        <w:spacing w:line="240" w:lineRule="auto"/>
        <w:ind w:left="139" w:right="102"/>
        <w:jc w:val="left"/>
        <w:rPr>
          <w:rFonts w:ascii="Times New Roman" w:hAnsi="Times New Roman" w:cs="Times New Roman" w:eastAsia="Times New Roman" w:hint="default"/>
        </w:rPr>
      </w:pPr>
      <w:r>
        <w:rPr/>
        <w:t>安排部署</w:t>
      </w:r>
      <w:r>
        <w:rPr>
          <w:spacing w:val="-4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年惠农卡和农户小额贷款整体推进工作。据悉，农行已确定</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3"/>
        </w:rPr>
        <w:t>家省分行、</w:t>
      </w:r>
      <w:r>
        <w:rPr>
          <w:rFonts w:ascii="Times New Roman" w:hAnsi="Times New Roman" w:cs="Times New Roman" w:eastAsia="Times New Roman" w:hint="default"/>
          <w:spacing w:val="-3"/>
        </w:rPr>
        <w:t>11</w:t>
      </w:r>
      <w:r>
        <w:rPr>
          <w:rFonts w:ascii="Times New Roman" w:hAnsi="Times New Roman" w:cs="Times New Roman" w:eastAsia="Times New Roman" w:hint="default"/>
        </w:rPr>
      </w:r>
    </w:p>
    <w:p>
      <w:pPr>
        <w:pStyle w:val="BodyText"/>
        <w:spacing w:line="285" w:lineRule="auto" w:before="49"/>
        <w:ind w:left="139" w:right="216"/>
        <w:jc w:val="both"/>
      </w:pPr>
      <w:r>
        <w:rPr/>
        <w:t>家二级分行、</w:t>
      </w:r>
      <w:r>
        <w:rPr>
          <w:rFonts w:ascii="Times New Roman" w:hAnsi="Times New Roman" w:cs="Times New Roman" w:eastAsia="Times New Roman" w:hint="default"/>
        </w:rPr>
        <w:t>153</w:t>
      </w:r>
      <w:r>
        <w:rPr>
          <w:rFonts w:ascii="Times New Roman" w:hAnsi="Times New Roman" w:cs="Times New Roman" w:eastAsia="Times New Roman" w:hint="default"/>
          <w:spacing w:val="-7"/>
        </w:rPr>
        <w:t> </w:t>
      </w:r>
      <w:r>
        <w:rPr/>
        <w:t>家县支行作为</w:t>
      </w:r>
      <w:r>
        <w:rPr>
          <w:spacing w:val="-60"/>
        </w:rPr>
        <w:t> </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年整体推进单位，计划年内新发惠农卡</w:t>
      </w:r>
      <w:r>
        <w:rPr>
          <w:spacing w:val="-60"/>
        </w:rPr>
        <w:t> </w:t>
      </w:r>
      <w:r>
        <w:rPr>
          <w:rFonts w:ascii="Times New Roman" w:hAnsi="Times New Roman" w:cs="Times New Roman" w:eastAsia="Times New Roman" w:hint="default"/>
        </w:rPr>
        <w:t>2300</w:t>
      </w:r>
      <w:r>
        <w:rPr>
          <w:rFonts w:ascii="Times New Roman" w:hAnsi="Times New Roman" w:cs="Times New Roman" w:eastAsia="Times New Roman" w:hint="default"/>
          <w:spacing w:val="-7"/>
        </w:rPr>
        <w:t> </w:t>
      </w:r>
      <w:r>
        <w:rPr>
          <w:spacing w:val="-4"/>
        </w:rPr>
        <w:t>万张，确</w:t>
      </w:r>
      <w:r>
        <w:rPr/>
        <w:t> 保激活率达到 </w:t>
      </w:r>
      <w:r>
        <w:rPr>
          <w:rFonts w:ascii="Times New Roman" w:hAnsi="Times New Roman" w:cs="Times New Roman" w:eastAsia="Times New Roman" w:hint="default"/>
        </w:rPr>
        <w:t>95%</w:t>
      </w:r>
      <w:r>
        <w:rPr/>
        <w:t>以上，惠农卡授信率不低于当地农户有效信贷需求的</w:t>
      </w:r>
      <w:r>
        <w:rPr>
          <w:spacing w:val="-30"/>
        </w:rPr>
        <w:t> </w:t>
      </w:r>
      <w:r>
        <w:rPr>
          <w:rFonts w:ascii="Times New Roman" w:hAnsi="Times New Roman" w:cs="Times New Roman" w:eastAsia="Times New Roman" w:hint="default"/>
        </w:rPr>
        <w:t>30%</w:t>
      </w:r>
      <w:r>
        <w:rPr/>
        <w:t>，惠农卡贷款 授信户数达到</w:t>
      </w:r>
      <w:r>
        <w:rPr>
          <w:spacing w:val="-49"/>
        </w:rPr>
        <w:t> </w:t>
      </w:r>
      <w:r>
        <w:rPr>
          <w:rFonts w:ascii="Times New Roman" w:hAnsi="Times New Roman" w:cs="Times New Roman" w:eastAsia="Times New Roman" w:hint="default"/>
        </w:rPr>
        <w:t>350</w:t>
      </w:r>
      <w:r>
        <w:rPr>
          <w:rFonts w:ascii="Times New Roman" w:hAnsi="Times New Roman" w:cs="Times New Roman" w:eastAsia="Times New Roman" w:hint="default"/>
          <w:spacing w:val="4"/>
        </w:rPr>
        <w:t> </w:t>
      </w:r>
      <w:r>
        <w:rPr>
          <w:spacing w:val="-3"/>
        </w:rPr>
        <w:t>万户以上，当年新增惠农卡贷款</w:t>
      </w:r>
      <w:r>
        <w:rPr>
          <w:spacing w:val="-49"/>
        </w:rPr>
        <w:t> </w:t>
      </w:r>
      <w:r>
        <w:rPr>
          <w:rFonts w:ascii="Times New Roman" w:hAnsi="Times New Roman" w:cs="Times New Roman" w:eastAsia="Times New Roman" w:hint="default"/>
        </w:rPr>
        <w:t>500</w:t>
      </w:r>
      <w:r>
        <w:rPr>
          <w:rFonts w:ascii="Times New Roman" w:hAnsi="Times New Roman" w:cs="Times New Roman" w:eastAsia="Times New Roman" w:hint="default"/>
          <w:spacing w:val="4"/>
        </w:rPr>
        <w:t> </w:t>
      </w:r>
      <w:r>
        <w:rPr>
          <w:spacing w:val="-5"/>
        </w:rPr>
        <w:t>亿元。为加快推进电子渠道建设，农</w:t>
      </w:r>
      <w:r>
        <w:rPr/>
        <w:t> </w:t>
      </w:r>
      <w:r>
        <w:rPr>
          <w:spacing w:val="-3"/>
        </w:rPr>
        <w:t>行将在乡镇政府、派出所、基层供销社销售网点（包括农家店）、优质连锁店等，根据各类</w:t>
      </w:r>
      <w:r>
        <w:rPr>
          <w:spacing w:val="-84"/>
        </w:rPr>
        <w:t> </w:t>
      </w:r>
      <w:r>
        <w:rPr>
          <w:spacing w:val="-84"/>
        </w:rPr>
      </w:r>
      <w:r>
        <w:rPr/>
        <w:t>自助机具的特点，相应布放支付通、</w:t>
      </w:r>
      <w:r>
        <w:rPr>
          <w:rFonts w:ascii="Times New Roman" w:hAnsi="Times New Roman" w:cs="Times New Roman" w:eastAsia="Times New Roman" w:hint="default"/>
        </w:rPr>
        <w:t>ATM</w:t>
      </w:r>
      <w:r>
        <w:rPr/>
        <w:t>、</w:t>
      </w:r>
      <w:r>
        <w:rPr>
          <w:rFonts w:ascii="Times New Roman" w:hAnsi="Times New Roman" w:cs="Times New Roman" w:eastAsia="Times New Roman" w:hint="default"/>
        </w:rPr>
        <w:t>POS</w:t>
      </w:r>
      <w:r>
        <w:rPr>
          <w:rFonts w:ascii="Times New Roman" w:hAnsi="Times New Roman" w:cs="Times New Roman" w:eastAsia="Times New Roman" w:hint="default"/>
          <w:spacing w:val="-27"/>
        </w:rPr>
        <w:t> </w:t>
      </w:r>
      <w:r>
        <w:rPr/>
        <w:t>等机具。</w:t>
      </w:r>
    </w:p>
    <w:p>
      <w:pPr>
        <w:pStyle w:val="BodyText"/>
        <w:spacing w:line="280" w:lineRule="auto" w:before="126"/>
        <w:ind w:left="139" w:right="204" w:firstLine="420"/>
        <w:jc w:val="left"/>
      </w:pPr>
      <w:r>
        <w:rPr/>
        <w:t>综上所述，中国</w:t>
      </w:r>
      <w:r>
        <w:rPr>
          <w:spacing w:val="-61"/>
        </w:rPr>
        <w:t> </w:t>
      </w:r>
      <w:r>
        <w:rPr>
          <w:rFonts w:ascii="Times New Roman" w:hAnsi="Times New Roman" w:cs="Times New Roman" w:eastAsia="Times New Roman" w:hint="default"/>
          <w:spacing w:val="-8"/>
        </w:rPr>
        <w:t>ATM </w:t>
      </w:r>
      <w:r>
        <w:rPr/>
        <w:t>市场已经步入一个高速发展的时期，且随着农村市场潜力的不断 发掘，我国</w:t>
      </w:r>
      <w:r>
        <w:rPr>
          <w:spacing w:val="-54"/>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2"/>
        </w:rPr>
        <w:t> </w:t>
      </w:r>
      <w:r>
        <w:rPr/>
        <w:t>市场需求不断扩大。</w:t>
      </w:r>
    </w:p>
    <w:p>
      <w:pPr>
        <w:pStyle w:val="BodyText"/>
        <w:spacing w:line="290" w:lineRule="auto" w:before="130"/>
        <w:ind w:left="139" w:right="216" w:firstLine="420"/>
        <w:jc w:val="both"/>
      </w:pPr>
      <w:r>
        <w:rPr>
          <w:rFonts w:ascii="Times New Roman" w:hAnsi="Times New Roman" w:cs="Times New Roman" w:eastAsia="Times New Roman" w:hint="default"/>
          <w:spacing w:val="-8"/>
        </w:rPr>
        <w:t>ATM </w:t>
      </w:r>
      <w:r>
        <w:rPr/>
        <w:t>营运市场上，根据央行《</w:t>
      </w:r>
      <w:r>
        <w:rPr>
          <w:rFonts w:ascii="Times New Roman" w:hAnsi="Times New Roman" w:cs="Times New Roman" w:eastAsia="Times New Roman" w:hint="default"/>
        </w:rPr>
        <w:t>2008</w:t>
      </w:r>
      <w:r>
        <w:rPr>
          <w:rFonts w:ascii="Times New Roman" w:hAnsi="Times New Roman" w:cs="Times New Roman" w:eastAsia="Times New Roman" w:hint="default"/>
          <w:spacing w:val="-9"/>
        </w:rPr>
        <w:t> </w:t>
      </w:r>
      <w:r>
        <w:rPr/>
        <w:t>年第三季度支付体系运行总体情况》分析，银行卡 </w:t>
      </w:r>
      <w:r>
        <w:rPr>
          <w:spacing w:val="-3"/>
        </w:rPr>
        <w:t>跨行支付系统业务量继续快速增长，但增速明显放缓，且经济发达地区银行卡跨行交易业务</w:t>
      </w:r>
      <w:r>
        <w:rPr>
          <w:spacing w:val="-79"/>
        </w:rPr>
        <w:t> </w:t>
      </w:r>
      <w:r>
        <w:rPr>
          <w:spacing w:val="-79"/>
        </w:rPr>
      </w:r>
      <w:r>
        <w:rPr>
          <w:spacing w:val="-3"/>
        </w:rPr>
        <w:t>量占比略有下降。</w:t>
      </w:r>
      <w:r>
        <w:rPr>
          <w:rFonts w:ascii="Times New Roman" w:hAnsi="Times New Roman" w:cs="Times New Roman" w:eastAsia="Times New Roman" w:hint="default"/>
          <w:spacing w:val="-3"/>
        </w:rPr>
        <w:t>2008</w:t>
      </w:r>
      <w:r>
        <w:rPr>
          <w:rFonts w:ascii="Times New Roman" w:hAnsi="Times New Roman" w:cs="Times New Roman" w:eastAsia="Times New Roman" w:hint="default"/>
          <w:spacing w:val="-9"/>
        </w:rPr>
        <w:t> </w:t>
      </w:r>
      <w:r>
        <w:rPr/>
        <w:t>年第三季度，银行卡跨行支付系统共处理业务</w:t>
      </w:r>
      <w:r>
        <w:rPr>
          <w:spacing w:val="-61"/>
        </w:rPr>
        <w:t> </w:t>
      </w:r>
      <w:r>
        <w:rPr>
          <w:rFonts w:ascii="Times New Roman" w:hAnsi="Times New Roman" w:cs="Times New Roman" w:eastAsia="Times New Roman" w:hint="default"/>
        </w:rPr>
        <w:t>94,</w:t>
      </w:r>
      <w:r>
        <w:rPr>
          <w:rFonts w:ascii="Times New Roman" w:hAnsi="Times New Roman" w:cs="Times New Roman" w:eastAsia="Times New Roman" w:hint="default"/>
          <w:spacing w:val="-9"/>
        </w:rPr>
        <w:t> </w:t>
      </w:r>
      <w:r>
        <w:rPr>
          <w:rFonts w:ascii="Times New Roman" w:hAnsi="Times New Roman" w:cs="Times New Roman" w:eastAsia="Times New Roman" w:hint="default"/>
        </w:rPr>
        <w:t>442.11</w:t>
      </w:r>
      <w:r>
        <w:rPr>
          <w:rFonts w:ascii="Times New Roman" w:hAnsi="Times New Roman" w:cs="Times New Roman" w:eastAsia="Times New Roman" w:hint="default"/>
          <w:spacing w:val="-7"/>
        </w:rPr>
        <w:t> </w:t>
      </w:r>
      <w:r>
        <w:rPr>
          <w:spacing w:val="-7"/>
        </w:rPr>
        <w:t>万笔，金额</w:t>
      </w:r>
    </w:p>
    <w:p>
      <w:pPr>
        <w:pStyle w:val="BodyText"/>
        <w:spacing w:line="240" w:lineRule="auto" w:before="0"/>
        <w:ind w:left="139" w:right="102"/>
        <w:jc w:val="left"/>
      </w:pPr>
      <w:r>
        <w:rPr>
          <w:rFonts w:ascii="Times New Roman" w:hAnsi="Times New Roman" w:cs="Times New Roman" w:eastAsia="Times New Roman" w:hint="default"/>
        </w:rPr>
        <w:t>12,055.10</w:t>
      </w:r>
      <w:r>
        <w:rPr>
          <w:rFonts w:ascii="Times New Roman" w:hAnsi="Times New Roman" w:cs="Times New Roman" w:eastAsia="Times New Roman" w:hint="default"/>
          <w:spacing w:val="13"/>
        </w:rPr>
        <w:t> </w:t>
      </w:r>
      <w:r>
        <w:rPr/>
        <w:t>亿元，同比分别增长</w:t>
      </w:r>
      <w:r>
        <w:rPr>
          <w:spacing w:val="-40"/>
        </w:rPr>
        <w:t> </w:t>
      </w:r>
      <w:r>
        <w:rPr>
          <w:rFonts w:ascii="Times New Roman" w:hAnsi="Times New Roman" w:cs="Times New Roman" w:eastAsia="Times New Roman" w:hint="default"/>
        </w:rPr>
        <w:t>42.3%</w:t>
      </w:r>
      <w:r>
        <w:rPr/>
        <w:t>和</w:t>
      </w:r>
      <w:r>
        <w:rPr>
          <w:spacing w:val="-40"/>
        </w:rPr>
        <w:t> </w:t>
      </w:r>
      <w:r>
        <w:rPr>
          <w:rFonts w:ascii="Times New Roman" w:hAnsi="Times New Roman" w:cs="Times New Roman" w:eastAsia="Times New Roman" w:hint="default"/>
        </w:rPr>
        <w:t>34.3%</w:t>
      </w:r>
      <w:r>
        <w:rPr/>
        <w:t>，增速较上年同期分别回落</w:t>
      </w:r>
      <w:r>
        <w:rPr>
          <w:spacing w:val="-40"/>
        </w:rPr>
        <w:t> </w:t>
      </w:r>
      <w:r>
        <w:rPr>
          <w:rFonts w:ascii="Times New Roman" w:hAnsi="Times New Roman" w:cs="Times New Roman" w:eastAsia="Times New Roman" w:hint="default"/>
        </w:rPr>
        <w:t>10.6</w:t>
      </w:r>
      <w:r>
        <w:rPr>
          <w:rFonts w:ascii="Times New Roman" w:hAnsi="Times New Roman" w:cs="Times New Roman" w:eastAsia="Times New Roman" w:hint="default"/>
          <w:spacing w:val="13"/>
        </w:rPr>
        <w:t> </w:t>
      </w:r>
      <w:r>
        <w:rPr/>
        <w:t>个百分点和</w:t>
      </w:r>
    </w:p>
    <w:p>
      <w:pPr>
        <w:pStyle w:val="BodyText"/>
        <w:spacing w:line="240" w:lineRule="auto"/>
        <w:ind w:left="139" w:right="102"/>
        <w:jc w:val="left"/>
      </w:pPr>
      <w:r>
        <w:rPr>
          <w:rFonts w:ascii="Times New Roman" w:hAnsi="Times New Roman" w:cs="Times New Roman" w:eastAsia="Times New Roman" w:hint="default"/>
        </w:rPr>
        <w:t>56.3</w:t>
      </w:r>
      <w:r>
        <w:rPr>
          <w:rFonts w:ascii="Times New Roman" w:hAnsi="Times New Roman" w:cs="Times New Roman" w:eastAsia="Times New Roman" w:hint="default"/>
          <w:spacing w:val="10"/>
        </w:rPr>
        <w:t> </w:t>
      </w:r>
      <w:r>
        <w:rPr/>
        <w:t>个百分点；日均处理业务笔数</w:t>
      </w:r>
      <w:r>
        <w:rPr>
          <w:spacing w:val="-43"/>
        </w:rPr>
        <w:t> </w:t>
      </w:r>
      <w:r>
        <w:rPr>
          <w:rFonts w:ascii="Times New Roman" w:hAnsi="Times New Roman" w:cs="Times New Roman" w:eastAsia="Times New Roman" w:hint="default"/>
        </w:rPr>
        <w:t>1,026.54</w:t>
      </w:r>
      <w:r>
        <w:rPr>
          <w:rFonts w:ascii="Times New Roman" w:hAnsi="Times New Roman" w:cs="Times New Roman" w:eastAsia="Times New Roman" w:hint="default"/>
          <w:spacing w:val="10"/>
        </w:rPr>
        <w:t> </w:t>
      </w:r>
      <w:r>
        <w:rPr/>
        <w:t>万笔，金额</w:t>
      </w:r>
      <w:r>
        <w:rPr>
          <w:spacing w:val="-43"/>
        </w:rPr>
        <w:t> </w:t>
      </w:r>
      <w:r>
        <w:rPr>
          <w:rFonts w:ascii="Times New Roman" w:hAnsi="Times New Roman" w:cs="Times New Roman" w:eastAsia="Times New Roman" w:hint="default"/>
        </w:rPr>
        <w:t>131.03</w:t>
      </w:r>
      <w:r>
        <w:rPr>
          <w:rFonts w:ascii="Times New Roman" w:hAnsi="Times New Roman" w:cs="Times New Roman" w:eastAsia="Times New Roman" w:hint="default"/>
          <w:spacing w:val="10"/>
        </w:rPr>
        <w:t> </w:t>
      </w:r>
      <w:r>
        <w:rPr/>
        <w:t>亿元，较第二季度分别增长</w:t>
      </w:r>
    </w:p>
    <w:p>
      <w:pPr>
        <w:pStyle w:val="BodyText"/>
        <w:spacing w:line="280" w:lineRule="auto"/>
        <w:ind w:right="203" w:hanging="1"/>
        <w:jc w:val="left"/>
      </w:pPr>
      <w:r>
        <w:rPr>
          <w:rFonts w:ascii="Times New Roman" w:hAnsi="Times New Roman" w:cs="Times New Roman" w:eastAsia="Times New Roman" w:hint="default"/>
        </w:rPr>
        <w:t>9.9%</w:t>
      </w:r>
      <w:r>
        <w:rPr/>
        <w:t>和</w:t>
      </w:r>
      <w:r>
        <w:rPr>
          <w:spacing w:val="-28"/>
        </w:rPr>
        <w:t> </w:t>
      </w:r>
      <w:r>
        <w:rPr>
          <w:rFonts w:ascii="Times New Roman" w:hAnsi="Times New Roman" w:cs="Times New Roman" w:eastAsia="Times New Roman" w:hint="default"/>
        </w:rPr>
        <w:t>8.3%</w:t>
      </w:r>
      <w:r>
        <w:rPr/>
        <w:t>。银行卡跨行支付系统的业务量主要集中在浙江、广东、上海、北京、江苏、</w:t>
      </w:r>
      <w:r>
        <w:rPr>
          <w:w w:val="99"/>
        </w:rPr>
        <w:t> </w:t>
      </w:r>
      <w:r>
        <w:rPr/>
        <w:t>山东等经济较发达地区，六省（市）银行卡跨行支付系统共处理业务</w:t>
      </w:r>
      <w:r>
        <w:rPr>
          <w:spacing w:val="-50"/>
        </w:rPr>
        <w:t> </w:t>
      </w:r>
      <w:r>
        <w:rPr>
          <w:rFonts w:ascii="Times New Roman" w:hAnsi="Times New Roman" w:cs="Times New Roman" w:eastAsia="Times New Roman" w:hint="default"/>
        </w:rPr>
        <w:t>51,310.57</w:t>
      </w:r>
      <w:r>
        <w:rPr>
          <w:rFonts w:ascii="Times New Roman" w:hAnsi="Times New Roman" w:cs="Times New Roman" w:eastAsia="Times New Roman" w:hint="default"/>
          <w:spacing w:val="2"/>
        </w:rPr>
        <w:t> </w:t>
      </w:r>
      <w:r>
        <w:rPr/>
        <w:t>万笔，金额</w:t>
      </w:r>
    </w:p>
    <w:p>
      <w:pPr>
        <w:spacing w:after="0" w:line="280" w:lineRule="auto"/>
        <w:jc w:val="left"/>
        <w:sectPr>
          <w:footerReference w:type="default" r:id="rId13"/>
          <w:pgSz w:w="11910" w:h="16840"/>
          <w:pgMar w:footer="982" w:header="400" w:top="1100" w:bottom="1180" w:left="1660" w:right="1580"/>
          <w:pgNumType w:start="36"/>
        </w:sectPr>
      </w:pPr>
    </w:p>
    <w:p>
      <w:pPr>
        <w:spacing w:line="240" w:lineRule="auto" w:before="1"/>
        <w:rPr>
          <w:rFonts w:ascii="宋体" w:hAnsi="宋体" w:cs="宋体" w:eastAsia="宋体" w:hint="default"/>
          <w:sz w:val="19"/>
          <w:szCs w:val="19"/>
        </w:rPr>
      </w:pPr>
    </w:p>
    <w:p>
      <w:pPr>
        <w:pStyle w:val="BodyText"/>
        <w:spacing w:line="240" w:lineRule="auto" w:before="35"/>
        <w:ind w:right="0"/>
        <w:jc w:val="both"/>
      </w:pPr>
      <w:r>
        <w:rPr>
          <w:rFonts w:ascii="Times New Roman" w:hAnsi="Times New Roman" w:cs="Times New Roman" w:eastAsia="Times New Roman" w:hint="default"/>
        </w:rPr>
        <w:t>6,363.73</w:t>
      </w:r>
      <w:r>
        <w:rPr>
          <w:rFonts w:ascii="Times New Roman" w:hAnsi="Times New Roman" w:cs="Times New Roman" w:eastAsia="Times New Roman" w:hint="default"/>
          <w:spacing w:val="6"/>
        </w:rPr>
        <w:t> </w:t>
      </w:r>
      <w:r>
        <w:rPr/>
        <w:t>亿元，占银行卡跨行交易支付系统业务量的</w:t>
      </w:r>
      <w:r>
        <w:rPr>
          <w:spacing w:val="-47"/>
        </w:rPr>
        <w:t> </w:t>
      </w:r>
      <w:r>
        <w:rPr>
          <w:rFonts w:ascii="Times New Roman" w:hAnsi="Times New Roman" w:cs="Times New Roman" w:eastAsia="Times New Roman" w:hint="default"/>
        </w:rPr>
        <w:t>54.3%</w:t>
      </w:r>
      <w:r>
        <w:rPr/>
        <w:t>和</w:t>
      </w:r>
      <w:r>
        <w:rPr>
          <w:spacing w:val="-47"/>
        </w:rPr>
        <w:t> </w:t>
      </w:r>
      <w:r>
        <w:rPr>
          <w:rFonts w:ascii="Times New Roman" w:hAnsi="Times New Roman" w:cs="Times New Roman" w:eastAsia="Times New Roman" w:hint="default"/>
        </w:rPr>
        <w:t>52.8%</w:t>
      </w:r>
      <w:r>
        <w:rPr/>
        <w:t>，较第二季度分别下降</w:t>
      </w:r>
    </w:p>
    <w:p>
      <w:pPr>
        <w:pStyle w:val="BodyText"/>
        <w:spacing w:line="240" w:lineRule="auto"/>
        <w:ind w:right="0"/>
        <w:jc w:val="both"/>
      </w:pPr>
      <w:r>
        <w:rPr>
          <w:rFonts w:ascii="Times New Roman" w:hAnsi="Times New Roman" w:cs="Times New Roman" w:eastAsia="Times New Roman" w:hint="default"/>
        </w:rPr>
        <w:t>0.3</w:t>
      </w:r>
      <w:r>
        <w:rPr>
          <w:rFonts w:ascii="Times New Roman" w:hAnsi="Times New Roman" w:cs="Times New Roman" w:eastAsia="Times New Roman" w:hint="default"/>
          <w:spacing w:val="-2"/>
        </w:rPr>
        <w:t> </w:t>
      </w:r>
      <w:r>
        <w:rPr/>
        <w:t>个百分点和</w:t>
      </w:r>
      <w:r>
        <w:rPr>
          <w:spacing w:val="-55"/>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t>个百分点。</w:t>
      </w:r>
    </w:p>
    <w:p>
      <w:pPr>
        <w:pStyle w:val="BodyText"/>
        <w:spacing w:line="280" w:lineRule="auto" w:before="169"/>
        <w:ind w:right="196" w:firstLine="420"/>
        <w:jc w:val="both"/>
      </w:pPr>
      <w:r>
        <w:rPr/>
        <w:t>为扩大内需，促进中国经济平稳较快发展，防止出现大的起落，</w:t>
      </w:r>
      <w:r>
        <w:rPr>
          <w:rFonts w:ascii="Times New Roman" w:hAnsi="Times New Roman" w:cs="Times New Roman" w:eastAsia="Times New Roman" w:hint="default"/>
        </w:rPr>
        <w:t>2008</w:t>
      </w:r>
      <w:r>
        <w:rPr>
          <w:rFonts w:ascii="Times New Roman" w:hAnsi="Times New Roman" w:cs="Times New Roman" w:eastAsia="Times New Roman" w:hint="default"/>
          <w:spacing w:val="-13"/>
        </w:rPr>
        <w:t> </w:t>
      </w:r>
      <w:r>
        <w:rPr/>
        <w:t>年</w:t>
      </w:r>
      <w:r>
        <w:rPr>
          <w:spacing w:val="-6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2"/>
        </w:rPr>
        <w:t> </w:t>
      </w:r>
      <w:r>
        <w:rPr/>
        <w:t>月国务院通 过</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spacing w:val="-3"/>
        </w:rPr>
        <w:t>万亿的扩内需、促增长十项措施。在基础设施建设方面，根据铁道部发布的“中长期铁</w:t>
      </w:r>
    </w:p>
    <w:p>
      <w:pPr>
        <w:pStyle w:val="BodyText"/>
        <w:spacing w:line="290" w:lineRule="auto" w:before="10"/>
        <w:ind w:left="139" w:right="196"/>
        <w:jc w:val="both"/>
      </w:pPr>
      <w:r>
        <w:rPr>
          <w:spacing w:val="-14"/>
        </w:rPr>
        <w:t>路网规划调整方案”，到</w:t>
      </w:r>
      <w:r>
        <w:rPr>
          <w:spacing w:val="-51"/>
        </w:rPr>
        <w:t> </w:t>
      </w:r>
      <w:r>
        <w:rPr>
          <w:rFonts w:ascii="Times New Roman" w:hAnsi="Times New Roman" w:cs="Times New Roman" w:eastAsia="Times New Roman" w:hint="default"/>
          <w:spacing w:val="-1"/>
        </w:rPr>
        <w:t>2020</w:t>
      </w:r>
      <w:r>
        <w:rPr>
          <w:rFonts w:ascii="Times New Roman" w:hAnsi="Times New Roman" w:cs="Times New Roman" w:eastAsia="Times New Roman" w:hint="default"/>
          <w:spacing w:val="3"/>
        </w:rPr>
        <w:t> </w:t>
      </w:r>
      <w:r>
        <w:rPr>
          <w:spacing w:val="-4"/>
        </w:rPr>
        <w:t>年，全国铁路营业里程规划目标由</w:t>
      </w:r>
      <w:r>
        <w:rPr>
          <w:spacing w:val="-50"/>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3"/>
        </w:rPr>
        <w:t> </w:t>
      </w:r>
      <w:r>
        <w:rPr>
          <w:spacing w:val="-1"/>
        </w:rPr>
        <w:t>万公里调整为</w:t>
      </w:r>
      <w:r>
        <w:rPr>
          <w:spacing w:val="-50"/>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2"/>
        </w:rPr>
        <w:t> </w:t>
      </w:r>
      <w:r>
        <w:rPr/>
        <w:t>万公里 以上，其中客运专线由</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万公里调整为</w:t>
      </w:r>
      <w:r>
        <w:rPr>
          <w:spacing w:val="-59"/>
        </w:rPr>
        <w:t> </w:t>
      </w:r>
      <w:r>
        <w:rPr>
          <w:rFonts w:ascii="Times New Roman" w:hAnsi="Times New Roman" w:cs="Times New Roman" w:eastAsia="Times New Roman" w:hint="default"/>
        </w:rPr>
        <w:t>1.6</w:t>
      </w:r>
      <w:r>
        <w:rPr>
          <w:rFonts w:ascii="Times New Roman" w:hAnsi="Times New Roman" w:cs="Times New Roman" w:eastAsia="Times New Roman" w:hint="default"/>
          <w:spacing w:val="-6"/>
        </w:rPr>
        <w:t> </w:t>
      </w:r>
      <w:r>
        <w:rPr/>
        <w:t>万公里，电化率由</w:t>
      </w:r>
      <w:r>
        <w:rPr>
          <w:spacing w:val="-59"/>
        </w:rPr>
        <w:t> </w:t>
      </w:r>
      <w:r>
        <w:rPr>
          <w:rFonts w:ascii="Times New Roman" w:hAnsi="Times New Roman" w:cs="Times New Roman" w:eastAsia="Times New Roman" w:hint="default"/>
        </w:rPr>
        <w:t>50%</w:t>
      </w:r>
      <w:r>
        <w:rPr/>
        <w:t>调整为</w:t>
      </w:r>
      <w:r>
        <w:rPr>
          <w:spacing w:val="-59"/>
        </w:rPr>
        <w:t> </w:t>
      </w:r>
      <w:r>
        <w:rPr>
          <w:rFonts w:ascii="Times New Roman" w:hAnsi="Times New Roman" w:cs="Times New Roman" w:eastAsia="Times New Roman" w:hint="default"/>
        </w:rPr>
        <w:t>60%</w:t>
      </w:r>
      <w:r>
        <w:rPr/>
        <w:t>，主要繁忙 </w:t>
      </w:r>
      <w:r>
        <w:rPr>
          <w:spacing w:val="-3"/>
        </w:rPr>
        <w:t>干线实现客货分线，基本形成布局合理、结构清晰、功能完善、衔接顺畅的铁路网络，运输</w:t>
      </w:r>
      <w:r>
        <w:rPr>
          <w:spacing w:val="-84"/>
        </w:rPr>
        <w:t> </w:t>
      </w:r>
      <w:r>
        <w:rPr>
          <w:spacing w:val="-84"/>
        </w:rPr>
      </w:r>
      <w:r>
        <w:rPr>
          <w:spacing w:val="-3"/>
        </w:rPr>
        <w:t>能力满足国民经济和社会发展需要，主要技术装备达到或接近国际先进水平。这在一定程度</w:t>
      </w:r>
      <w:r>
        <w:rPr>
          <w:spacing w:val="-79"/>
        </w:rPr>
        <w:t> </w:t>
      </w:r>
      <w:r>
        <w:rPr>
          <w:spacing w:val="-79"/>
        </w:rPr>
      </w:r>
      <w:r>
        <w:rPr/>
        <w:t>上为有关技术装备企业提供了机会。</w:t>
      </w:r>
    </w:p>
    <w:p>
      <w:pPr>
        <w:pStyle w:val="BodyText"/>
        <w:spacing w:line="297" w:lineRule="auto" w:before="140"/>
        <w:ind w:left="139" w:right="102" w:firstLine="420"/>
        <w:jc w:val="both"/>
      </w:pPr>
      <w:r>
        <w:rPr/>
        <w:t>根据国务院已批准的第一批包括北京、上海、天津、广州、南京、深圳、武汉、西安、 重庆、成都、哈尔滨、长春、沈阳、杭州和苏州等</w:t>
      </w:r>
      <w:r>
        <w:rPr>
          <w:spacing w:val="-48"/>
        </w:rPr>
        <w:t> </w:t>
      </w:r>
      <w:r>
        <w:rPr>
          <w:rFonts w:ascii="Times New Roman" w:hAnsi="Times New Roman" w:cs="Times New Roman" w:eastAsia="Times New Roman" w:hint="default"/>
        </w:rPr>
        <w:t>15</w:t>
      </w:r>
      <w:r>
        <w:rPr>
          <w:rFonts w:ascii="Times New Roman" w:hAnsi="Times New Roman" w:cs="Times New Roman" w:eastAsia="Times New Roman" w:hint="default"/>
          <w:spacing w:val="5"/>
        </w:rPr>
        <w:t> </w:t>
      </w:r>
      <w:r>
        <w:rPr/>
        <w:t>个城市的城市轨道交通项目规划，至</w:t>
      </w:r>
    </w:p>
    <w:p>
      <w:pPr>
        <w:pStyle w:val="BodyText"/>
        <w:spacing w:line="288" w:lineRule="auto" w:before="0"/>
        <w:ind w:left="139" w:right="102"/>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年的规划线路长度是</w:t>
      </w:r>
      <w:r>
        <w:rPr>
          <w:spacing w:val="-55"/>
        </w:rPr>
        <w:t> </w:t>
      </w:r>
      <w:r>
        <w:rPr>
          <w:rFonts w:ascii="Times New Roman" w:hAnsi="Times New Roman" w:cs="Times New Roman" w:eastAsia="Times New Roman" w:hint="default"/>
        </w:rPr>
        <w:t>2400</w:t>
      </w:r>
      <w:r>
        <w:rPr>
          <w:rFonts w:ascii="Times New Roman" w:hAnsi="Times New Roman" w:cs="Times New Roman" w:eastAsia="Times New Roman" w:hint="default"/>
          <w:spacing w:val="-2"/>
        </w:rPr>
        <w:t> </w:t>
      </w:r>
      <w:r>
        <w:rPr/>
        <w:t>公里，投资规模近</w:t>
      </w:r>
      <w:r>
        <w:rPr>
          <w:spacing w:val="-55"/>
        </w:rPr>
        <w:t> </w:t>
      </w:r>
      <w:r>
        <w:rPr>
          <w:rFonts w:ascii="Times New Roman" w:hAnsi="Times New Roman" w:cs="Times New Roman" w:eastAsia="Times New Roman" w:hint="default"/>
        </w:rPr>
        <w:t>7000</w:t>
      </w:r>
      <w:r>
        <w:rPr>
          <w:rFonts w:ascii="Times New Roman" w:hAnsi="Times New Roman" w:cs="Times New Roman" w:eastAsia="Times New Roman" w:hint="default"/>
          <w:spacing w:val="-2"/>
        </w:rPr>
        <w:t> </w:t>
      </w:r>
      <w:r>
        <w:rPr/>
        <w:t>亿，目前已完成了</w:t>
      </w:r>
      <w:r>
        <w:rPr>
          <w:spacing w:val="-55"/>
        </w:rPr>
        <w:t> </w:t>
      </w:r>
      <w:r>
        <w:rPr>
          <w:rFonts w:ascii="Times New Roman" w:hAnsi="Times New Roman" w:cs="Times New Roman" w:eastAsia="Times New Roman" w:hint="default"/>
        </w:rPr>
        <w:t>1000</w:t>
      </w:r>
      <w:r>
        <w:rPr>
          <w:rFonts w:ascii="Times New Roman" w:hAnsi="Times New Roman" w:cs="Times New Roman" w:eastAsia="Times New Roman" w:hint="default"/>
          <w:spacing w:val="-2"/>
        </w:rPr>
        <w:t> </w:t>
      </w:r>
      <w:r>
        <w:rPr/>
        <w:t>亿元投资， </w:t>
      </w:r>
      <w:r>
        <w:rPr>
          <w:spacing w:val="-3"/>
        </w:rPr>
        <w:t>有的城市已接近完成，有些城市线网已开始修编，而修编的轨道交通线网线路长度通常会增</w:t>
      </w:r>
      <w:r>
        <w:rPr>
          <w:spacing w:val="-79"/>
        </w:rPr>
        <w:t> </w:t>
      </w:r>
      <w:r>
        <w:rPr>
          <w:spacing w:val="-79"/>
        </w:rPr>
      </w:r>
      <w:r>
        <w:rPr/>
        <w:t>加；第二批包括南宁、宁波、无锡、大连、东莞、昆明、郑州、长沙、福州和贵阳等</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个 城市的城市轨道交通项目正在制定规划或报批之中。此外，还有合肥、青岛、济南、厦门、 太原、大同和兰州等一批城市也在筹备轨道交通，筹备轨道交通的城市总计达到</w:t>
      </w:r>
      <w:r>
        <w:rPr>
          <w:spacing w:val="-48"/>
        </w:rPr>
        <w:t> </w:t>
      </w:r>
      <w:r>
        <w:rPr>
          <w:rFonts w:ascii="Times New Roman" w:hAnsi="Times New Roman" w:cs="Times New Roman" w:eastAsia="Times New Roman" w:hint="default"/>
        </w:rPr>
        <w:t>40</w:t>
      </w:r>
      <w:r>
        <w:rPr>
          <w:rFonts w:ascii="Times New Roman" w:hAnsi="Times New Roman" w:cs="Times New Roman" w:eastAsia="Times New Roman" w:hint="default"/>
          <w:spacing w:val="5"/>
        </w:rPr>
        <w:t> </w:t>
      </w:r>
      <w:r>
        <w:rPr/>
        <w:t>多个。</w:t>
      </w:r>
    </w:p>
    <w:p>
      <w:pPr>
        <w:pStyle w:val="BodyText"/>
        <w:spacing w:line="292" w:lineRule="auto" w:before="3"/>
        <w:ind w:left="139" w:right="196"/>
        <w:jc w:val="both"/>
      </w:pPr>
      <w:r>
        <w:rPr/>
        <w:t>加上这些筹备建设的城市，中国轨道交通建设线路将达到</w:t>
      </w:r>
      <w:r>
        <w:rPr>
          <w:spacing w:val="-49"/>
        </w:rPr>
        <w:t> </w:t>
      </w:r>
      <w:r>
        <w:rPr>
          <w:rFonts w:ascii="Times New Roman" w:hAnsi="Times New Roman" w:cs="Times New Roman" w:eastAsia="Times New Roman" w:hint="default"/>
        </w:rPr>
        <w:t>3400</w:t>
      </w:r>
      <w:r>
        <w:rPr>
          <w:rFonts w:ascii="Times New Roman" w:hAnsi="Times New Roman" w:cs="Times New Roman" w:eastAsia="Times New Roman" w:hint="default"/>
          <w:spacing w:val="4"/>
        </w:rPr>
        <w:t> </w:t>
      </w:r>
      <w:r>
        <w:rPr/>
        <w:t>公里以上。由于城市轨道交 </w:t>
      </w:r>
      <w:r>
        <w:rPr>
          <w:spacing w:val="-3"/>
        </w:rPr>
        <w:t>通具有大容量、高效率、低污染、集约化的特点，无论是建设速度，还是建设规模，目前我</w:t>
      </w:r>
      <w:r>
        <w:rPr>
          <w:spacing w:val="-81"/>
        </w:rPr>
        <w:t> </w:t>
      </w:r>
      <w:r>
        <w:rPr>
          <w:spacing w:val="-81"/>
        </w:rPr>
      </w:r>
      <w:r>
        <w:rPr>
          <w:spacing w:val="-3"/>
        </w:rPr>
        <w:t>国的轨道交通发展正经历一个前所未有的发展期，中国已经成为世界上最大的城市轨道交通</w:t>
      </w:r>
      <w:r>
        <w:rPr>
          <w:spacing w:val="-79"/>
        </w:rPr>
        <w:t> </w:t>
      </w:r>
      <w:r>
        <w:rPr>
          <w:spacing w:val="-79"/>
        </w:rPr>
      </w:r>
      <w:r>
        <w:rPr/>
        <w:t>建设市场。</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240" w:lineRule="auto" w:before="0"/>
        <w:ind w:left="559" w:right="190"/>
        <w:jc w:val="left"/>
      </w:pPr>
      <w:r>
        <w:rPr/>
        <w:t>（</w:t>
      </w:r>
      <w:r>
        <w:rPr>
          <w:rFonts w:ascii="Times New Roman" w:hAnsi="Times New Roman" w:cs="Times New Roman" w:eastAsia="Times New Roman" w:hint="default"/>
        </w:rPr>
        <w:t>2</w:t>
      </w:r>
      <w:r>
        <w:rPr/>
        <w:t>）市场竞争格局</w:t>
      </w:r>
    </w:p>
    <w:p>
      <w:pPr>
        <w:pStyle w:val="BodyText"/>
        <w:spacing w:line="280" w:lineRule="auto" w:before="170"/>
        <w:ind w:left="139" w:right="195" w:firstLine="420"/>
        <w:jc w:val="both"/>
      </w:pPr>
      <w:r>
        <w:rPr/>
        <w:t>由于</w:t>
      </w:r>
      <w:r>
        <w:rPr>
          <w:spacing w:val="-55"/>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2"/>
        </w:rPr>
        <w:t> </w:t>
      </w:r>
      <w:r>
        <w:rPr/>
        <w:t>本身的特殊性，以及银行对</w:t>
      </w:r>
      <w:r>
        <w:rPr>
          <w:spacing w:val="-55"/>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2"/>
        </w:rPr>
        <w:t> </w:t>
      </w:r>
      <w:r>
        <w:rPr>
          <w:spacing w:val="-3"/>
        </w:rPr>
        <w:t>品质的高要求，</w:t>
      </w:r>
      <w:r>
        <w:rPr>
          <w:rFonts w:ascii="Times New Roman" w:hAnsi="Times New Roman" w:cs="Times New Roman" w:eastAsia="Times New Roman" w:hint="default"/>
          <w:spacing w:val="-3"/>
        </w:rPr>
        <w:t>ATM</w:t>
      </w:r>
      <w:r>
        <w:rPr>
          <w:rFonts w:ascii="Times New Roman" w:hAnsi="Times New Roman" w:cs="Times New Roman" w:eastAsia="Times New Roman" w:hint="default"/>
          <w:spacing w:val="-2"/>
        </w:rPr>
        <w:t> </w:t>
      </w:r>
      <w:r>
        <w:rPr/>
        <w:t>市场目前仍处于垄断 竞争的格局，几乎无新进入者。英国零售银行</w:t>
      </w:r>
      <w:r>
        <w:rPr>
          <w:spacing w:val="-68"/>
        </w:rPr>
        <w:t> </w:t>
      </w:r>
      <w:r>
        <w:rPr>
          <w:rFonts w:ascii="Times New Roman" w:hAnsi="Times New Roman" w:cs="Times New Roman" w:eastAsia="Times New Roman" w:hint="default"/>
        </w:rPr>
        <w:t>RBR</w:t>
      </w:r>
      <w:r>
        <w:rPr>
          <w:rFonts w:ascii="Times New Roman" w:hAnsi="Times New Roman" w:cs="Times New Roman" w:eastAsia="Times New Roman" w:hint="default"/>
          <w:spacing w:val="-15"/>
        </w:rPr>
        <w:t> </w:t>
      </w:r>
      <w:r>
        <w:rPr/>
        <w:t>资料显示：</w:t>
      </w:r>
      <w:r>
        <w:rPr>
          <w:rFonts w:ascii="Times New Roman" w:hAnsi="Times New Roman" w:cs="Times New Roman" w:eastAsia="Times New Roman" w:hint="default"/>
        </w:rPr>
        <w:t>2007</w:t>
      </w:r>
      <w:r>
        <w:rPr>
          <w:rFonts w:ascii="Times New Roman" w:hAnsi="Times New Roman" w:cs="Times New Roman" w:eastAsia="Times New Roman" w:hint="default"/>
          <w:spacing w:val="-15"/>
        </w:rPr>
        <w:t> </w:t>
      </w:r>
      <w:r>
        <w:rPr/>
        <w:t>年，在亚洲市场上，广 电运通排名第</w:t>
      </w:r>
      <w:r>
        <w:rPr>
          <w:spacing w:val="-30"/>
        </w:rPr>
        <w:t> </w:t>
      </w:r>
      <w:r>
        <w:rPr>
          <w:rFonts w:ascii="Times New Roman" w:hAnsi="Times New Roman" w:cs="Times New Roman" w:eastAsia="Times New Roman" w:hint="default"/>
        </w:rPr>
        <w:t>6</w:t>
      </w:r>
      <w:r>
        <w:rPr/>
        <w:t>，在全球市场上，广电运通排名第</w:t>
      </w:r>
      <w:r>
        <w:rPr>
          <w:spacing w:val="-30"/>
        </w:rPr>
        <w:t> </w:t>
      </w:r>
      <w:r>
        <w:rPr>
          <w:rFonts w:ascii="Times New Roman" w:hAnsi="Times New Roman" w:cs="Times New Roman" w:eastAsia="Times New Roman" w:hint="default"/>
        </w:rPr>
        <w:t>8</w:t>
      </w:r>
      <w:r>
        <w:rPr/>
        <w:t>，参与</w:t>
      </w:r>
      <w:r>
        <w:rPr>
          <w:spacing w:val="-30"/>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22"/>
        </w:rPr>
        <w:t> </w:t>
      </w:r>
      <w:r>
        <w:rPr/>
        <w:t>市场竞争的企业有（按字 母顺序）</w:t>
      </w:r>
      <w:r>
        <w:rPr>
          <w:rFonts w:ascii="Times New Roman" w:hAnsi="Times New Roman" w:cs="Times New Roman" w:eastAsia="Times New Roman" w:hint="default"/>
        </w:rPr>
        <w:t>Diebold,</w:t>
      </w:r>
      <w:r>
        <w:rPr>
          <w:rFonts w:ascii="Times New Roman" w:hAnsi="Times New Roman" w:cs="Times New Roman" w:eastAsia="Times New Roman" w:hint="default"/>
          <w:spacing w:val="-5"/>
        </w:rPr>
        <w:t> </w:t>
      </w:r>
      <w:r>
        <w:rPr>
          <w:rFonts w:ascii="Times New Roman" w:hAnsi="Times New Roman" w:cs="Times New Roman" w:eastAsia="Times New Roman" w:hint="default"/>
        </w:rPr>
        <w:t>Hitachi-Omron,</w:t>
      </w:r>
      <w:r>
        <w:rPr>
          <w:rFonts w:ascii="Times New Roman" w:hAnsi="Times New Roman" w:cs="Times New Roman" w:eastAsia="Times New Roman" w:hint="default"/>
          <w:spacing w:val="-5"/>
        </w:rPr>
        <w:t> </w:t>
      </w:r>
      <w:r>
        <w:rPr>
          <w:rFonts w:ascii="Times New Roman" w:hAnsi="Times New Roman" w:cs="Times New Roman" w:eastAsia="Times New Roman" w:hint="default"/>
        </w:rPr>
        <w:t>NCR,</w:t>
      </w:r>
      <w:r>
        <w:rPr>
          <w:rFonts w:ascii="Times New Roman" w:hAnsi="Times New Roman" w:cs="Times New Roman" w:eastAsia="Times New Roman" w:hint="default"/>
          <w:spacing w:val="-6"/>
        </w:rPr>
        <w:t> </w:t>
      </w:r>
      <w:r>
        <w:rPr>
          <w:rFonts w:ascii="Times New Roman" w:hAnsi="Times New Roman" w:cs="Times New Roman" w:eastAsia="Times New Roman" w:hint="default"/>
        </w:rPr>
        <w:t>Nautilus</w:t>
      </w:r>
      <w:r>
        <w:rPr>
          <w:rFonts w:ascii="Times New Roman" w:hAnsi="Times New Roman" w:cs="Times New Roman" w:eastAsia="Times New Roman" w:hint="default"/>
          <w:spacing w:val="-6"/>
        </w:rPr>
        <w:t> </w:t>
      </w:r>
      <w:r>
        <w:rPr>
          <w:rFonts w:ascii="Times New Roman" w:hAnsi="Times New Roman" w:cs="Times New Roman" w:eastAsia="Times New Roman" w:hint="default"/>
        </w:rPr>
        <w:t>Hyosung,</w:t>
      </w:r>
      <w:r>
        <w:rPr>
          <w:rFonts w:ascii="Times New Roman" w:hAnsi="Times New Roman" w:cs="Times New Roman" w:eastAsia="Times New Roman" w:hint="default"/>
          <w:spacing w:val="-5"/>
        </w:rPr>
        <w:t> </w:t>
      </w:r>
      <w:r>
        <w:rPr>
          <w:rFonts w:ascii="Times New Roman" w:hAnsi="Times New Roman" w:cs="Times New Roman" w:eastAsia="Times New Roman" w:hint="default"/>
        </w:rPr>
        <w:t>OKI,</w:t>
      </w:r>
      <w:r>
        <w:rPr>
          <w:rFonts w:ascii="Times New Roman" w:hAnsi="Times New Roman" w:cs="Times New Roman" w:eastAsia="Times New Roman" w:hint="default"/>
          <w:spacing w:val="-8"/>
        </w:rPr>
        <w:t> </w:t>
      </w:r>
      <w:r>
        <w:rPr>
          <w:rFonts w:ascii="Times New Roman" w:hAnsi="Times New Roman" w:cs="Times New Roman" w:eastAsia="Times New Roman" w:hint="default"/>
        </w:rPr>
        <w:t>Triton</w:t>
      </w:r>
      <w:r>
        <w:rPr>
          <w:rFonts w:ascii="Times New Roman" w:hAnsi="Times New Roman" w:cs="Times New Roman" w:eastAsia="Times New Roman" w:hint="default"/>
          <w:spacing w:val="-6"/>
        </w:rPr>
        <w:t> </w:t>
      </w:r>
      <w:r>
        <w:rPr>
          <w:rFonts w:ascii="Times New Roman" w:hAnsi="Times New Roman" w:cs="Times New Roman" w:eastAsia="Times New Roman" w:hint="default"/>
        </w:rPr>
        <w:t>and</w:t>
      </w:r>
      <w:r>
        <w:rPr>
          <w:rFonts w:ascii="Times New Roman" w:hAnsi="Times New Roman" w:cs="Times New Roman" w:eastAsia="Times New Roman" w:hint="default"/>
          <w:spacing w:val="-8"/>
        </w:rPr>
        <w:t> </w:t>
      </w:r>
      <w:r>
        <w:rPr>
          <w:rFonts w:ascii="Times New Roman" w:hAnsi="Times New Roman" w:cs="Times New Roman" w:eastAsia="Times New Roman" w:hint="default"/>
        </w:rPr>
        <w:t>Wincor</w:t>
      </w:r>
      <w:r>
        <w:rPr>
          <w:rFonts w:ascii="Times New Roman" w:hAnsi="Times New Roman" w:cs="Times New Roman" w:eastAsia="Times New Roman" w:hint="default"/>
          <w:spacing w:val="-6"/>
        </w:rPr>
        <w:t> </w:t>
      </w:r>
      <w:r>
        <w:rPr>
          <w:rFonts w:ascii="Times New Roman" w:hAnsi="Times New Roman" w:cs="Times New Roman" w:eastAsia="Times New Roman" w:hint="default"/>
        </w:rPr>
        <w:t>Nixdorf</w:t>
      </w:r>
      <w:r>
        <w:rPr/>
        <w:t>。</w:t>
      </w:r>
    </w:p>
    <w:p>
      <w:pPr>
        <w:pStyle w:val="BodyText"/>
        <w:spacing w:line="283" w:lineRule="auto" w:before="130"/>
        <w:ind w:left="139" w:right="85" w:firstLine="42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年，国际</w:t>
      </w:r>
      <w:r>
        <w:rPr>
          <w:spacing w:val="-50"/>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2"/>
        </w:rPr>
        <w:t> </w:t>
      </w:r>
      <w:r>
        <w:rPr/>
        <w:t>市场竞争加剧，产品价格一路下滑；在低成本零售</w:t>
      </w:r>
      <w:r>
        <w:rPr>
          <w:spacing w:val="-50"/>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2"/>
        </w:rPr>
        <w:t> </w:t>
      </w:r>
      <w:r>
        <w:rPr/>
        <w:t>市场上， 美国全球最大</w:t>
      </w:r>
      <w:r>
        <w:rPr>
          <w:spacing w:val="-55"/>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3"/>
        </w:rPr>
        <w:t> </w:t>
      </w:r>
      <w:r>
        <w:rPr/>
        <w:t>零售商</w:t>
      </w:r>
      <w:r>
        <w:rPr>
          <w:spacing w:val="-56"/>
        </w:rPr>
        <w:t> </w:t>
      </w:r>
      <w:r>
        <w:rPr>
          <w:rFonts w:ascii="Times New Roman" w:hAnsi="Times New Roman" w:cs="Times New Roman" w:eastAsia="Times New Roman" w:hint="default"/>
        </w:rPr>
        <w:t>Triton</w:t>
      </w:r>
      <w:r>
        <w:rPr>
          <w:rFonts w:ascii="Times New Roman" w:hAnsi="Times New Roman" w:cs="Times New Roman" w:eastAsia="Times New Roman" w:hint="default"/>
          <w:spacing w:val="-3"/>
        </w:rPr>
        <w:t> </w:t>
      </w:r>
      <w:r>
        <w:rPr/>
        <w:t>公司因外部经营环境变化被韩国</w:t>
      </w:r>
      <w:r>
        <w:rPr>
          <w:spacing w:val="-56"/>
        </w:rPr>
        <w:t> </w:t>
      </w:r>
      <w:r>
        <w:rPr>
          <w:rFonts w:ascii="Times New Roman" w:hAnsi="Times New Roman" w:cs="Times New Roman" w:eastAsia="Times New Roman" w:hint="default"/>
        </w:rPr>
        <w:t>Nautilus</w:t>
      </w:r>
      <w:r>
        <w:rPr>
          <w:rFonts w:ascii="Times New Roman" w:hAnsi="Times New Roman" w:cs="Times New Roman" w:eastAsia="Times New Roman" w:hint="default"/>
          <w:spacing w:val="43"/>
        </w:rPr>
        <w:t> </w:t>
      </w:r>
      <w:r>
        <w:rPr>
          <w:rFonts w:ascii="Times New Roman" w:hAnsi="Times New Roman" w:cs="Times New Roman" w:eastAsia="Times New Roman" w:hint="default"/>
        </w:rPr>
        <w:t>Hyosung</w:t>
      </w:r>
      <w:r>
        <w:rPr>
          <w:rFonts w:ascii="Times New Roman" w:hAnsi="Times New Roman" w:cs="Times New Roman" w:eastAsia="Times New Roman" w:hint="default"/>
          <w:spacing w:val="-3"/>
        </w:rPr>
        <w:t> </w:t>
      </w:r>
      <w:r>
        <w:rPr/>
        <w:t>收购。 在国内，广电运通</w:t>
      </w:r>
      <w:r>
        <w:rPr>
          <w:spacing w:val="-58"/>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6"/>
        </w:rPr>
        <w:t> </w:t>
      </w:r>
      <w:r>
        <w:rPr/>
        <w:t>已成功进入了中、农、建、交、邮储、光大、深发展等银行以及全 国各地方性商业银行与农村信用社，广电运通的竞争优势日益显现，市场地位进一步提升， 由</w:t>
      </w:r>
      <w:r>
        <w:rPr>
          <w:spacing w:val="-5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年的排名第二上升为</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年的第一，是国产</w:t>
      </w:r>
      <w:r>
        <w:rPr>
          <w:spacing w:val="-56"/>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3"/>
        </w:rPr>
        <w:t> </w:t>
      </w:r>
      <w:r>
        <w:rPr/>
        <w:t>厂商中用户分布面最广、设备安 装量最大的企业。在海外，广电运通 </w:t>
      </w:r>
      <w:r>
        <w:rPr>
          <w:rFonts w:ascii="Times New Roman" w:hAnsi="Times New Roman" w:cs="Times New Roman" w:eastAsia="Times New Roman" w:hint="default"/>
          <w:spacing w:val="-8"/>
        </w:rPr>
        <w:t>ATM </w:t>
      </w:r>
      <w:r>
        <w:rPr/>
        <w:t>产品已成功进入了全球 </w:t>
      </w:r>
      <w:r>
        <w:rPr>
          <w:rFonts w:ascii="Times New Roman" w:hAnsi="Times New Roman" w:cs="Times New Roman" w:eastAsia="Times New Roman" w:hint="default"/>
        </w:rPr>
        <w:t>50</w:t>
      </w:r>
      <w:r>
        <w:rPr>
          <w:rFonts w:ascii="Times New Roman" w:hAnsi="Times New Roman" w:cs="Times New Roman" w:eastAsia="Times New Roman" w:hint="default"/>
          <w:spacing w:val="-8"/>
        </w:rPr>
        <w:t> </w:t>
      </w:r>
      <w:r>
        <w:rPr/>
        <w:t>多个国家和地区，公 司海外知名度正在迅速提升。</w:t>
      </w:r>
    </w:p>
    <w:p>
      <w:pPr>
        <w:pStyle w:val="BodyText"/>
        <w:spacing w:line="285" w:lineRule="auto" w:before="148"/>
        <w:ind w:right="195" w:firstLine="420"/>
        <w:jc w:val="both"/>
      </w:pPr>
      <w:r>
        <w:rPr/>
        <w:t>目前主要在国内参与</w:t>
      </w:r>
      <w:r>
        <w:rPr>
          <w:spacing w:val="-43"/>
        </w:rPr>
        <w:t> </w:t>
      </w:r>
      <w:r>
        <w:rPr>
          <w:rFonts w:ascii="Times New Roman" w:hAnsi="Times New Roman" w:cs="Times New Roman" w:eastAsia="Times New Roman" w:hint="default"/>
        </w:rPr>
        <w:t>AFC</w:t>
      </w:r>
      <w:r>
        <w:rPr>
          <w:rFonts w:ascii="Times New Roman" w:hAnsi="Times New Roman" w:cs="Times New Roman" w:eastAsia="Times New Roman" w:hint="default"/>
          <w:spacing w:val="10"/>
        </w:rPr>
        <w:t> </w:t>
      </w:r>
      <w:r>
        <w:rPr/>
        <w:t>市场竞争的国外和国内企业主要有：日本的日本信号、欧姆 </w:t>
      </w:r>
      <w:r>
        <w:rPr>
          <w:spacing w:val="-3"/>
        </w:rPr>
        <w:t>龙；韩国的三星、</w:t>
      </w:r>
      <w:r>
        <w:rPr>
          <w:rFonts w:ascii="Times New Roman" w:hAnsi="Times New Roman" w:cs="Times New Roman" w:eastAsia="Times New Roman" w:hint="default"/>
          <w:spacing w:val="-3"/>
        </w:rPr>
        <w:t>KDE</w:t>
      </w:r>
      <w:r>
        <w:rPr>
          <w:spacing w:val="-3"/>
        </w:rPr>
        <w:t>、</w:t>
      </w:r>
      <w:r>
        <w:rPr>
          <w:rFonts w:ascii="Times New Roman" w:hAnsi="Times New Roman" w:cs="Times New Roman" w:eastAsia="Times New Roman" w:hint="default"/>
          <w:spacing w:val="-3"/>
        </w:rPr>
        <w:t>LG</w:t>
      </w:r>
      <w:r>
        <w:rPr>
          <w:spacing w:val="-3"/>
        </w:rPr>
        <w:t>；美国的</w:t>
      </w:r>
      <w:r>
        <w:rPr>
          <w:spacing w:val="-60"/>
        </w:rPr>
        <w:t> </w:t>
      </w:r>
      <w:r>
        <w:rPr>
          <w:rFonts w:ascii="Times New Roman" w:hAnsi="Times New Roman" w:cs="Times New Roman" w:eastAsia="Times New Roman" w:hint="default"/>
        </w:rPr>
        <w:t>CUBIC</w:t>
      </w:r>
      <w:r>
        <w:rPr/>
        <w:t>；澳大利亚的</w:t>
      </w:r>
      <w:r>
        <w:rPr>
          <w:spacing w:val="-60"/>
        </w:rPr>
        <w:t> </w:t>
      </w:r>
      <w:r>
        <w:rPr>
          <w:rFonts w:ascii="Times New Roman" w:hAnsi="Times New Roman" w:cs="Times New Roman" w:eastAsia="Times New Roman" w:hint="default"/>
        </w:rPr>
        <w:t>ERG</w:t>
      </w:r>
      <w:r>
        <w:rPr/>
        <w:t>；法国的</w:t>
      </w:r>
      <w:r>
        <w:rPr>
          <w:spacing w:val="-60"/>
        </w:rPr>
        <w:t> </w:t>
      </w:r>
      <w:r>
        <w:rPr>
          <w:rFonts w:ascii="Times New Roman" w:hAnsi="Times New Roman" w:cs="Times New Roman" w:eastAsia="Times New Roman" w:hint="default"/>
        </w:rPr>
        <w:t>Thales</w:t>
      </w:r>
      <w:r>
        <w:rPr/>
        <w:t>，新加坡的 </w:t>
      </w:r>
      <w:r>
        <w:rPr>
          <w:spacing w:val="-3"/>
        </w:rPr>
        <w:t>新科电子；国内厂商除广电运通外，还包括上海的邮通、华虹、华铭、华腾；深圳的深圳现</w:t>
      </w:r>
      <w:r>
        <w:rPr>
          <w:spacing w:val="-81"/>
        </w:rPr>
        <w:t> </w:t>
      </w:r>
      <w:r>
        <w:rPr>
          <w:spacing w:val="-81"/>
        </w:rPr>
      </w:r>
      <w:r>
        <w:rPr/>
        <w:t>代和广州的铭鸿数据等。</w:t>
      </w:r>
    </w:p>
    <w:p>
      <w:pPr>
        <w:spacing w:after="0" w:line="285" w:lineRule="auto"/>
        <w:jc w:val="both"/>
        <w:sectPr>
          <w:pgSz w:w="11910" w:h="16840"/>
          <w:pgMar w:header="400" w:footer="982" w:top="1100" w:bottom="1180" w:left="1660" w:right="1600"/>
        </w:sectPr>
      </w:pPr>
    </w:p>
    <w:p>
      <w:pPr>
        <w:spacing w:line="240" w:lineRule="auto" w:before="1"/>
        <w:rPr>
          <w:rFonts w:ascii="宋体" w:hAnsi="宋体" w:cs="宋体" w:eastAsia="宋体" w:hint="default"/>
          <w:sz w:val="19"/>
          <w:szCs w:val="19"/>
        </w:rPr>
      </w:pPr>
    </w:p>
    <w:p>
      <w:pPr>
        <w:pStyle w:val="BodyText"/>
        <w:spacing w:line="379" w:lineRule="auto" w:before="35"/>
        <w:ind w:left="560" w:right="135"/>
        <w:jc w:val="left"/>
      </w:pPr>
      <w:r>
        <w:rPr>
          <w:rFonts w:ascii="Times New Roman" w:hAnsi="Times New Roman" w:cs="Times New Roman" w:eastAsia="Times New Roman" w:hint="default"/>
        </w:rPr>
        <w:t>2</w:t>
      </w:r>
      <w:r>
        <w:rPr/>
        <w:t>、公司的发展规划 </w:t>
      </w:r>
      <w:r>
        <w:rPr>
          <w:spacing w:val="-3"/>
        </w:rPr>
        <w:t>经过近十年的发展，公司通过在货币识别与自动处理设备等高新技术领域的精耕细作和</w:t>
      </w:r>
    </w:p>
    <w:p>
      <w:pPr>
        <w:pStyle w:val="BodyText"/>
        <w:spacing w:line="218" w:lineRule="exact" w:before="0"/>
        <w:ind w:right="0"/>
        <w:jc w:val="both"/>
      </w:pPr>
      <w:r>
        <w:rPr>
          <w:spacing w:val="-3"/>
        </w:rPr>
        <w:t>不断创新，建立了一种能经得起市场考验的成功商业模式，集聚了一批具有竞争力和战斗力</w:t>
      </w:r>
    </w:p>
    <w:p>
      <w:pPr>
        <w:pStyle w:val="BodyText"/>
        <w:spacing w:line="295" w:lineRule="auto" w:before="66"/>
        <w:ind w:right="135"/>
        <w:jc w:val="both"/>
      </w:pPr>
      <w:r>
        <w:rPr>
          <w:spacing w:val="-3"/>
        </w:rPr>
        <w:t>的优秀人才队伍，形成了研发、制造、销售和管理协调运作的良好经营格局，积累了公司持</w:t>
      </w:r>
      <w:r>
        <w:rPr>
          <w:spacing w:val="-80"/>
        </w:rPr>
        <w:t> </w:t>
      </w:r>
      <w:r>
        <w:rPr>
          <w:spacing w:val="-80"/>
        </w:rPr>
      </w:r>
      <w:r>
        <w:rPr>
          <w:spacing w:val="-3"/>
        </w:rPr>
        <w:t>续发展所需资源和能力，形成了具有良好口碑的品牌效应，通过实施同心多元化策略，使得</w:t>
      </w:r>
      <w:r>
        <w:rPr>
          <w:spacing w:val="-81"/>
        </w:rPr>
        <w:t> </w:t>
      </w:r>
      <w:r>
        <w:rPr>
          <w:spacing w:val="-81"/>
        </w:rPr>
      </w:r>
      <w:r>
        <w:rPr/>
        <w:t>公司规模在实现高速增长的同时，凸显</w:t>
      </w:r>
      <w:r>
        <w:rPr>
          <w:spacing w:val="-62"/>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9"/>
        </w:rPr>
        <w:t> </w:t>
      </w:r>
      <w:r>
        <w:rPr>
          <w:spacing w:val="-4"/>
        </w:rPr>
        <w:t>主业突出、</w:t>
      </w:r>
      <w:r>
        <w:rPr>
          <w:rFonts w:ascii="Times New Roman" w:hAnsi="Times New Roman" w:cs="Times New Roman" w:eastAsia="Times New Roman" w:hint="default"/>
          <w:spacing w:val="-4"/>
        </w:rPr>
        <w:t>AFC</w:t>
      </w:r>
      <w:r>
        <w:rPr>
          <w:rFonts w:ascii="Times New Roman" w:hAnsi="Times New Roman" w:cs="Times New Roman" w:eastAsia="Times New Roman" w:hint="default"/>
          <w:spacing w:val="-9"/>
        </w:rPr>
        <w:t> </w:t>
      </w:r>
      <w:r>
        <w:rPr/>
        <w:t>及泛金融产品等逐步发展的特 </w:t>
      </w:r>
      <w:r>
        <w:rPr>
          <w:spacing w:val="-3"/>
        </w:rPr>
        <w:t>点，业务结构更趋稳健。与此同时，银行服务外包意愿的日益增强，给公司业已建立的强大</w:t>
      </w:r>
      <w:r>
        <w:rPr>
          <w:spacing w:val="-80"/>
        </w:rPr>
        <w:t> </w:t>
      </w:r>
      <w:r>
        <w:rPr>
          <w:spacing w:val="-80"/>
        </w:rPr>
      </w:r>
      <w:r>
        <w:rPr>
          <w:spacing w:val="-3"/>
        </w:rPr>
        <w:t>的服务队伍和服务网络以及新成立的广州穗通带来了非常重要的发展机会。因此，广电运通</w:t>
      </w:r>
      <w:r>
        <w:rPr>
          <w:spacing w:val="-79"/>
        </w:rPr>
        <w:t> </w:t>
      </w:r>
      <w:r>
        <w:rPr>
          <w:spacing w:val="-79"/>
        </w:rPr>
      </w:r>
      <w:r>
        <w:rPr>
          <w:spacing w:val="-3"/>
        </w:rPr>
        <w:t>未来的发展战略是以高科技产业为主导，以积极推进高端服务业为补充，逐步提升服务在公</w:t>
      </w:r>
      <w:r>
        <w:rPr>
          <w:spacing w:val="-79"/>
        </w:rPr>
        <w:t> </w:t>
      </w:r>
      <w:r>
        <w:rPr>
          <w:spacing w:val="-79"/>
        </w:rPr>
      </w:r>
      <w:r>
        <w:rPr/>
        <w:t>司发展中的战略地位。</w:t>
      </w:r>
    </w:p>
    <w:p>
      <w:pPr>
        <w:pStyle w:val="BodyText"/>
        <w:spacing w:line="240" w:lineRule="auto" w:before="137"/>
        <w:ind w:left="560" w:right="109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年经营计划</w:t>
      </w:r>
    </w:p>
    <w:p>
      <w:pPr>
        <w:pStyle w:val="BodyText"/>
        <w:spacing w:line="285" w:lineRule="auto" w:before="170"/>
        <w:ind w:left="139" w:right="133" w:firstLine="420"/>
        <w:jc w:val="both"/>
      </w:pP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年，对广电运通而言，是充满机遇和挑战的一年。一方面由于全球金融危机的爆 发使得国外市场萎缩，</w:t>
      </w:r>
      <w:r>
        <w:rPr>
          <w:rFonts w:ascii="Times New Roman" w:hAnsi="Times New Roman" w:cs="Times New Roman" w:eastAsia="Times New Roman" w:hint="default"/>
        </w:rPr>
        <w:t>ATM</w:t>
      </w:r>
      <w:r>
        <w:rPr>
          <w:rFonts w:ascii="Times New Roman" w:hAnsi="Times New Roman" w:cs="Times New Roman" w:eastAsia="Times New Roman" w:hint="default"/>
          <w:spacing w:val="18"/>
        </w:rPr>
        <w:t> </w:t>
      </w:r>
      <w:r>
        <w:rPr/>
        <w:t>国际巨头将加大对国内市场投入力度来争夺国内市场份额；另 </w:t>
      </w:r>
      <w:r>
        <w:rPr>
          <w:spacing w:val="-3"/>
        </w:rPr>
        <w:t>一方面政府政策的支持、国内新兴客户的崛起以及金融服务市场的需求增长将带给公司无穷</w:t>
      </w:r>
      <w:r>
        <w:rPr>
          <w:spacing w:val="-79"/>
        </w:rPr>
        <w:t> </w:t>
      </w:r>
      <w:r>
        <w:rPr>
          <w:spacing w:val="-79"/>
        </w:rPr>
      </w:r>
      <w:r>
        <w:rPr>
          <w:spacing w:val="-4"/>
        </w:rPr>
        <w:t>的机会。为此，</w:t>
      </w:r>
      <w:r>
        <w:rPr>
          <w:rFonts w:ascii="Times New Roman" w:hAnsi="Times New Roman" w:cs="Times New Roman" w:eastAsia="Times New Roman" w:hint="default"/>
          <w:spacing w:val="-4"/>
        </w:rPr>
        <w:t>2009</w:t>
      </w:r>
      <w:r>
        <w:rPr>
          <w:rFonts w:ascii="Times New Roman" w:hAnsi="Times New Roman" w:cs="Times New Roman" w:eastAsia="Times New Roman" w:hint="default"/>
          <w:spacing w:val="12"/>
        </w:rPr>
        <w:t> </w:t>
      </w:r>
      <w:r>
        <w:rPr>
          <w:spacing w:val="-4"/>
        </w:rPr>
        <w:t>年，公司将沉着应对金融危机，坚定信心，在危机中发掘机会，以“创</w:t>
      </w:r>
      <w:r>
        <w:rPr>
          <w:spacing w:val="-101"/>
        </w:rPr>
        <w:t> </w:t>
      </w:r>
      <w:r>
        <w:rPr>
          <w:spacing w:val="-101"/>
        </w:rPr>
      </w:r>
      <w:r>
        <w:rPr/>
        <w:t>新思维迎接挑战，以更优品质赢得未来”为经营主题，主要展开以下几个方面的工作：</w:t>
      </w:r>
    </w:p>
    <w:p>
      <w:pPr>
        <w:pStyle w:val="BodyText"/>
        <w:spacing w:line="288" w:lineRule="auto" w:before="146"/>
        <w:ind w:left="139" w:right="135" w:firstLine="420"/>
        <w:jc w:val="both"/>
      </w:pPr>
      <w:r>
        <w:rPr/>
        <w:t>（</w:t>
      </w:r>
      <w:r>
        <w:rPr>
          <w:rFonts w:ascii="Times New Roman" w:hAnsi="Times New Roman" w:cs="Times New Roman" w:eastAsia="Times New Roman" w:hint="default"/>
        </w:rPr>
        <w:t>1</w:t>
      </w:r>
      <w:r>
        <w:rPr/>
        <w:t>）充分利用公司已有的优势，在市场层面实现新突破。继续巩固在中行、农行的市 </w:t>
      </w:r>
      <w:r>
        <w:rPr>
          <w:spacing w:val="-3"/>
        </w:rPr>
        <w:t>场地位，努力提高在交行、建行、邮政、农信市场、部分城市商业银行和股份制银行的市场</w:t>
      </w:r>
      <w:r>
        <w:rPr>
          <w:spacing w:val="-84"/>
        </w:rPr>
        <w:t> </w:t>
      </w:r>
      <w:r>
        <w:rPr>
          <w:spacing w:val="-84"/>
        </w:rPr>
      </w:r>
      <w:r>
        <w:rPr>
          <w:spacing w:val="-3"/>
        </w:rPr>
        <w:t>份额，争取入围工行、招商、民生、浦发等银行；在保证盈利和控制风险的前提下，采取多</w:t>
      </w:r>
      <w:r>
        <w:rPr>
          <w:spacing w:val="-81"/>
        </w:rPr>
        <w:t> </w:t>
      </w:r>
      <w:r>
        <w:rPr>
          <w:spacing w:val="-81"/>
        </w:rPr>
      </w:r>
      <w:r>
        <w:rPr/>
        <w:t>种方式加大</w:t>
      </w:r>
      <w:r>
        <w:rPr>
          <w:spacing w:val="-43"/>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10"/>
        </w:rPr>
        <w:t> </w:t>
      </w:r>
      <w:r>
        <w:rPr/>
        <w:t>营运业务力度；转变思维，进一步完善海外市场布局；继续保持</w:t>
      </w:r>
      <w:r>
        <w:rPr>
          <w:spacing w:val="-43"/>
        </w:rPr>
        <w:t> </w:t>
      </w:r>
      <w:r>
        <w:rPr>
          <w:rFonts w:ascii="Times New Roman" w:hAnsi="Times New Roman" w:cs="Times New Roman" w:eastAsia="Times New Roman" w:hint="default"/>
        </w:rPr>
        <w:t>TVM</w:t>
      </w:r>
      <w:r>
        <w:rPr>
          <w:rFonts w:ascii="Times New Roman" w:hAnsi="Times New Roman" w:cs="Times New Roman" w:eastAsia="Times New Roman" w:hint="default"/>
          <w:spacing w:val="10"/>
        </w:rPr>
        <w:t> </w:t>
      </w:r>
      <w:r>
        <w:rPr/>
        <w:t>设 备在铁路行业市场优势的同时，力争实现</w:t>
      </w:r>
      <w:r>
        <w:rPr>
          <w:spacing w:val="-71"/>
        </w:rPr>
        <w:t> </w:t>
      </w:r>
      <w:r>
        <w:rPr>
          <w:rFonts w:ascii="Times New Roman" w:hAnsi="Times New Roman" w:cs="Times New Roman" w:eastAsia="Times New Roman" w:hint="default"/>
        </w:rPr>
        <w:t>AFC</w:t>
      </w:r>
      <w:r>
        <w:rPr>
          <w:rFonts w:ascii="Times New Roman" w:hAnsi="Times New Roman" w:cs="Times New Roman" w:eastAsia="Times New Roman" w:hint="default"/>
          <w:spacing w:val="-18"/>
        </w:rPr>
        <w:t> </w:t>
      </w:r>
      <w:r>
        <w:rPr/>
        <w:t>领域系统集成业绩零的突破；积极推进</w:t>
      </w:r>
      <w:r>
        <w:rPr>
          <w:spacing w:val="-71"/>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w w:val="99"/>
        </w:rPr>
        <w:t> </w:t>
      </w:r>
      <w:r>
        <w:rPr/>
        <w:t>服务业务和金融高端服务业务的发展，培育公司新的利润增长点。</w:t>
      </w:r>
    </w:p>
    <w:p>
      <w:pPr>
        <w:pStyle w:val="BodyText"/>
        <w:spacing w:line="280" w:lineRule="auto" w:before="143"/>
        <w:ind w:right="136" w:firstLine="420"/>
        <w:jc w:val="both"/>
      </w:pPr>
      <w:r>
        <w:rPr/>
        <w:t>（</w:t>
      </w:r>
      <w:r>
        <w:rPr>
          <w:rFonts w:ascii="Times New Roman" w:hAnsi="Times New Roman" w:cs="Times New Roman" w:eastAsia="Times New Roman" w:hint="default"/>
        </w:rPr>
        <w:t>2</w:t>
      </w:r>
      <w:r>
        <w:rPr/>
        <w:t>）坚定不移地推进核心技术产业化。经过近几年在国内外市场的长期试用，公司核 心模块已达到性能稳定、质量可靠、可批量生产的状态，因此公司自</w:t>
      </w:r>
      <w:r>
        <w:rPr>
          <w:spacing w:val="-4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年开始将核心模 块陆续投入国内外市场，直面市场的考验，争取早日把握市场竞争的主动权。</w:t>
      </w:r>
    </w:p>
    <w:p>
      <w:pPr>
        <w:pStyle w:val="BodyText"/>
        <w:spacing w:line="290" w:lineRule="auto" w:before="149"/>
        <w:ind w:right="136" w:firstLine="420"/>
        <w:jc w:val="both"/>
      </w:pPr>
      <w:r>
        <w:rPr/>
        <w:t>（</w:t>
      </w:r>
      <w:r>
        <w:rPr>
          <w:rFonts w:ascii="Times New Roman" w:hAnsi="Times New Roman" w:cs="Times New Roman" w:eastAsia="Times New Roman" w:hint="default"/>
        </w:rPr>
        <w:t>3</w:t>
      </w:r>
      <w:r>
        <w:rPr/>
        <w:t>）优化整合供应链管理，继续实施精益生产组织模式，不断降低产品生产成本，提 </w:t>
      </w:r>
      <w:r>
        <w:rPr>
          <w:spacing w:val="-3"/>
        </w:rPr>
        <w:t>高生产效率，确保产品质量，满足不断增长市场所需；积极推进科学城产业园二期建设，为</w:t>
      </w:r>
      <w:r>
        <w:rPr>
          <w:spacing w:val="-80"/>
        </w:rPr>
        <w:t> </w:t>
      </w:r>
      <w:r>
        <w:rPr>
          <w:spacing w:val="-80"/>
        </w:rPr>
      </w:r>
      <w:r>
        <w:rPr/>
        <w:t>公司生产规模升级准备条件。</w:t>
      </w:r>
    </w:p>
    <w:p>
      <w:pPr>
        <w:pStyle w:val="BodyText"/>
        <w:spacing w:line="290" w:lineRule="auto" w:before="140"/>
        <w:ind w:right="136" w:firstLine="420"/>
        <w:jc w:val="both"/>
      </w:pPr>
      <w:r>
        <w:rPr/>
        <w:t>（</w:t>
      </w:r>
      <w:r>
        <w:rPr>
          <w:rFonts w:ascii="Times New Roman" w:hAnsi="Times New Roman" w:cs="Times New Roman" w:eastAsia="Times New Roman" w:hint="default"/>
        </w:rPr>
        <w:t>4</w:t>
      </w:r>
      <w:r>
        <w:rPr/>
        <w:t>）提升管理方式和管理手段，满足公司规模化生产、集团化运作的需要。适时调整 </w:t>
      </w:r>
      <w:r>
        <w:rPr>
          <w:spacing w:val="-3"/>
        </w:rPr>
        <w:t>公司组织架构，持续完善公司制度，不断创新管理手段，做到合理授权，逐级管理，激励与</w:t>
      </w:r>
      <w:r>
        <w:rPr>
          <w:spacing w:val="-84"/>
        </w:rPr>
        <w:t> </w:t>
      </w:r>
      <w:r>
        <w:rPr>
          <w:spacing w:val="-84"/>
        </w:rPr>
      </w:r>
      <w:r>
        <w:rPr/>
        <w:t>约束相结合，不断提高员工工作积极性，为公司发展培养或吸引大批优秀人才。</w:t>
      </w:r>
    </w:p>
    <w:p>
      <w:pPr>
        <w:pStyle w:val="BodyText"/>
        <w:spacing w:line="290" w:lineRule="auto" w:before="140"/>
        <w:ind w:right="136" w:firstLine="420"/>
        <w:jc w:val="both"/>
      </w:pPr>
      <w:r>
        <w:rPr/>
        <w:t>（</w:t>
      </w:r>
      <w:r>
        <w:rPr>
          <w:rFonts w:ascii="Times New Roman" w:hAnsi="Times New Roman" w:cs="Times New Roman" w:eastAsia="Times New Roman" w:hint="default"/>
        </w:rPr>
        <w:t>5</w:t>
      </w:r>
      <w:r>
        <w:rPr/>
        <w:t>）培养具有突破力的企业文化。首先是提高员工整体意识和全局观念，倡导共事共 </w:t>
      </w:r>
      <w:r>
        <w:rPr>
          <w:spacing w:val="-3"/>
        </w:rPr>
        <w:t>赢的协作精神；其次要树立高尚的使命感、责任感和职业感，要塑造符合作为一家行业领先</w:t>
      </w:r>
      <w:r>
        <w:rPr>
          <w:spacing w:val="-81"/>
        </w:rPr>
        <w:t> </w:t>
      </w:r>
      <w:r>
        <w:rPr>
          <w:spacing w:val="-81"/>
        </w:rPr>
      </w:r>
      <w:r>
        <w:rPr/>
        <w:t>企业的形象；最后要培养全员建功立业的意识，谋求公司与个人共同价值的实现。</w:t>
      </w:r>
    </w:p>
    <w:p>
      <w:pPr>
        <w:pStyle w:val="BodyText"/>
        <w:spacing w:line="460" w:lineRule="exact" w:before="19"/>
        <w:ind w:left="560" w:right="124"/>
        <w:jc w:val="left"/>
      </w:pPr>
      <w:r>
        <w:rPr>
          <w:rFonts w:ascii="Times New Roman" w:hAnsi="Times New Roman" w:cs="Times New Roman" w:eastAsia="Times New Roman" w:hint="default"/>
        </w:rPr>
        <w:t>4</w:t>
      </w:r>
      <w:r>
        <w:rPr/>
        <w:t>、资金需求和使用计划 根据公司发展规划，公司制订了切实可行的资金需求和使用计划。</w:t>
      </w:r>
      <w:r>
        <w:rPr>
          <w:rFonts w:ascii="Times New Roman" w:hAnsi="Times New Roman" w:cs="Times New Roman" w:eastAsia="Times New Roman" w:hint="default"/>
        </w:rPr>
        <w:t>2009 </w:t>
      </w:r>
      <w:r>
        <w:rPr>
          <w:rFonts w:ascii="Times New Roman" w:hAnsi="Times New Roman" w:cs="Times New Roman" w:eastAsia="Times New Roman" w:hint="default"/>
          <w:spacing w:val="5"/>
        </w:rPr>
        <w:t> </w:t>
      </w:r>
      <w:r>
        <w:rPr/>
        <w:t>年，公司将继</w:t>
      </w:r>
    </w:p>
    <w:p>
      <w:pPr>
        <w:pStyle w:val="BodyText"/>
        <w:spacing w:line="240" w:lineRule="auto" w:before="3"/>
        <w:ind w:right="0"/>
        <w:jc w:val="both"/>
      </w:pPr>
      <w:r>
        <w:rPr>
          <w:spacing w:val="-3"/>
        </w:rPr>
        <w:t>续本着审慎的原则管好、用好募集资金，加快剩余募投项目的建设。同时，由于公司资产质</w:t>
      </w:r>
    </w:p>
    <w:p>
      <w:pPr>
        <w:spacing w:after="0" w:line="240" w:lineRule="auto"/>
        <w:jc w:val="both"/>
        <w:sectPr>
          <w:pgSz w:w="11910" w:h="16840"/>
          <w:pgMar w:header="400" w:footer="982" w:top="1100" w:bottom="1180" w:left="1660" w:right="1660"/>
        </w:sectPr>
      </w:pPr>
    </w:p>
    <w:p>
      <w:pPr>
        <w:spacing w:line="240" w:lineRule="auto" w:before="1"/>
        <w:rPr>
          <w:rFonts w:ascii="宋体" w:hAnsi="宋体" w:cs="宋体" w:eastAsia="宋体" w:hint="default"/>
          <w:sz w:val="19"/>
          <w:szCs w:val="19"/>
        </w:rPr>
      </w:pPr>
    </w:p>
    <w:p>
      <w:pPr>
        <w:pStyle w:val="BodyText"/>
        <w:spacing w:line="240" w:lineRule="auto" w:before="35"/>
        <w:ind w:right="0"/>
        <w:jc w:val="both"/>
      </w:pPr>
      <w:r>
        <w:rPr/>
        <w:t>量好，偿债能力强，银企关系融洽，所以公司的融资渠道畅通，未来资金来源有充足保障。</w:t>
      </w:r>
    </w:p>
    <w:p>
      <w:pPr>
        <w:spacing w:line="240" w:lineRule="auto" w:before="3"/>
        <w:rPr>
          <w:rFonts w:ascii="宋体" w:hAnsi="宋体" w:cs="宋体" w:eastAsia="宋体" w:hint="default"/>
          <w:sz w:val="14"/>
          <w:szCs w:val="14"/>
        </w:rPr>
      </w:pPr>
    </w:p>
    <w:p>
      <w:pPr>
        <w:pStyle w:val="BodyText"/>
        <w:spacing w:line="240" w:lineRule="auto" w:before="0"/>
        <w:ind w:left="560" w:right="102"/>
        <w:jc w:val="left"/>
      </w:pPr>
      <w:r>
        <w:rPr>
          <w:rFonts w:ascii="Times New Roman" w:hAnsi="Times New Roman" w:cs="Times New Roman" w:eastAsia="Times New Roman" w:hint="default"/>
        </w:rPr>
        <w:t>5</w:t>
      </w:r>
      <w:r>
        <w:rPr/>
        <w:t>、风险因素</w:t>
      </w:r>
    </w:p>
    <w:p>
      <w:pPr>
        <w:pStyle w:val="BodyText"/>
        <w:spacing w:line="240" w:lineRule="auto" w:before="169"/>
        <w:ind w:left="560" w:right="102"/>
        <w:jc w:val="left"/>
      </w:pPr>
      <w:r>
        <w:rPr/>
        <w:t>（</w:t>
      </w:r>
      <w:r>
        <w:rPr>
          <w:rFonts w:ascii="Times New Roman" w:hAnsi="Times New Roman" w:cs="Times New Roman" w:eastAsia="Times New Roman" w:hint="default"/>
        </w:rPr>
        <w:t>1</w:t>
      </w:r>
      <w:r>
        <w:rPr/>
        <w:t>）市场竞争加剧的风险</w:t>
      </w:r>
    </w:p>
    <w:p>
      <w:pPr>
        <w:pStyle w:val="BodyText"/>
        <w:spacing w:line="280" w:lineRule="auto" w:before="170"/>
        <w:ind w:right="110" w:firstLine="420"/>
        <w:jc w:val="both"/>
      </w:pPr>
      <w:r>
        <w:rPr/>
        <w:t>全球经济环境的恶化消减了海外市场对</w:t>
      </w:r>
      <w:r>
        <w:rPr>
          <w:spacing w:val="-36"/>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16"/>
        </w:rPr>
        <w:t> </w:t>
      </w:r>
      <w:r>
        <w:rPr/>
        <w:t>的需求，这势必会影响</w:t>
      </w:r>
      <w:r>
        <w:rPr>
          <w:spacing w:val="-36"/>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16"/>
        </w:rPr>
        <w:t> </w:t>
      </w:r>
      <w:r>
        <w:rPr/>
        <w:t>国际巨头在 海外市场的拓展。中国作为一个</w:t>
      </w:r>
      <w:r>
        <w:rPr>
          <w:spacing w:val="-54"/>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1"/>
        </w:rPr>
        <w:t> </w:t>
      </w:r>
      <w:r>
        <w:rPr/>
        <w:t>需求快速增长的市场，必然会吸引他们更多的目光， </w:t>
      </w:r>
      <w:r>
        <w:rPr>
          <w:spacing w:val="-5"/>
        </w:rPr>
        <w:t>迫使他们投入更多人力、物力、财力来抢夺该部分市场份额，从而加剧国内市场竞争的程度。</w:t>
      </w:r>
    </w:p>
    <w:p>
      <w:pPr>
        <w:pStyle w:val="BodyText"/>
        <w:spacing w:line="240" w:lineRule="auto" w:before="150"/>
        <w:ind w:left="560" w:right="102"/>
        <w:jc w:val="left"/>
      </w:pPr>
      <w:r>
        <w:rPr/>
        <w:t>（</w:t>
      </w:r>
      <w:r>
        <w:rPr>
          <w:rFonts w:ascii="Times New Roman" w:hAnsi="Times New Roman" w:cs="Times New Roman" w:eastAsia="Times New Roman" w:hint="default"/>
        </w:rPr>
        <w:t>2</w:t>
      </w:r>
      <w:r>
        <w:rPr/>
        <w:t>）产品价格下降风险</w:t>
      </w:r>
    </w:p>
    <w:p>
      <w:pPr>
        <w:pStyle w:val="BodyText"/>
        <w:spacing w:line="288" w:lineRule="auto" w:before="170"/>
        <w:ind w:right="216" w:firstLine="419"/>
        <w:jc w:val="both"/>
      </w:pPr>
      <w:r>
        <w:rPr>
          <w:rFonts w:ascii="Times New Roman" w:hAnsi="Times New Roman" w:cs="Times New Roman" w:eastAsia="Times New Roman" w:hint="default"/>
          <w:spacing w:val="-8"/>
        </w:rPr>
        <w:t>ATM </w:t>
      </w:r>
      <w:r>
        <w:rPr>
          <w:spacing w:val="-3"/>
        </w:rPr>
        <w:t>行业日趋激烈的市场竞争，将导致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23"/>
        </w:rPr>
        <w:t> </w:t>
      </w:r>
      <w:r>
        <w:rPr>
          <w:spacing w:val="-4"/>
        </w:rPr>
        <w:t>价格的进一步下滑。因此，公司必须从研</w:t>
      </w:r>
      <w:r>
        <w:rPr/>
        <w:t> </w:t>
      </w:r>
      <w:r>
        <w:rPr>
          <w:spacing w:val="-3"/>
        </w:rPr>
        <w:t>发、采购、生产、营销和管理等各个环节树立全面成本意识，采取切实可行的措施，努力达</w:t>
      </w:r>
      <w:r>
        <w:rPr>
          <w:spacing w:val="-84"/>
        </w:rPr>
        <w:t> </w:t>
      </w:r>
      <w:r>
        <w:rPr>
          <w:spacing w:val="-84"/>
        </w:rPr>
      </w:r>
      <w:r>
        <w:rPr/>
        <w:t>成降低成本、节省开支的预定目标，节能挖潜，确保公司盈利空间。</w:t>
      </w:r>
    </w:p>
    <w:p>
      <w:pPr>
        <w:pStyle w:val="BodyText"/>
        <w:spacing w:line="379" w:lineRule="auto" w:before="144"/>
        <w:ind w:left="560" w:right="102"/>
        <w:jc w:val="left"/>
      </w:pPr>
      <w:r>
        <w:rPr/>
        <w:t>（</w:t>
      </w:r>
      <w:r>
        <w:rPr>
          <w:rFonts w:ascii="Times New Roman" w:hAnsi="Times New Roman" w:cs="Times New Roman" w:eastAsia="Times New Roman" w:hint="default"/>
        </w:rPr>
        <w:t>3</w:t>
      </w:r>
      <w:r>
        <w:rPr/>
        <w:t>）技术风险 </w:t>
      </w:r>
      <w:r>
        <w:rPr>
          <w:spacing w:val="-3"/>
        </w:rPr>
        <w:t>面对激烈的市场竞争，公司不断致力于核心技术和高附加值产品的研发，目前在国内外</w:t>
      </w:r>
    </w:p>
    <w:p>
      <w:pPr>
        <w:pStyle w:val="BodyText"/>
        <w:spacing w:line="218" w:lineRule="exact" w:before="0"/>
        <w:ind w:right="0"/>
        <w:jc w:val="both"/>
      </w:pPr>
      <w:r>
        <w:rPr>
          <w:spacing w:val="-3"/>
        </w:rPr>
        <w:t>市场推广使用公司的核心技术模块既是一件水到渠成的事情，也是一项迫在眉睫的任务。但</w:t>
      </w:r>
    </w:p>
    <w:p>
      <w:pPr>
        <w:pStyle w:val="BodyText"/>
        <w:spacing w:line="297" w:lineRule="auto" w:before="66"/>
        <w:ind w:right="215"/>
        <w:jc w:val="both"/>
      </w:pPr>
      <w:r>
        <w:rPr>
          <w:spacing w:val="-3"/>
        </w:rPr>
        <w:t>相对于国外几十年的成熟技术，公司的核心模块在推向市场的过程中，需要公司凭借过硬的</w:t>
      </w:r>
      <w:r>
        <w:rPr>
          <w:spacing w:val="-79"/>
        </w:rPr>
        <w:t> </w:t>
      </w:r>
      <w:r>
        <w:rPr>
          <w:spacing w:val="-79"/>
        </w:rPr>
      </w:r>
      <w:r>
        <w:rPr/>
        <w:t>产品性能和雄厚的技术支持，以不断取得客户和市场的认可。</w:t>
      </w:r>
    </w:p>
    <w:p>
      <w:pPr>
        <w:pStyle w:val="BodyText"/>
        <w:spacing w:line="379" w:lineRule="auto" w:before="134"/>
        <w:ind w:left="560" w:right="102"/>
        <w:jc w:val="left"/>
      </w:pPr>
      <w:r>
        <w:rPr/>
        <w:t>（</w:t>
      </w:r>
      <w:r>
        <w:rPr>
          <w:rFonts w:ascii="Times New Roman" w:hAnsi="Times New Roman" w:cs="Times New Roman" w:eastAsia="Times New Roman" w:hint="default"/>
        </w:rPr>
        <w:t>4</w:t>
      </w:r>
      <w:r>
        <w:rPr/>
        <w:t>）人力资源风险 </w:t>
      </w:r>
      <w:r>
        <w:rPr>
          <w:spacing w:val="-3"/>
        </w:rPr>
        <w:t>经过近几年高速发展，公司经营规模和行业地位大幅度提升，因此对公司管理团队的管</w:t>
      </w:r>
    </w:p>
    <w:p>
      <w:pPr>
        <w:pStyle w:val="BodyText"/>
        <w:spacing w:line="219" w:lineRule="exact" w:before="0"/>
        <w:ind w:right="0"/>
        <w:jc w:val="both"/>
      </w:pPr>
      <w:r>
        <w:rPr/>
        <w:t>理和协调能力的要求也在不断提升</w:t>
      </w:r>
      <w:r>
        <w:rPr>
          <w:spacing w:val="-94"/>
        </w:rPr>
        <w:t>，</w:t>
      </w:r>
      <w:r>
        <w:rPr/>
        <w:t>对具有较高管理水平和较强专业能力的人才需求也在不</w:t>
      </w:r>
    </w:p>
    <w:p>
      <w:pPr>
        <w:pStyle w:val="BodyText"/>
        <w:spacing w:line="297" w:lineRule="auto" w:before="64"/>
        <w:ind w:right="215"/>
        <w:jc w:val="both"/>
      </w:pPr>
      <w:r>
        <w:rPr>
          <w:spacing w:val="-3"/>
        </w:rPr>
        <w:t>断增长。要使公司真正做到“创建国际企业，打造百年品牌”，人才是关键。因此，公司应</w:t>
      </w:r>
      <w:r>
        <w:rPr>
          <w:spacing w:val="-84"/>
        </w:rPr>
        <w:t> </w:t>
      </w:r>
      <w:r>
        <w:rPr>
          <w:spacing w:val="-84"/>
        </w:rPr>
      </w:r>
      <w:r>
        <w:rPr>
          <w:spacing w:val="-3"/>
        </w:rPr>
        <w:t>通过多种途径引进或培养高素质人才，配套行之有效的激励约束机制，确保人才的供应和管</w:t>
      </w:r>
      <w:r>
        <w:rPr>
          <w:spacing w:val="-79"/>
        </w:rPr>
        <w:t> </w:t>
      </w:r>
      <w:r>
        <w:rPr>
          <w:spacing w:val="-79"/>
        </w:rPr>
      </w:r>
      <w:r>
        <w:rPr/>
        <w:t>理机制能满足公司发展所需。</w:t>
      </w:r>
    </w:p>
    <w:p>
      <w:pPr>
        <w:spacing w:line="240" w:lineRule="auto" w:before="13"/>
        <w:rPr>
          <w:rFonts w:ascii="宋体" w:hAnsi="宋体" w:cs="宋体" w:eastAsia="宋体" w:hint="default"/>
          <w:sz w:val="27"/>
          <w:szCs w:val="27"/>
        </w:rPr>
      </w:pPr>
    </w:p>
    <w:p>
      <w:pPr>
        <w:pStyle w:val="Heading2"/>
        <w:spacing w:line="240" w:lineRule="auto"/>
        <w:ind w:right="0"/>
        <w:jc w:val="both"/>
        <w:rPr>
          <w:b w:val="0"/>
          <w:bCs w:val="0"/>
        </w:rPr>
      </w:pPr>
      <w:r>
        <w:rPr/>
        <w:t>二、公司投资情况</w:t>
      </w:r>
      <w:r>
        <w:rPr>
          <w:b w:val="0"/>
          <w:bCs w:val="0"/>
        </w:rPr>
      </w:r>
    </w:p>
    <w:p>
      <w:pPr>
        <w:pStyle w:val="BodyText"/>
        <w:spacing w:line="240" w:lineRule="auto" w:before="128"/>
        <w:ind w:right="0"/>
        <w:jc w:val="both"/>
      </w:pPr>
      <w:r>
        <w:rPr/>
        <w:t>（一）募集资金投资情况</w:t>
      </w:r>
    </w:p>
    <w:p>
      <w:pPr>
        <w:spacing w:line="240" w:lineRule="auto" w:before="5"/>
        <w:rPr>
          <w:rFonts w:ascii="宋体" w:hAnsi="宋体" w:cs="宋体" w:eastAsia="宋体" w:hint="default"/>
          <w:sz w:val="19"/>
          <w:szCs w:val="19"/>
        </w:rPr>
      </w:pPr>
    </w:p>
    <w:p>
      <w:pPr>
        <w:pStyle w:val="BodyText"/>
        <w:spacing w:line="240" w:lineRule="auto" w:before="0"/>
        <w:ind w:left="560" w:right="102"/>
        <w:jc w:val="left"/>
      </w:pPr>
      <w:r>
        <w:rPr>
          <w:rFonts w:ascii="Times New Roman" w:hAnsi="Times New Roman" w:cs="Times New Roman" w:eastAsia="Times New Roman" w:hint="default"/>
        </w:rPr>
        <w:t>1</w:t>
      </w:r>
      <w:r>
        <w:rPr/>
        <w:t>、募集资金使用情况</w:t>
      </w:r>
    </w:p>
    <w:p>
      <w:pPr>
        <w:pStyle w:val="BodyText"/>
        <w:spacing w:line="288" w:lineRule="auto" w:before="169"/>
        <w:ind w:right="216" w:firstLine="420"/>
        <w:jc w:val="both"/>
      </w:pPr>
      <w:r>
        <w:rPr/>
        <w:t>根据中国证券监督管理委员会证监发行字</w:t>
      </w:r>
      <w:r>
        <w:rPr>
          <w:rFonts w:ascii="Times New Roman" w:hAnsi="Times New Roman" w:cs="Times New Roman" w:eastAsia="Times New Roman" w:hint="default"/>
        </w:rPr>
        <w:t>[2007]188</w:t>
      </w:r>
      <w:r>
        <w:rPr>
          <w:rFonts w:ascii="Times New Roman" w:hAnsi="Times New Roman" w:cs="Times New Roman" w:eastAsia="Times New Roman" w:hint="default"/>
          <w:spacing w:val="25"/>
        </w:rPr>
        <w:t> </w:t>
      </w:r>
      <w:r>
        <w:rPr/>
        <w:t>号《关于核准广州广电运通金融电 </w:t>
      </w:r>
      <w:r>
        <w:rPr>
          <w:spacing w:val="-3"/>
        </w:rPr>
        <w:t>子股份有限公司首次公开发行股票的通知》的核准，公司采用网下向询价对象询价配售与网</w:t>
      </w:r>
      <w:r>
        <w:rPr>
          <w:spacing w:val="-79"/>
        </w:rPr>
        <w:t> </w:t>
      </w:r>
      <w:r>
        <w:rPr>
          <w:spacing w:val="-79"/>
        </w:rPr>
      </w:r>
      <w:r>
        <w:rPr/>
        <w:t>上向社会公众投资者定价发行相结合的方式，公开发行人民币普通股（</w:t>
      </w:r>
      <w:r>
        <w:rPr>
          <w:rFonts w:ascii="Times New Roman" w:hAnsi="Times New Roman" w:cs="Times New Roman" w:eastAsia="Times New Roman" w:hint="default"/>
        </w:rPr>
        <w:t>A </w:t>
      </w:r>
      <w:r>
        <w:rPr/>
        <w:t>股）</w:t>
      </w:r>
      <w:r>
        <w:rPr>
          <w:rFonts w:ascii="Times New Roman" w:hAnsi="Times New Roman" w:cs="Times New Roman" w:eastAsia="Times New Roman" w:hint="default"/>
        </w:rPr>
        <w:t>3,600</w:t>
      </w:r>
      <w:r>
        <w:rPr>
          <w:rFonts w:ascii="Times New Roman" w:hAnsi="Times New Roman" w:cs="Times New Roman" w:eastAsia="Times New Roman" w:hint="default"/>
          <w:spacing w:val="15"/>
        </w:rPr>
        <w:t> </w:t>
      </w:r>
      <w:r>
        <w:rPr/>
        <w:t>万股， 每股面值为人民币</w:t>
      </w:r>
      <w:r>
        <w:rPr>
          <w:spacing w:val="-53"/>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t>元，每股发行价格人民币</w:t>
      </w:r>
      <w:r>
        <w:rPr>
          <w:spacing w:val="-53"/>
        </w:rPr>
        <w:t> </w:t>
      </w:r>
      <w:r>
        <w:rPr>
          <w:rFonts w:ascii="Times New Roman" w:hAnsi="Times New Roman" w:cs="Times New Roman" w:eastAsia="Times New Roman" w:hint="default"/>
        </w:rPr>
        <w:t>16.88</w:t>
      </w:r>
      <w:r>
        <w:rPr>
          <w:rFonts w:ascii="Times New Roman" w:hAnsi="Times New Roman" w:cs="Times New Roman" w:eastAsia="Times New Roman" w:hint="default"/>
          <w:spacing w:val="1"/>
        </w:rPr>
        <w:t> </w:t>
      </w:r>
      <w:r>
        <w:rPr/>
        <w:t>元。截至</w:t>
      </w:r>
      <w:r>
        <w:rPr>
          <w:spacing w:val="-5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日止，募集</w:t>
      </w:r>
    </w:p>
    <w:p>
      <w:pPr>
        <w:pStyle w:val="BodyText"/>
        <w:spacing w:line="240" w:lineRule="auto" w:before="2"/>
        <w:ind w:left="139" w:right="0"/>
        <w:jc w:val="both"/>
      </w:pPr>
      <w:r>
        <w:rPr/>
        <w:t>资金总额为人民币</w:t>
      </w:r>
      <w:r>
        <w:rPr>
          <w:spacing w:val="-54"/>
        </w:rPr>
        <w:t> </w:t>
      </w:r>
      <w:r>
        <w:rPr>
          <w:rFonts w:ascii="Times New Roman" w:hAnsi="Times New Roman" w:cs="Times New Roman" w:eastAsia="Times New Roman" w:hint="default"/>
        </w:rPr>
        <w:t>607,680,000.00</w:t>
      </w:r>
      <w:r>
        <w:rPr>
          <w:rFonts w:ascii="Times New Roman" w:hAnsi="Times New Roman" w:cs="Times New Roman" w:eastAsia="Times New Roman" w:hint="default"/>
          <w:spacing w:val="-1"/>
        </w:rPr>
        <w:t> </w:t>
      </w:r>
      <w:r>
        <w:rPr>
          <w:spacing w:val="-4"/>
        </w:rPr>
        <w:t>元，扣除各项发行费用人民币</w:t>
      </w:r>
      <w:r>
        <w:rPr>
          <w:spacing w:val="-54"/>
        </w:rPr>
        <w:t> </w:t>
      </w:r>
      <w:r>
        <w:rPr>
          <w:rFonts w:ascii="Times New Roman" w:hAnsi="Times New Roman" w:cs="Times New Roman" w:eastAsia="Times New Roman" w:hint="default"/>
        </w:rPr>
        <w:t>22,265,646.73</w:t>
      </w:r>
      <w:r>
        <w:rPr>
          <w:rFonts w:ascii="Times New Roman" w:hAnsi="Times New Roman" w:cs="Times New Roman" w:eastAsia="Times New Roman" w:hint="default"/>
          <w:spacing w:val="-1"/>
        </w:rPr>
        <w:t> </w:t>
      </w:r>
      <w:r>
        <w:rPr>
          <w:spacing w:val="-9"/>
        </w:rPr>
        <w:t>元，实际募集</w:t>
      </w:r>
    </w:p>
    <w:p>
      <w:pPr>
        <w:pStyle w:val="BodyText"/>
        <w:spacing w:line="240" w:lineRule="auto"/>
        <w:ind w:left="139" w:right="0"/>
        <w:jc w:val="both"/>
      </w:pPr>
      <w:r>
        <w:rPr/>
        <w:t>资金净额为人民币</w:t>
      </w:r>
      <w:r>
        <w:rPr>
          <w:spacing w:val="-78"/>
        </w:rPr>
        <w:t> </w:t>
      </w:r>
      <w:r>
        <w:rPr>
          <w:rFonts w:ascii="Times New Roman" w:hAnsi="Times New Roman" w:cs="Times New Roman" w:eastAsia="Times New Roman" w:hint="default"/>
        </w:rPr>
        <w:t>585,414,353.27</w:t>
      </w:r>
      <w:r>
        <w:rPr>
          <w:rFonts w:ascii="Times New Roman" w:hAnsi="Times New Roman" w:cs="Times New Roman" w:eastAsia="Times New Roman" w:hint="default"/>
          <w:spacing w:val="-26"/>
        </w:rPr>
        <w:t> </w:t>
      </w:r>
      <w:r>
        <w:rPr/>
        <w:t>元，以上募集资金存入公司募集资金专用账户中，已经广</w:t>
      </w:r>
    </w:p>
    <w:p>
      <w:pPr>
        <w:pStyle w:val="BodyText"/>
        <w:spacing w:line="280" w:lineRule="auto"/>
        <w:ind w:left="139" w:right="216"/>
        <w:jc w:val="both"/>
      </w:pPr>
      <w:r>
        <w:rPr/>
        <w:t>东羊城会计师事务所有限公司于</w:t>
      </w:r>
      <w:r>
        <w:rPr>
          <w:spacing w:val="-53"/>
        </w:rPr>
        <w:t> </w:t>
      </w:r>
      <w:r>
        <w:rPr>
          <w:rFonts w:ascii="Times New Roman" w:hAnsi="Times New Roman" w:cs="Times New Roman" w:eastAsia="Times New Roman" w:hint="default"/>
        </w:rPr>
        <w:t>2007 </w:t>
      </w:r>
      <w:r>
        <w:rPr/>
        <w:t>年</w:t>
      </w:r>
      <w:r>
        <w:rPr>
          <w:spacing w:val="-54"/>
        </w:rPr>
        <w:t> </w:t>
      </w:r>
      <w:r>
        <w:rPr>
          <w:rFonts w:ascii="Times New Roman" w:hAnsi="Times New Roman" w:cs="Times New Roman" w:eastAsia="Times New Roman" w:hint="default"/>
        </w:rPr>
        <w:t>8 </w:t>
      </w:r>
      <w:r>
        <w:rPr/>
        <w:t>月</w:t>
      </w:r>
      <w:r>
        <w:rPr>
          <w:spacing w:val="-54"/>
        </w:rPr>
        <w:t> </w:t>
      </w:r>
      <w:r>
        <w:rPr>
          <w:rFonts w:ascii="Times New Roman" w:hAnsi="Times New Roman" w:cs="Times New Roman" w:eastAsia="Times New Roman" w:hint="default"/>
        </w:rPr>
        <w:t>3 </w:t>
      </w:r>
      <w:r>
        <w:rPr/>
        <w:t>日出具（</w:t>
      </w:r>
      <w:r>
        <w:rPr>
          <w:rFonts w:ascii="Times New Roman" w:hAnsi="Times New Roman" w:cs="Times New Roman" w:eastAsia="Times New Roman" w:hint="default"/>
        </w:rPr>
        <w:t>2007</w:t>
      </w:r>
      <w:r>
        <w:rPr/>
        <w:t>）羊验字第</w:t>
      </w:r>
      <w:r>
        <w:rPr>
          <w:spacing w:val="-53"/>
        </w:rPr>
        <w:t> </w:t>
      </w:r>
      <w:r>
        <w:rPr>
          <w:rFonts w:ascii="Times New Roman" w:hAnsi="Times New Roman" w:cs="Times New Roman" w:eastAsia="Times New Roman" w:hint="default"/>
        </w:rPr>
        <w:t>11535 </w:t>
      </w:r>
      <w:r>
        <w:rPr/>
        <w:t>号验资报告 验证确认。</w:t>
      </w:r>
    </w:p>
    <w:p>
      <w:pPr>
        <w:pStyle w:val="BodyText"/>
        <w:spacing w:line="240" w:lineRule="auto" w:before="150"/>
        <w:ind w:left="559" w:right="102"/>
        <w:jc w:val="left"/>
      </w:pPr>
      <w:r>
        <w:rPr/>
        <w:t>上述募集资金到位前，公司利用自筹资金已累计投入募集资金项目</w:t>
      </w:r>
      <w:r>
        <w:rPr>
          <w:spacing w:val="-66"/>
        </w:rPr>
        <w:t> </w:t>
      </w:r>
      <w:r>
        <w:rPr>
          <w:rFonts w:ascii="Times New Roman" w:hAnsi="Times New Roman" w:cs="Times New Roman" w:eastAsia="Times New Roman" w:hint="default"/>
        </w:rPr>
        <w:t>9,953,141.10</w:t>
      </w:r>
      <w:r>
        <w:rPr>
          <w:rFonts w:ascii="Times New Roman" w:hAnsi="Times New Roman" w:cs="Times New Roman" w:eastAsia="Times New Roman" w:hint="default"/>
          <w:spacing w:val="-13"/>
        </w:rPr>
        <w:t> </w:t>
      </w:r>
      <w:r>
        <w:rPr>
          <w:spacing w:val="-8"/>
        </w:rPr>
        <w:t>元，已</w:t>
      </w:r>
    </w:p>
    <w:p>
      <w:pPr>
        <w:pStyle w:val="BodyText"/>
        <w:spacing w:line="240" w:lineRule="auto"/>
        <w:ind w:left="139" w:right="0"/>
        <w:jc w:val="both"/>
      </w:pPr>
      <w:r>
        <w:rPr>
          <w:spacing w:val="-7"/>
        </w:rPr>
        <w:t>经立信羊城会计师事务所有限公司审计，并出具（</w:t>
      </w:r>
      <w:r>
        <w:rPr>
          <w:rFonts w:ascii="Times New Roman" w:hAnsi="Times New Roman" w:cs="Times New Roman" w:eastAsia="Times New Roman" w:hint="default"/>
          <w:spacing w:val="-7"/>
        </w:rPr>
        <w:t>2007</w:t>
      </w:r>
      <w:r>
        <w:rPr>
          <w:spacing w:val="-7"/>
        </w:rPr>
        <w:t>）羊专审字第 </w:t>
      </w:r>
      <w:r>
        <w:rPr>
          <w:rFonts w:ascii="Times New Roman" w:hAnsi="Times New Roman" w:cs="Times New Roman" w:eastAsia="Times New Roman" w:hint="default"/>
        </w:rPr>
        <w:t>11588</w:t>
      </w:r>
      <w:r>
        <w:rPr>
          <w:rFonts w:ascii="Times New Roman" w:hAnsi="Times New Roman" w:cs="Times New Roman" w:eastAsia="Times New Roman" w:hint="default"/>
          <w:spacing w:val="-29"/>
        </w:rPr>
        <w:t> </w:t>
      </w:r>
      <w:r>
        <w:rPr/>
        <w:t>号专项审核报告。</w:t>
      </w:r>
    </w:p>
    <w:p>
      <w:pPr>
        <w:spacing w:after="0" w:line="240" w:lineRule="auto"/>
        <w:jc w:val="both"/>
        <w:sectPr>
          <w:pgSz w:w="11910" w:h="16840"/>
          <w:pgMar w:header="400" w:footer="982" w:top="1100" w:bottom="1180" w:left="1660" w:right="1580"/>
        </w:sectPr>
      </w:pPr>
    </w:p>
    <w:p>
      <w:pPr>
        <w:spacing w:line="240" w:lineRule="auto" w:before="1"/>
        <w:rPr>
          <w:rFonts w:ascii="宋体" w:hAnsi="宋体" w:cs="宋体" w:eastAsia="宋体" w:hint="default"/>
          <w:sz w:val="19"/>
          <w:szCs w:val="19"/>
        </w:rPr>
      </w:pPr>
    </w:p>
    <w:p>
      <w:pPr>
        <w:pStyle w:val="BodyText"/>
        <w:spacing w:line="240" w:lineRule="auto" w:before="35"/>
        <w:ind w:left="560" w:right="102"/>
        <w:jc w:val="left"/>
        <w:rPr>
          <w:rFonts w:ascii="Times New Roman" w:hAnsi="Times New Roman" w:cs="Times New Roman" w:eastAsia="Times New Roman" w:hint="default"/>
        </w:rPr>
      </w:pPr>
      <w:r>
        <w:rPr/>
        <w:t>截至</w:t>
      </w:r>
      <w:r>
        <w:rPr>
          <w:spacing w:val="-6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8</w:t>
      </w:r>
      <w:r>
        <w:rPr>
          <w:rFonts w:ascii="Times New Roman" w:hAnsi="Times New Roman" w:cs="Times New Roman" w:eastAsia="Times New Roman" w:hint="default"/>
          <w:spacing w:val="-13"/>
        </w:rPr>
        <w:t> </w:t>
      </w:r>
      <w:r>
        <w:rPr/>
        <w:t>年</w:t>
      </w:r>
      <w:r>
        <w:rPr>
          <w:spacing w:val="-67"/>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spacing w:val="-66"/>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spacing w:val="-2"/>
        </w:rPr>
        <w:t>日</w:t>
      </w:r>
      <w:r>
        <w:rPr>
          <w:spacing w:val="-106"/>
        </w:rPr>
        <w:t>，</w:t>
      </w:r>
      <w:r>
        <w:rPr/>
        <w:t>公司募集资金使用情况为</w:t>
      </w:r>
      <w:r>
        <w:rPr>
          <w:spacing w:val="-105"/>
        </w:rPr>
        <w:t>：</w:t>
      </w:r>
      <w:r>
        <w:rPr/>
        <w:t>置换先</w:t>
      </w:r>
      <w:r>
        <w:rPr>
          <w:spacing w:val="-2"/>
        </w:rPr>
        <w:t>期</w:t>
      </w:r>
      <w:r>
        <w:rPr/>
        <w:t>自筹资金投入</w:t>
      </w:r>
      <w:r>
        <w:rPr>
          <w:spacing w:val="-6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w:t>
      </w:r>
      <w:r>
        <w:rPr>
          <w:rFonts w:ascii="Times New Roman" w:hAnsi="Times New Roman" w:cs="Times New Roman" w:eastAsia="Times New Roman" w:hint="default"/>
        </w:rPr>
        <w:t>9</w:t>
      </w:r>
      <w:r>
        <w:rPr>
          <w:rFonts w:ascii="Times New Roman" w:hAnsi="Times New Roman" w:cs="Times New Roman" w:eastAsia="Times New Roman" w:hint="default"/>
          <w:spacing w:val="-1"/>
        </w:rPr>
        <w:t>5</w:t>
      </w:r>
      <w:r>
        <w:rPr>
          <w:rFonts w:ascii="Times New Roman" w:hAnsi="Times New Roman" w:cs="Times New Roman" w:eastAsia="Times New Roman" w:hint="default"/>
        </w:rPr>
        <w:t>3,</w:t>
      </w:r>
      <w:r>
        <w:rPr>
          <w:rFonts w:ascii="Times New Roman" w:hAnsi="Times New Roman" w:cs="Times New Roman" w:eastAsia="Times New Roman" w:hint="default"/>
          <w:spacing w:val="-1"/>
        </w:rPr>
        <w:t>1</w:t>
      </w:r>
      <w:r>
        <w:rPr>
          <w:rFonts w:ascii="Times New Roman" w:hAnsi="Times New Roman" w:cs="Times New Roman" w:eastAsia="Times New Roman" w:hint="default"/>
        </w:rPr>
        <w:t>4</w:t>
      </w:r>
      <w:r>
        <w:rPr>
          <w:rFonts w:ascii="Times New Roman" w:hAnsi="Times New Roman" w:cs="Times New Roman" w:eastAsia="Times New Roman" w:hint="default"/>
          <w:spacing w:val="-1"/>
        </w:rPr>
        <w:t>1.</w:t>
      </w:r>
      <w:r>
        <w:rPr>
          <w:rFonts w:ascii="Times New Roman" w:hAnsi="Times New Roman" w:cs="Times New Roman" w:eastAsia="Times New Roman" w:hint="default"/>
        </w:rPr>
        <w:t>10</w:t>
      </w:r>
    </w:p>
    <w:p>
      <w:pPr>
        <w:pStyle w:val="BodyText"/>
        <w:spacing w:line="240" w:lineRule="auto"/>
        <w:ind w:right="0"/>
        <w:jc w:val="both"/>
      </w:pPr>
      <w:r>
        <w:rPr/>
        <w:t>元，直接投入募集资金项目 </w:t>
      </w:r>
      <w:r>
        <w:rPr>
          <w:rFonts w:ascii="Times New Roman" w:hAnsi="Times New Roman" w:cs="Times New Roman" w:eastAsia="Times New Roman" w:hint="default"/>
        </w:rPr>
        <w:t>277,112,857.63 </w:t>
      </w:r>
      <w:r>
        <w:rPr>
          <w:rFonts w:ascii="Times New Roman" w:hAnsi="Times New Roman" w:cs="Times New Roman" w:eastAsia="Times New Roman" w:hint="default"/>
          <w:spacing w:val="45"/>
        </w:rPr>
        <w:t> </w:t>
      </w:r>
      <w:r>
        <w:rPr/>
        <w:t>元，募集资金超出部分用于补充流动资金转出</w:t>
      </w:r>
    </w:p>
    <w:p>
      <w:pPr>
        <w:pStyle w:val="BodyText"/>
        <w:spacing w:line="240" w:lineRule="auto" w:before="49"/>
        <w:ind w:right="0"/>
        <w:jc w:val="both"/>
      </w:pPr>
      <w:r>
        <w:rPr>
          <w:rFonts w:ascii="Times New Roman" w:hAnsi="Times New Roman" w:cs="Times New Roman" w:eastAsia="Times New Roman" w:hint="default"/>
        </w:rPr>
        <w:t>156,061,153.27</w:t>
      </w:r>
      <w:r>
        <w:rPr>
          <w:rFonts w:ascii="Times New Roman" w:hAnsi="Times New Roman" w:cs="Times New Roman" w:eastAsia="Times New Roman" w:hint="default"/>
          <w:spacing w:val="-1"/>
        </w:rPr>
        <w:t> </w:t>
      </w:r>
      <w:r>
        <w:rPr>
          <w:spacing w:val="-5"/>
        </w:rPr>
        <w:t>元，合计已使用</w:t>
      </w:r>
      <w:r>
        <w:rPr>
          <w:spacing w:val="-55"/>
        </w:rPr>
        <w:t> </w:t>
      </w:r>
      <w:r>
        <w:rPr>
          <w:rFonts w:ascii="Times New Roman" w:hAnsi="Times New Roman" w:cs="Times New Roman" w:eastAsia="Times New Roman" w:hint="default"/>
        </w:rPr>
        <w:t>443,127,152.00</w:t>
      </w:r>
      <w:r>
        <w:rPr>
          <w:rFonts w:ascii="Times New Roman" w:hAnsi="Times New Roman" w:cs="Times New Roman" w:eastAsia="Times New Roman" w:hint="default"/>
          <w:spacing w:val="-2"/>
        </w:rPr>
        <w:t> </w:t>
      </w:r>
      <w:r>
        <w:rPr>
          <w:spacing w:val="-4"/>
        </w:rPr>
        <w:t>元，尚未使用的金额为</w:t>
      </w:r>
      <w:r>
        <w:rPr>
          <w:spacing w:val="-55"/>
        </w:rPr>
        <w:t> </w:t>
      </w:r>
      <w:r>
        <w:rPr>
          <w:rFonts w:ascii="Times New Roman" w:hAnsi="Times New Roman" w:cs="Times New Roman" w:eastAsia="Times New Roman" w:hint="default"/>
        </w:rPr>
        <w:t>142,287,201.27</w:t>
      </w:r>
      <w:r>
        <w:rPr>
          <w:rFonts w:ascii="Times New Roman" w:hAnsi="Times New Roman" w:cs="Times New Roman" w:eastAsia="Times New Roman" w:hint="default"/>
          <w:spacing w:val="-2"/>
        </w:rPr>
        <w:t> </w:t>
      </w:r>
      <w:r>
        <w:rPr>
          <w:spacing w:val="-12"/>
        </w:rPr>
        <w:t>元。公</w:t>
      </w:r>
    </w:p>
    <w:p>
      <w:pPr>
        <w:pStyle w:val="BodyText"/>
        <w:spacing w:line="280" w:lineRule="auto"/>
        <w:ind w:right="215" w:hanging="1"/>
        <w:jc w:val="both"/>
      </w:pPr>
      <w:r>
        <w:rPr/>
        <w:t>司</w:t>
      </w:r>
      <w:r>
        <w:rPr>
          <w:spacing w:val="-4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日募集资金专户余额为</w:t>
      </w:r>
      <w:r>
        <w:rPr>
          <w:spacing w:val="-46"/>
        </w:rPr>
        <w:t> </w:t>
      </w:r>
      <w:r>
        <w:rPr>
          <w:rFonts w:ascii="Times New Roman" w:hAnsi="Times New Roman" w:cs="Times New Roman" w:eastAsia="Times New Roman" w:hint="default"/>
        </w:rPr>
        <w:t>154,625,407.06</w:t>
      </w:r>
      <w:r>
        <w:rPr>
          <w:rFonts w:ascii="Times New Roman" w:hAnsi="Times New Roman" w:cs="Times New Roman" w:eastAsia="Times New Roman" w:hint="default"/>
          <w:spacing w:val="7"/>
        </w:rPr>
        <w:t> </w:t>
      </w:r>
      <w:r>
        <w:rPr/>
        <w:t>元，与尚未使用的募集资金余额 的差异为</w:t>
      </w:r>
      <w:r>
        <w:rPr>
          <w:spacing w:val="-51"/>
        </w:rPr>
        <w:t> </w:t>
      </w:r>
      <w:r>
        <w:rPr>
          <w:rFonts w:ascii="Times New Roman" w:hAnsi="Times New Roman" w:cs="Times New Roman" w:eastAsia="Times New Roman" w:hint="default"/>
        </w:rPr>
        <w:t>12,338,205.79</w:t>
      </w:r>
      <w:r>
        <w:rPr>
          <w:rFonts w:ascii="Times New Roman" w:hAnsi="Times New Roman" w:cs="Times New Roman" w:eastAsia="Times New Roman" w:hint="default"/>
          <w:spacing w:val="2"/>
        </w:rPr>
        <w:t> </w:t>
      </w:r>
      <w:r>
        <w:rPr>
          <w:spacing w:val="-4"/>
        </w:rPr>
        <w:t>元：一是募集资金账户银行利息收入</w:t>
      </w:r>
      <w:r>
        <w:rPr>
          <w:spacing w:val="-51"/>
        </w:rPr>
        <w:t> </w:t>
      </w:r>
      <w:r>
        <w:rPr>
          <w:rFonts w:ascii="Times New Roman" w:hAnsi="Times New Roman" w:cs="Times New Roman" w:eastAsia="Times New Roman" w:hint="default"/>
        </w:rPr>
        <w:t>1,670,310.39</w:t>
      </w:r>
      <w:r>
        <w:rPr>
          <w:rFonts w:ascii="Times New Roman" w:hAnsi="Times New Roman" w:cs="Times New Roman" w:eastAsia="Times New Roman" w:hint="default"/>
          <w:spacing w:val="2"/>
        </w:rPr>
        <w:t> </w:t>
      </w:r>
      <w:r>
        <w:rPr>
          <w:spacing w:val="-7"/>
        </w:rPr>
        <w:t>元（利息收入总额</w:t>
      </w:r>
      <w:r>
        <w:rPr/>
        <w:t> 为</w:t>
      </w:r>
      <w:r>
        <w:rPr>
          <w:spacing w:val="-49"/>
        </w:rPr>
        <w:t> </w:t>
      </w:r>
      <w:r>
        <w:rPr>
          <w:rFonts w:ascii="Times New Roman" w:hAnsi="Times New Roman" w:cs="Times New Roman" w:eastAsia="Times New Roman" w:hint="default"/>
          <w:spacing w:val="-1"/>
        </w:rPr>
        <w:t>6,067,425.79</w:t>
      </w:r>
      <w:r>
        <w:rPr>
          <w:rFonts w:ascii="Times New Roman" w:hAnsi="Times New Roman" w:cs="Times New Roman" w:eastAsia="Times New Roman" w:hint="default"/>
          <w:spacing w:val="5"/>
        </w:rPr>
        <w:t> </w:t>
      </w:r>
      <w:r>
        <w:rPr>
          <w:spacing w:val="-10"/>
        </w:rPr>
        <w:t>元，已转出</w:t>
      </w:r>
      <w:r>
        <w:rPr>
          <w:spacing w:val="-49"/>
        </w:rPr>
        <w:t> </w:t>
      </w:r>
      <w:r>
        <w:rPr>
          <w:rFonts w:ascii="Times New Roman" w:hAnsi="Times New Roman" w:cs="Times New Roman" w:eastAsia="Times New Roman" w:hint="default"/>
          <w:spacing w:val="-1"/>
        </w:rPr>
        <w:t>4,397,115.40</w:t>
      </w:r>
      <w:r>
        <w:rPr>
          <w:rFonts w:ascii="Times New Roman" w:hAnsi="Times New Roman" w:cs="Times New Roman" w:eastAsia="Times New Roman" w:hint="default"/>
          <w:spacing w:val="4"/>
        </w:rPr>
        <w:t> </w:t>
      </w:r>
      <w:r>
        <w:rPr>
          <w:spacing w:val="-7"/>
        </w:rPr>
        <w:t>元）；二是部分费用由自有资金垫付暂未从募集资金</w:t>
      </w:r>
    </w:p>
    <w:p>
      <w:pPr>
        <w:pStyle w:val="BodyText"/>
        <w:spacing w:line="240" w:lineRule="auto" w:before="10"/>
        <w:ind w:right="0"/>
        <w:jc w:val="both"/>
      </w:pPr>
      <w:r>
        <w:rPr/>
        <w:t>专户转出共</w:t>
      </w:r>
      <w:r>
        <w:rPr>
          <w:spacing w:val="-55"/>
        </w:rPr>
        <w:t> </w:t>
      </w:r>
      <w:r>
        <w:rPr>
          <w:rFonts w:ascii="Times New Roman" w:hAnsi="Times New Roman" w:cs="Times New Roman" w:eastAsia="Times New Roman" w:hint="default"/>
        </w:rPr>
        <w:t>10,667,895.40</w:t>
      </w:r>
      <w:r>
        <w:rPr>
          <w:rFonts w:ascii="Times New Roman" w:hAnsi="Times New Roman" w:cs="Times New Roman" w:eastAsia="Times New Roman" w:hint="default"/>
          <w:spacing w:val="-3"/>
        </w:rPr>
        <w:t> </w:t>
      </w:r>
      <w:r>
        <w:rPr>
          <w:spacing w:val="-4"/>
        </w:rPr>
        <w:t>元，其中：广电运通营销网络建设项目</w:t>
      </w:r>
      <w:r>
        <w:rPr>
          <w:spacing w:val="-55"/>
        </w:rPr>
        <w:t> </w:t>
      </w:r>
      <w:r>
        <w:rPr>
          <w:rFonts w:ascii="Times New Roman" w:hAnsi="Times New Roman" w:cs="Times New Roman" w:eastAsia="Times New Roman" w:hint="default"/>
        </w:rPr>
        <w:t>1,990,020.78</w:t>
      </w:r>
      <w:r>
        <w:rPr>
          <w:rFonts w:ascii="Times New Roman" w:hAnsi="Times New Roman" w:cs="Times New Roman" w:eastAsia="Times New Roman" w:hint="default"/>
          <w:spacing w:val="-1"/>
        </w:rPr>
        <w:t> </w:t>
      </w:r>
      <w:r>
        <w:rPr>
          <w:spacing w:val="-6"/>
        </w:rPr>
        <w:t>元，深圳银通</w:t>
      </w:r>
    </w:p>
    <w:p>
      <w:pPr>
        <w:pStyle w:val="BodyText"/>
        <w:spacing w:line="240" w:lineRule="auto"/>
        <w:ind w:right="0"/>
        <w:jc w:val="both"/>
      </w:pPr>
      <w:r>
        <w:rPr/>
        <w:t>服务网络建设项目</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w:t>
      </w:r>
      <w:r>
        <w:rPr>
          <w:rFonts w:ascii="Times New Roman" w:hAnsi="Times New Roman" w:cs="Times New Roman" w:eastAsia="Times New Roman" w:hint="default"/>
        </w:rPr>
        <w:t>1</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4</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元</w:t>
      </w:r>
      <w:r>
        <w:rPr>
          <w:spacing w:val="-87"/>
        </w:rPr>
        <w:t>，</w:t>
      </w:r>
      <w:r>
        <w:rPr>
          <w:spacing w:val="-2"/>
        </w:rPr>
        <w:t>广</w:t>
      </w:r>
      <w:r>
        <w:rPr/>
        <w:t>电运通货币自动处理设备年产</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2,00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台扩产技</w:t>
      </w:r>
      <w:r>
        <w:rPr>
          <w:spacing w:val="-2"/>
        </w:rPr>
        <w:t>术</w:t>
      </w:r>
      <w:r>
        <w:rPr/>
        <w:t>改造</w:t>
      </w:r>
    </w:p>
    <w:p>
      <w:pPr>
        <w:pStyle w:val="BodyText"/>
        <w:spacing w:line="240" w:lineRule="auto"/>
        <w:ind w:right="0"/>
        <w:jc w:val="both"/>
      </w:pPr>
      <w:r>
        <w:rPr/>
        <w:t>项目</w:t>
      </w:r>
      <w:r>
        <w:rPr>
          <w:spacing w:val="-56"/>
        </w:rPr>
        <w:t> </w:t>
      </w:r>
      <w:r>
        <w:rPr>
          <w:rFonts w:ascii="Times New Roman" w:hAnsi="Times New Roman" w:cs="Times New Roman" w:eastAsia="Times New Roman" w:hint="default"/>
        </w:rPr>
        <w:t>943,671.78</w:t>
      </w:r>
      <w:r>
        <w:rPr>
          <w:rFonts w:ascii="Times New Roman" w:hAnsi="Times New Roman" w:cs="Times New Roman" w:eastAsia="Times New Roman" w:hint="default"/>
          <w:spacing w:val="-3"/>
        </w:rPr>
        <w:t> </w:t>
      </w:r>
      <w:r>
        <w:rPr/>
        <w:t>元，广电运通研发中心技术改造项目</w:t>
      </w:r>
      <w:r>
        <w:rPr>
          <w:spacing w:val="-56"/>
        </w:rPr>
        <w:t> </w:t>
      </w:r>
      <w:r>
        <w:rPr>
          <w:rFonts w:ascii="Times New Roman" w:hAnsi="Times New Roman" w:cs="Times New Roman" w:eastAsia="Times New Roman" w:hint="default"/>
        </w:rPr>
        <w:t>23,071.42</w:t>
      </w:r>
      <w:r>
        <w:rPr>
          <w:rFonts w:ascii="Times New Roman" w:hAnsi="Times New Roman" w:cs="Times New Roman" w:eastAsia="Times New Roman" w:hint="default"/>
          <w:spacing w:val="-3"/>
        </w:rPr>
        <w:t> </w:t>
      </w:r>
      <w:r>
        <w:rPr/>
        <w:t>元。</w:t>
      </w:r>
    </w:p>
    <w:p>
      <w:pPr>
        <w:pStyle w:val="BodyText"/>
        <w:spacing w:line="460" w:lineRule="exact" w:before="46"/>
        <w:ind w:left="560" w:right="203"/>
        <w:jc w:val="left"/>
      </w:pPr>
      <w:r>
        <w:rPr/>
        <w:t>（</w:t>
      </w:r>
      <w:r>
        <w:rPr>
          <w:rFonts w:ascii="Times New Roman" w:hAnsi="Times New Roman" w:cs="Times New Roman" w:eastAsia="Times New Roman" w:hint="default"/>
        </w:rPr>
        <w:t>1</w:t>
      </w:r>
      <w:r>
        <w:rPr/>
        <w:t>）募集资金投资项目的资金使用情况 根据《招股说明书》的规定，公司募集资金投资项目投资总额为</w:t>
      </w:r>
      <w:r>
        <w:rPr>
          <w:spacing w:val="-50"/>
        </w:rPr>
        <w:t> </w:t>
      </w:r>
      <w:r>
        <w:rPr>
          <w:rFonts w:ascii="Times New Roman" w:hAnsi="Times New Roman" w:cs="Times New Roman" w:eastAsia="Times New Roman" w:hint="default"/>
        </w:rPr>
        <w:t>42,935.32</w:t>
      </w:r>
      <w:r>
        <w:rPr>
          <w:rFonts w:ascii="Times New Roman" w:hAnsi="Times New Roman" w:cs="Times New Roman" w:eastAsia="Times New Roman" w:hint="default"/>
          <w:spacing w:val="3"/>
        </w:rPr>
        <w:t> </w:t>
      </w:r>
      <w:r>
        <w:rPr/>
        <w:t>万元，截至</w:t>
      </w:r>
    </w:p>
    <w:p>
      <w:pPr>
        <w:pStyle w:val="BodyText"/>
        <w:spacing w:line="240" w:lineRule="auto" w:before="3"/>
        <w:ind w:right="0"/>
        <w:jc w:val="both"/>
        <w:rPr>
          <w:rFonts w:ascii="Times New Roman" w:hAnsi="Times New Roman" w:cs="Times New Roman" w:eastAsia="Times New Roman" w:hint="default"/>
        </w:rPr>
      </w:pP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年末承诺投入金额</w:t>
      </w:r>
      <w:r>
        <w:rPr>
          <w:spacing w:val="-56"/>
        </w:rPr>
        <w:t> </w:t>
      </w:r>
      <w:r>
        <w:rPr>
          <w:rFonts w:ascii="Times New Roman" w:hAnsi="Times New Roman" w:cs="Times New Roman" w:eastAsia="Times New Roman" w:hint="default"/>
        </w:rPr>
        <w:t>36,897.11</w:t>
      </w:r>
      <w:r>
        <w:rPr>
          <w:rFonts w:ascii="Times New Roman" w:hAnsi="Times New Roman" w:cs="Times New Roman" w:eastAsia="Times New Roman" w:hint="default"/>
          <w:spacing w:val="-2"/>
        </w:rPr>
        <w:t> </w:t>
      </w:r>
      <w:r>
        <w:rPr>
          <w:spacing w:val="-3"/>
        </w:rPr>
        <w:t>万元。</w:t>
      </w:r>
      <w:r>
        <w:rPr>
          <w:rFonts w:ascii="Times New Roman" w:hAnsi="Times New Roman" w:cs="Times New Roman" w:eastAsia="Times New Roman" w:hint="default"/>
          <w:spacing w:val="-3"/>
        </w:rPr>
        <w:t>2008 </w:t>
      </w:r>
      <w:r>
        <w:rPr/>
        <w:t>年度公司实际投入</w:t>
      </w:r>
      <w:r>
        <w:rPr>
          <w:spacing w:val="-56"/>
        </w:rPr>
        <w:t> </w:t>
      </w:r>
      <w:r>
        <w:rPr>
          <w:rFonts w:ascii="Times New Roman" w:hAnsi="Times New Roman" w:cs="Times New Roman" w:eastAsia="Times New Roman" w:hint="default"/>
        </w:rPr>
        <w:t>23,488.43</w:t>
      </w:r>
      <w:r>
        <w:rPr>
          <w:rFonts w:ascii="Times New Roman" w:hAnsi="Times New Roman" w:cs="Times New Roman" w:eastAsia="Times New Roman" w:hint="default"/>
          <w:spacing w:val="-4"/>
        </w:rPr>
        <w:t> </w:t>
      </w:r>
      <w:r>
        <w:rPr>
          <w:spacing w:val="-4"/>
        </w:rPr>
        <w:t>万元，截至</w:t>
      </w:r>
      <w:r>
        <w:rPr>
          <w:spacing w:val="-56"/>
        </w:rPr>
        <w:t> </w:t>
      </w:r>
      <w:r>
        <w:rPr>
          <w:rFonts w:ascii="Times New Roman" w:hAnsi="Times New Roman" w:cs="Times New Roman" w:eastAsia="Times New Roman" w:hint="default"/>
        </w:rPr>
        <w:t>2008</w:t>
      </w:r>
    </w:p>
    <w:p>
      <w:pPr>
        <w:pStyle w:val="BodyText"/>
        <w:spacing w:line="280" w:lineRule="auto" w:before="49"/>
        <w:ind w:left="560" w:right="387" w:hanging="420"/>
        <w:jc w:val="left"/>
      </w:pPr>
      <w:r>
        <w:rPr/>
        <w:t>年末累计投入</w:t>
      </w:r>
      <w:r>
        <w:rPr>
          <w:spacing w:val="-54"/>
        </w:rPr>
        <w:t> </w:t>
      </w:r>
      <w:r>
        <w:rPr>
          <w:rFonts w:ascii="Times New Roman" w:hAnsi="Times New Roman" w:cs="Times New Roman" w:eastAsia="Times New Roman" w:hint="default"/>
        </w:rPr>
        <w:t>28,706.60</w:t>
      </w:r>
      <w:r>
        <w:rPr>
          <w:rFonts w:ascii="Times New Roman" w:hAnsi="Times New Roman" w:cs="Times New Roman" w:eastAsia="Times New Roman" w:hint="default"/>
          <w:spacing w:val="-2"/>
        </w:rPr>
        <w:t> </w:t>
      </w:r>
      <w:r>
        <w:rPr/>
        <w:t>万元。 </w:t>
      </w:r>
      <w:r>
        <w:rPr>
          <w:spacing w:val="-5"/>
        </w:rPr>
        <w:t>募集资金具体的投入情况见“募集资金使用情况对照表”。</w:t>
      </w:r>
    </w:p>
    <w:p>
      <w:pPr>
        <w:pStyle w:val="BodyText"/>
        <w:spacing w:line="240" w:lineRule="auto" w:before="150"/>
        <w:ind w:left="560" w:right="102"/>
        <w:jc w:val="left"/>
      </w:pPr>
      <w:r>
        <w:rPr/>
        <w:t>（</w:t>
      </w:r>
      <w:r>
        <w:rPr>
          <w:rFonts w:ascii="Times New Roman" w:hAnsi="Times New Roman" w:cs="Times New Roman" w:eastAsia="Times New Roman" w:hint="default"/>
        </w:rPr>
        <w:t>2</w:t>
      </w:r>
      <w:r>
        <w:rPr/>
        <w:t>）募集资金投资项目先期投入及置换情况</w:t>
      </w:r>
    </w:p>
    <w:p>
      <w:pPr>
        <w:pStyle w:val="BodyText"/>
        <w:spacing w:line="290" w:lineRule="auto" w:before="169"/>
        <w:ind w:right="210" w:firstLine="420"/>
        <w:jc w:val="both"/>
      </w:pPr>
      <w:r>
        <w:rPr/>
        <w:t>根据公司</w:t>
      </w:r>
      <w:r>
        <w:rPr>
          <w:spacing w:val="-5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日召开的第一届董事会第十一次会议审议通过的《关于用募集 </w:t>
      </w:r>
      <w:r>
        <w:rPr>
          <w:spacing w:val="-3"/>
        </w:rPr>
        <w:t>资金置换公司预先已投入募集资金投资项目的自筹资金的议案》，用募集资金置换预先已投</w:t>
      </w:r>
      <w:r>
        <w:rPr>
          <w:spacing w:val="-84"/>
        </w:rPr>
        <w:t> </w:t>
      </w:r>
      <w:r>
        <w:rPr>
          <w:spacing w:val="-84"/>
        </w:rPr>
      </w:r>
      <w:r>
        <w:rPr>
          <w:spacing w:val="3"/>
        </w:rPr>
        <w:t>入募集资金投资项目（货币自动处理设备年产 </w:t>
      </w:r>
      <w:r>
        <w:rPr>
          <w:rFonts w:ascii="Times New Roman" w:hAnsi="Times New Roman" w:cs="Times New Roman" w:eastAsia="Times New Roman" w:hint="default"/>
        </w:rPr>
        <w:t>12,000 </w:t>
      </w:r>
      <w:r>
        <w:rPr>
          <w:rFonts w:ascii="Times New Roman" w:hAnsi="Times New Roman" w:cs="Times New Roman" w:eastAsia="Times New Roman" w:hint="default"/>
          <w:spacing w:val="35"/>
        </w:rPr>
        <w:t> </w:t>
      </w:r>
      <w:r>
        <w:rPr>
          <w:spacing w:val="3"/>
        </w:rPr>
        <w:t>台扩产技术改造项目）的自筹资金</w:t>
      </w:r>
      <w:r>
        <w:rPr/>
      </w:r>
    </w:p>
    <w:p>
      <w:pPr>
        <w:pStyle w:val="BodyText"/>
        <w:spacing w:line="292" w:lineRule="auto" w:before="0"/>
        <w:ind w:right="215"/>
        <w:jc w:val="both"/>
      </w:pPr>
      <w:r>
        <w:rPr>
          <w:rFonts w:ascii="Times New Roman" w:hAnsi="Times New Roman" w:cs="Times New Roman" w:eastAsia="Times New Roman" w:hint="default"/>
        </w:rPr>
        <w:t>995.31</w:t>
      </w:r>
      <w:r>
        <w:rPr>
          <w:rFonts w:ascii="Times New Roman" w:hAnsi="Times New Roman" w:cs="Times New Roman" w:eastAsia="Times New Roman" w:hint="default"/>
          <w:spacing w:val="9"/>
        </w:rPr>
        <w:t> </w:t>
      </w:r>
      <w:r>
        <w:rPr>
          <w:spacing w:val="-3"/>
        </w:rPr>
        <w:t>万元，置换金额与预先投入的自筹资金数额一致；不违反公司在《招股说明书》中对</w:t>
      </w:r>
      <w:r>
        <w:rPr>
          <w:spacing w:val="-103"/>
        </w:rPr>
        <w:t> </w:t>
      </w:r>
      <w:r>
        <w:rPr>
          <w:spacing w:val="-103"/>
        </w:rPr>
      </w:r>
      <w:r>
        <w:rPr>
          <w:spacing w:val="-3"/>
        </w:rPr>
        <w:t>募集资金投资项目的承诺；不存在变相改变募集资金投资项目和损害股东利益的情况。本次</w:t>
      </w:r>
      <w:r>
        <w:rPr>
          <w:spacing w:val="-79"/>
        </w:rPr>
        <w:t> </w:t>
      </w:r>
      <w:r>
        <w:rPr>
          <w:spacing w:val="-79"/>
        </w:rPr>
      </w:r>
      <w:r>
        <w:rPr>
          <w:spacing w:val="-3"/>
        </w:rPr>
        <w:t>募集资金使用行为经过必要的审批程序，符合深圳证券交易所《中小企业板上市公司募集资</w:t>
      </w:r>
      <w:r>
        <w:rPr>
          <w:spacing w:val="-79"/>
        </w:rPr>
        <w:t> </w:t>
      </w:r>
      <w:r>
        <w:rPr>
          <w:spacing w:val="-79"/>
        </w:rPr>
      </w:r>
      <w:r>
        <w:rPr/>
        <w:t>金管理细则》的有关规定。</w:t>
      </w:r>
    </w:p>
    <w:p>
      <w:pPr>
        <w:pStyle w:val="BodyText"/>
        <w:spacing w:line="240" w:lineRule="auto" w:before="138"/>
        <w:ind w:left="560" w:right="102"/>
        <w:jc w:val="left"/>
      </w:pPr>
      <w:r>
        <w:rPr/>
        <w:t>（</w:t>
      </w:r>
      <w:r>
        <w:rPr>
          <w:rFonts w:ascii="Times New Roman" w:hAnsi="Times New Roman" w:cs="Times New Roman" w:eastAsia="Times New Roman" w:hint="default"/>
        </w:rPr>
        <w:t>3</w:t>
      </w:r>
      <w:r>
        <w:rPr/>
        <w:t>）将募集资金超出部分用于补充流动资金情况</w:t>
      </w:r>
    </w:p>
    <w:p>
      <w:pPr>
        <w:pStyle w:val="BodyText"/>
        <w:spacing w:line="240" w:lineRule="auto" w:before="169"/>
        <w:ind w:left="559" w:right="102"/>
        <w:jc w:val="left"/>
      </w:pPr>
      <w:r>
        <w:rPr/>
        <w:t>公司于</w:t>
      </w:r>
      <w:r>
        <w:rPr>
          <w:spacing w:val="-52"/>
        </w:rPr>
        <w:t> </w:t>
      </w:r>
      <w:r>
        <w:rPr>
          <w:rFonts w:ascii="Times New Roman" w:hAnsi="Times New Roman" w:cs="Times New Roman" w:eastAsia="Times New Roman" w:hint="default"/>
        </w:rPr>
        <w:t>2007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日召开的第一届董事会第十一次会议审议通过了《关于将本次募</w:t>
      </w:r>
    </w:p>
    <w:p>
      <w:pPr>
        <w:pStyle w:val="BodyText"/>
        <w:spacing w:line="280" w:lineRule="auto"/>
        <w:ind w:left="139" w:right="217"/>
        <w:jc w:val="both"/>
      </w:pPr>
      <w:r>
        <w:rPr>
          <w:spacing w:val="-7"/>
        </w:rPr>
        <w:t>集资金超出部分用于补充流动资金的议案》，同意公司将超出部分的</w:t>
      </w:r>
      <w:r>
        <w:rPr>
          <w:spacing w:val="-46"/>
        </w:rPr>
        <w:t> </w:t>
      </w:r>
      <w:r>
        <w:rPr>
          <w:rFonts w:ascii="Times New Roman" w:hAnsi="Times New Roman" w:cs="Times New Roman" w:eastAsia="Times New Roman" w:hint="default"/>
          <w:spacing w:val="-1"/>
        </w:rPr>
        <w:t>15,606.12</w:t>
      </w:r>
      <w:r>
        <w:rPr>
          <w:rFonts w:ascii="Times New Roman" w:hAnsi="Times New Roman" w:cs="Times New Roman" w:eastAsia="Times New Roman" w:hint="default"/>
          <w:spacing w:val="7"/>
        </w:rPr>
        <w:t> </w:t>
      </w:r>
      <w:r>
        <w:rPr>
          <w:spacing w:val="-1"/>
        </w:rPr>
        <w:t>万元募集资金</w:t>
      </w:r>
      <w:r>
        <w:rPr>
          <w:spacing w:val="-103"/>
        </w:rPr>
        <w:t> </w:t>
      </w:r>
      <w:r>
        <w:rPr>
          <w:spacing w:val="-103"/>
        </w:rPr>
      </w:r>
      <w:r>
        <w:rPr/>
        <w:t>用于补充公司营运资金及归还公司的流动资金贷款。</w:t>
      </w:r>
    </w:p>
    <w:p>
      <w:pPr>
        <w:pStyle w:val="BodyText"/>
        <w:spacing w:line="240" w:lineRule="auto" w:before="150"/>
        <w:ind w:left="559" w:right="102"/>
        <w:jc w:val="left"/>
      </w:pPr>
      <w:r>
        <w:rPr/>
        <w:t>（</w:t>
      </w:r>
      <w:r>
        <w:rPr>
          <w:rFonts w:ascii="Times New Roman" w:hAnsi="Times New Roman" w:cs="Times New Roman" w:eastAsia="Times New Roman" w:hint="default"/>
        </w:rPr>
        <w:t>4</w:t>
      </w:r>
      <w:r>
        <w:rPr/>
        <w:t>）用闲置募集资金暂时补充流动资金情况</w:t>
      </w:r>
    </w:p>
    <w:p>
      <w:pPr>
        <w:pStyle w:val="BodyText"/>
        <w:spacing w:line="240" w:lineRule="auto" w:before="170"/>
        <w:ind w:left="559" w:right="102"/>
        <w:jc w:val="left"/>
      </w:pPr>
      <w:r>
        <w:rPr/>
        <w:t>公司于</w:t>
      </w:r>
      <w:r>
        <w:rPr>
          <w:spacing w:val="-52"/>
        </w:rPr>
        <w:t> </w:t>
      </w:r>
      <w:r>
        <w:rPr>
          <w:rFonts w:ascii="Times New Roman" w:hAnsi="Times New Roman" w:cs="Times New Roman" w:eastAsia="Times New Roman" w:hint="default"/>
        </w:rPr>
        <w:t>2007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17 </w:t>
      </w:r>
      <w:r>
        <w:rPr/>
        <w:t>日召开的第一届董事会第十三次（临时）会议通过了《关于使</w:t>
      </w:r>
    </w:p>
    <w:p>
      <w:pPr>
        <w:pStyle w:val="BodyText"/>
        <w:spacing w:line="240" w:lineRule="auto" w:before="49"/>
        <w:ind w:left="139" w:right="0"/>
        <w:jc w:val="both"/>
      </w:pPr>
      <w:r>
        <w:rPr/>
        <w:t>用部分闲置募集资金暂时补充流动资金的议案</w:t>
      </w:r>
      <w:r>
        <w:rPr>
          <w:spacing w:val="-106"/>
        </w:rPr>
        <w:t>》</w:t>
      </w:r>
      <w:r>
        <w:rPr/>
        <w:t>，同意公司将闲置的募集资金</w:t>
      </w:r>
      <w:r>
        <w:rPr>
          <w:spacing w:val="-2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00</w:t>
      </w:r>
      <w:r>
        <w:rPr>
          <w:rFonts w:ascii="Times New Roman" w:hAnsi="Times New Roman" w:cs="Times New Roman" w:eastAsia="Times New Roman" w:hint="default"/>
        </w:rPr>
        <w:t>0 </w:t>
      </w:r>
      <w:r>
        <w:rPr>
          <w:rFonts w:ascii="Times New Roman" w:hAnsi="Times New Roman" w:cs="Times New Roman" w:eastAsia="Times New Roman" w:hint="default"/>
          <w:spacing w:val="-21"/>
        </w:rPr>
        <w:t> </w:t>
      </w:r>
      <w:r>
        <w:rPr/>
        <w:t>万元暂</w:t>
      </w:r>
    </w:p>
    <w:p>
      <w:pPr>
        <w:pStyle w:val="BodyText"/>
        <w:spacing w:line="240" w:lineRule="auto"/>
        <w:ind w:left="139" w:right="0"/>
        <w:jc w:val="both"/>
        <w:rPr>
          <w:rFonts w:ascii="Times New Roman" w:hAnsi="Times New Roman" w:cs="Times New Roman" w:eastAsia="Times New Roman" w:hint="default"/>
        </w:rPr>
      </w:pPr>
      <w:r>
        <w:rPr>
          <w:spacing w:val="-5"/>
        </w:rPr>
        <w:t>时补充流动资金，使用时间不超过</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spacing w:val="-17"/>
        </w:rPr>
        <w:t>个月，从</w:t>
      </w:r>
      <w:r>
        <w:rPr>
          <w:spacing w:val="-53"/>
        </w:rPr>
        <w:t> </w:t>
      </w:r>
      <w:r>
        <w:rPr>
          <w:rFonts w:ascii="Times New Roman" w:hAnsi="Times New Roman" w:cs="Times New Roman" w:eastAsia="Times New Roman" w:hint="default"/>
        </w:rPr>
        <w:t>2007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日至</w:t>
      </w:r>
      <w:r>
        <w:rPr>
          <w:spacing w:val="-53"/>
        </w:rPr>
        <w:t> </w:t>
      </w:r>
      <w:r>
        <w:rPr>
          <w:rFonts w:ascii="Times New Roman" w:hAnsi="Times New Roman" w:cs="Times New Roman" w:eastAsia="Times New Roman" w:hint="default"/>
        </w:rPr>
        <w:t>2008 </w:t>
      </w:r>
      <w:r>
        <w:rPr/>
        <w:t>年</w:t>
      </w:r>
      <w:r>
        <w:rPr>
          <w:spacing w:val="-54"/>
        </w:rPr>
        <w:t> </w:t>
      </w:r>
      <w:r>
        <w:rPr>
          <w:rFonts w:ascii="Times New Roman" w:hAnsi="Times New Roman" w:cs="Times New Roman" w:eastAsia="Times New Roman" w:hint="default"/>
        </w:rPr>
        <w:t>6 </w:t>
      </w:r>
      <w:r>
        <w:rPr/>
        <w:t>月</w:t>
      </w:r>
      <w:r>
        <w:rPr>
          <w:spacing w:val="-54"/>
        </w:rPr>
        <w:t> </w:t>
      </w:r>
      <w:r>
        <w:rPr>
          <w:rFonts w:ascii="Times New Roman" w:hAnsi="Times New Roman" w:cs="Times New Roman" w:eastAsia="Times New Roman" w:hint="default"/>
        </w:rPr>
        <w:t>17 </w:t>
      </w:r>
      <w:r>
        <w:rPr>
          <w:spacing w:val="-12"/>
        </w:rPr>
        <w:t>日。</w:t>
      </w:r>
      <w:r>
        <w:rPr>
          <w:rFonts w:ascii="Times New Roman" w:hAnsi="Times New Roman" w:cs="Times New Roman" w:eastAsia="Times New Roman" w:hint="default"/>
          <w:spacing w:val="-12"/>
        </w:rPr>
        <w:t>2008</w:t>
      </w:r>
      <w:r>
        <w:rPr>
          <w:rFonts w:ascii="Times New Roman" w:hAnsi="Times New Roman" w:cs="Times New Roman" w:eastAsia="Times New Roman" w:hint="default"/>
        </w:rPr>
      </w:r>
    </w:p>
    <w:p>
      <w:pPr>
        <w:pStyle w:val="BodyText"/>
        <w:spacing w:line="280" w:lineRule="auto"/>
        <w:ind w:left="139" w:right="216"/>
        <w:jc w:val="both"/>
      </w:pPr>
      <w:r>
        <w:rPr/>
        <w:t>年</w:t>
      </w:r>
      <w:r>
        <w:rPr>
          <w:spacing w:val="-44"/>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w:t>
      </w:r>
      <w:r>
        <w:rPr>
          <w:spacing w:val="-44"/>
        </w:rPr>
        <w:t> </w:t>
      </w:r>
      <w:r>
        <w:rPr>
          <w:rFonts w:ascii="Times New Roman" w:hAnsi="Times New Roman" w:cs="Times New Roman" w:eastAsia="Times New Roman" w:hint="default"/>
        </w:rPr>
        <w:t>13</w:t>
      </w:r>
      <w:r>
        <w:rPr>
          <w:rFonts w:ascii="Times New Roman" w:hAnsi="Times New Roman" w:cs="Times New Roman" w:eastAsia="Times New Roman" w:hint="default"/>
          <w:spacing w:val="9"/>
        </w:rPr>
        <w:t> </w:t>
      </w:r>
      <w:r>
        <w:rPr/>
        <w:t>日已按照承诺全部归还暂时补充的流动资金</w:t>
      </w:r>
      <w:r>
        <w:rPr>
          <w:spacing w:val="-44"/>
        </w:rPr>
        <w:t> </w:t>
      </w:r>
      <w:r>
        <w:rPr>
          <w:rFonts w:ascii="Times New Roman" w:hAnsi="Times New Roman" w:cs="Times New Roman" w:eastAsia="Times New Roman" w:hint="default"/>
        </w:rPr>
        <w:t>5,000</w:t>
      </w:r>
      <w:r>
        <w:rPr>
          <w:rFonts w:ascii="Times New Roman" w:hAnsi="Times New Roman" w:cs="Times New Roman" w:eastAsia="Times New Roman" w:hint="default"/>
          <w:spacing w:val="9"/>
        </w:rPr>
        <w:t> </w:t>
      </w:r>
      <w:r>
        <w:rPr/>
        <w:t>万元。募集资金使用未违反公 司在《招股说明书》中对募集资金投资项目的承诺。</w:t>
      </w:r>
    </w:p>
    <w:p>
      <w:pPr>
        <w:pStyle w:val="BodyText"/>
        <w:spacing w:line="240" w:lineRule="auto" w:before="150"/>
        <w:ind w:left="559" w:right="102"/>
        <w:jc w:val="left"/>
      </w:pPr>
      <w:r>
        <w:rPr/>
        <w:t>（</w:t>
      </w:r>
      <w:r>
        <w:rPr>
          <w:rFonts w:ascii="Times New Roman" w:hAnsi="Times New Roman" w:cs="Times New Roman" w:eastAsia="Times New Roman" w:hint="default"/>
        </w:rPr>
        <w:t>5</w:t>
      </w:r>
      <w:r>
        <w:rPr/>
        <w:t>）项目实施出现募集资金节余的资金变更使用情况</w:t>
      </w:r>
    </w:p>
    <w:p>
      <w:pPr>
        <w:pStyle w:val="BodyText"/>
        <w:spacing w:line="292" w:lineRule="auto" w:before="170"/>
        <w:ind w:left="139" w:right="100" w:firstLine="420"/>
        <w:jc w:val="left"/>
      </w:pPr>
      <w:r>
        <w:rPr>
          <w:spacing w:val="-4"/>
        </w:rPr>
        <w:t>①变更原因：由于公司在“货币自动处理设备年产 </w:t>
      </w:r>
      <w:r>
        <w:rPr>
          <w:rFonts w:ascii="Times New Roman" w:hAnsi="Times New Roman" w:cs="Times New Roman" w:eastAsia="Times New Roman" w:hint="default"/>
        </w:rPr>
        <w:t>12000</w:t>
      </w:r>
      <w:r>
        <w:rPr>
          <w:rFonts w:ascii="Times New Roman" w:hAnsi="Times New Roman" w:cs="Times New Roman" w:eastAsia="Times New Roman" w:hint="default"/>
          <w:spacing w:val="8"/>
        </w:rPr>
        <w:t> </w:t>
      </w:r>
      <w:r>
        <w:rPr>
          <w:spacing w:val="-6"/>
        </w:rPr>
        <w:t>台扩产技术改造项目”和“研</w:t>
      </w:r>
      <w:r>
        <w:rPr/>
        <w:t> 发中心技术改造项目”工程建设过程中，本着厉行节约的原则，在保证使用功能的情况下， </w:t>
      </w:r>
      <w:r>
        <w:rPr>
          <w:spacing w:val="-5"/>
        </w:rPr>
        <w:t>通过降低建造成本及装修费用，进一步加强工程费用控制、监督和管理，减少了工程总开支；</w:t>
      </w:r>
      <w:r>
        <w:rPr>
          <w:spacing w:val="-98"/>
        </w:rPr>
        <w:t> </w:t>
      </w:r>
      <w:r>
        <w:rPr>
          <w:spacing w:val="-98"/>
        </w:rPr>
      </w:r>
      <w:r>
        <w:rPr>
          <w:spacing w:val="-3"/>
        </w:rPr>
        <w:t>通过进一步优化工艺流程，减少了部分设备的投入，同时在保证生产工艺的前提下，采购国</w:t>
      </w:r>
    </w:p>
    <w:p>
      <w:pPr>
        <w:spacing w:after="0" w:line="292" w:lineRule="auto"/>
        <w:jc w:val="left"/>
        <w:sectPr>
          <w:pgSz w:w="11910" w:h="16840"/>
          <w:pgMar w:header="400" w:footer="982" w:top="1100" w:bottom="1180" w:left="1660" w:right="1580"/>
        </w:sectPr>
      </w:pPr>
    </w:p>
    <w:p>
      <w:pPr>
        <w:spacing w:line="240" w:lineRule="auto" w:before="1"/>
        <w:rPr>
          <w:rFonts w:ascii="宋体" w:hAnsi="宋体" w:cs="宋体" w:eastAsia="宋体" w:hint="default"/>
          <w:sz w:val="19"/>
          <w:szCs w:val="19"/>
        </w:rPr>
      </w:pPr>
    </w:p>
    <w:p>
      <w:pPr>
        <w:pStyle w:val="BodyText"/>
        <w:spacing w:line="285" w:lineRule="auto" w:before="35"/>
        <w:ind w:right="216"/>
        <w:jc w:val="both"/>
      </w:pPr>
      <w:r>
        <w:rPr>
          <w:spacing w:val="-3"/>
        </w:rPr>
        <w:t>产设备替代进口设备，减少了设备开支，预计上述两个项目节余约</w:t>
      </w:r>
      <w:r>
        <w:rPr>
          <w:spacing w:val="-45"/>
        </w:rPr>
        <w:t> </w:t>
      </w:r>
      <w:r>
        <w:rPr>
          <w:rFonts w:ascii="Times New Roman" w:hAnsi="Times New Roman" w:cs="Times New Roman" w:eastAsia="Times New Roman" w:hint="default"/>
        </w:rPr>
        <w:t>5,100</w:t>
      </w:r>
      <w:r>
        <w:rPr>
          <w:rFonts w:ascii="Times New Roman" w:hAnsi="Times New Roman" w:cs="Times New Roman" w:eastAsia="Times New Roman" w:hint="default"/>
          <w:spacing w:val="15"/>
        </w:rPr>
        <w:t> </w:t>
      </w:r>
      <w:r>
        <w:rPr>
          <w:spacing w:val="-5"/>
        </w:rPr>
        <w:t>万元（最终数据以</w:t>
      </w:r>
      <w:r>
        <w:rPr>
          <w:spacing w:val="-103"/>
        </w:rPr>
        <w:t> </w:t>
      </w:r>
      <w:r>
        <w:rPr>
          <w:spacing w:val="-103"/>
        </w:rPr>
      </w:r>
      <w:r>
        <w:rPr>
          <w:spacing w:val="-3"/>
        </w:rPr>
        <w:t>上述两个项目决算后节余数为准）。为提高募集资金的使用效率，同时应市场之需，进一步</w:t>
      </w:r>
      <w:r>
        <w:rPr>
          <w:spacing w:val="-84"/>
        </w:rPr>
        <w:t> </w:t>
      </w:r>
      <w:r>
        <w:rPr>
          <w:spacing w:val="-84"/>
        </w:rPr>
      </w:r>
      <w:r>
        <w:rPr>
          <w:spacing w:val="-4"/>
        </w:rPr>
        <w:t>满足公司经营规模不断扩大的需要，公司决定将节余资金投向“年产</w:t>
      </w:r>
      <w:r>
        <w:rPr>
          <w:spacing w:val="-44"/>
        </w:rPr>
        <w:t> </w:t>
      </w:r>
      <w:r>
        <w:rPr>
          <w:rFonts w:ascii="Times New Roman" w:hAnsi="Times New Roman" w:cs="Times New Roman" w:eastAsia="Times New Roman" w:hint="default"/>
        </w:rPr>
        <w:t>24000</w:t>
      </w:r>
      <w:r>
        <w:rPr>
          <w:rFonts w:ascii="Times New Roman" w:hAnsi="Times New Roman" w:cs="Times New Roman" w:eastAsia="Times New Roman" w:hint="default"/>
          <w:spacing w:val="9"/>
        </w:rPr>
        <w:t> </w:t>
      </w:r>
      <w:r>
        <w:rPr/>
        <w:t>台货币自动处理</w:t>
      </w:r>
      <w:r>
        <w:rPr>
          <w:spacing w:val="-103"/>
        </w:rPr>
        <w:t> </w:t>
      </w:r>
      <w:r>
        <w:rPr>
          <w:spacing w:val="-103"/>
        </w:rPr>
      </w:r>
      <w:r>
        <w:rPr>
          <w:spacing w:val="-8"/>
        </w:rPr>
        <w:t>设备二期扩产技术改造项目”。</w:t>
      </w:r>
    </w:p>
    <w:p>
      <w:pPr>
        <w:pStyle w:val="BodyText"/>
        <w:spacing w:line="240" w:lineRule="auto" w:before="146"/>
        <w:ind w:left="560" w:right="102"/>
        <w:jc w:val="left"/>
      </w:pPr>
      <w:r>
        <w:rPr/>
        <w:t>②新项目情况</w:t>
      </w:r>
      <w:r>
        <w:rPr>
          <w:spacing w:val="-105"/>
        </w:rPr>
        <w:t>：</w:t>
      </w:r>
      <w:r>
        <w:rPr/>
        <w:t>“年产</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4</w:t>
      </w:r>
      <w:r>
        <w:rPr>
          <w:rFonts w:ascii="Times New Roman" w:hAnsi="Times New Roman" w:cs="Times New Roman" w:eastAsia="Times New Roman" w:hint="default"/>
        </w:rPr>
        <w:t>000</w:t>
      </w:r>
      <w:r>
        <w:rPr>
          <w:rFonts w:ascii="Times New Roman" w:hAnsi="Times New Roman" w:cs="Times New Roman" w:eastAsia="Times New Roman" w:hint="default"/>
          <w:spacing w:val="5"/>
        </w:rPr>
        <w:t> </w:t>
      </w:r>
      <w:r>
        <w:rPr/>
        <w:t>台货币</w:t>
      </w:r>
      <w:r>
        <w:rPr>
          <w:spacing w:val="-2"/>
        </w:rPr>
        <w:t>自</w:t>
      </w:r>
      <w:r>
        <w:rPr/>
        <w:t>动处理设备二期扩产技术改造项目”项目总投资</w:t>
      </w:r>
    </w:p>
    <w:p>
      <w:pPr>
        <w:pStyle w:val="BodyText"/>
        <w:spacing w:line="240" w:lineRule="auto" w:before="49"/>
        <w:ind w:right="0"/>
        <w:jc w:val="both"/>
        <w:rPr>
          <w:rFonts w:ascii="Times New Roman" w:hAnsi="Times New Roman" w:cs="Times New Roman" w:eastAsia="Times New Roman" w:hint="default"/>
        </w:rPr>
      </w:pPr>
      <w:r>
        <w:rPr>
          <w:rFonts w:ascii="Times New Roman" w:hAnsi="Times New Roman" w:cs="Times New Roman" w:eastAsia="Times New Roman" w:hint="default"/>
        </w:rPr>
        <w:t>19,859 </w:t>
      </w:r>
      <w:r>
        <w:rPr/>
        <w:t>万元，其中新增建设投资 </w:t>
      </w:r>
      <w:r>
        <w:rPr>
          <w:rFonts w:ascii="Times New Roman" w:hAnsi="Times New Roman" w:cs="Times New Roman" w:eastAsia="Times New Roman" w:hint="default"/>
        </w:rPr>
        <w:t>7,385  </w:t>
      </w:r>
      <w:r>
        <w:rPr/>
        <w:t>万元，新增铺底流动资金 </w:t>
      </w:r>
      <w:r>
        <w:rPr>
          <w:rFonts w:ascii="Times New Roman" w:hAnsi="Times New Roman" w:cs="Times New Roman" w:eastAsia="Times New Roman" w:hint="default"/>
        </w:rPr>
        <w:t>12,474 </w:t>
      </w:r>
      <w:r>
        <w:rPr/>
        <w:t>万元；建设期为</w:t>
      </w:r>
      <w:r>
        <w:rPr>
          <w:spacing w:val="-55"/>
        </w:rPr>
        <w:t> </w:t>
      </w:r>
      <w:r>
        <w:rPr>
          <w:rFonts w:ascii="Times New Roman" w:hAnsi="Times New Roman" w:cs="Times New Roman" w:eastAsia="Times New Roman" w:hint="default"/>
        </w:rPr>
        <w:t>1</w:t>
      </w:r>
    </w:p>
    <w:p>
      <w:pPr>
        <w:pStyle w:val="BodyText"/>
        <w:spacing w:line="280" w:lineRule="auto"/>
        <w:ind w:left="139" w:right="216"/>
        <w:jc w:val="both"/>
      </w:pPr>
      <w:r>
        <w:rPr/>
        <w:t>年</w:t>
      </w:r>
      <w:r>
        <w:rPr>
          <w:spacing w:val="-53"/>
        </w:rPr>
        <w:t> </w:t>
      </w:r>
      <w:r>
        <w:rPr>
          <w:rFonts w:ascii="Times New Roman" w:hAnsi="Times New Roman" w:cs="Times New Roman" w:eastAsia="Times New Roman" w:hint="default"/>
        </w:rPr>
        <w:t>6 </w:t>
      </w:r>
      <w:r>
        <w:rPr>
          <w:spacing w:val="-7"/>
        </w:rPr>
        <w:t>个月，即从</w:t>
      </w:r>
      <w:r>
        <w:rPr>
          <w:spacing w:val="-53"/>
        </w:rPr>
        <w:t> </w:t>
      </w:r>
      <w:r>
        <w:rPr>
          <w:rFonts w:ascii="Times New Roman" w:hAnsi="Times New Roman" w:cs="Times New Roman" w:eastAsia="Times New Roman" w:hint="default"/>
        </w:rPr>
        <w:t>2009 </w:t>
      </w:r>
      <w:r>
        <w:rPr/>
        <w:t>年</w:t>
      </w:r>
      <w:r>
        <w:rPr>
          <w:spacing w:val="-54"/>
        </w:rPr>
        <w:t> </w:t>
      </w:r>
      <w:r>
        <w:rPr>
          <w:rFonts w:ascii="Times New Roman" w:hAnsi="Times New Roman" w:cs="Times New Roman" w:eastAsia="Times New Roman" w:hint="default"/>
        </w:rPr>
        <w:t>1 </w:t>
      </w:r>
      <w:r>
        <w:rPr/>
        <w:t>月至</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6 </w:t>
      </w:r>
      <w:r>
        <w:rPr>
          <w:spacing w:val="-3"/>
        </w:rPr>
        <w:t>月。计划利用节余募集资金约</w:t>
      </w:r>
      <w:r>
        <w:rPr>
          <w:spacing w:val="-53"/>
        </w:rPr>
        <w:t> </w:t>
      </w:r>
      <w:r>
        <w:rPr>
          <w:rFonts w:ascii="Times New Roman" w:hAnsi="Times New Roman" w:cs="Times New Roman" w:eastAsia="Times New Roman" w:hint="default"/>
        </w:rPr>
        <w:t>5,100</w:t>
      </w:r>
      <w:r>
        <w:rPr>
          <w:rFonts w:ascii="Times New Roman" w:hAnsi="Times New Roman" w:cs="Times New Roman" w:eastAsia="Times New Roman" w:hint="default"/>
          <w:spacing w:val="1"/>
        </w:rPr>
        <w:t> </w:t>
      </w:r>
      <w:r>
        <w:rPr>
          <w:spacing w:val="-6"/>
        </w:rPr>
        <w:t>万元（最终数</w:t>
      </w:r>
      <w:r>
        <w:rPr/>
        <w:t> </w:t>
      </w:r>
      <w:r>
        <w:rPr>
          <w:spacing w:val="-5"/>
        </w:rPr>
        <w:t>据以上述两个项目决算后节余数为准），其余自筹。</w:t>
      </w:r>
    </w:p>
    <w:p>
      <w:pPr>
        <w:pStyle w:val="BodyText"/>
        <w:spacing w:line="290" w:lineRule="auto" w:before="150"/>
        <w:ind w:left="138" w:right="95" w:firstLine="420"/>
        <w:jc w:val="left"/>
      </w:pPr>
      <w:r>
        <w:rPr>
          <w:spacing w:val="-3"/>
        </w:rPr>
        <w:t>③变更程序：本次部分募集资金投向的变更履行了必要的审批程序，经公司第一届董事</w:t>
      </w:r>
      <w:r>
        <w:rPr/>
        <w:t> </w:t>
      </w:r>
      <w:r>
        <w:rPr>
          <w:spacing w:val="-4"/>
        </w:rPr>
        <w:t>会第二十一次（临时）会议和</w:t>
      </w:r>
      <w:r>
        <w:rPr>
          <w:spacing w:val="-7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1"/>
        </w:rPr>
        <w:t> </w:t>
      </w:r>
      <w:r>
        <w:rPr/>
        <w:t>年第一次临时股东大会审议批准，决策程序合法、合规， </w:t>
      </w:r>
      <w:r>
        <w:rPr>
          <w:spacing w:val="-3"/>
        </w:rPr>
        <w:t>且监事会、全体独立董事及保荐人光大证券股份有限公司均发表了专项意见，相关情况已详</w:t>
      </w:r>
      <w:r>
        <w:rPr>
          <w:spacing w:val="-79"/>
        </w:rPr>
        <w:t> </w:t>
      </w:r>
      <w:r>
        <w:rPr>
          <w:spacing w:val="-79"/>
        </w:rPr>
      </w:r>
      <w:r>
        <w:rPr/>
        <w:t>细披露在</w:t>
      </w:r>
      <w:r>
        <w:rPr>
          <w:spacing w:val="-52"/>
        </w:rPr>
        <w:t> </w:t>
      </w: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 </w:t>
      </w:r>
      <w:r>
        <w:rPr/>
        <w:t>月</w:t>
      </w:r>
      <w:r>
        <w:rPr>
          <w:spacing w:val="-52"/>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rPr>
        <w:t> </w:t>
      </w:r>
      <w:r>
        <w:rPr/>
        <w:t>日和</w:t>
      </w:r>
      <w:r>
        <w:rPr>
          <w:spacing w:val="-52"/>
        </w:rPr>
        <w:t> </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spacing w:val="-10"/>
        </w:rPr>
        <w:t>日的《证券时报》及深交所指定信息披露网站。</w:t>
      </w:r>
      <w:r>
        <w:rPr/>
        <w:t> 公司募集资金投资项目没有发生变更。公司已披露的有关募集资金使用的信息及时、真实、 准确、完整，不存在募集资金管理违规的情形。</w:t>
      </w:r>
    </w:p>
    <w:p>
      <w:pPr>
        <w:spacing w:after="0" w:line="290" w:lineRule="auto"/>
        <w:jc w:val="left"/>
        <w:sectPr>
          <w:pgSz w:w="11910" w:h="16840"/>
          <w:pgMar w:header="400" w:footer="982" w:top="1100" w:bottom="1180" w:left="1660" w:right="1580"/>
        </w:sectPr>
      </w:pPr>
    </w:p>
    <w:p>
      <w:pPr>
        <w:spacing w:line="240" w:lineRule="auto" w:before="10"/>
        <w:rPr>
          <w:rFonts w:ascii="宋体" w:hAnsi="宋体" w:cs="宋体" w:eastAsia="宋体" w:hint="default"/>
          <w:sz w:val="5"/>
          <w:szCs w:val="5"/>
        </w:rPr>
      </w:pPr>
    </w:p>
    <w:p>
      <w:pPr>
        <w:spacing w:line="720" w:lineRule="exact"/>
        <w:ind w:left="422"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665.65pt;height:36pt;mso-position-horizontal-relative:char;mso-position-vertical-relative:line" coordorigin="0,0" coordsize="13313,720">
            <v:group style="position:absolute;left:7;top:713;width:13299;height:2" coordorigin="7,713" coordsize="13299,2">
              <v:shape style="position:absolute;left:7;top:713;width:13299;height:2" coordorigin="7,713" coordsize="13299,0" path="m7,713l13306,713e" filled="false" stroked="true" strokeweight=".72pt" strokecolor="#000000">
                <v:path arrowok="t"/>
              </v:shape>
              <v:shape style="position:absolute;left:26;top:0;width:1608;height:640" type="#_x0000_t75" stroked="false">
                <v:imagedata r:id="rId16" o:title=""/>
              </v:shape>
              <v:shape style="position:absolute;left:0;top:0;width:13313;height:72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spacing w:before="0"/>
                        <w:ind w:left="0" w:right="35" w:firstLine="0"/>
                        <w:jc w:val="righ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年年度报告</w:t>
                      </w:r>
                    </w:p>
                  </w:txbxContent>
                </v:textbox>
                <w10:wrap type="none"/>
              </v:shape>
            </v:group>
          </v:group>
        </w:pict>
      </w:r>
      <w:r>
        <w:rPr>
          <w:rFonts w:ascii="宋体" w:hAnsi="宋体" w:cs="宋体" w:eastAsia="宋体" w:hint="default"/>
          <w:position w:val="-13"/>
          <w:sz w:val="20"/>
          <w:szCs w:val="20"/>
        </w:rPr>
      </w:r>
    </w:p>
    <w:p>
      <w:pPr>
        <w:spacing w:line="240" w:lineRule="auto" w:before="10"/>
        <w:rPr>
          <w:rFonts w:ascii="宋体" w:hAnsi="宋体" w:cs="宋体" w:eastAsia="宋体" w:hint="default"/>
          <w:sz w:val="18"/>
          <w:szCs w:val="18"/>
        </w:rPr>
      </w:pPr>
    </w:p>
    <w:p>
      <w:pPr>
        <w:tabs>
          <w:tab w:pos="12762" w:val="left" w:leader="none"/>
        </w:tabs>
        <w:spacing w:before="44"/>
        <w:ind w:left="495" w:right="369" w:firstLine="0"/>
        <w:jc w:val="left"/>
        <w:rPr>
          <w:rFonts w:ascii="宋体" w:hAnsi="宋体" w:cs="宋体" w:eastAsia="宋体" w:hint="default"/>
          <w:sz w:val="18"/>
          <w:szCs w:val="18"/>
        </w:rPr>
      </w:pPr>
      <w:r>
        <w:rPr>
          <w:rFonts w:ascii="宋体" w:hAnsi="宋体" w:cs="宋体" w:eastAsia="宋体" w:hint="default"/>
          <w:sz w:val="18"/>
          <w:szCs w:val="18"/>
        </w:rPr>
        <w:t>附表：募集资金使用情况对照表</w:t>
        <w:tab/>
        <w:t>单位：万元</w:t>
      </w:r>
    </w:p>
    <w:p>
      <w:pPr>
        <w:spacing w:line="240" w:lineRule="auto" w:before="3"/>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726"/>
        <w:gridCol w:w="738"/>
        <w:gridCol w:w="110"/>
        <w:gridCol w:w="889"/>
        <w:gridCol w:w="1039"/>
        <w:gridCol w:w="907"/>
        <w:gridCol w:w="1020"/>
        <w:gridCol w:w="1070"/>
        <w:gridCol w:w="1070"/>
        <w:gridCol w:w="1133"/>
        <w:gridCol w:w="649"/>
        <w:gridCol w:w="860"/>
        <w:gridCol w:w="797"/>
        <w:gridCol w:w="894"/>
      </w:tblGrid>
      <w:tr>
        <w:trPr>
          <w:trHeight w:val="248" w:hRule="exact"/>
        </w:trPr>
        <w:tc>
          <w:tcPr>
            <w:tcW w:w="5503" w:type="dxa"/>
            <w:gridSpan w:val="5"/>
            <w:tcBorders>
              <w:top w:val="single" w:sz="8" w:space="0" w:color="000000"/>
              <w:left w:val="single" w:sz="8" w:space="0" w:color="000000"/>
              <w:bottom w:val="single" w:sz="4" w:space="0" w:color="000000"/>
              <w:right w:val="single" w:sz="4" w:space="0" w:color="000000"/>
            </w:tcBorders>
          </w:tcPr>
          <w:p>
            <w:pPr>
              <w:pStyle w:val="TableParagraph"/>
              <w:spacing w:line="206" w:lineRule="exact"/>
              <w:ind w:right="3"/>
              <w:jc w:val="center"/>
              <w:rPr>
                <w:rFonts w:ascii="宋体" w:hAnsi="宋体" w:cs="宋体" w:eastAsia="宋体" w:hint="default"/>
                <w:sz w:val="18"/>
                <w:szCs w:val="18"/>
              </w:rPr>
            </w:pPr>
            <w:r>
              <w:rPr>
                <w:rFonts w:ascii="宋体" w:hAnsi="宋体" w:cs="宋体" w:eastAsia="宋体" w:hint="default"/>
                <w:sz w:val="18"/>
                <w:szCs w:val="18"/>
              </w:rPr>
              <w:t>募集资金总额</w:t>
            </w:r>
          </w:p>
        </w:tc>
        <w:tc>
          <w:tcPr>
            <w:tcW w:w="1927" w:type="dxa"/>
            <w:gridSpan w:val="2"/>
            <w:tcBorders>
              <w:top w:val="single" w:sz="8" w:space="0" w:color="000000"/>
              <w:left w:val="single" w:sz="4" w:space="0" w:color="000000"/>
              <w:bottom w:val="single" w:sz="4" w:space="0" w:color="000000"/>
              <w:right w:val="single" w:sz="4" w:space="0" w:color="000000"/>
            </w:tcBorders>
          </w:tcPr>
          <w:p>
            <w:pPr>
              <w:pStyle w:val="TableParagraph"/>
              <w:spacing w:line="240" w:lineRule="auto" w:before="9"/>
              <w:ind w:left="598" w:right="0"/>
              <w:jc w:val="left"/>
              <w:rPr>
                <w:rFonts w:ascii="Times New Roman" w:hAnsi="Times New Roman" w:cs="Times New Roman" w:eastAsia="Times New Roman" w:hint="default"/>
                <w:sz w:val="18"/>
                <w:szCs w:val="18"/>
              </w:rPr>
            </w:pPr>
            <w:r>
              <w:rPr>
                <w:rFonts w:ascii="Times New Roman"/>
                <w:sz w:val="18"/>
              </w:rPr>
              <w:t>58,541.44</w:t>
            </w:r>
          </w:p>
        </w:tc>
        <w:tc>
          <w:tcPr>
            <w:tcW w:w="4783" w:type="dxa"/>
            <w:gridSpan w:val="5"/>
            <w:tcBorders>
              <w:top w:val="single" w:sz="8" w:space="0" w:color="000000"/>
              <w:left w:val="single" w:sz="4" w:space="0" w:color="000000"/>
              <w:bottom w:val="single" w:sz="4" w:space="0" w:color="000000"/>
              <w:right w:val="single" w:sz="4" w:space="0" w:color="000000"/>
            </w:tcBorders>
          </w:tcPr>
          <w:p>
            <w:pPr>
              <w:pStyle w:val="TableParagraph"/>
              <w:spacing w:line="206" w:lineRule="exact"/>
              <w:ind w:left="1396"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1691" w:type="dxa"/>
            <w:gridSpan w:val="2"/>
            <w:tcBorders>
              <w:top w:val="single" w:sz="8" w:space="0" w:color="000000"/>
              <w:left w:val="single" w:sz="4" w:space="0" w:color="000000"/>
              <w:bottom w:val="single" w:sz="4" w:space="0" w:color="000000"/>
              <w:right w:val="single" w:sz="8" w:space="0" w:color="000000"/>
            </w:tcBorders>
          </w:tcPr>
          <w:p>
            <w:pPr>
              <w:pStyle w:val="TableParagraph"/>
              <w:spacing w:line="240" w:lineRule="auto" w:before="9"/>
              <w:ind w:left="479" w:right="0"/>
              <w:jc w:val="left"/>
              <w:rPr>
                <w:rFonts w:ascii="Times New Roman" w:hAnsi="Times New Roman" w:cs="Times New Roman" w:eastAsia="Times New Roman" w:hint="default"/>
                <w:sz w:val="18"/>
                <w:szCs w:val="18"/>
              </w:rPr>
            </w:pPr>
            <w:r>
              <w:rPr>
                <w:rFonts w:ascii="Times New Roman"/>
                <w:sz w:val="18"/>
              </w:rPr>
              <w:t>23,488.43</w:t>
            </w:r>
          </w:p>
        </w:tc>
      </w:tr>
      <w:tr>
        <w:trPr>
          <w:trHeight w:val="244" w:hRule="exact"/>
        </w:trPr>
        <w:tc>
          <w:tcPr>
            <w:tcW w:w="5503" w:type="dxa"/>
            <w:gridSpan w:val="5"/>
            <w:tcBorders>
              <w:top w:val="single" w:sz="4" w:space="0" w:color="000000"/>
              <w:left w:val="single" w:sz="8" w:space="0" w:color="000000"/>
              <w:bottom w:val="single" w:sz="4" w:space="0" w:color="000000"/>
              <w:right w:val="single" w:sz="4" w:space="0" w:color="000000"/>
            </w:tcBorders>
          </w:tcPr>
          <w:p>
            <w:pPr>
              <w:pStyle w:val="TableParagraph"/>
              <w:spacing w:line="205" w:lineRule="exact"/>
              <w:ind w:left="1751" w:right="0"/>
              <w:jc w:val="left"/>
              <w:rPr>
                <w:rFonts w:ascii="宋体" w:hAnsi="宋体" w:cs="宋体" w:eastAsia="宋体" w:hint="default"/>
                <w:sz w:val="18"/>
                <w:szCs w:val="18"/>
              </w:rPr>
            </w:pPr>
            <w:r>
              <w:rPr>
                <w:rFonts w:ascii="宋体" w:hAnsi="宋体" w:cs="宋体" w:eastAsia="宋体" w:hint="default"/>
                <w:sz w:val="18"/>
                <w:szCs w:val="18"/>
              </w:rPr>
              <w:t>变更用途的募集资金总额</w:t>
            </w:r>
          </w:p>
        </w:tc>
        <w:tc>
          <w:tcPr>
            <w:tcW w:w="19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5,100.00</w:t>
            </w:r>
          </w:p>
        </w:tc>
        <w:tc>
          <w:tcPr>
            <w:tcW w:w="4783" w:type="dxa"/>
            <w:gridSpan w:val="5"/>
            <w:vMerge w:val="restart"/>
            <w:tcBorders>
              <w:top w:val="single" w:sz="4" w:space="0" w:color="000000"/>
              <w:left w:val="single" w:sz="4" w:space="0" w:color="000000"/>
              <w:right w:val="single" w:sz="4" w:space="0" w:color="000000"/>
            </w:tcBorders>
          </w:tcPr>
          <w:p>
            <w:pPr>
              <w:pStyle w:val="TableParagraph"/>
              <w:spacing w:line="240" w:lineRule="auto" w:before="86"/>
              <w:ind w:left="1396"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1691" w:type="dxa"/>
            <w:gridSpan w:val="2"/>
            <w:vMerge w:val="restart"/>
            <w:tcBorders>
              <w:top w:val="single" w:sz="4" w:space="0" w:color="000000"/>
              <w:left w:val="single" w:sz="4" w:space="0" w:color="000000"/>
              <w:right w:val="single" w:sz="8" w:space="0" w:color="000000"/>
            </w:tcBorders>
          </w:tcPr>
          <w:p>
            <w:pPr>
              <w:pStyle w:val="TableParagraph"/>
              <w:spacing w:line="240" w:lineRule="auto" w:before="124"/>
              <w:ind w:left="480" w:right="0"/>
              <w:jc w:val="left"/>
              <w:rPr>
                <w:rFonts w:ascii="Times New Roman" w:hAnsi="Times New Roman" w:cs="Times New Roman" w:eastAsia="Times New Roman" w:hint="default"/>
                <w:sz w:val="18"/>
                <w:szCs w:val="18"/>
              </w:rPr>
            </w:pPr>
            <w:r>
              <w:rPr>
                <w:rFonts w:ascii="Times New Roman"/>
                <w:sz w:val="18"/>
              </w:rPr>
              <w:t>44,312.72</w:t>
            </w:r>
          </w:p>
        </w:tc>
      </w:tr>
      <w:tr>
        <w:trPr>
          <w:trHeight w:val="242" w:hRule="exact"/>
        </w:trPr>
        <w:tc>
          <w:tcPr>
            <w:tcW w:w="5503" w:type="dxa"/>
            <w:gridSpan w:val="5"/>
            <w:tcBorders>
              <w:top w:val="single" w:sz="4" w:space="0" w:color="000000"/>
              <w:left w:val="single" w:sz="8" w:space="0" w:color="000000"/>
              <w:bottom w:val="single" w:sz="4" w:space="0" w:color="000000"/>
              <w:right w:val="single" w:sz="4" w:space="0" w:color="000000"/>
            </w:tcBorders>
          </w:tcPr>
          <w:p>
            <w:pPr>
              <w:pStyle w:val="TableParagraph"/>
              <w:spacing w:line="205" w:lineRule="exact"/>
              <w:ind w:left="1571" w:right="0"/>
              <w:jc w:val="left"/>
              <w:rPr>
                <w:rFonts w:ascii="宋体" w:hAnsi="宋体" w:cs="宋体" w:eastAsia="宋体" w:hint="default"/>
                <w:sz w:val="18"/>
                <w:szCs w:val="18"/>
              </w:rPr>
            </w:pPr>
            <w:r>
              <w:rPr>
                <w:rFonts w:ascii="宋体" w:hAnsi="宋体" w:cs="宋体" w:eastAsia="宋体" w:hint="default"/>
                <w:sz w:val="18"/>
                <w:szCs w:val="18"/>
              </w:rPr>
              <w:t>变更用途的募集资金总额比例</w:t>
            </w:r>
          </w:p>
        </w:tc>
        <w:tc>
          <w:tcPr>
            <w:tcW w:w="19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8.71%</w:t>
            </w:r>
          </w:p>
        </w:tc>
        <w:tc>
          <w:tcPr>
            <w:tcW w:w="4783" w:type="dxa"/>
            <w:gridSpan w:val="5"/>
            <w:vMerge/>
            <w:tcBorders>
              <w:left w:val="single" w:sz="4" w:space="0" w:color="000000"/>
              <w:bottom w:val="single" w:sz="4" w:space="0" w:color="000000"/>
              <w:right w:val="single" w:sz="4" w:space="0" w:color="000000"/>
            </w:tcBorders>
          </w:tcPr>
          <w:p>
            <w:pPr/>
          </w:p>
        </w:tc>
        <w:tc>
          <w:tcPr>
            <w:tcW w:w="1691" w:type="dxa"/>
            <w:gridSpan w:val="2"/>
            <w:vMerge/>
            <w:tcBorders>
              <w:left w:val="single" w:sz="4" w:space="0" w:color="000000"/>
              <w:bottom w:val="single" w:sz="4" w:space="0" w:color="000000"/>
              <w:right w:val="single" w:sz="8" w:space="0" w:color="000000"/>
            </w:tcBorders>
          </w:tcPr>
          <w:p>
            <w:pPr/>
          </w:p>
        </w:tc>
      </w:tr>
      <w:tr>
        <w:trPr>
          <w:trHeight w:val="1410" w:hRule="exact"/>
        </w:trPr>
        <w:tc>
          <w:tcPr>
            <w:tcW w:w="272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81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04" w:lineRule="auto" w:before="80"/>
              <w:ind w:left="103" w:right="83" w:hanging="20"/>
              <w:jc w:val="center"/>
              <w:rPr>
                <w:rFonts w:ascii="宋体" w:hAnsi="宋体" w:cs="宋体" w:eastAsia="宋体" w:hint="default"/>
                <w:sz w:val="18"/>
                <w:szCs w:val="18"/>
              </w:rPr>
            </w:pPr>
            <w:r>
              <w:rPr>
                <w:rFonts w:ascii="宋体" w:hAnsi="宋体" w:cs="宋体" w:eastAsia="宋体" w:hint="default"/>
                <w:sz w:val="18"/>
                <w:szCs w:val="18"/>
              </w:rPr>
              <w:t>是否 已变 更项 </w:t>
            </w:r>
            <w:r>
              <w:rPr>
                <w:rFonts w:ascii="宋体" w:hAnsi="宋体" w:cs="宋体" w:eastAsia="宋体" w:hint="default"/>
                <w:spacing w:val="-6"/>
                <w:sz w:val="18"/>
                <w:szCs w:val="18"/>
              </w:rPr>
              <w:t>目（含</w:t>
            </w:r>
            <w:r>
              <w:rPr>
                <w:rFonts w:ascii="宋体" w:hAnsi="宋体" w:cs="宋体" w:eastAsia="宋体" w:hint="default"/>
                <w:sz w:val="18"/>
                <w:szCs w:val="18"/>
              </w:rPr>
              <w:t> 部分 变更）</w:t>
            </w:r>
          </w:p>
        </w:tc>
        <w:tc>
          <w:tcPr>
            <w:tcW w:w="10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00" w:lineRule="exact"/>
              <w:ind w:left="134" w:right="13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00" w:lineRule="exact"/>
              <w:ind w:left="244" w:right="152" w:hanging="90"/>
              <w:jc w:val="left"/>
              <w:rPr>
                <w:rFonts w:ascii="宋体" w:hAnsi="宋体" w:cs="宋体" w:eastAsia="宋体" w:hint="default"/>
                <w:sz w:val="18"/>
                <w:szCs w:val="18"/>
              </w:rPr>
            </w:pPr>
            <w:r>
              <w:rPr>
                <w:rFonts w:ascii="宋体" w:hAnsi="宋体" w:cs="宋体" w:eastAsia="宋体" w:hint="default"/>
                <w:sz w:val="18"/>
                <w:szCs w:val="18"/>
              </w:rPr>
              <w:t>调整后投 资总额</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04" w:lineRule="auto"/>
              <w:ind w:left="178" w:right="176"/>
              <w:jc w:val="both"/>
              <w:rPr>
                <w:rFonts w:ascii="Times New Roman" w:hAnsi="Times New Roman" w:cs="Times New Roman" w:eastAsia="Times New Roman" w:hint="default"/>
                <w:sz w:val="18"/>
                <w:szCs w:val="18"/>
              </w:rPr>
            </w:pPr>
            <w:r>
              <w:rPr>
                <w:rFonts w:ascii="宋体" w:hAnsi="宋体" w:cs="宋体" w:eastAsia="宋体" w:hint="default"/>
                <w:sz w:val="18"/>
                <w:szCs w:val="18"/>
              </w:rPr>
              <w:t>截止期 末承诺 投入金 额</w:t>
            </w:r>
            <w:r>
              <w:rPr>
                <w:rFonts w:ascii="Times New Roman" w:hAnsi="Times New Roman" w:cs="Times New Roman" w:eastAsia="Times New Roman" w:hint="default"/>
                <w:sz w:val="18"/>
                <w:szCs w:val="18"/>
              </w:rPr>
              <w:t>(1)</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00" w:lineRule="exact"/>
              <w:ind w:left="235" w:right="143" w:hanging="90"/>
              <w:jc w:val="left"/>
              <w:rPr>
                <w:rFonts w:ascii="宋体" w:hAnsi="宋体" w:cs="宋体" w:eastAsia="宋体" w:hint="default"/>
                <w:sz w:val="18"/>
                <w:szCs w:val="18"/>
              </w:rPr>
            </w:pPr>
            <w:r>
              <w:rPr>
                <w:rFonts w:ascii="宋体" w:hAnsi="宋体" w:cs="宋体" w:eastAsia="宋体" w:hint="default"/>
                <w:sz w:val="18"/>
                <w:szCs w:val="18"/>
              </w:rPr>
              <w:t>本年度投 入金额</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00" w:lineRule="exact"/>
              <w:ind w:left="170" w:right="168"/>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0"/>
              <w:jc w:val="center"/>
              <w:rPr>
                <w:rFonts w:ascii="宋体" w:hAnsi="宋体" w:cs="宋体" w:eastAsia="宋体" w:hint="default"/>
                <w:sz w:val="18"/>
                <w:szCs w:val="18"/>
              </w:rPr>
            </w:pPr>
            <w:r>
              <w:rPr>
                <w:rFonts w:ascii="宋体" w:hAnsi="宋体" w:cs="宋体" w:eastAsia="宋体" w:hint="default"/>
                <w:sz w:val="18"/>
                <w:szCs w:val="18"/>
              </w:rPr>
              <w:t>截至期末</w:t>
            </w:r>
          </w:p>
          <w:p>
            <w:pPr>
              <w:pStyle w:val="TableParagraph"/>
              <w:spacing w:line="204" w:lineRule="auto" w:before="14"/>
              <w:ind w:left="170" w:right="168"/>
              <w:jc w:val="center"/>
              <w:rPr>
                <w:rFonts w:ascii="宋体" w:hAnsi="宋体" w:cs="宋体" w:eastAsia="宋体" w:hint="default"/>
                <w:sz w:val="18"/>
                <w:szCs w:val="18"/>
              </w:rPr>
            </w:pPr>
            <w:r>
              <w:rPr>
                <w:rFonts w:ascii="宋体" w:hAnsi="宋体" w:cs="宋体" w:eastAsia="宋体" w:hint="default"/>
                <w:sz w:val="18"/>
                <w:szCs w:val="18"/>
              </w:rPr>
              <w:t>累计投入 金额与承 诺投入金 额的差额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05" w:lineRule="exact"/>
              <w:ind w:right="0"/>
              <w:jc w:val="center"/>
              <w:rPr>
                <w:rFonts w:ascii="Times New Roman" w:hAnsi="Times New Roman" w:cs="Times New Roman" w:eastAsia="Times New Roman" w:hint="default"/>
                <w:sz w:val="18"/>
                <w:szCs w:val="18"/>
              </w:rPr>
            </w:pPr>
            <w:r>
              <w:rPr>
                <w:rFonts w:ascii="Times New Roman"/>
                <w:sz w:val="18"/>
              </w:rPr>
              <w:t>(2)-(1)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00" w:lineRule="exact"/>
              <w:ind w:left="103" w:right="11" w:firstLine="8"/>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截至期末投 </w:t>
            </w:r>
            <w:r>
              <w:rPr>
                <w:rFonts w:ascii="宋体" w:hAnsi="宋体" w:cs="宋体" w:eastAsia="宋体" w:hint="default"/>
                <w:spacing w:val="-8"/>
                <w:sz w:val="18"/>
                <w:szCs w:val="18"/>
              </w:rPr>
              <w:t>入进度（</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left="140" w:right="0"/>
              <w:jc w:val="both"/>
              <w:rPr>
                <w:rFonts w:ascii="宋体" w:hAnsi="宋体" w:cs="宋体" w:eastAsia="宋体" w:hint="default"/>
                <w:sz w:val="18"/>
                <w:szCs w:val="18"/>
              </w:rPr>
            </w:pPr>
            <w:r>
              <w:rPr>
                <w:rFonts w:ascii="宋体" w:hAnsi="宋体" w:cs="宋体" w:eastAsia="宋体" w:hint="default"/>
                <w:sz w:val="18"/>
                <w:szCs w:val="18"/>
              </w:rPr>
              <w:t>项目</w:t>
            </w:r>
          </w:p>
          <w:p>
            <w:pPr>
              <w:pStyle w:val="TableParagraph"/>
              <w:spacing w:line="204" w:lineRule="auto" w:before="14"/>
              <w:ind w:left="140" w:right="137"/>
              <w:jc w:val="both"/>
              <w:rPr>
                <w:rFonts w:ascii="宋体" w:hAnsi="宋体" w:cs="宋体" w:eastAsia="宋体" w:hint="default"/>
                <w:sz w:val="18"/>
                <w:szCs w:val="18"/>
              </w:rPr>
            </w:pPr>
            <w:r>
              <w:rPr>
                <w:rFonts w:ascii="宋体" w:hAnsi="宋体" w:cs="宋体" w:eastAsia="宋体" w:hint="default"/>
                <w:sz w:val="18"/>
                <w:szCs w:val="18"/>
              </w:rPr>
              <w:t>达到 预定 可使 用状 态日 期</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00" w:lineRule="exact"/>
              <w:ind w:left="154" w:right="154"/>
              <w:jc w:val="both"/>
              <w:rPr>
                <w:rFonts w:ascii="宋体" w:hAnsi="宋体" w:cs="宋体" w:eastAsia="宋体" w:hint="default"/>
                <w:sz w:val="18"/>
                <w:szCs w:val="18"/>
              </w:rPr>
            </w:pPr>
            <w:r>
              <w:rPr>
                <w:rFonts w:ascii="宋体" w:hAnsi="宋体" w:cs="宋体" w:eastAsia="宋体" w:hint="default"/>
                <w:sz w:val="18"/>
                <w:szCs w:val="18"/>
              </w:rPr>
              <w:t>本年度 实现的 效益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00" w:lineRule="exact"/>
              <w:ind w:left="123" w:right="121"/>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89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04" w:lineRule="auto"/>
              <w:ind w:left="171" w:right="166"/>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78" w:hRule="exact"/>
        </w:trPr>
        <w:tc>
          <w:tcPr>
            <w:tcW w:w="2726" w:type="dxa"/>
            <w:tcBorders>
              <w:top w:val="single" w:sz="4" w:space="0" w:color="000000"/>
              <w:left w:val="single" w:sz="8" w:space="0" w:color="000000"/>
              <w:bottom w:val="single" w:sz="4" w:space="0" w:color="000000"/>
              <w:right w:val="single" w:sz="4"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广电运通货币自动处理设备年产</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12,000台扩产技术改造项目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0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64" w:right="0"/>
              <w:jc w:val="left"/>
              <w:rPr>
                <w:rFonts w:ascii="Times New Roman" w:hAnsi="Times New Roman" w:cs="Times New Roman" w:eastAsia="Times New Roman" w:hint="default"/>
                <w:sz w:val="18"/>
                <w:szCs w:val="18"/>
              </w:rPr>
            </w:pPr>
            <w:r>
              <w:rPr>
                <w:rFonts w:ascii="Times New Roman"/>
                <w:sz w:val="18"/>
              </w:rPr>
              <w:t>26,343.42</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z w:val="18"/>
              </w:rPr>
              <w:t>22,243.42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9"/>
              <w:jc w:val="right"/>
              <w:rPr>
                <w:rFonts w:ascii="Times New Roman" w:hAnsi="Times New Roman" w:cs="Times New Roman" w:eastAsia="Times New Roman" w:hint="default"/>
                <w:sz w:val="18"/>
                <w:szCs w:val="18"/>
              </w:rPr>
            </w:pPr>
            <w:r>
              <w:rPr>
                <w:rFonts w:ascii="Times New Roman"/>
                <w:sz w:val="18"/>
              </w:rPr>
              <w:t>22,243.42</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z w:val="18"/>
              </w:rPr>
              <w:t>17,545.73</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z w:val="18"/>
              </w:rPr>
              <w:t>20,190.46</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w w:val="95"/>
                <w:sz w:val="18"/>
              </w:rPr>
              <w:t>-2,052.96</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z w:val="18"/>
              </w:rPr>
              <w:t>90.77%</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18"/>
                <w:szCs w:val="18"/>
              </w:rPr>
            </w:pPr>
            <w:r>
              <w:rPr>
                <w:rFonts w:ascii="Times New Roman"/>
                <w:sz w:val="18"/>
              </w:rPr>
              <w:t>08.12</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7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89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6"/>
              <w:ind w:left="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2726" w:type="dxa"/>
            <w:tcBorders>
              <w:top w:val="single" w:sz="4" w:space="0" w:color="000000"/>
              <w:left w:val="single" w:sz="8" w:space="0" w:color="000000"/>
              <w:bottom w:val="single" w:sz="4" w:space="0" w:color="000000"/>
              <w:right w:val="single" w:sz="4"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广电运通研发中心技术改造项目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0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4" w:right="0"/>
              <w:jc w:val="left"/>
              <w:rPr>
                <w:rFonts w:ascii="Times New Roman" w:hAnsi="Times New Roman" w:cs="Times New Roman" w:eastAsia="Times New Roman" w:hint="default"/>
                <w:sz w:val="18"/>
                <w:szCs w:val="18"/>
              </w:rPr>
            </w:pPr>
            <w:r>
              <w:rPr>
                <w:rFonts w:ascii="Times New Roman"/>
                <w:sz w:val="18"/>
              </w:rPr>
              <w:t>7,008.25</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z w:val="18"/>
              </w:rPr>
              <w:t>6,008.25</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6,008.25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Times New Roman" w:hAnsi="Times New Roman" w:cs="Times New Roman" w:eastAsia="Times New Roman" w:hint="default"/>
                <w:sz w:val="18"/>
                <w:szCs w:val="18"/>
              </w:rPr>
            </w:pPr>
            <w:r>
              <w:rPr>
                <w:rFonts w:ascii="Times New Roman"/>
                <w:sz w:val="18"/>
              </w:rPr>
              <w:t>1,896.00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z w:val="18"/>
              </w:rPr>
              <w:t>2,779.53</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5"/>
                <w:sz w:val="18"/>
              </w:rPr>
              <w:t>-3,228.72</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z w:val="18"/>
              </w:rPr>
              <w:t>46.26%</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09.6</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7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894" w:type="dxa"/>
            <w:tcBorders>
              <w:top w:val="single" w:sz="4" w:space="0" w:color="000000"/>
              <w:left w:val="single" w:sz="4" w:space="0" w:color="000000"/>
              <w:bottom w:val="single" w:sz="4" w:space="0" w:color="000000"/>
              <w:right w:val="single" w:sz="8"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2726" w:type="dxa"/>
            <w:tcBorders>
              <w:top w:val="single" w:sz="4" w:space="0" w:color="000000"/>
              <w:left w:val="single" w:sz="8" w:space="0" w:color="000000"/>
              <w:bottom w:val="single" w:sz="4" w:space="0" w:color="000000"/>
              <w:right w:val="single" w:sz="4"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广电运通营销网络建设项目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0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4" w:right="0"/>
              <w:jc w:val="left"/>
              <w:rPr>
                <w:rFonts w:ascii="Times New Roman" w:hAnsi="Times New Roman" w:cs="Times New Roman" w:eastAsia="Times New Roman" w:hint="default"/>
                <w:sz w:val="18"/>
                <w:szCs w:val="18"/>
              </w:rPr>
            </w:pPr>
            <w:r>
              <w:rPr>
                <w:rFonts w:ascii="Times New Roman"/>
                <w:sz w:val="18"/>
              </w:rPr>
              <w:t>4,056.51</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z w:val="18"/>
              </w:rPr>
              <w:t>4,056.51</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4,056.51</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z w:val="18"/>
              </w:rPr>
              <w:t>247.55</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z w:val="18"/>
              </w:rPr>
              <w:t>264.49</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5"/>
                <w:sz w:val="18"/>
              </w:rPr>
              <w:t>-3,792.02</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5"/>
                <w:sz w:val="18"/>
              </w:rPr>
              <w:t>6.52%</w:t>
            </w:r>
            <w:r>
              <w:rPr>
                <w:rFonts w:ascii="Times New Roman"/>
                <w:sz w:val="18"/>
              </w:rPr>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09.12</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7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894" w:type="dxa"/>
            <w:tcBorders>
              <w:top w:val="single" w:sz="4" w:space="0" w:color="000000"/>
              <w:left w:val="single" w:sz="4" w:space="0" w:color="000000"/>
              <w:bottom w:val="single" w:sz="4" w:space="0" w:color="000000"/>
              <w:right w:val="single" w:sz="8"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2726" w:type="dxa"/>
            <w:tcBorders>
              <w:top w:val="single" w:sz="4" w:space="0" w:color="000000"/>
              <w:left w:val="single" w:sz="8" w:space="0" w:color="000000"/>
              <w:bottom w:val="single" w:sz="4" w:space="0" w:color="000000"/>
              <w:right w:val="single" w:sz="4"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深圳银通服务网络建设项目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0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4" w:right="0"/>
              <w:jc w:val="left"/>
              <w:rPr>
                <w:rFonts w:ascii="Times New Roman" w:hAnsi="Times New Roman" w:cs="Times New Roman" w:eastAsia="Times New Roman" w:hint="default"/>
                <w:sz w:val="18"/>
                <w:szCs w:val="18"/>
              </w:rPr>
            </w:pPr>
            <w:r>
              <w:rPr>
                <w:rFonts w:ascii="Times New Roman"/>
                <w:sz w:val="18"/>
              </w:rPr>
              <w:t>5,527.14</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z w:val="18"/>
              </w:rPr>
              <w:t>5,527.14</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4,588.93</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z w:val="18"/>
              </w:rPr>
              <w:t>3,799.15</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z w:val="18"/>
              </w:rPr>
              <w:t>5,472.12</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z w:val="18"/>
              </w:rPr>
              <w:t>883.19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2"/>
                <w:sz w:val="18"/>
              </w:rPr>
              <w:t>119.25%</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08.12</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23" w:right="0"/>
              <w:jc w:val="left"/>
              <w:rPr>
                <w:rFonts w:ascii="Times New Roman" w:hAnsi="Times New Roman" w:cs="Times New Roman" w:eastAsia="Times New Roman" w:hint="default"/>
                <w:sz w:val="18"/>
                <w:szCs w:val="18"/>
              </w:rPr>
            </w:pPr>
            <w:r>
              <w:rPr>
                <w:rFonts w:ascii="Times New Roman"/>
                <w:sz w:val="18"/>
              </w:rPr>
              <w:t>1,911.59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94" w:type="dxa"/>
            <w:tcBorders>
              <w:top w:val="single" w:sz="4" w:space="0" w:color="000000"/>
              <w:left w:val="single" w:sz="4" w:space="0" w:color="000000"/>
              <w:bottom w:val="single" w:sz="4" w:space="0" w:color="000000"/>
              <w:right w:val="single" w:sz="8"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726" w:type="dxa"/>
            <w:tcBorders>
              <w:top w:val="single" w:sz="4" w:space="0" w:color="000000"/>
              <w:left w:val="single" w:sz="8" w:space="0" w:color="000000"/>
              <w:bottom w:val="single" w:sz="4" w:space="0" w:color="000000"/>
              <w:right w:val="single" w:sz="4"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pacing w:val="6"/>
                <w:sz w:val="18"/>
                <w:szCs w:val="18"/>
              </w:rPr>
              <w:t>年产24000台货币自动处理设备</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二期扩产技术改造项目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0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z w:val="18"/>
              </w:rPr>
              <w:t>5,100.00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Times New Roman" w:hAnsi="Times New Roman" w:cs="Times New Roman" w:eastAsia="Times New Roman" w:hint="default"/>
                <w:sz w:val="18"/>
                <w:szCs w:val="18"/>
              </w:rPr>
            </w:pPr>
            <w:r>
              <w:rPr>
                <w:rFonts w:ascii="Times New Roman"/>
                <w:sz w:val="18"/>
              </w:rPr>
              <w:t>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z w:val="18"/>
              </w:rPr>
              <w:t>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z w:val="18"/>
              </w:rPr>
              <w:t>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2"/>
              <w:jc w:val="right"/>
              <w:rPr>
                <w:rFonts w:ascii="Times New Roman" w:hAnsi="Times New Roman" w:cs="Times New Roman" w:eastAsia="Times New Roman" w:hint="default"/>
                <w:sz w:val="18"/>
                <w:szCs w:val="18"/>
              </w:rPr>
            </w:pPr>
            <w:r>
              <w:rPr>
                <w:rFonts w:ascii="Times New Roman"/>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18"/>
                <w:szCs w:val="18"/>
              </w:rPr>
            </w:pPr>
            <w:r>
              <w:rPr>
                <w:rFonts w:ascii="Times New Roman"/>
                <w:sz w:val="18"/>
              </w:rPr>
              <w:t>10.7</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54" w:right="0"/>
              <w:jc w:val="left"/>
              <w:rPr>
                <w:rFonts w:ascii="宋体" w:hAnsi="宋体" w:cs="宋体" w:eastAsia="宋体" w:hint="default"/>
                <w:sz w:val="18"/>
                <w:szCs w:val="18"/>
              </w:rPr>
            </w:pPr>
            <w:r>
              <w:rPr>
                <w:rFonts w:ascii="宋体" w:hAnsi="宋体" w:cs="宋体" w:eastAsia="宋体" w:hint="default"/>
                <w:sz w:val="18"/>
                <w:szCs w:val="18"/>
              </w:rPr>
              <w:t>未投产</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未投产</w:t>
            </w:r>
          </w:p>
        </w:tc>
        <w:tc>
          <w:tcPr>
            <w:tcW w:w="894"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6"/>
              <w:ind w:left="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2726" w:type="dxa"/>
            <w:tcBorders>
              <w:top w:val="single" w:sz="4" w:space="0" w:color="000000"/>
              <w:left w:val="single" w:sz="8"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0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4" w:right="0"/>
              <w:jc w:val="left"/>
              <w:rPr>
                <w:rFonts w:ascii="Times New Roman" w:hAnsi="Times New Roman" w:cs="Times New Roman" w:eastAsia="Times New Roman" w:hint="default"/>
                <w:sz w:val="18"/>
                <w:szCs w:val="18"/>
              </w:rPr>
            </w:pPr>
            <w:r>
              <w:rPr>
                <w:rFonts w:ascii="Times New Roman"/>
                <w:sz w:val="18"/>
              </w:rPr>
              <w:t>42,935.32</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z w:val="18"/>
              </w:rPr>
              <w:t>42,935.32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36,897.11</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z w:val="18"/>
              </w:rPr>
              <w:t>23,488.43</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z w:val="18"/>
              </w:rPr>
              <w:t>28,706.60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5"/>
                <w:sz w:val="18"/>
              </w:rPr>
              <w:t>-8,190.51</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z w:val="18"/>
              </w:rPr>
              <w:t>77.80%</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894" w:type="dxa"/>
            <w:tcBorders>
              <w:top w:val="single" w:sz="4" w:space="0" w:color="000000"/>
              <w:left w:val="single" w:sz="4" w:space="0" w:color="000000"/>
              <w:bottom w:val="single" w:sz="4" w:space="0" w:color="000000"/>
              <w:right w:val="single" w:sz="8"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710" w:hRule="exact"/>
        </w:trPr>
        <w:tc>
          <w:tcPr>
            <w:tcW w:w="3575" w:type="dxa"/>
            <w:gridSpan w:val="3"/>
            <w:tcBorders>
              <w:top w:val="single" w:sz="4" w:space="0" w:color="000000"/>
              <w:left w:val="single" w:sz="8" w:space="0" w:color="000000"/>
              <w:bottom w:val="single" w:sz="4" w:space="0" w:color="000000"/>
              <w:right w:val="single" w:sz="8"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37" w:right="0"/>
              <w:jc w:val="left"/>
              <w:rPr>
                <w:rFonts w:ascii="宋体" w:hAnsi="宋体" w:cs="宋体" w:eastAsia="宋体" w:hint="default"/>
                <w:sz w:val="18"/>
                <w:szCs w:val="18"/>
              </w:rPr>
            </w:pPr>
            <w:r>
              <w:rPr>
                <w:rFonts w:ascii="宋体" w:hAnsi="宋体" w:cs="宋体" w:eastAsia="宋体" w:hint="default"/>
                <w:sz w:val="18"/>
                <w:szCs w:val="18"/>
              </w:rPr>
              <w:t>未达到计划进度原因（分具体项目）</w:t>
            </w:r>
          </w:p>
        </w:tc>
        <w:tc>
          <w:tcPr>
            <w:tcW w:w="10330" w:type="dxa"/>
            <w:gridSpan w:val="11"/>
            <w:tcBorders>
              <w:top w:val="single" w:sz="4" w:space="0" w:color="000000"/>
              <w:left w:val="single" w:sz="8" w:space="0" w:color="000000"/>
              <w:bottom w:val="single" w:sz="4" w:space="0" w:color="000000"/>
              <w:right w:val="single" w:sz="8"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1、广电运通货币自动处理设备年产</w:t>
            </w:r>
            <w:r>
              <w:rPr>
                <w:rFonts w:ascii="宋体" w:hAnsi="宋体" w:cs="宋体" w:eastAsia="宋体" w:hint="default"/>
                <w:spacing w:val="-74"/>
                <w:sz w:val="18"/>
                <w:szCs w:val="18"/>
              </w:rPr>
              <w:t> </w:t>
            </w:r>
            <w:r>
              <w:rPr>
                <w:rFonts w:ascii="宋体" w:hAnsi="宋体" w:cs="宋体" w:eastAsia="宋体" w:hint="default"/>
                <w:sz w:val="18"/>
                <w:szCs w:val="18"/>
              </w:rPr>
              <w:t>12,000</w:t>
            </w:r>
            <w:r>
              <w:rPr>
                <w:rFonts w:ascii="宋体" w:hAnsi="宋体" w:cs="宋体" w:eastAsia="宋体" w:hint="default"/>
                <w:spacing w:val="-74"/>
                <w:sz w:val="18"/>
                <w:szCs w:val="18"/>
              </w:rPr>
              <w:t> </w:t>
            </w:r>
            <w:r>
              <w:rPr>
                <w:rFonts w:ascii="宋体" w:hAnsi="宋体" w:cs="宋体" w:eastAsia="宋体" w:hint="default"/>
                <w:sz w:val="18"/>
                <w:szCs w:val="18"/>
              </w:rPr>
              <w:t>台扩产技术改造项目已基本完成，未完成投入进度原因是工程尾款和设备款尚未结算。</w:t>
            </w:r>
          </w:p>
          <w:p>
            <w:pPr>
              <w:pStyle w:val="TableParagraph"/>
              <w:spacing w:line="233" w:lineRule="exact"/>
              <w:ind w:left="98" w:right="0"/>
              <w:jc w:val="left"/>
              <w:rPr>
                <w:rFonts w:ascii="宋体" w:hAnsi="宋体" w:cs="宋体" w:eastAsia="宋体" w:hint="default"/>
                <w:sz w:val="18"/>
                <w:szCs w:val="18"/>
              </w:rPr>
            </w:pPr>
            <w:r>
              <w:rPr>
                <w:rFonts w:ascii="宋体" w:hAnsi="宋体" w:cs="宋体" w:eastAsia="宋体" w:hint="default"/>
                <w:sz w:val="18"/>
                <w:szCs w:val="18"/>
              </w:rPr>
              <w:t>2、广电运通研发中心技术改造项目土建施工、室外工程施工已完成，现正在进行室内装修，并洽购设备。</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3、营销网络建设项目中越南办事处受到越南经济局势的影响，拟调整实施计划；北京办事处购房合同正在洽谈中。</w:t>
            </w:r>
          </w:p>
        </w:tc>
      </w:tr>
      <w:tr>
        <w:trPr>
          <w:trHeight w:val="289" w:hRule="exact"/>
        </w:trPr>
        <w:tc>
          <w:tcPr>
            <w:tcW w:w="3575" w:type="dxa"/>
            <w:gridSpan w:val="3"/>
            <w:tcBorders>
              <w:top w:val="single" w:sz="4" w:space="0" w:color="000000"/>
              <w:left w:val="single" w:sz="8" w:space="0" w:color="000000"/>
              <w:bottom w:val="single" w:sz="4" w:space="0" w:color="000000"/>
              <w:right w:val="single" w:sz="8" w:space="0" w:color="000000"/>
            </w:tcBorders>
          </w:tcPr>
          <w:p>
            <w:pPr>
              <w:pStyle w:val="TableParagraph"/>
              <w:spacing w:line="228" w:lineRule="exact"/>
              <w:ind w:left="337" w:right="0"/>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项目可行性发生重大变化的情况说明</w:t>
            </w:r>
          </w:p>
        </w:tc>
        <w:tc>
          <w:tcPr>
            <w:tcW w:w="10330" w:type="dxa"/>
            <w:gridSpan w:val="11"/>
            <w:tcBorders>
              <w:top w:val="single" w:sz="4" w:space="0" w:color="000000"/>
              <w:left w:val="single" w:sz="8" w:space="0" w:color="000000"/>
              <w:bottom w:val="single" w:sz="4" w:space="0" w:color="000000"/>
              <w:right w:val="single" w:sz="8" w:space="0" w:color="000000"/>
            </w:tcBorders>
          </w:tcPr>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未发生变化</w:t>
            </w:r>
          </w:p>
        </w:tc>
      </w:tr>
      <w:tr>
        <w:trPr>
          <w:trHeight w:val="290" w:hRule="exact"/>
        </w:trPr>
        <w:tc>
          <w:tcPr>
            <w:tcW w:w="3575" w:type="dxa"/>
            <w:gridSpan w:val="3"/>
            <w:tcBorders>
              <w:top w:val="single" w:sz="4" w:space="0" w:color="000000"/>
              <w:left w:val="single" w:sz="8" w:space="0" w:color="000000"/>
              <w:bottom w:val="single" w:sz="4" w:space="0" w:color="000000"/>
              <w:right w:val="single" w:sz="8" w:space="0" w:color="000000"/>
            </w:tcBorders>
          </w:tcPr>
          <w:p>
            <w:pPr>
              <w:pStyle w:val="TableParagraph"/>
              <w:spacing w:line="228" w:lineRule="exact"/>
              <w:ind w:left="337" w:right="0"/>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募集资金投资项目实施地点变更情况</w:t>
            </w:r>
          </w:p>
        </w:tc>
        <w:tc>
          <w:tcPr>
            <w:tcW w:w="10330" w:type="dxa"/>
            <w:gridSpan w:val="11"/>
            <w:tcBorders>
              <w:top w:val="single" w:sz="4" w:space="0" w:color="000000"/>
              <w:left w:val="single" w:sz="8" w:space="0" w:color="000000"/>
              <w:bottom w:val="single" w:sz="4" w:space="0" w:color="000000"/>
              <w:right w:val="single" w:sz="8" w:space="0" w:color="000000"/>
            </w:tcBorders>
          </w:tcPr>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没有变更</w:t>
            </w:r>
          </w:p>
        </w:tc>
      </w:tr>
      <w:tr>
        <w:trPr>
          <w:trHeight w:val="290" w:hRule="exact"/>
        </w:trPr>
        <w:tc>
          <w:tcPr>
            <w:tcW w:w="3575" w:type="dxa"/>
            <w:gridSpan w:val="3"/>
            <w:tcBorders>
              <w:top w:val="single" w:sz="4" w:space="0" w:color="000000"/>
              <w:left w:val="single" w:sz="8" w:space="0" w:color="000000"/>
              <w:bottom w:val="single" w:sz="4" w:space="0" w:color="000000"/>
              <w:right w:val="single" w:sz="8" w:space="0" w:color="000000"/>
            </w:tcBorders>
          </w:tcPr>
          <w:p>
            <w:pPr>
              <w:pStyle w:val="TableParagraph"/>
              <w:spacing w:line="228" w:lineRule="exact"/>
              <w:ind w:left="337" w:right="0"/>
              <w:jc w:val="left"/>
              <w:rPr>
                <w:rFonts w:ascii="宋体" w:hAnsi="宋体" w:cs="宋体" w:eastAsia="宋体" w:hint="default"/>
                <w:sz w:val="18"/>
                <w:szCs w:val="18"/>
              </w:rPr>
            </w:pPr>
            <w:r>
              <w:rPr>
                <w:rFonts w:ascii="宋体" w:hAnsi="宋体" w:cs="宋体" w:eastAsia="宋体" w:hint="default"/>
                <w:sz w:val="18"/>
                <w:szCs w:val="18"/>
              </w:rPr>
              <w:t>募集资金投资项目实施方式调整情况</w:t>
            </w:r>
          </w:p>
        </w:tc>
        <w:tc>
          <w:tcPr>
            <w:tcW w:w="10330" w:type="dxa"/>
            <w:gridSpan w:val="11"/>
            <w:tcBorders>
              <w:top w:val="single" w:sz="4" w:space="0" w:color="000000"/>
              <w:left w:val="single" w:sz="8" w:space="0" w:color="000000"/>
              <w:bottom w:val="single" w:sz="4" w:space="0" w:color="000000"/>
              <w:right w:val="single" w:sz="8" w:space="0" w:color="000000"/>
            </w:tcBorders>
          </w:tcPr>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没有调整</w:t>
            </w:r>
          </w:p>
        </w:tc>
      </w:tr>
      <w:tr>
        <w:trPr>
          <w:trHeight w:val="289" w:hRule="exact"/>
        </w:trPr>
        <w:tc>
          <w:tcPr>
            <w:tcW w:w="3575" w:type="dxa"/>
            <w:gridSpan w:val="3"/>
            <w:tcBorders>
              <w:top w:val="single" w:sz="4" w:space="0" w:color="000000"/>
              <w:left w:val="single" w:sz="8" w:space="0" w:color="000000"/>
              <w:bottom w:val="single" w:sz="4" w:space="0" w:color="000000"/>
              <w:right w:val="single" w:sz="8" w:space="0" w:color="000000"/>
            </w:tcBorders>
          </w:tcPr>
          <w:p>
            <w:pPr>
              <w:pStyle w:val="TableParagraph"/>
              <w:spacing w:line="228" w:lineRule="exact"/>
              <w:ind w:left="247" w:right="0"/>
              <w:jc w:val="left"/>
              <w:rPr>
                <w:rFonts w:ascii="宋体" w:hAnsi="宋体" w:cs="宋体" w:eastAsia="宋体" w:hint="default"/>
                <w:sz w:val="18"/>
                <w:szCs w:val="18"/>
              </w:rPr>
            </w:pPr>
            <w:r>
              <w:rPr>
                <w:rFonts w:ascii="宋体" w:hAnsi="宋体" w:cs="宋体" w:eastAsia="宋体" w:hint="default"/>
                <w:sz w:val="18"/>
                <w:szCs w:val="18"/>
              </w:rPr>
              <w:t>募集资金投资项目先期投入及置换情况</w:t>
            </w:r>
          </w:p>
        </w:tc>
        <w:tc>
          <w:tcPr>
            <w:tcW w:w="10330" w:type="dxa"/>
            <w:gridSpan w:val="11"/>
            <w:tcBorders>
              <w:top w:val="single" w:sz="4" w:space="0" w:color="000000"/>
              <w:left w:val="single" w:sz="8" w:space="0" w:color="000000"/>
              <w:bottom w:val="single" w:sz="4" w:space="0" w:color="000000"/>
              <w:right w:val="single" w:sz="8" w:space="0" w:color="000000"/>
            </w:tcBorders>
          </w:tcPr>
          <w:p>
            <w:pPr>
              <w:pStyle w:val="TableParagraph"/>
              <w:spacing w:line="242" w:lineRule="exact"/>
              <w:ind w:left="98"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宋体" w:hAnsi="宋体" w:cs="宋体" w:eastAsia="宋体" w:hint="default"/>
                <w:sz w:val="18"/>
                <w:szCs w:val="18"/>
              </w:rPr>
              <w:t>12,000</w:t>
            </w:r>
            <w:r>
              <w:rPr>
                <w:rFonts w:ascii="宋体" w:hAnsi="宋体" w:cs="宋体" w:eastAsia="宋体" w:hint="default"/>
                <w:spacing w:val="-46"/>
                <w:sz w:val="18"/>
                <w:szCs w:val="18"/>
              </w:rPr>
              <w:t> </w:t>
            </w:r>
            <w:r>
              <w:rPr>
                <w:rFonts w:ascii="宋体" w:hAnsi="宋体" w:cs="宋体" w:eastAsia="宋体" w:hint="default"/>
                <w:sz w:val="18"/>
                <w:szCs w:val="18"/>
              </w:rPr>
              <w:t>台扩产技术改造项目先期投入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995.31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万元，置换募集资金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995.31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万，置换金额与预先投入的自筹资金数额一致。</w:t>
            </w:r>
          </w:p>
        </w:tc>
      </w:tr>
      <w:tr>
        <w:trPr>
          <w:trHeight w:val="290" w:hRule="exact"/>
        </w:trPr>
        <w:tc>
          <w:tcPr>
            <w:tcW w:w="3575" w:type="dxa"/>
            <w:gridSpan w:val="3"/>
            <w:tcBorders>
              <w:top w:val="single" w:sz="4" w:space="0" w:color="000000"/>
              <w:left w:val="single" w:sz="8" w:space="0" w:color="000000"/>
              <w:bottom w:val="single" w:sz="4" w:space="0" w:color="000000"/>
              <w:right w:val="single" w:sz="4" w:space="0" w:color="000000"/>
            </w:tcBorders>
          </w:tcPr>
          <w:p>
            <w:pPr>
              <w:pStyle w:val="TableParagraph"/>
              <w:spacing w:line="228" w:lineRule="exact"/>
              <w:ind w:left="243" w:right="0"/>
              <w:jc w:val="left"/>
              <w:rPr>
                <w:rFonts w:ascii="宋体" w:hAnsi="宋体" w:cs="宋体" w:eastAsia="宋体" w:hint="default"/>
                <w:sz w:val="18"/>
                <w:szCs w:val="18"/>
              </w:rPr>
            </w:pPr>
            <w:r>
              <w:rPr>
                <w:rFonts w:ascii="宋体" w:hAnsi="宋体" w:cs="宋体" w:eastAsia="宋体" w:hint="default"/>
                <w:sz w:val="18"/>
                <w:szCs w:val="18"/>
              </w:rPr>
              <w:t>用闲置募集资金暂时补充流动资金情况</w:t>
            </w:r>
          </w:p>
        </w:tc>
        <w:tc>
          <w:tcPr>
            <w:tcW w:w="10330" w:type="dxa"/>
            <w:gridSpan w:val="11"/>
            <w:tcBorders>
              <w:top w:val="single" w:sz="4" w:space="0" w:color="000000"/>
              <w:left w:val="single" w:sz="4" w:space="0" w:color="000000"/>
              <w:bottom w:val="single" w:sz="4" w:space="0" w:color="000000"/>
              <w:right w:val="single" w:sz="8" w:space="0" w:color="000000"/>
            </w:tcBorders>
          </w:tcPr>
          <w:p>
            <w:pPr>
              <w:pStyle w:val="TableParagraph"/>
              <w:spacing w:line="242" w:lineRule="exact"/>
              <w:ind w:left="99" w:right="0"/>
              <w:jc w:val="left"/>
              <w:rPr>
                <w:rFonts w:ascii="宋体" w:hAnsi="宋体" w:cs="宋体" w:eastAsia="宋体" w:hint="default"/>
                <w:sz w:val="18"/>
                <w:szCs w:val="18"/>
              </w:rPr>
            </w:pPr>
            <w:r>
              <w:rPr>
                <w:rFonts w:ascii="宋体" w:hAnsi="宋体" w:cs="宋体" w:eastAsia="宋体" w:hint="default"/>
                <w:sz w:val="18"/>
                <w:szCs w:val="18"/>
              </w:rPr>
              <w:t>经董事会同意将闲置的募集资金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万元暂时补充流动资金，使用时间不超过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日已全部归还。</w:t>
            </w:r>
          </w:p>
        </w:tc>
      </w:tr>
      <w:tr>
        <w:trPr>
          <w:trHeight w:val="1177" w:hRule="exact"/>
        </w:trPr>
        <w:tc>
          <w:tcPr>
            <w:tcW w:w="3575" w:type="dxa"/>
            <w:gridSpan w:val="3"/>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项目实施出现募集资金结余的金额及原因</w:t>
            </w:r>
          </w:p>
        </w:tc>
        <w:tc>
          <w:tcPr>
            <w:tcW w:w="10330" w:type="dxa"/>
            <w:gridSpan w:val="11"/>
            <w:tcBorders>
              <w:top w:val="single" w:sz="4" w:space="0" w:color="000000"/>
              <w:left w:val="single" w:sz="4" w:space="0" w:color="000000"/>
              <w:bottom w:val="single" w:sz="4" w:space="0" w:color="000000"/>
              <w:right w:val="single" w:sz="8" w:space="0" w:color="000000"/>
            </w:tcBorders>
          </w:tcPr>
          <w:p>
            <w:pPr>
              <w:pStyle w:val="TableParagraph"/>
              <w:spacing w:line="211" w:lineRule="exact"/>
              <w:ind w:left="99" w:right="0" w:hanging="1"/>
              <w:jc w:val="left"/>
              <w:rPr>
                <w:rFonts w:ascii="宋体" w:hAnsi="宋体" w:cs="宋体" w:eastAsia="宋体" w:hint="default"/>
                <w:sz w:val="18"/>
                <w:szCs w:val="18"/>
              </w:rPr>
            </w:pPr>
            <w:r>
              <w:rPr>
                <w:rFonts w:ascii="宋体" w:hAnsi="宋体" w:cs="宋体" w:eastAsia="宋体" w:hint="default"/>
                <w:sz w:val="18"/>
                <w:szCs w:val="18"/>
              </w:rPr>
              <w:t>“货币自动处理设备年产 </w:t>
            </w:r>
            <w:r>
              <w:rPr>
                <w:rFonts w:ascii="Times New Roman" w:hAnsi="Times New Roman" w:cs="Times New Roman" w:eastAsia="Times New Roman" w:hint="default"/>
                <w:sz w:val="18"/>
                <w:szCs w:val="18"/>
              </w:rPr>
              <w:t>12000 </w:t>
            </w:r>
            <w:r>
              <w:rPr>
                <w:rFonts w:ascii="宋体" w:hAnsi="宋体" w:cs="宋体" w:eastAsia="宋体" w:hint="default"/>
                <w:sz w:val="18"/>
                <w:szCs w:val="18"/>
              </w:rPr>
              <w:t>台扩产技术改造项目”和“研发中心技术改造项目”预计结余资金 </w:t>
            </w:r>
            <w:r>
              <w:rPr>
                <w:rFonts w:ascii="Times New Roman" w:hAnsi="Times New Roman" w:cs="Times New Roman" w:eastAsia="Times New Roman" w:hint="default"/>
                <w:sz w:val="18"/>
                <w:szCs w:val="18"/>
              </w:rPr>
              <w:t>5,100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万元，结余原因：上述</w:t>
            </w:r>
          </w:p>
          <w:p>
            <w:pPr>
              <w:pStyle w:val="TableParagraph"/>
              <w:spacing w:line="237" w:lineRule="auto"/>
              <w:ind w:left="99" w:right="1"/>
              <w:jc w:val="left"/>
              <w:rPr>
                <w:rFonts w:ascii="宋体" w:hAnsi="宋体" w:cs="宋体" w:eastAsia="宋体" w:hint="default"/>
                <w:sz w:val="18"/>
                <w:szCs w:val="18"/>
              </w:rPr>
            </w:pPr>
            <w:r>
              <w:rPr>
                <w:rFonts w:ascii="宋体" w:hAnsi="宋体" w:cs="宋体" w:eastAsia="宋体" w:hint="default"/>
                <w:sz w:val="18"/>
                <w:szCs w:val="18"/>
              </w:rPr>
              <w:t>两个项目在建设过程中，本着厉行节约的原则，在保证使用功能的情况下，通过降低建造成本及装修费用，进一步加强工程费用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控制、监督和管理，减少了工程开支，以及通过进一步优化工艺流程，减少了部分设备的投入，同时在保证生产工艺的前提下，</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采购国产设备替代进口设备，减少了设备开支，导致固定资产投入有所减少，因而出现资金结余。经公司董事会和股东大会同意，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公司已将上述节余资金投向“年产</w:t>
            </w:r>
            <w:r>
              <w:rPr>
                <w:rFonts w:ascii="宋体" w:hAnsi="宋体" w:cs="宋体" w:eastAsia="宋体" w:hint="default"/>
                <w:spacing w:val="-46"/>
                <w:sz w:val="18"/>
                <w:szCs w:val="18"/>
              </w:rPr>
              <w:t> </w:t>
            </w:r>
            <w:r>
              <w:rPr>
                <w:rFonts w:ascii="宋体" w:hAnsi="宋体" w:cs="宋体" w:eastAsia="宋体" w:hint="default"/>
                <w:sz w:val="18"/>
                <w:szCs w:val="18"/>
              </w:rPr>
              <w:t>24000</w:t>
            </w:r>
            <w:r>
              <w:rPr>
                <w:rFonts w:ascii="宋体" w:hAnsi="宋体" w:cs="宋体" w:eastAsia="宋体" w:hint="default"/>
                <w:spacing w:val="-45"/>
                <w:sz w:val="18"/>
                <w:szCs w:val="18"/>
              </w:rPr>
              <w:t> </w:t>
            </w:r>
            <w:r>
              <w:rPr>
                <w:rFonts w:ascii="宋体" w:hAnsi="宋体" w:cs="宋体" w:eastAsia="宋体" w:hint="default"/>
                <w:sz w:val="18"/>
                <w:szCs w:val="18"/>
              </w:rPr>
              <w:t>台货币自动处理设备二期扩产技术改造项目”。</w:t>
            </w:r>
          </w:p>
        </w:tc>
      </w:tr>
      <w:tr>
        <w:trPr>
          <w:trHeight w:val="270" w:hRule="exact"/>
        </w:trPr>
        <w:tc>
          <w:tcPr>
            <w:tcW w:w="3575" w:type="dxa"/>
            <w:gridSpan w:val="3"/>
            <w:tcBorders>
              <w:top w:val="single" w:sz="4" w:space="0" w:color="000000"/>
              <w:left w:val="single" w:sz="8" w:space="0" w:color="000000"/>
              <w:bottom w:val="single" w:sz="8" w:space="0" w:color="000000"/>
              <w:right w:val="single" w:sz="4" w:space="0" w:color="000000"/>
            </w:tcBorders>
          </w:tcPr>
          <w:p>
            <w:pPr>
              <w:pStyle w:val="TableParagraph"/>
              <w:spacing w:line="216" w:lineRule="exact"/>
              <w:ind w:left="873" w:right="0"/>
              <w:jc w:val="left"/>
              <w:rPr>
                <w:rFonts w:ascii="宋体" w:hAnsi="宋体" w:cs="宋体" w:eastAsia="宋体" w:hint="default"/>
                <w:sz w:val="18"/>
                <w:szCs w:val="18"/>
              </w:rPr>
            </w:pPr>
            <w:r>
              <w:rPr>
                <w:rFonts w:ascii="宋体" w:hAnsi="宋体" w:cs="宋体" w:eastAsia="宋体" w:hint="default"/>
                <w:sz w:val="18"/>
                <w:szCs w:val="18"/>
              </w:rPr>
              <w:t>募集资金其他使用情况</w:t>
            </w:r>
          </w:p>
        </w:tc>
        <w:tc>
          <w:tcPr>
            <w:tcW w:w="10330" w:type="dxa"/>
            <w:gridSpan w:val="11"/>
            <w:tcBorders>
              <w:top w:val="single" w:sz="4" w:space="0" w:color="000000"/>
              <w:left w:val="single" w:sz="4" w:space="0" w:color="000000"/>
              <w:bottom w:val="single" w:sz="8" w:space="0" w:color="000000"/>
              <w:right w:val="single" w:sz="8" w:space="0" w:color="000000"/>
            </w:tcBorders>
          </w:tcPr>
          <w:p>
            <w:pPr>
              <w:pStyle w:val="TableParagraph"/>
              <w:spacing w:line="216" w:lineRule="exact"/>
              <w:ind w:left="4"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11" w:lineRule="exact" w:before="0"/>
        <w:ind w:left="459" w:right="369"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“已累计投入募集资金总额”包括投入到募集资金项目的金额和募集资金超出部分用于补充流动资金的金额。</w:t>
      </w:r>
    </w:p>
    <w:p>
      <w:pPr>
        <w:spacing w:line="234" w:lineRule="exact" w:before="0"/>
        <w:ind w:left="459" w:right="369"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“截止期末承诺投入金额”以《招股说明书》披露募集资金投资计划为依据确定，未满一年按比例计算。</w:t>
      </w:r>
    </w:p>
    <w:p>
      <w:pPr>
        <w:spacing w:line="232" w:lineRule="exact" w:before="17"/>
        <w:ind w:left="1005" w:right="369" w:hanging="546"/>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：“货币自动处理设备年产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台技改项目”由于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月竣工投产，报告期内尚未产生效益；“技术中心技改项目”和“广电运通营销网络建设项目”建设，</w:t>
      </w:r>
      <w:r>
        <w:rPr>
          <w:rFonts w:ascii="宋体" w:hAnsi="宋体" w:cs="宋体" w:eastAsia="宋体" w:hint="default"/>
          <w:sz w:val="18"/>
          <w:szCs w:val="18"/>
        </w:rPr>
        <w:t> 将提高公司自主创新和产品开发、营销能力，项目自身不产生效益，有利于提高公司整体经营业绩。</w:t>
      </w:r>
    </w:p>
    <w:p>
      <w:pPr>
        <w:spacing w:line="240" w:lineRule="auto" w:before="12"/>
        <w:rPr>
          <w:rFonts w:ascii="宋体" w:hAnsi="宋体" w:cs="宋体" w:eastAsia="宋体" w:hint="default"/>
          <w:sz w:val="24"/>
          <w:szCs w:val="24"/>
        </w:rPr>
      </w:pPr>
    </w:p>
    <w:p>
      <w:pPr>
        <w:spacing w:before="76"/>
        <w:ind w:left="6970" w:right="6970" w:firstLine="0"/>
        <w:jc w:val="center"/>
        <w:rPr>
          <w:rFonts w:ascii="Times New Roman" w:hAnsi="Times New Roman" w:cs="Times New Roman" w:eastAsia="Times New Roman" w:hint="default"/>
          <w:sz w:val="18"/>
          <w:szCs w:val="18"/>
        </w:rPr>
      </w:pPr>
      <w:r>
        <w:rPr>
          <w:rFonts w:ascii="Times New Roman"/>
          <w:sz w:val="18"/>
        </w:rPr>
        <w:t>42</w:t>
      </w:r>
    </w:p>
    <w:p>
      <w:pPr>
        <w:spacing w:after="0"/>
        <w:jc w:val="center"/>
        <w:rPr>
          <w:rFonts w:ascii="Times New Roman" w:hAnsi="Times New Roman" w:cs="Times New Roman" w:eastAsia="Times New Roman" w:hint="default"/>
          <w:sz w:val="18"/>
          <w:szCs w:val="18"/>
        </w:rPr>
        <w:sectPr>
          <w:headerReference w:type="default" r:id="rId14"/>
          <w:footerReference w:type="default" r:id="rId15"/>
          <w:pgSz w:w="16840" w:h="11910" w:orient="landscape"/>
          <w:pgMar w:header="0" w:footer="0" w:top="320" w:bottom="280" w:left="1340" w:right="134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75"/>
        <w:ind w:left="560" w:right="102"/>
        <w:jc w:val="left"/>
      </w:pPr>
      <w:r>
        <w:rPr>
          <w:rFonts w:ascii="Times New Roman" w:hAnsi="Times New Roman" w:cs="Times New Roman" w:eastAsia="Times New Roman" w:hint="default"/>
        </w:rPr>
        <w:t>2</w:t>
      </w:r>
      <w:r>
        <w:rPr/>
        <w:t>、募集资金管理情况</w:t>
      </w:r>
    </w:p>
    <w:p>
      <w:pPr>
        <w:pStyle w:val="BodyText"/>
        <w:spacing w:line="292" w:lineRule="auto" w:before="170"/>
        <w:ind w:left="139" w:right="106" w:firstLine="420"/>
        <w:jc w:val="left"/>
      </w:pPr>
      <w:r>
        <w:rPr/>
        <w:t>公司于</w:t>
      </w:r>
      <w:r>
        <w:rPr>
          <w:spacing w:val="-53"/>
        </w:rPr>
        <w:t> </w:t>
      </w:r>
      <w:r>
        <w:rPr>
          <w:rFonts w:ascii="Times New Roman" w:hAnsi="Times New Roman" w:cs="Times New Roman" w:eastAsia="Times New Roman" w:hint="default"/>
          <w:spacing w:val="-1"/>
        </w:rPr>
        <w:t>2007 </w:t>
      </w:r>
      <w:r>
        <w:rPr/>
        <w:t>年</w:t>
      </w:r>
      <w:r>
        <w:rPr>
          <w:spacing w:val="-53"/>
        </w:rPr>
        <w:t> </w:t>
      </w:r>
      <w:r>
        <w:rPr>
          <w:rFonts w:ascii="Times New Roman" w:hAnsi="Times New Roman" w:cs="Times New Roman" w:eastAsia="Times New Roman" w:hint="default"/>
        </w:rPr>
        <w:t>9 </w:t>
      </w:r>
      <w:r>
        <w:rPr>
          <w:spacing w:val="-1"/>
        </w:rPr>
        <w:t>月召开的</w:t>
      </w:r>
      <w:r>
        <w:rPr>
          <w:spacing w:val="-53"/>
        </w:rPr>
        <w:t> </w:t>
      </w:r>
      <w:r>
        <w:rPr>
          <w:rFonts w:ascii="Times New Roman" w:hAnsi="Times New Roman" w:cs="Times New Roman" w:eastAsia="Times New Roman" w:hint="default"/>
          <w:spacing w:val="-1"/>
        </w:rPr>
        <w:t>2007</w:t>
      </w:r>
      <w:r>
        <w:rPr>
          <w:rFonts w:ascii="Times New Roman" w:hAnsi="Times New Roman" w:cs="Times New Roman" w:eastAsia="Times New Roman" w:hint="default"/>
        </w:rPr>
        <w:t> </w:t>
      </w:r>
      <w:r>
        <w:rPr>
          <w:spacing w:val="-4"/>
        </w:rPr>
        <w:t>年第一次临时股东大会上审议通过《广州广电运通金融</w:t>
      </w:r>
      <w:r>
        <w:rPr/>
        <w:t> </w:t>
      </w:r>
      <w:r>
        <w:rPr>
          <w:spacing w:val="-13"/>
        </w:rPr>
        <w:t>电子股份有限公司募集资金使用管理办法（修订）》（以下简称“《管理办法》”）的议案，随</w:t>
      </w:r>
      <w:r>
        <w:rPr>
          <w:spacing w:val="-79"/>
        </w:rPr>
        <w:t> </w:t>
      </w:r>
      <w:r>
        <w:rPr>
          <w:spacing w:val="-79"/>
        </w:rPr>
      </w:r>
      <w:r>
        <w:rPr>
          <w:spacing w:val="-6"/>
        </w:rPr>
        <w:t>后根据深交所出台的有关制度，公司于</w:t>
      </w:r>
      <w:r>
        <w:rPr>
          <w:spacing w:val="-52"/>
        </w:rPr>
        <w:t> </w:t>
      </w: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4 </w:t>
      </w:r>
      <w:r>
        <w:rPr/>
        <w:t>月召开的</w:t>
      </w:r>
      <w:r>
        <w:rPr>
          <w:spacing w:val="-52"/>
        </w:rPr>
        <w:t> </w:t>
      </w:r>
      <w:r>
        <w:rPr>
          <w:rFonts w:ascii="Times New Roman" w:hAnsi="Times New Roman" w:cs="Times New Roman" w:eastAsia="Times New Roman" w:hint="default"/>
          <w:spacing w:val="-1"/>
        </w:rPr>
        <w:t>2007</w:t>
      </w:r>
      <w:r>
        <w:rPr>
          <w:rFonts w:ascii="Times New Roman" w:hAnsi="Times New Roman" w:cs="Times New Roman" w:eastAsia="Times New Roman" w:hint="default"/>
          <w:spacing w:val="1"/>
        </w:rPr>
        <w:t> </w:t>
      </w:r>
      <w:r>
        <w:rPr>
          <w:spacing w:val="-8"/>
        </w:rPr>
        <w:t>年度股东大会对《管理办法》</w:t>
      </w:r>
      <w:r>
        <w:rPr/>
        <w:t> </w:t>
      </w:r>
      <w:r>
        <w:rPr>
          <w:spacing w:val="-3"/>
        </w:rPr>
        <w:t>进行了重新修订。根据《管理办法》的要求，公司对募集资金采用专户存储制度，以便对募</w:t>
      </w:r>
      <w:r>
        <w:rPr>
          <w:spacing w:val="-84"/>
        </w:rPr>
        <w:t> </w:t>
      </w:r>
      <w:r>
        <w:rPr>
          <w:spacing w:val="-84"/>
        </w:rPr>
      </w:r>
      <w:r>
        <w:rPr>
          <w:spacing w:val="-3"/>
        </w:rPr>
        <w:t>集资金使用情况进行监督。根据公司《管理办法》，募集资金项目投资的支出严格履行资金</w:t>
      </w:r>
      <w:r>
        <w:rPr>
          <w:spacing w:val="-84"/>
        </w:rPr>
        <w:t> </w:t>
      </w:r>
      <w:r>
        <w:rPr>
          <w:spacing w:val="-84"/>
        </w:rPr>
      </w:r>
      <w:r>
        <w:rPr>
          <w:spacing w:val="-3"/>
        </w:rPr>
        <w:t>使用审批手续，公司审计部对募集资金使用情况进行日常监督，按季度定期对募集资金使用</w:t>
      </w:r>
      <w:r>
        <w:rPr>
          <w:spacing w:val="-79"/>
        </w:rPr>
        <w:t> </w:t>
      </w:r>
      <w:r>
        <w:rPr>
          <w:spacing w:val="-79"/>
        </w:rPr>
      </w:r>
      <w:r>
        <w:rPr/>
        <w:t>情况进行检查，并将检查情况报告审计委员会。</w:t>
      </w:r>
    </w:p>
    <w:p>
      <w:pPr>
        <w:pStyle w:val="BodyText"/>
        <w:spacing w:line="292" w:lineRule="auto" w:before="139"/>
        <w:ind w:left="139" w:right="100" w:firstLine="420"/>
        <w:jc w:val="left"/>
      </w:pPr>
      <w:r>
        <w:rPr/>
        <w:t>公司于</w:t>
      </w:r>
      <w:r>
        <w:rPr>
          <w:spacing w:val="-67"/>
        </w:rPr>
        <w:t> </w:t>
      </w:r>
      <w:r>
        <w:rPr>
          <w:rFonts w:ascii="Times New Roman" w:hAnsi="Times New Roman" w:cs="Times New Roman" w:eastAsia="Times New Roman" w:hint="default"/>
          <w:spacing w:val="-1"/>
        </w:rPr>
        <w:t>2007</w:t>
      </w:r>
      <w:r>
        <w:rPr>
          <w:rFonts w:ascii="Times New Roman" w:hAnsi="Times New Roman" w:cs="Times New Roman" w:eastAsia="Times New Roman" w:hint="default"/>
          <w:spacing w:val="-16"/>
        </w:rPr>
        <w:t> </w:t>
      </w:r>
      <w:r>
        <w:rPr/>
        <w:t>年</w:t>
      </w:r>
      <w:r>
        <w:rPr>
          <w:spacing w:val="-67"/>
        </w:rPr>
        <w:t> </w:t>
      </w:r>
      <w:r>
        <w:rPr>
          <w:rFonts w:ascii="Times New Roman" w:hAnsi="Times New Roman" w:cs="Times New Roman" w:eastAsia="Times New Roman" w:hint="default"/>
        </w:rPr>
        <w:t>8</w:t>
      </w:r>
      <w:r>
        <w:rPr>
          <w:rFonts w:ascii="Times New Roman" w:hAnsi="Times New Roman" w:cs="Times New Roman" w:eastAsia="Times New Roman" w:hint="default"/>
          <w:spacing w:val="-14"/>
        </w:rPr>
        <w:t> </w:t>
      </w:r>
      <w:r>
        <w:rPr/>
        <w:t>月</w:t>
      </w:r>
      <w:r>
        <w:rPr>
          <w:spacing w:val="-69"/>
        </w:rPr>
        <w:t> </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14"/>
        </w:rPr>
        <w:t> </w:t>
      </w:r>
      <w:r>
        <w:rPr>
          <w:spacing w:val="-4"/>
        </w:rPr>
        <w:t>日分别与保荐人光大证券股份有限公司、交通银行广州天河支行、</w:t>
      </w:r>
      <w:r>
        <w:rPr/>
        <w:t> </w:t>
      </w:r>
      <w:r>
        <w:rPr>
          <w:spacing w:val="-3"/>
        </w:rPr>
        <w:t>中信银行广州天河支行签订了《首次公开发行股票募集资金的三方监管协议》，协议约定公</w:t>
      </w:r>
      <w:r>
        <w:rPr>
          <w:spacing w:val="-84"/>
        </w:rPr>
        <w:t> </w:t>
      </w:r>
      <w:r>
        <w:rPr>
          <w:spacing w:val="-84"/>
        </w:rPr>
      </w:r>
      <w:r>
        <w:rPr>
          <w:spacing w:val="-3"/>
        </w:rPr>
        <w:t>司在上述二家银行开设募集资金专用账户，规范对募集资金的使用。投资于深圳银通服务网</w:t>
      </w:r>
      <w:r>
        <w:rPr>
          <w:spacing w:val="-79"/>
        </w:rPr>
        <w:t> </w:t>
      </w:r>
      <w:r>
        <w:rPr>
          <w:spacing w:val="-79"/>
        </w:rPr>
      </w:r>
      <w:r>
        <w:rPr/>
        <w:t>络建设项目的募集资金，经</w:t>
      </w:r>
      <w:r>
        <w:rPr>
          <w:spacing w:val="-5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日召开的第一届董事会第十一次会议决议，存放 </w:t>
      </w:r>
      <w:r>
        <w:rPr>
          <w:spacing w:val="-3"/>
        </w:rPr>
        <w:t>在公司全资子公司深圳广电银通金融电子科技有限公司（以下简称“深圳银通”）开立的募</w:t>
      </w:r>
      <w:r>
        <w:rPr>
          <w:spacing w:val="-84"/>
        </w:rPr>
        <w:t> </w:t>
      </w:r>
      <w:r>
        <w:rPr>
          <w:spacing w:val="-84"/>
        </w:rPr>
      </w:r>
      <w:r>
        <w:rPr/>
        <w:t>集资金专户。根据相关规定，</w:t>
      </w:r>
      <w:r>
        <w:rPr>
          <w:rFonts w:ascii="Times New Roman" w:hAnsi="Times New Roman" w:cs="Times New Roman" w:eastAsia="Times New Roman" w:hint="default"/>
        </w:rPr>
        <w:t>2007</w:t>
      </w:r>
      <w:r>
        <w:rPr>
          <w:rFonts w:ascii="Times New Roman" w:hAnsi="Times New Roman" w:cs="Times New Roman" w:eastAsia="Times New Roman" w:hint="default"/>
          <w:spacing w:val="-10"/>
        </w:rPr>
        <w:t> </w:t>
      </w:r>
      <w:r>
        <w:rPr/>
        <w:t>年</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月深圳银通、深圳发展银行深圳五洲支行、保荐人 </w:t>
      </w:r>
      <w:r>
        <w:rPr>
          <w:spacing w:val="-3"/>
        </w:rPr>
        <w:t>光大证券股份有限公司三方签订了《募集资金三方监管协议》，规范对募集资金的使用。三</w:t>
      </w:r>
      <w:r>
        <w:rPr>
          <w:spacing w:val="-84"/>
        </w:rPr>
        <w:t> </w:t>
      </w:r>
      <w:r>
        <w:rPr>
          <w:spacing w:val="-84"/>
        </w:rPr>
      </w:r>
      <w:r>
        <w:rPr>
          <w:spacing w:val="-3"/>
        </w:rPr>
        <w:t>方监管协议与深圳证券交易所三方监管协议范本不存在重大差异，公司在使用募集资金时严</w:t>
      </w:r>
      <w:r>
        <w:rPr>
          <w:spacing w:val="-79"/>
        </w:rPr>
        <w:t> </w:t>
      </w:r>
      <w:r>
        <w:rPr>
          <w:spacing w:val="-79"/>
        </w:rPr>
      </w:r>
      <w:r>
        <w:rPr>
          <w:spacing w:val="-5"/>
        </w:rPr>
        <w:t>格遵照履行。公司充分保障保荐机构、独立董事以及监事会对募集资金使用和管理的监督权。</w:t>
      </w:r>
      <w:r>
        <w:rPr>
          <w:spacing w:val="-100"/>
        </w:rPr>
        <w:t> </w:t>
      </w:r>
      <w:r>
        <w:rPr>
          <w:spacing w:val="-100"/>
        </w:rPr>
      </w:r>
      <w:r>
        <w:rPr>
          <w:spacing w:val="-3"/>
        </w:rPr>
        <w:t>光大证券作为公司的保荐机构，采取现场调查、书面问询等方式行使其监督权；公司授权其</w:t>
      </w:r>
      <w:r>
        <w:rPr>
          <w:spacing w:val="-81"/>
        </w:rPr>
        <w:t> </w:t>
      </w:r>
      <w:r>
        <w:rPr>
          <w:spacing w:val="-81"/>
        </w:rPr>
      </w:r>
      <w:r>
        <w:rPr>
          <w:spacing w:val="-3"/>
        </w:rPr>
        <w:t>指定的保荐代表人可以随时到银行查询、复印公司专户的资料。公司和银行积极配合，三方</w:t>
      </w:r>
      <w:r>
        <w:rPr>
          <w:spacing w:val="-81"/>
        </w:rPr>
        <w:t> </w:t>
      </w:r>
      <w:r>
        <w:rPr>
          <w:spacing w:val="-81"/>
        </w:rPr>
      </w:r>
      <w:r>
        <w:rPr/>
        <w:t>监管协议的履行情况正常。</w:t>
      </w:r>
    </w:p>
    <w:p>
      <w:pPr>
        <w:pStyle w:val="BodyText"/>
        <w:spacing w:line="460" w:lineRule="exact" w:before="17"/>
        <w:ind w:left="559" w:right="102"/>
        <w:jc w:val="left"/>
      </w:pPr>
      <w:r>
        <w:rPr>
          <w:rFonts w:ascii="Times New Roman" w:hAnsi="Times New Roman" w:cs="Times New Roman" w:eastAsia="Times New Roman" w:hint="default"/>
        </w:rPr>
        <w:t>3</w:t>
      </w:r>
      <w:r>
        <w:rPr/>
        <w:t>、会计师事务所对募集资金使用情况的专项审核意见 </w:t>
      </w:r>
      <w:r>
        <w:rPr>
          <w:spacing w:val="2"/>
        </w:rPr>
        <w:t>立信羊城会计师事务所有限公司对公司募集资金使用情况出具了（</w:t>
      </w:r>
      <w:r>
        <w:rPr>
          <w:rFonts w:ascii="Times New Roman" w:hAnsi="Times New Roman" w:cs="Times New Roman" w:eastAsia="Times New Roman" w:hint="default"/>
          <w:spacing w:val="2"/>
        </w:rPr>
        <w:t>2009</w:t>
      </w:r>
      <w:r>
        <w:rPr>
          <w:spacing w:val="2"/>
        </w:rPr>
        <w:t>）羊专审字第</w:t>
      </w:r>
    </w:p>
    <w:p>
      <w:pPr>
        <w:pStyle w:val="BodyText"/>
        <w:spacing w:line="290" w:lineRule="auto" w:before="2"/>
        <w:ind w:left="139" w:right="215"/>
        <w:jc w:val="both"/>
      </w:pPr>
      <w:r>
        <w:rPr>
          <w:rFonts w:ascii="Times New Roman" w:hAnsi="Times New Roman" w:cs="Times New Roman" w:eastAsia="Times New Roman" w:hint="default"/>
          <w:spacing w:val="-1"/>
        </w:rPr>
        <w:t>15767</w:t>
      </w:r>
      <w:r>
        <w:rPr>
          <w:rFonts w:ascii="Times New Roman" w:hAnsi="Times New Roman" w:cs="Times New Roman" w:eastAsia="Times New Roman" w:hint="default"/>
          <w:spacing w:val="14"/>
        </w:rPr>
        <w:t> </w:t>
      </w:r>
      <w:r>
        <w:rPr>
          <w:spacing w:val="-3"/>
        </w:rPr>
        <w:t>号《募集资金使用情况鉴证报告》，认为公司出具的《广州广电运通金融电子股份有</w:t>
      </w:r>
      <w:r>
        <w:rPr/>
        <w:t> </w:t>
      </w:r>
      <w:r>
        <w:rPr>
          <w:spacing w:val="8"/>
        </w:rPr>
        <w:t>限公司二○○八年度募集资金使用情况专项报告》在所有重大方面公允反映了公司截至</w:t>
      </w:r>
      <w:r>
        <w:rPr>
          <w:spacing w:val="-101"/>
        </w:rPr>
        <w:t> </w:t>
      </w:r>
      <w:r>
        <w:rPr>
          <w:spacing w:val="-101"/>
        </w:rPr>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日止的募集资金使用情况。</w:t>
      </w:r>
    </w:p>
    <w:p>
      <w:pPr>
        <w:pStyle w:val="BodyText"/>
        <w:spacing w:line="240" w:lineRule="auto" w:before="120"/>
        <w:ind w:left="559" w:right="102"/>
        <w:jc w:val="left"/>
        <w:rPr>
          <w:rFonts w:ascii="Times New Roman" w:hAnsi="Times New Roman" w:cs="Times New Roman" w:eastAsia="Times New Roman" w:hint="default"/>
        </w:rPr>
      </w:pPr>
      <w:r>
        <w:rPr/>
        <w:t>立信羊城会计师事务所出具的《募集资金使用情况鉴证报告》刊登在 </w:t>
      </w: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3 </w:t>
      </w:r>
      <w:r>
        <w:rPr/>
        <w:t>月</w:t>
      </w:r>
      <w:r>
        <w:rPr>
          <w:spacing w:val="8"/>
        </w:rPr>
        <w:t> </w:t>
      </w:r>
      <w:r>
        <w:rPr>
          <w:rFonts w:ascii="Times New Roman" w:hAnsi="Times New Roman" w:cs="Times New Roman" w:eastAsia="Times New Roman" w:hint="default"/>
        </w:rPr>
        <w:t>28</w:t>
      </w:r>
    </w:p>
    <w:p>
      <w:pPr>
        <w:pStyle w:val="BodyText"/>
        <w:spacing w:line="240" w:lineRule="auto"/>
        <w:ind w:left="139" w:right="0"/>
        <w:jc w:val="both"/>
      </w:pPr>
      <w:r>
        <w:rPr/>
        <w:t>日巨潮资讯网</w:t>
      </w:r>
      <w:r>
        <w:rPr>
          <w:spacing w:val="-65"/>
        </w:rPr>
        <w:t> </w:t>
      </w: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12"/>
        </w:rPr>
        <w:t> </w:t>
      </w:r>
      <w:r>
        <w:rPr/>
        <w:t>上。</w:t>
      </w:r>
    </w:p>
    <w:p>
      <w:pPr>
        <w:spacing w:line="240" w:lineRule="auto" w:before="7"/>
        <w:rPr>
          <w:rFonts w:ascii="宋体" w:hAnsi="宋体" w:cs="宋体" w:eastAsia="宋体" w:hint="default"/>
          <w:sz w:val="31"/>
          <w:szCs w:val="31"/>
        </w:rPr>
      </w:pPr>
    </w:p>
    <w:p>
      <w:pPr>
        <w:pStyle w:val="BodyText"/>
        <w:spacing w:line="240" w:lineRule="auto" w:before="0"/>
        <w:ind w:left="138" w:right="0"/>
        <w:jc w:val="both"/>
      </w:pPr>
      <w:r>
        <w:rPr/>
        <w:t>（二）非募集资金投资情况</w:t>
      </w:r>
    </w:p>
    <w:p>
      <w:pPr>
        <w:spacing w:line="240" w:lineRule="auto" w:before="3"/>
        <w:rPr>
          <w:rFonts w:ascii="宋体" w:hAnsi="宋体" w:cs="宋体" w:eastAsia="宋体" w:hint="default"/>
          <w:sz w:val="19"/>
          <w:szCs w:val="19"/>
        </w:rPr>
      </w:pPr>
    </w:p>
    <w:p>
      <w:pPr>
        <w:pStyle w:val="BodyText"/>
        <w:spacing w:line="280" w:lineRule="auto" w:before="0"/>
        <w:ind w:left="139" w:right="217" w:firstLine="419"/>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18</w:t>
      </w:r>
      <w:r>
        <w:rPr>
          <w:rFonts w:ascii="Times New Roman" w:hAnsi="Times New Roman" w:cs="Times New Roman" w:eastAsia="Times New Roman" w:hint="default"/>
          <w:spacing w:val="-28"/>
        </w:rPr>
        <w:t> </w:t>
      </w:r>
      <w:r>
        <w:rPr/>
        <w:t>日经第一届董事会第十六次</w:t>
      </w:r>
      <w:r>
        <w:rPr>
          <w:rFonts w:ascii="Times New Roman" w:hAnsi="Times New Roman" w:cs="Times New Roman" w:eastAsia="Times New Roman" w:hint="default"/>
        </w:rPr>
        <w:t>(</w:t>
      </w:r>
      <w:r>
        <w:rPr/>
        <w:t>临时</w:t>
      </w:r>
      <w:r>
        <w:rPr>
          <w:rFonts w:ascii="Times New Roman" w:hAnsi="Times New Roman" w:cs="Times New Roman" w:eastAsia="Times New Roman" w:hint="default"/>
        </w:rPr>
        <w:t>)</w:t>
      </w:r>
      <w:r>
        <w:rPr/>
        <w:t>会议审议通过了《关于公司与 </w:t>
      </w:r>
      <w:r>
        <w:rPr>
          <w:rFonts w:ascii="Times New Roman" w:hAnsi="Times New Roman" w:cs="Times New Roman" w:eastAsia="Times New Roman" w:hint="default"/>
          <w:spacing w:val="-1"/>
          <w:w w:val="99"/>
        </w:rPr>
        <w:t>GCS</w:t>
      </w:r>
      <w:r>
        <w:rPr>
          <w:rFonts w:ascii="Times New Roman" w:hAnsi="Times New Roman" w:cs="Times New Roman" w:eastAsia="Times New Roman" w:hint="default"/>
          <w:spacing w:val="5"/>
          <w:w w:val="99"/>
        </w:rPr>
        <w:t> </w:t>
      </w:r>
      <w:r>
        <w:rPr>
          <w:spacing w:val="-7"/>
        </w:rPr>
        <w:t>合资组建广电运通国际有限公司的议案》，本公司拟与</w:t>
      </w:r>
      <w:r>
        <w:rPr>
          <w:spacing w:val="-47"/>
        </w:rPr>
        <w:t> </w:t>
      </w:r>
      <w:r>
        <w:rPr>
          <w:rFonts w:ascii="Times New Roman" w:hAnsi="Times New Roman" w:cs="Times New Roman" w:eastAsia="Times New Roman" w:hint="default"/>
          <w:spacing w:val="-1"/>
        </w:rPr>
        <w:t>Global</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1"/>
          <w:w w:val="99"/>
        </w:rPr>
        <w:t>Cash</w:t>
      </w:r>
      <w:r>
        <w:rPr>
          <w:rFonts w:ascii="Times New Roman" w:hAnsi="Times New Roman" w:cs="Times New Roman" w:eastAsia="Times New Roman" w:hint="default"/>
          <w:spacing w:val="6"/>
          <w:w w:val="99"/>
        </w:rPr>
        <w:t> </w:t>
      </w:r>
      <w:r>
        <w:rPr>
          <w:rFonts w:ascii="Times New Roman" w:hAnsi="Times New Roman" w:cs="Times New Roman" w:eastAsia="Times New Roman" w:hint="default"/>
          <w:spacing w:val="-1"/>
          <w:w w:val="99"/>
        </w:rPr>
        <w:t>Services</w:t>
      </w:r>
      <w:r>
        <w:rPr>
          <w:rFonts w:ascii="Times New Roman" w:hAnsi="Times New Roman" w:cs="Times New Roman" w:eastAsia="Times New Roman" w:hint="default"/>
          <w:spacing w:val="6"/>
          <w:w w:val="99"/>
        </w:rPr>
        <w:t> </w:t>
      </w:r>
      <w:r>
        <w:rPr>
          <w:rFonts w:ascii="Times New Roman" w:hAnsi="Times New Roman" w:cs="Times New Roman" w:eastAsia="Times New Roman" w:hint="default"/>
          <w:spacing w:val="-4"/>
          <w:w w:val="99"/>
        </w:rPr>
        <w:t>Pty.</w:t>
      </w:r>
      <w:r>
        <w:rPr>
          <w:rFonts w:ascii="Times New Roman" w:hAnsi="Times New Roman" w:cs="Times New Roman" w:eastAsia="Times New Roman" w:hint="default"/>
          <w:spacing w:val="6"/>
          <w:w w:val="99"/>
        </w:rPr>
        <w:t> </w:t>
      </w:r>
      <w:r>
        <w:rPr>
          <w:rFonts w:ascii="Times New Roman" w:hAnsi="Times New Roman" w:cs="Times New Roman" w:eastAsia="Times New Roman" w:hint="default"/>
          <w:spacing w:val="-10"/>
        </w:rPr>
        <w:t>Ltd</w:t>
      </w:r>
      <w:r>
        <w:rPr>
          <w:spacing w:val="-10"/>
        </w:rPr>
        <w:t>（以</w:t>
      </w:r>
      <w:r>
        <w:rPr>
          <w:spacing w:val="-103"/>
        </w:rPr>
        <w:t> </w:t>
      </w:r>
      <w:r>
        <w:rPr>
          <w:spacing w:val="-8"/>
          <w:w w:val="99"/>
        </w:rPr>
        <w:t>下简称“</w:t>
      </w:r>
      <w:r>
        <w:rPr>
          <w:rFonts w:ascii="Times New Roman" w:hAnsi="Times New Roman" w:cs="Times New Roman" w:eastAsia="Times New Roman" w:hint="default"/>
          <w:spacing w:val="-8"/>
          <w:w w:val="99"/>
        </w:rPr>
        <w:t>GCS</w:t>
      </w:r>
      <w:r>
        <w:rPr>
          <w:spacing w:val="-8"/>
          <w:w w:val="99"/>
        </w:rPr>
        <w:t>”）合资组建广电运通国际有限公司（以下简称“运通国际”），合资公司注册</w:t>
      </w:r>
      <w:r>
        <w:rPr>
          <w:spacing w:val="-70"/>
          <w:w w:val="99"/>
        </w:rPr>
        <w:t> </w:t>
      </w:r>
      <w:r>
        <w:rPr>
          <w:spacing w:val="-70"/>
          <w:w w:val="99"/>
        </w:rPr>
      </w:r>
      <w:r>
        <w:rPr>
          <w:spacing w:val="-3"/>
        </w:rPr>
        <w:t>地香港，注册资本</w:t>
      </w:r>
      <w:r>
        <w:rPr>
          <w:spacing w:val="-59"/>
        </w:rPr>
        <w:t> </w:t>
      </w:r>
      <w:r>
        <w:rPr>
          <w:rFonts w:ascii="Times New Roman" w:hAnsi="Times New Roman" w:cs="Times New Roman" w:eastAsia="Times New Roman" w:hint="default"/>
        </w:rPr>
        <w:t>1000</w:t>
      </w:r>
      <w:r>
        <w:rPr>
          <w:rFonts w:ascii="Times New Roman" w:hAnsi="Times New Roman" w:cs="Times New Roman" w:eastAsia="Times New Roman" w:hint="default"/>
          <w:spacing w:val="-7"/>
        </w:rPr>
        <w:t> </w:t>
      </w:r>
      <w:r>
        <w:rPr/>
        <w:t>万美元，投资比例为本公司占比</w:t>
      </w:r>
      <w:r>
        <w:rPr>
          <w:spacing w:val="-59"/>
        </w:rPr>
        <w:t> </w:t>
      </w:r>
      <w:r>
        <w:rPr>
          <w:rFonts w:ascii="Times New Roman" w:hAnsi="Times New Roman" w:cs="Times New Roman" w:eastAsia="Times New Roman" w:hint="default"/>
          <w:spacing w:val="-3"/>
        </w:rPr>
        <w:t>60%</w:t>
      </w:r>
      <w:r>
        <w:rPr>
          <w:spacing w:val="-3"/>
        </w:rPr>
        <w:t>，</w:t>
      </w:r>
      <w:r>
        <w:rPr>
          <w:rFonts w:ascii="Times New Roman" w:hAnsi="Times New Roman" w:cs="Times New Roman" w:eastAsia="Times New Roman" w:hint="default"/>
          <w:spacing w:val="-3"/>
        </w:rPr>
        <w:t>GCS</w:t>
      </w:r>
      <w:r>
        <w:rPr>
          <w:rFonts w:ascii="Times New Roman" w:hAnsi="Times New Roman" w:cs="Times New Roman" w:eastAsia="Times New Roman" w:hint="default"/>
          <w:spacing w:val="-7"/>
        </w:rPr>
        <w:t> </w:t>
      </w:r>
      <w:r>
        <w:rPr/>
        <w:t>占比</w:t>
      </w:r>
      <w:r>
        <w:rPr>
          <w:spacing w:val="-59"/>
        </w:rPr>
        <w:t> </w:t>
      </w:r>
      <w:r>
        <w:rPr>
          <w:rFonts w:ascii="Times New Roman" w:hAnsi="Times New Roman" w:cs="Times New Roman" w:eastAsia="Times New Roman" w:hint="default"/>
        </w:rPr>
        <w:t>40%</w:t>
      </w:r>
      <w:r>
        <w:rPr/>
        <w:t>，合资各方均 以现金（美元）出资。</w:t>
      </w:r>
    </w:p>
    <w:p>
      <w:pPr>
        <w:pStyle w:val="BodyText"/>
        <w:spacing w:line="288" w:lineRule="auto" w:before="150"/>
        <w:ind w:left="139" w:right="217" w:firstLine="420"/>
        <w:jc w:val="both"/>
      </w:pPr>
      <w:r>
        <w:rPr>
          <w:spacing w:val="-3"/>
        </w:rPr>
        <w:t>会后公司组织相关人员着手组建运通国际，取得了广州市对外贸易经济合作局《转发关</w:t>
      </w:r>
      <w:r>
        <w:rPr/>
        <w:t> </w:t>
      </w:r>
      <w:r>
        <w:rPr>
          <w:spacing w:val="-4"/>
        </w:rPr>
        <w:t>于同意设立广电运通国际有限公司批复的通知》（穗外经贸合函【</w:t>
      </w:r>
      <w:r>
        <w:rPr>
          <w:rFonts w:ascii="Times New Roman" w:hAnsi="Times New Roman" w:cs="Times New Roman" w:eastAsia="Times New Roman" w:hint="default"/>
          <w:spacing w:val="-4"/>
        </w:rPr>
        <w:t>2008</w:t>
      </w:r>
      <w:r>
        <w:rPr>
          <w:spacing w:val="-4"/>
        </w:rPr>
        <w:t>】</w:t>
      </w:r>
      <w:r>
        <w:rPr>
          <w:rFonts w:ascii="Times New Roman" w:hAnsi="Times New Roman" w:cs="Times New Roman" w:eastAsia="Times New Roman" w:hint="default"/>
          <w:spacing w:val="-4"/>
        </w:rPr>
        <w:t>73</w:t>
      </w:r>
      <w:r>
        <w:rPr>
          <w:rFonts w:ascii="Times New Roman" w:hAnsi="Times New Roman" w:cs="Times New Roman" w:eastAsia="Times New Roman" w:hint="default"/>
          <w:spacing w:val="3"/>
        </w:rPr>
        <w:t> </w:t>
      </w:r>
      <w:r>
        <w:rPr>
          <w:spacing w:val="-2"/>
        </w:rPr>
        <w:t>号）和国家商务</w:t>
      </w:r>
      <w:r>
        <w:rPr/>
        <w:t> </w:t>
      </w:r>
      <w:r>
        <w:rPr>
          <w:spacing w:val="-7"/>
        </w:rPr>
        <w:t>部《中国企业境外投资批准证书》（【</w:t>
      </w:r>
      <w:r>
        <w:rPr>
          <w:rFonts w:ascii="Times New Roman" w:hAnsi="Times New Roman" w:cs="Times New Roman" w:eastAsia="Times New Roman" w:hint="default"/>
          <w:spacing w:val="-7"/>
        </w:rPr>
        <w:t>2008</w:t>
      </w:r>
      <w:r>
        <w:rPr>
          <w:spacing w:val="-7"/>
        </w:rPr>
        <w:t>】商合境外投资证字第</w:t>
      </w:r>
      <w:r>
        <w:rPr>
          <w:spacing w:val="-48"/>
        </w:rPr>
        <w:t> </w:t>
      </w:r>
      <w:r>
        <w:rPr>
          <w:rFonts w:ascii="Times New Roman" w:hAnsi="Times New Roman" w:cs="Times New Roman" w:eastAsia="Times New Roman" w:hint="default"/>
          <w:spacing w:val="-1"/>
        </w:rPr>
        <w:t>002073</w:t>
      </w:r>
      <w:r>
        <w:rPr>
          <w:rFonts w:ascii="Times New Roman" w:hAnsi="Times New Roman" w:cs="Times New Roman" w:eastAsia="Times New Roman" w:hint="default"/>
          <w:spacing w:val="4"/>
        </w:rPr>
        <w:t> </w:t>
      </w:r>
      <w:r>
        <w:rPr>
          <w:spacing w:val="-21"/>
        </w:rPr>
        <w:t>号），并于</w:t>
      </w:r>
      <w:r>
        <w:rPr>
          <w:spacing w:val="-48"/>
        </w:rPr>
        <w:t> </w:t>
      </w: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5"/>
        </w:rPr>
        <w:t> </w:t>
      </w:r>
      <w:r>
        <w:rPr/>
        <w:t>年</w:t>
      </w:r>
    </w:p>
    <w:p>
      <w:pPr>
        <w:pStyle w:val="BodyText"/>
        <w:spacing w:line="240" w:lineRule="auto" w:before="3"/>
        <w:ind w:right="0"/>
        <w:jc w:val="both"/>
        <w:rPr>
          <w:rFonts w:ascii="Times New Roman" w:hAnsi="Times New Roman" w:cs="Times New Roman" w:eastAsia="Times New Roman" w:hint="default"/>
        </w:rPr>
      </w:pP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7 </w:t>
      </w:r>
      <w:r>
        <w:rPr/>
        <w:t>日</w:t>
      </w:r>
      <w:r>
        <w:rPr>
          <w:spacing w:val="-2"/>
        </w:rPr>
        <w:t>取</w:t>
      </w:r>
      <w:r>
        <w:rPr/>
        <w:t>得运通国</w:t>
      </w:r>
      <w:r>
        <w:rPr>
          <w:spacing w:val="-32"/>
        </w:rPr>
        <w:t>际</w:t>
      </w:r>
      <w:r>
        <w:rPr/>
        <w:t>《公司注册证书</w:t>
      </w:r>
      <w:r>
        <w:rPr>
          <w:spacing w:val="-105"/>
        </w:rPr>
        <w:t>》</w:t>
      </w:r>
      <w:r>
        <w:rPr>
          <w:spacing w:val="-32"/>
        </w:rPr>
        <w:t>。</w:t>
      </w:r>
      <w:r>
        <w:rPr/>
        <w:t>按</w:t>
      </w:r>
      <w:r>
        <w:rPr>
          <w:spacing w:val="-2"/>
        </w:rPr>
        <w:t>照</w:t>
      </w:r>
      <w:r>
        <w:rPr/>
        <w:t>合资协议的约定</w:t>
      </w:r>
      <w:r>
        <w:rPr>
          <w:spacing w:val="-32"/>
        </w:rPr>
        <w:t>，</w:t>
      </w:r>
      <w:r>
        <w:rPr/>
        <w:t>公司如期完成第一期</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8</w:t>
      </w:r>
      <w:r>
        <w:rPr>
          <w:rFonts w:ascii="Times New Roman" w:hAnsi="Times New Roman" w:cs="Times New Roman" w:eastAsia="Times New Roman" w:hint="default"/>
        </w:rPr>
        <w:t>0</w:t>
      </w:r>
    </w:p>
    <w:p>
      <w:pPr>
        <w:spacing w:after="0" w:line="240" w:lineRule="auto"/>
        <w:jc w:val="both"/>
        <w:rPr>
          <w:rFonts w:ascii="Times New Roman" w:hAnsi="Times New Roman" w:cs="Times New Roman" w:eastAsia="Times New Roman" w:hint="default"/>
        </w:rPr>
        <w:sectPr>
          <w:footerReference w:type="default" r:id="rId17"/>
          <w:pgSz w:w="11910" w:h="16840"/>
          <w:pgMar w:footer="982" w:header="0" w:top="1100" w:bottom="1180" w:left="1660" w:right="1580"/>
          <w:pgNumType w:start="43"/>
        </w:sectPr>
      </w:pPr>
    </w:p>
    <w:p>
      <w:pPr>
        <w:spacing w:line="240" w:lineRule="auto" w:before="8"/>
        <w:rPr>
          <w:rFonts w:ascii="Times New Roman" w:hAnsi="Times New Roman" w:cs="Times New Roman" w:eastAsia="Times New Roman" w:hint="default"/>
          <w:sz w:val="21"/>
          <w:szCs w:val="21"/>
        </w:rPr>
      </w:pPr>
    </w:p>
    <w:p>
      <w:pPr>
        <w:pStyle w:val="BodyText"/>
        <w:spacing w:line="280" w:lineRule="auto" w:before="35"/>
        <w:ind w:left="199" w:right="196"/>
        <w:jc w:val="both"/>
      </w:pPr>
      <w:r>
        <w:rPr/>
        <w:t>万美元出资，由于</w:t>
      </w:r>
      <w:r>
        <w:rPr>
          <w:spacing w:val="-43"/>
        </w:rPr>
        <w:t> </w:t>
      </w:r>
      <w:r>
        <w:rPr>
          <w:rFonts w:ascii="Times New Roman" w:hAnsi="Times New Roman" w:cs="Times New Roman" w:eastAsia="Times New Roman" w:hint="default"/>
        </w:rPr>
        <w:t>GCS</w:t>
      </w:r>
      <w:r>
        <w:rPr>
          <w:rFonts w:ascii="Times New Roman" w:hAnsi="Times New Roman" w:cs="Times New Roman" w:eastAsia="Times New Roman" w:hint="default"/>
          <w:spacing w:val="10"/>
        </w:rPr>
        <w:t> </w:t>
      </w:r>
      <w:r>
        <w:rPr/>
        <w:t>因受全球金融风暴的影响拟退出运通国际。经协商，双方签订补充 协议，改变合作方式，同意 </w:t>
      </w:r>
      <w:r>
        <w:rPr>
          <w:rFonts w:ascii="Times New Roman" w:hAnsi="Times New Roman" w:cs="Times New Roman" w:eastAsia="Times New Roman" w:hint="default"/>
        </w:rPr>
        <w:t>GCS </w:t>
      </w:r>
      <w:r>
        <w:rPr/>
        <w:t>退出运通国际，由公司拥有运通国际</w:t>
      </w:r>
      <w:r>
        <w:rPr>
          <w:spacing w:val="-36"/>
        </w:rPr>
        <w:t> </w:t>
      </w:r>
      <w:r>
        <w:rPr>
          <w:rFonts w:ascii="Times New Roman" w:hAnsi="Times New Roman" w:cs="Times New Roman" w:eastAsia="Times New Roman" w:hint="default"/>
        </w:rPr>
        <w:t>100</w:t>
      </w:r>
      <w:r>
        <w:rPr/>
        <w:t>％的股权，公司 将原合资协议中明确的目标市场的独家代理权授予</w:t>
      </w:r>
      <w:r>
        <w:rPr>
          <w:spacing w:val="-55"/>
        </w:rPr>
        <w:t> </w:t>
      </w:r>
      <w:r>
        <w:rPr>
          <w:rFonts w:ascii="Times New Roman" w:hAnsi="Times New Roman" w:cs="Times New Roman" w:eastAsia="Times New Roman" w:hint="default"/>
        </w:rPr>
        <w:t>GCS</w:t>
      </w:r>
      <w:r>
        <w:rPr>
          <w:rFonts w:ascii="Times New Roman" w:hAnsi="Times New Roman" w:cs="Times New Roman" w:eastAsia="Times New Roman" w:hint="default"/>
          <w:spacing w:val="-3"/>
        </w:rPr>
        <w:t> </w:t>
      </w:r>
      <w:r>
        <w:rPr/>
        <w:t>下属子公司，经营目标不变。</w:t>
      </w:r>
    </w:p>
    <w:p>
      <w:pPr>
        <w:pStyle w:val="BodyText"/>
        <w:spacing w:line="288" w:lineRule="auto" w:before="130"/>
        <w:ind w:left="199" w:right="95" w:firstLine="420"/>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）经</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23</w:t>
      </w:r>
      <w:r>
        <w:rPr>
          <w:rFonts w:ascii="Times New Roman" w:hAnsi="Times New Roman" w:cs="Times New Roman" w:eastAsia="Times New Roman" w:hint="default"/>
          <w:spacing w:val="-2"/>
        </w:rPr>
        <w:t> </w:t>
      </w:r>
      <w:r>
        <w:rPr/>
        <w:t>日召开的公司第一届董事会第二十次（临时）会议审议通过， </w:t>
      </w:r>
      <w:r>
        <w:rPr>
          <w:spacing w:val="-3"/>
        </w:rPr>
        <w:t>公司与广州汇卓投资有限公司、广州市东亚有限公司和广州市穗保安全押运公司共同出资设</w:t>
      </w:r>
      <w:r>
        <w:rPr>
          <w:spacing w:val="-79"/>
        </w:rPr>
        <w:t> </w:t>
      </w:r>
      <w:r>
        <w:rPr>
          <w:spacing w:val="-79"/>
        </w:rPr>
      </w:r>
      <w:r>
        <w:rPr>
          <w:spacing w:val="-6"/>
        </w:rPr>
        <w:t>立广州穗通金融服务有限公司合资公司（以下简称“广州穗通”），广州穗通于</w:t>
      </w:r>
      <w:r>
        <w:rPr/>
        <w:t> </w:t>
      </w:r>
      <w:r>
        <w:rPr>
          <w:rFonts w:ascii="Times New Roman" w:hAnsi="Times New Roman" w:cs="Times New Roman" w:eastAsia="Times New Roman" w:hint="default"/>
          <w:spacing w:val="-1"/>
        </w:rPr>
        <w:t>2008</w:t>
      </w:r>
      <w:r>
        <w:rPr>
          <w:rFonts w:ascii="Times New Roman" w:hAnsi="Times New Roman" w:cs="Times New Roman" w:eastAsia="Times New Roman" w:hint="default"/>
        </w:rPr>
        <w:t>  </w:t>
      </w:r>
      <w:r>
        <w:rPr/>
        <w:t>年</w:t>
      </w:r>
      <w:r>
        <w:rPr>
          <w:spacing w:val="9"/>
        </w:rPr>
        <w:t> </w:t>
      </w:r>
      <w:r>
        <w:rPr>
          <w:rFonts w:ascii="Times New Roman" w:hAnsi="Times New Roman" w:cs="Times New Roman" w:eastAsia="Times New Roman" w:hint="default"/>
        </w:rPr>
        <w:t>12</w:t>
      </w:r>
    </w:p>
    <w:p>
      <w:pPr>
        <w:pStyle w:val="BodyText"/>
        <w:spacing w:line="280" w:lineRule="auto" w:before="3"/>
        <w:ind w:left="199" w:right="198"/>
        <w:jc w:val="both"/>
      </w:pPr>
      <w:r>
        <w:rPr/>
        <w:t>月</w:t>
      </w:r>
      <w:r>
        <w:rPr>
          <w:spacing w:val="-51"/>
        </w:rPr>
        <w:t> </w:t>
      </w:r>
      <w:r>
        <w:rPr>
          <w:rFonts w:ascii="Times New Roman" w:hAnsi="Times New Roman" w:cs="Times New Roman" w:eastAsia="Times New Roman" w:hint="default"/>
          <w:spacing w:val="-1"/>
        </w:rPr>
        <w:t>30</w:t>
      </w:r>
      <w:r>
        <w:rPr>
          <w:rFonts w:ascii="Times New Roman" w:hAnsi="Times New Roman" w:cs="Times New Roman" w:eastAsia="Times New Roman" w:hint="default"/>
          <w:spacing w:val="2"/>
        </w:rPr>
        <w:t> </w:t>
      </w:r>
      <w:r>
        <w:rPr>
          <w:spacing w:val="-7"/>
        </w:rPr>
        <w:t>日领取了《企业法人营业执照》，注册资本：</w:t>
      </w:r>
      <w:r>
        <w:rPr>
          <w:rFonts w:ascii="Times New Roman" w:hAnsi="Times New Roman" w:cs="Times New Roman" w:eastAsia="Times New Roman" w:hint="default"/>
          <w:spacing w:val="-7"/>
        </w:rPr>
        <w:t>3000</w:t>
      </w:r>
      <w:r>
        <w:rPr>
          <w:rFonts w:ascii="Times New Roman" w:hAnsi="Times New Roman" w:cs="Times New Roman" w:eastAsia="Times New Roman" w:hint="default"/>
          <w:spacing w:val="2"/>
        </w:rPr>
        <w:t> </w:t>
      </w:r>
      <w:r>
        <w:rPr>
          <w:spacing w:val="-3"/>
        </w:rPr>
        <w:t>万元，其中公司出资</w:t>
      </w:r>
      <w:r>
        <w:rPr>
          <w:spacing w:val="-51"/>
        </w:rPr>
        <w:t> </w:t>
      </w:r>
      <w:r>
        <w:rPr>
          <w:rFonts w:ascii="Times New Roman" w:hAnsi="Times New Roman" w:cs="Times New Roman" w:eastAsia="Times New Roman" w:hint="default"/>
          <w:spacing w:val="-1"/>
        </w:rPr>
        <w:t>1,530</w:t>
      </w:r>
      <w:r>
        <w:rPr>
          <w:rFonts w:ascii="Times New Roman" w:hAnsi="Times New Roman" w:cs="Times New Roman" w:eastAsia="Times New Roman" w:hint="default"/>
          <w:spacing w:val="2"/>
        </w:rPr>
        <w:t> </w:t>
      </w:r>
      <w:r>
        <w:rPr>
          <w:spacing w:val="-6"/>
        </w:rPr>
        <w:t>万元，占</w:t>
      </w:r>
      <w:r>
        <w:rPr/>
        <w:t> 注册资本的</w:t>
      </w:r>
      <w:r>
        <w:rPr>
          <w:spacing w:val="-54"/>
        </w:rPr>
        <w:t> </w:t>
      </w:r>
      <w:r>
        <w:rPr>
          <w:rFonts w:ascii="Times New Roman" w:hAnsi="Times New Roman" w:cs="Times New Roman" w:eastAsia="Times New Roman" w:hint="default"/>
        </w:rPr>
        <w:t>51</w:t>
      </w:r>
      <w:r>
        <w:rPr/>
        <w:t>％。</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9"/>
          <w:szCs w:val="19"/>
        </w:rPr>
      </w:pPr>
    </w:p>
    <w:p>
      <w:pPr>
        <w:pStyle w:val="Heading2"/>
        <w:spacing w:line="240" w:lineRule="auto"/>
        <w:ind w:left="200" w:right="0"/>
        <w:jc w:val="both"/>
        <w:rPr>
          <w:b w:val="0"/>
          <w:bCs w:val="0"/>
        </w:rPr>
      </w:pPr>
      <w:r>
        <w:rPr/>
        <w:t>三、公司董事会日常工作情况</w:t>
      </w:r>
      <w:r>
        <w:rPr>
          <w:b w:val="0"/>
          <w:bCs w:val="0"/>
        </w:rPr>
      </w:r>
    </w:p>
    <w:p>
      <w:pPr>
        <w:pStyle w:val="BodyText"/>
        <w:spacing w:line="400" w:lineRule="auto" w:before="128"/>
        <w:ind w:left="620" w:right="2816" w:hanging="420"/>
        <w:jc w:val="left"/>
      </w:pPr>
      <w:r>
        <w:rPr/>
        <w:t>（一）董事会的会议情况及决议内容 报告期内，公司共召开董事会</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次，会议召开情况如下：</w:t>
      </w:r>
    </w:p>
    <w:p>
      <w:pPr>
        <w:spacing w:line="240" w:lineRule="auto" w:before="10"/>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2880"/>
        <w:gridCol w:w="1980"/>
        <w:gridCol w:w="3600"/>
      </w:tblGrid>
      <w:tr>
        <w:trPr>
          <w:trHeight w:val="522" w:hRule="exact"/>
        </w:trPr>
        <w:tc>
          <w:tcPr>
            <w:tcW w:w="28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9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4"/>
              <w:ind w:left="565"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6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4"/>
              <w:ind w:left="955" w:right="0"/>
              <w:jc w:val="left"/>
              <w:rPr>
                <w:rFonts w:ascii="宋体" w:hAnsi="宋体" w:cs="宋体" w:eastAsia="宋体" w:hint="default"/>
                <w:sz w:val="21"/>
                <w:szCs w:val="21"/>
              </w:rPr>
            </w:pPr>
            <w:r>
              <w:rPr>
                <w:rFonts w:ascii="宋体" w:hAnsi="宋体" w:cs="宋体" w:eastAsia="宋体" w:hint="default"/>
                <w:sz w:val="21"/>
                <w:szCs w:val="21"/>
              </w:rPr>
              <w:t>会议决议公告情况</w:t>
            </w:r>
          </w:p>
        </w:tc>
      </w:tr>
      <w:tr>
        <w:trPr>
          <w:trHeight w:val="97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exact"/>
              <w:ind w:left="103" w:right="86"/>
              <w:jc w:val="left"/>
              <w:rPr>
                <w:rFonts w:ascii="宋体" w:hAnsi="宋体" w:cs="宋体" w:eastAsia="宋体" w:hint="default"/>
                <w:sz w:val="21"/>
                <w:szCs w:val="21"/>
              </w:rPr>
            </w:pPr>
            <w:r>
              <w:rPr>
                <w:rFonts w:ascii="宋体" w:hAnsi="宋体" w:cs="宋体" w:eastAsia="宋体" w:hint="default"/>
                <w:spacing w:val="13"/>
                <w:sz w:val="21"/>
                <w:szCs w:val="21"/>
              </w:rPr>
              <w:t>第一届董事会第十四次（临 </w:t>
            </w:r>
            <w:r>
              <w:rPr>
                <w:rFonts w:ascii="宋体" w:hAnsi="宋体" w:cs="宋体" w:eastAsia="宋体" w:hint="default"/>
                <w:sz w:val="21"/>
                <w:szCs w:val="21"/>
              </w:rPr>
              <w:t>时）会议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103" w:right="45"/>
              <w:jc w:val="both"/>
              <w:rPr>
                <w:rFonts w:ascii="宋体" w:hAnsi="宋体" w:cs="宋体" w:eastAsia="宋体" w:hint="default"/>
                <w:sz w:val="21"/>
                <w:szCs w:val="21"/>
              </w:rPr>
            </w:pPr>
            <w:r>
              <w:rPr>
                <w:rFonts w:ascii="宋体" w:hAnsi="宋体" w:cs="宋体" w:eastAsia="宋体" w:hint="default"/>
                <w:sz w:val="21"/>
                <w:szCs w:val="21"/>
              </w:rPr>
              <w:t>会议决议刊登于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pacing w:val="-27"/>
                <w:sz w:val="21"/>
                <w:szCs w:val="21"/>
              </w:rPr>
              <w:t>日《证</w:t>
            </w:r>
            <w:r>
              <w:rPr>
                <w:rFonts w:ascii="宋体" w:hAnsi="宋体" w:cs="宋体" w:eastAsia="宋体" w:hint="default"/>
                <w:sz w:val="21"/>
                <w:szCs w:val="21"/>
              </w:rPr>
              <w:t> 券</w:t>
            </w:r>
            <w:r>
              <w:rPr>
                <w:rFonts w:ascii="宋体" w:hAnsi="宋体" w:cs="宋体" w:eastAsia="宋体" w:hint="default"/>
                <w:spacing w:val="-52"/>
                <w:sz w:val="21"/>
                <w:szCs w:val="21"/>
              </w:rPr>
              <w:t> </w:t>
            </w:r>
            <w:r>
              <w:rPr>
                <w:rFonts w:ascii="宋体" w:hAnsi="宋体" w:cs="宋体" w:eastAsia="宋体" w:hint="default"/>
                <w:sz w:val="21"/>
                <w:szCs w:val="21"/>
              </w:rPr>
              <w:t>时</w:t>
            </w:r>
            <w:r>
              <w:rPr>
                <w:rFonts w:ascii="宋体" w:hAnsi="宋体" w:cs="宋体" w:eastAsia="宋体" w:hint="default"/>
                <w:spacing w:val="-52"/>
                <w:sz w:val="21"/>
                <w:szCs w:val="21"/>
              </w:rPr>
              <w:t> </w:t>
            </w:r>
            <w:r>
              <w:rPr>
                <w:rFonts w:ascii="宋体" w:hAnsi="宋体" w:cs="宋体" w:eastAsia="宋体" w:hint="default"/>
                <w:spacing w:val="36"/>
                <w:sz w:val="21"/>
                <w:szCs w:val="21"/>
              </w:rPr>
              <w:t>报》及</w:t>
            </w:r>
            <w:r>
              <w:rPr>
                <w:rFonts w:ascii="宋体" w:hAnsi="宋体" w:cs="宋体" w:eastAsia="宋体" w:hint="default"/>
                <w:spacing w:val="-52"/>
                <w:sz w:val="21"/>
                <w:szCs w:val="21"/>
              </w:rPr>
              <w:t> </w:t>
            </w:r>
            <w:r>
              <w:rPr>
                <w:rFonts w:ascii="宋体" w:hAnsi="宋体" w:cs="宋体" w:eastAsia="宋体" w:hint="default"/>
                <w:sz w:val="21"/>
                <w:szCs w:val="21"/>
              </w:rPr>
              <w:t>指</w:t>
            </w:r>
            <w:r>
              <w:rPr>
                <w:rFonts w:ascii="宋体" w:hAnsi="宋体" w:cs="宋体" w:eastAsia="宋体" w:hint="default"/>
                <w:spacing w:val="-52"/>
                <w:sz w:val="21"/>
                <w:szCs w:val="21"/>
              </w:rPr>
              <w:t> </w:t>
            </w:r>
            <w:r>
              <w:rPr>
                <w:rFonts w:ascii="宋体" w:hAnsi="宋体" w:cs="宋体" w:eastAsia="宋体" w:hint="default"/>
                <w:spacing w:val="36"/>
                <w:sz w:val="21"/>
                <w:szCs w:val="21"/>
              </w:rPr>
              <w:t>定信息</w:t>
            </w:r>
            <w:r>
              <w:rPr>
                <w:rFonts w:ascii="宋体" w:hAnsi="宋体" w:cs="宋体" w:eastAsia="宋体" w:hint="default"/>
                <w:spacing w:val="-52"/>
                <w:sz w:val="21"/>
                <w:szCs w:val="21"/>
              </w:rPr>
              <w:t> </w:t>
            </w:r>
            <w:r>
              <w:rPr>
                <w:rFonts w:ascii="宋体" w:hAnsi="宋体" w:cs="宋体" w:eastAsia="宋体" w:hint="default"/>
                <w:sz w:val="21"/>
                <w:szCs w:val="21"/>
              </w:rPr>
              <w:t>披</w:t>
            </w:r>
            <w:r>
              <w:rPr>
                <w:rFonts w:ascii="宋体" w:hAnsi="宋体" w:cs="宋体" w:eastAsia="宋体" w:hint="default"/>
                <w:spacing w:val="-52"/>
                <w:sz w:val="21"/>
                <w:szCs w:val="21"/>
              </w:rPr>
              <w:t> </w:t>
            </w:r>
            <w:r>
              <w:rPr>
                <w:rFonts w:ascii="宋体" w:hAnsi="宋体" w:cs="宋体" w:eastAsia="宋体" w:hint="default"/>
                <w:spacing w:val="36"/>
                <w:sz w:val="21"/>
                <w:szCs w:val="21"/>
              </w:rPr>
              <w:t>露网站</w:t>
            </w:r>
            <w:r>
              <w:rPr>
                <w:rFonts w:ascii="宋体" w:hAnsi="宋体" w:cs="宋体" w:eastAsia="宋体" w:hint="default"/>
                <w:spacing w:val="-50"/>
                <w:sz w:val="21"/>
                <w:szCs w:val="21"/>
              </w:rPr>
              <w:t> </w:t>
            </w:r>
            <w:hyperlink r:id="rId10">
              <w:r>
                <w:rPr>
                  <w:rFonts w:ascii="Times New Roman" w:hAnsi="Times New Roman" w:cs="Times New Roman" w:eastAsia="Times New Roman" w:hint="default"/>
                  <w:sz w:val="24"/>
                  <w:szCs w:val="24"/>
                </w:rPr>
                <w:t>http://www.cninfo.com.cn</w:t>
              </w:r>
            </w:hyperlink>
            <w:r>
              <w:rPr>
                <w:rFonts w:ascii="Times New Roman" w:hAnsi="Times New Roman" w:cs="Times New Roman" w:eastAsia="Times New Roman" w:hint="default"/>
                <w:spacing w:val="-20"/>
                <w:sz w:val="24"/>
                <w:szCs w:val="24"/>
              </w:rPr>
              <w:t> </w:t>
            </w:r>
            <w:r>
              <w:rPr>
                <w:rFonts w:ascii="宋体" w:hAnsi="宋体" w:cs="宋体" w:eastAsia="宋体" w:hint="default"/>
                <w:sz w:val="21"/>
                <w:szCs w:val="21"/>
              </w:rPr>
              <w:t>上</w:t>
            </w:r>
          </w:p>
        </w:tc>
      </w:tr>
      <w:tr>
        <w:trPr>
          <w:trHeight w:val="9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第一届董事会第十五次会议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69"/>
              <w:jc w:val="righ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103" w:right="45"/>
              <w:jc w:val="both"/>
              <w:rPr>
                <w:rFonts w:ascii="宋体" w:hAnsi="宋体" w:cs="宋体" w:eastAsia="宋体" w:hint="default"/>
                <w:sz w:val="21"/>
                <w:szCs w:val="21"/>
              </w:rPr>
            </w:pPr>
            <w:r>
              <w:rPr>
                <w:rFonts w:ascii="宋体" w:hAnsi="宋体" w:cs="宋体" w:eastAsia="宋体" w:hint="default"/>
                <w:sz w:val="21"/>
                <w:szCs w:val="21"/>
              </w:rPr>
              <w:t>会议决议刊登于</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3"/>
                <w:sz w:val="21"/>
                <w:szCs w:val="21"/>
              </w:rPr>
              <w:t> </w:t>
            </w:r>
            <w:r>
              <w:rPr>
                <w:rFonts w:ascii="宋体" w:hAnsi="宋体" w:cs="宋体" w:eastAsia="宋体" w:hint="default"/>
                <w:spacing w:val="-36"/>
                <w:sz w:val="21"/>
                <w:szCs w:val="21"/>
              </w:rPr>
              <w:t>日《证</w:t>
            </w:r>
            <w:r>
              <w:rPr>
                <w:rFonts w:ascii="宋体" w:hAnsi="宋体" w:cs="宋体" w:eastAsia="宋体" w:hint="default"/>
                <w:sz w:val="21"/>
                <w:szCs w:val="21"/>
              </w:rPr>
              <w:t> 券</w:t>
            </w:r>
            <w:r>
              <w:rPr>
                <w:rFonts w:ascii="宋体" w:hAnsi="宋体" w:cs="宋体" w:eastAsia="宋体" w:hint="default"/>
                <w:spacing w:val="-52"/>
                <w:sz w:val="21"/>
                <w:szCs w:val="21"/>
              </w:rPr>
              <w:t> </w:t>
            </w:r>
            <w:r>
              <w:rPr>
                <w:rFonts w:ascii="宋体" w:hAnsi="宋体" w:cs="宋体" w:eastAsia="宋体" w:hint="default"/>
                <w:sz w:val="21"/>
                <w:szCs w:val="21"/>
              </w:rPr>
              <w:t>时</w:t>
            </w:r>
            <w:r>
              <w:rPr>
                <w:rFonts w:ascii="宋体" w:hAnsi="宋体" w:cs="宋体" w:eastAsia="宋体" w:hint="default"/>
                <w:spacing w:val="-52"/>
                <w:sz w:val="21"/>
                <w:szCs w:val="21"/>
              </w:rPr>
              <w:t> </w:t>
            </w:r>
            <w:r>
              <w:rPr>
                <w:rFonts w:ascii="宋体" w:hAnsi="宋体" w:cs="宋体" w:eastAsia="宋体" w:hint="default"/>
                <w:spacing w:val="36"/>
                <w:sz w:val="21"/>
                <w:szCs w:val="21"/>
              </w:rPr>
              <w:t>报》及</w:t>
            </w:r>
            <w:r>
              <w:rPr>
                <w:rFonts w:ascii="宋体" w:hAnsi="宋体" w:cs="宋体" w:eastAsia="宋体" w:hint="default"/>
                <w:spacing w:val="-52"/>
                <w:sz w:val="21"/>
                <w:szCs w:val="21"/>
              </w:rPr>
              <w:t> </w:t>
            </w:r>
            <w:r>
              <w:rPr>
                <w:rFonts w:ascii="宋体" w:hAnsi="宋体" w:cs="宋体" w:eastAsia="宋体" w:hint="default"/>
                <w:sz w:val="21"/>
                <w:szCs w:val="21"/>
              </w:rPr>
              <w:t>指</w:t>
            </w:r>
            <w:r>
              <w:rPr>
                <w:rFonts w:ascii="宋体" w:hAnsi="宋体" w:cs="宋体" w:eastAsia="宋体" w:hint="default"/>
                <w:spacing w:val="-52"/>
                <w:sz w:val="21"/>
                <w:szCs w:val="21"/>
              </w:rPr>
              <w:t> </w:t>
            </w:r>
            <w:r>
              <w:rPr>
                <w:rFonts w:ascii="宋体" w:hAnsi="宋体" w:cs="宋体" w:eastAsia="宋体" w:hint="default"/>
                <w:spacing w:val="36"/>
                <w:sz w:val="21"/>
                <w:szCs w:val="21"/>
              </w:rPr>
              <w:t>定信息</w:t>
            </w:r>
            <w:r>
              <w:rPr>
                <w:rFonts w:ascii="宋体" w:hAnsi="宋体" w:cs="宋体" w:eastAsia="宋体" w:hint="default"/>
                <w:spacing w:val="-52"/>
                <w:sz w:val="21"/>
                <w:szCs w:val="21"/>
              </w:rPr>
              <w:t> </w:t>
            </w:r>
            <w:r>
              <w:rPr>
                <w:rFonts w:ascii="宋体" w:hAnsi="宋体" w:cs="宋体" w:eastAsia="宋体" w:hint="default"/>
                <w:sz w:val="21"/>
                <w:szCs w:val="21"/>
              </w:rPr>
              <w:t>披</w:t>
            </w:r>
            <w:r>
              <w:rPr>
                <w:rFonts w:ascii="宋体" w:hAnsi="宋体" w:cs="宋体" w:eastAsia="宋体" w:hint="default"/>
                <w:spacing w:val="-52"/>
                <w:sz w:val="21"/>
                <w:szCs w:val="21"/>
              </w:rPr>
              <w:t> </w:t>
            </w:r>
            <w:r>
              <w:rPr>
                <w:rFonts w:ascii="宋体" w:hAnsi="宋体" w:cs="宋体" w:eastAsia="宋体" w:hint="default"/>
                <w:spacing w:val="36"/>
                <w:sz w:val="21"/>
                <w:szCs w:val="21"/>
              </w:rPr>
              <w:t>露网站</w:t>
            </w:r>
            <w:r>
              <w:rPr>
                <w:rFonts w:ascii="宋体" w:hAnsi="宋体" w:cs="宋体" w:eastAsia="宋体" w:hint="default"/>
                <w:spacing w:val="-50"/>
                <w:sz w:val="21"/>
                <w:szCs w:val="21"/>
              </w:rPr>
              <w:t> </w:t>
            </w:r>
            <w:hyperlink r:id="rId10">
              <w:r>
                <w:rPr>
                  <w:rFonts w:ascii="Times New Roman" w:hAnsi="Times New Roman" w:cs="Times New Roman" w:eastAsia="Times New Roman" w:hint="default"/>
                  <w:sz w:val="24"/>
                  <w:szCs w:val="24"/>
                </w:rPr>
                <w:t>http://www.cninfo.com.cn</w:t>
              </w:r>
            </w:hyperlink>
            <w:r>
              <w:rPr>
                <w:rFonts w:ascii="Times New Roman" w:hAnsi="Times New Roman" w:cs="Times New Roman" w:eastAsia="Times New Roman" w:hint="default"/>
                <w:spacing w:val="-20"/>
                <w:sz w:val="24"/>
                <w:szCs w:val="24"/>
              </w:rPr>
              <w:t> </w:t>
            </w:r>
            <w:r>
              <w:rPr>
                <w:rFonts w:ascii="宋体" w:hAnsi="宋体" w:cs="宋体" w:eastAsia="宋体" w:hint="default"/>
                <w:sz w:val="21"/>
                <w:szCs w:val="21"/>
              </w:rPr>
              <w:t>上</w:t>
            </w:r>
          </w:p>
        </w:tc>
      </w:tr>
      <w:tr>
        <w:trPr>
          <w:trHeight w:val="9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exact"/>
              <w:ind w:left="103" w:right="86"/>
              <w:jc w:val="left"/>
              <w:rPr>
                <w:rFonts w:ascii="宋体" w:hAnsi="宋体" w:cs="宋体" w:eastAsia="宋体" w:hint="default"/>
                <w:sz w:val="21"/>
                <w:szCs w:val="21"/>
              </w:rPr>
            </w:pPr>
            <w:r>
              <w:rPr>
                <w:rFonts w:ascii="宋体" w:hAnsi="宋体" w:cs="宋体" w:eastAsia="宋体" w:hint="default"/>
                <w:spacing w:val="13"/>
                <w:sz w:val="21"/>
                <w:szCs w:val="21"/>
              </w:rPr>
              <w:t>第一届董事会第十六次（临 </w:t>
            </w:r>
            <w:r>
              <w:rPr>
                <w:rFonts w:ascii="宋体" w:hAnsi="宋体" w:cs="宋体" w:eastAsia="宋体" w:hint="default"/>
                <w:sz w:val="21"/>
                <w:szCs w:val="21"/>
              </w:rPr>
              <w:t>时）会议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69"/>
              <w:jc w:val="righ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103" w:right="45"/>
              <w:jc w:val="both"/>
              <w:rPr>
                <w:rFonts w:ascii="宋体" w:hAnsi="宋体" w:cs="宋体" w:eastAsia="宋体" w:hint="default"/>
                <w:sz w:val="21"/>
                <w:szCs w:val="21"/>
              </w:rPr>
            </w:pPr>
            <w:r>
              <w:rPr>
                <w:rFonts w:ascii="宋体" w:hAnsi="宋体" w:cs="宋体" w:eastAsia="宋体" w:hint="default"/>
                <w:sz w:val="21"/>
                <w:szCs w:val="21"/>
              </w:rPr>
              <w:t>会议决议刊登于</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3"/>
                <w:sz w:val="21"/>
                <w:szCs w:val="21"/>
              </w:rPr>
              <w:t> </w:t>
            </w:r>
            <w:r>
              <w:rPr>
                <w:rFonts w:ascii="宋体" w:hAnsi="宋体" w:cs="宋体" w:eastAsia="宋体" w:hint="default"/>
                <w:spacing w:val="-36"/>
                <w:sz w:val="21"/>
                <w:szCs w:val="21"/>
              </w:rPr>
              <w:t>日《证</w:t>
            </w:r>
            <w:r>
              <w:rPr>
                <w:rFonts w:ascii="宋体" w:hAnsi="宋体" w:cs="宋体" w:eastAsia="宋体" w:hint="default"/>
                <w:sz w:val="21"/>
                <w:szCs w:val="21"/>
              </w:rPr>
              <w:t> 券</w:t>
            </w:r>
            <w:r>
              <w:rPr>
                <w:rFonts w:ascii="宋体" w:hAnsi="宋体" w:cs="宋体" w:eastAsia="宋体" w:hint="default"/>
                <w:spacing w:val="-52"/>
                <w:sz w:val="21"/>
                <w:szCs w:val="21"/>
              </w:rPr>
              <w:t> </w:t>
            </w:r>
            <w:r>
              <w:rPr>
                <w:rFonts w:ascii="宋体" w:hAnsi="宋体" w:cs="宋体" w:eastAsia="宋体" w:hint="default"/>
                <w:sz w:val="21"/>
                <w:szCs w:val="21"/>
              </w:rPr>
              <w:t>时</w:t>
            </w:r>
            <w:r>
              <w:rPr>
                <w:rFonts w:ascii="宋体" w:hAnsi="宋体" w:cs="宋体" w:eastAsia="宋体" w:hint="default"/>
                <w:spacing w:val="-52"/>
                <w:sz w:val="21"/>
                <w:szCs w:val="21"/>
              </w:rPr>
              <w:t> </w:t>
            </w:r>
            <w:r>
              <w:rPr>
                <w:rFonts w:ascii="宋体" w:hAnsi="宋体" w:cs="宋体" w:eastAsia="宋体" w:hint="default"/>
                <w:spacing w:val="36"/>
                <w:sz w:val="21"/>
                <w:szCs w:val="21"/>
              </w:rPr>
              <w:t>报》及</w:t>
            </w:r>
            <w:r>
              <w:rPr>
                <w:rFonts w:ascii="宋体" w:hAnsi="宋体" w:cs="宋体" w:eastAsia="宋体" w:hint="default"/>
                <w:spacing w:val="-52"/>
                <w:sz w:val="21"/>
                <w:szCs w:val="21"/>
              </w:rPr>
              <w:t> </w:t>
            </w:r>
            <w:r>
              <w:rPr>
                <w:rFonts w:ascii="宋体" w:hAnsi="宋体" w:cs="宋体" w:eastAsia="宋体" w:hint="default"/>
                <w:sz w:val="21"/>
                <w:szCs w:val="21"/>
              </w:rPr>
              <w:t>指</w:t>
            </w:r>
            <w:r>
              <w:rPr>
                <w:rFonts w:ascii="宋体" w:hAnsi="宋体" w:cs="宋体" w:eastAsia="宋体" w:hint="default"/>
                <w:spacing w:val="-52"/>
                <w:sz w:val="21"/>
                <w:szCs w:val="21"/>
              </w:rPr>
              <w:t> </w:t>
            </w:r>
            <w:r>
              <w:rPr>
                <w:rFonts w:ascii="宋体" w:hAnsi="宋体" w:cs="宋体" w:eastAsia="宋体" w:hint="default"/>
                <w:spacing w:val="36"/>
                <w:sz w:val="21"/>
                <w:szCs w:val="21"/>
              </w:rPr>
              <w:t>定信息</w:t>
            </w:r>
            <w:r>
              <w:rPr>
                <w:rFonts w:ascii="宋体" w:hAnsi="宋体" w:cs="宋体" w:eastAsia="宋体" w:hint="default"/>
                <w:spacing w:val="-52"/>
                <w:sz w:val="21"/>
                <w:szCs w:val="21"/>
              </w:rPr>
              <w:t> </w:t>
            </w:r>
            <w:r>
              <w:rPr>
                <w:rFonts w:ascii="宋体" w:hAnsi="宋体" w:cs="宋体" w:eastAsia="宋体" w:hint="default"/>
                <w:sz w:val="21"/>
                <w:szCs w:val="21"/>
              </w:rPr>
              <w:t>披</w:t>
            </w:r>
            <w:r>
              <w:rPr>
                <w:rFonts w:ascii="宋体" w:hAnsi="宋体" w:cs="宋体" w:eastAsia="宋体" w:hint="default"/>
                <w:spacing w:val="-52"/>
                <w:sz w:val="21"/>
                <w:szCs w:val="21"/>
              </w:rPr>
              <w:t> </w:t>
            </w:r>
            <w:r>
              <w:rPr>
                <w:rFonts w:ascii="宋体" w:hAnsi="宋体" w:cs="宋体" w:eastAsia="宋体" w:hint="default"/>
                <w:spacing w:val="36"/>
                <w:sz w:val="21"/>
                <w:szCs w:val="21"/>
              </w:rPr>
              <w:t>露网站</w:t>
            </w:r>
            <w:r>
              <w:rPr>
                <w:rFonts w:ascii="宋体" w:hAnsi="宋体" w:cs="宋体" w:eastAsia="宋体" w:hint="default"/>
                <w:spacing w:val="-50"/>
                <w:sz w:val="21"/>
                <w:szCs w:val="21"/>
              </w:rPr>
              <w:t> </w:t>
            </w:r>
            <w:hyperlink r:id="rId10">
              <w:r>
                <w:rPr>
                  <w:rFonts w:ascii="Times New Roman" w:hAnsi="Times New Roman" w:cs="Times New Roman" w:eastAsia="Times New Roman" w:hint="default"/>
                  <w:sz w:val="24"/>
                  <w:szCs w:val="24"/>
                </w:rPr>
                <w:t>http://www.cninfo.com.cn</w:t>
              </w:r>
            </w:hyperlink>
            <w:r>
              <w:rPr>
                <w:rFonts w:ascii="Times New Roman" w:hAnsi="Times New Roman" w:cs="Times New Roman" w:eastAsia="Times New Roman" w:hint="default"/>
                <w:spacing w:val="-20"/>
                <w:sz w:val="24"/>
                <w:szCs w:val="24"/>
              </w:rPr>
              <w:t> </w:t>
            </w:r>
            <w:r>
              <w:rPr>
                <w:rFonts w:ascii="宋体" w:hAnsi="宋体" w:cs="宋体" w:eastAsia="宋体" w:hint="default"/>
                <w:sz w:val="21"/>
                <w:szCs w:val="21"/>
              </w:rPr>
              <w:t>上</w:t>
            </w:r>
          </w:p>
        </w:tc>
      </w:tr>
      <w:tr>
        <w:trPr>
          <w:trHeight w:val="121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exact"/>
              <w:ind w:left="103" w:right="86"/>
              <w:jc w:val="left"/>
              <w:rPr>
                <w:rFonts w:ascii="宋体" w:hAnsi="宋体" w:cs="宋体" w:eastAsia="宋体" w:hint="default"/>
                <w:sz w:val="21"/>
                <w:szCs w:val="21"/>
              </w:rPr>
            </w:pPr>
            <w:r>
              <w:rPr>
                <w:rFonts w:ascii="宋体" w:hAnsi="宋体" w:cs="宋体" w:eastAsia="宋体" w:hint="default"/>
                <w:spacing w:val="13"/>
                <w:sz w:val="21"/>
                <w:szCs w:val="21"/>
              </w:rPr>
              <w:t>第一届董事会第十七次（临 </w:t>
            </w:r>
            <w:r>
              <w:rPr>
                <w:rFonts w:ascii="宋体" w:hAnsi="宋体" w:cs="宋体" w:eastAsia="宋体" w:hint="default"/>
                <w:sz w:val="21"/>
                <w:szCs w:val="21"/>
              </w:rPr>
              <w:t>时）会议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32"/>
                <w:szCs w:val="32"/>
              </w:rPr>
            </w:pPr>
          </w:p>
          <w:p>
            <w:pPr>
              <w:pStyle w:val="TableParagraph"/>
              <w:spacing w:line="240" w:lineRule="auto"/>
              <w:ind w:right="169"/>
              <w:jc w:val="righ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103" w:right="99"/>
              <w:jc w:val="both"/>
              <w:rPr>
                <w:rFonts w:ascii="宋体" w:hAnsi="宋体" w:cs="宋体" w:eastAsia="宋体" w:hint="default"/>
                <w:sz w:val="21"/>
                <w:szCs w:val="21"/>
              </w:rPr>
            </w:pPr>
            <w:r>
              <w:rPr>
                <w:rFonts w:ascii="宋体" w:hAnsi="宋体" w:cs="宋体" w:eastAsia="宋体" w:hint="default"/>
                <w:sz w:val="21"/>
                <w:szCs w:val="21"/>
              </w:rPr>
              <w:t>会议内容仅审议通过公司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年一</w:t>
            </w:r>
            <w:r>
              <w:rPr>
                <w:rFonts w:ascii="宋体" w:hAnsi="宋体" w:cs="宋体" w:eastAsia="宋体" w:hint="default"/>
                <w:spacing w:val="1"/>
                <w:sz w:val="21"/>
                <w:szCs w:val="21"/>
              </w:rPr>
              <w:t> </w:t>
            </w:r>
            <w:r>
              <w:rPr>
                <w:rFonts w:ascii="宋体" w:hAnsi="宋体" w:cs="宋体" w:eastAsia="宋体" w:hint="default"/>
                <w:sz w:val="21"/>
                <w:szCs w:val="21"/>
              </w:rPr>
              <w:t>季度报告，按深圳证券交易所的有关</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规定，会议决议未单独公告，备案于</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公司证券部</w:t>
            </w:r>
          </w:p>
        </w:tc>
      </w:tr>
      <w:tr>
        <w:trPr>
          <w:trHeight w:val="9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exact"/>
              <w:ind w:left="103" w:right="86"/>
              <w:jc w:val="left"/>
              <w:rPr>
                <w:rFonts w:ascii="宋体" w:hAnsi="宋体" w:cs="宋体" w:eastAsia="宋体" w:hint="default"/>
                <w:sz w:val="21"/>
                <w:szCs w:val="21"/>
              </w:rPr>
            </w:pPr>
            <w:r>
              <w:rPr>
                <w:rFonts w:ascii="宋体" w:hAnsi="宋体" w:cs="宋体" w:eastAsia="宋体" w:hint="default"/>
                <w:spacing w:val="13"/>
                <w:sz w:val="21"/>
                <w:szCs w:val="21"/>
              </w:rPr>
              <w:t>第一届董事会第十八次（临 </w:t>
            </w:r>
            <w:r>
              <w:rPr>
                <w:rFonts w:ascii="宋体" w:hAnsi="宋体" w:cs="宋体" w:eastAsia="宋体" w:hint="default"/>
                <w:sz w:val="21"/>
                <w:szCs w:val="21"/>
              </w:rPr>
              <w:t>时）会议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103" w:right="45"/>
              <w:jc w:val="both"/>
              <w:rPr>
                <w:rFonts w:ascii="宋体" w:hAnsi="宋体" w:cs="宋体" w:eastAsia="宋体" w:hint="default"/>
                <w:sz w:val="21"/>
                <w:szCs w:val="21"/>
              </w:rPr>
            </w:pPr>
            <w:r>
              <w:rPr>
                <w:rFonts w:ascii="宋体" w:hAnsi="宋体" w:cs="宋体" w:eastAsia="宋体" w:hint="default"/>
                <w:sz w:val="21"/>
                <w:szCs w:val="21"/>
              </w:rPr>
              <w:t>会议决议刊登于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pacing w:val="-27"/>
                <w:sz w:val="21"/>
                <w:szCs w:val="21"/>
              </w:rPr>
              <w:t>日《证</w:t>
            </w:r>
            <w:r>
              <w:rPr>
                <w:rFonts w:ascii="宋体" w:hAnsi="宋体" w:cs="宋体" w:eastAsia="宋体" w:hint="default"/>
                <w:sz w:val="21"/>
                <w:szCs w:val="21"/>
              </w:rPr>
              <w:t> 券</w:t>
            </w:r>
            <w:r>
              <w:rPr>
                <w:rFonts w:ascii="宋体" w:hAnsi="宋体" w:cs="宋体" w:eastAsia="宋体" w:hint="default"/>
                <w:spacing w:val="-52"/>
                <w:sz w:val="21"/>
                <w:szCs w:val="21"/>
              </w:rPr>
              <w:t> </w:t>
            </w:r>
            <w:r>
              <w:rPr>
                <w:rFonts w:ascii="宋体" w:hAnsi="宋体" w:cs="宋体" w:eastAsia="宋体" w:hint="default"/>
                <w:sz w:val="21"/>
                <w:szCs w:val="21"/>
              </w:rPr>
              <w:t>时</w:t>
            </w:r>
            <w:r>
              <w:rPr>
                <w:rFonts w:ascii="宋体" w:hAnsi="宋体" w:cs="宋体" w:eastAsia="宋体" w:hint="default"/>
                <w:spacing w:val="-52"/>
                <w:sz w:val="21"/>
                <w:szCs w:val="21"/>
              </w:rPr>
              <w:t> </w:t>
            </w:r>
            <w:r>
              <w:rPr>
                <w:rFonts w:ascii="宋体" w:hAnsi="宋体" w:cs="宋体" w:eastAsia="宋体" w:hint="default"/>
                <w:spacing w:val="36"/>
                <w:sz w:val="21"/>
                <w:szCs w:val="21"/>
              </w:rPr>
              <w:t>报》及</w:t>
            </w:r>
            <w:r>
              <w:rPr>
                <w:rFonts w:ascii="宋体" w:hAnsi="宋体" w:cs="宋体" w:eastAsia="宋体" w:hint="default"/>
                <w:spacing w:val="-52"/>
                <w:sz w:val="21"/>
                <w:szCs w:val="21"/>
              </w:rPr>
              <w:t> </w:t>
            </w:r>
            <w:r>
              <w:rPr>
                <w:rFonts w:ascii="宋体" w:hAnsi="宋体" w:cs="宋体" w:eastAsia="宋体" w:hint="default"/>
                <w:sz w:val="21"/>
                <w:szCs w:val="21"/>
              </w:rPr>
              <w:t>指</w:t>
            </w:r>
            <w:r>
              <w:rPr>
                <w:rFonts w:ascii="宋体" w:hAnsi="宋体" w:cs="宋体" w:eastAsia="宋体" w:hint="default"/>
                <w:spacing w:val="-52"/>
                <w:sz w:val="21"/>
                <w:szCs w:val="21"/>
              </w:rPr>
              <w:t> </w:t>
            </w:r>
            <w:r>
              <w:rPr>
                <w:rFonts w:ascii="宋体" w:hAnsi="宋体" w:cs="宋体" w:eastAsia="宋体" w:hint="default"/>
                <w:spacing w:val="36"/>
                <w:sz w:val="21"/>
                <w:szCs w:val="21"/>
              </w:rPr>
              <w:t>定信息</w:t>
            </w:r>
            <w:r>
              <w:rPr>
                <w:rFonts w:ascii="宋体" w:hAnsi="宋体" w:cs="宋体" w:eastAsia="宋体" w:hint="default"/>
                <w:spacing w:val="-52"/>
                <w:sz w:val="21"/>
                <w:szCs w:val="21"/>
              </w:rPr>
              <w:t> </w:t>
            </w:r>
            <w:r>
              <w:rPr>
                <w:rFonts w:ascii="宋体" w:hAnsi="宋体" w:cs="宋体" w:eastAsia="宋体" w:hint="default"/>
                <w:sz w:val="21"/>
                <w:szCs w:val="21"/>
              </w:rPr>
              <w:t>披</w:t>
            </w:r>
            <w:r>
              <w:rPr>
                <w:rFonts w:ascii="宋体" w:hAnsi="宋体" w:cs="宋体" w:eastAsia="宋体" w:hint="default"/>
                <w:spacing w:val="-52"/>
                <w:sz w:val="21"/>
                <w:szCs w:val="21"/>
              </w:rPr>
              <w:t> </w:t>
            </w:r>
            <w:r>
              <w:rPr>
                <w:rFonts w:ascii="宋体" w:hAnsi="宋体" w:cs="宋体" w:eastAsia="宋体" w:hint="default"/>
                <w:spacing w:val="36"/>
                <w:sz w:val="21"/>
                <w:szCs w:val="21"/>
              </w:rPr>
              <w:t>露网站</w:t>
            </w:r>
            <w:r>
              <w:rPr>
                <w:rFonts w:ascii="宋体" w:hAnsi="宋体" w:cs="宋体" w:eastAsia="宋体" w:hint="default"/>
                <w:spacing w:val="-50"/>
                <w:sz w:val="21"/>
                <w:szCs w:val="21"/>
              </w:rPr>
              <w:t> </w:t>
            </w:r>
            <w:hyperlink r:id="rId10">
              <w:r>
                <w:rPr>
                  <w:rFonts w:ascii="Times New Roman" w:hAnsi="Times New Roman" w:cs="Times New Roman" w:eastAsia="Times New Roman" w:hint="default"/>
                  <w:sz w:val="24"/>
                  <w:szCs w:val="24"/>
                </w:rPr>
                <w:t>http://www.cninfo.com.cn</w:t>
              </w:r>
            </w:hyperlink>
            <w:r>
              <w:rPr>
                <w:rFonts w:ascii="Times New Roman" w:hAnsi="Times New Roman" w:cs="Times New Roman" w:eastAsia="Times New Roman" w:hint="default"/>
                <w:spacing w:val="-20"/>
                <w:sz w:val="24"/>
                <w:szCs w:val="24"/>
              </w:rPr>
              <w:t> </w:t>
            </w:r>
            <w:r>
              <w:rPr>
                <w:rFonts w:ascii="宋体" w:hAnsi="宋体" w:cs="宋体" w:eastAsia="宋体" w:hint="default"/>
                <w:sz w:val="21"/>
                <w:szCs w:val="21"/>
              </w:rPr>
              <w:t>上</w:t>
            </w:r>
          </w:p>
        </w:tc>
      </w:tr>
      <w:tr>
        <w:trPr>
          <w:trHeight w:val="9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第一届董事会第十九次会议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103" w:right="45"/>
              <w:jc w:val="both"/>
              <w:rPr>
                <w:rFonts w:ascii="宋体" w:hAnsi="宋体" w:cs="宋体" w:eastAsia="宋体" w:hint="default"/>
                <w:sz w:val="21"/>
                <w:szCs w:val="21"/>
              </w:rPr>
            </w:pPr>
            <w:r>
              <w:rPr>
                <w:rFonts w:ascii="宋体" w:hAnsi="宋体" w:cs="宋体" w:eastAsia="宋体" w:hint="default"/>
                <w:sz w:val="21"/>
                <w:szCs w:val="21"/>
              </w:rPr>
              <w:t>会议决议刊登于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pacing w:val="-27"/>
                <w:sz w:val="21"/>
                <w:szCs w:val="21"/>
              </w:rPr>
              <w:t>日《证</w:t>
            </w:r>
            <w:r>
              <w:rPr>
                <w:rFonts w:ascii="宋体" w:hAnsi="宋体" w:cs="宋体" w:eastAsia="宋体" w:hint="default"/>
                <w:sz w:val="21"/>
                <w:szCs w:val="21"/>
              </w:rPr>
              <w:t> 券</w:t>
            </w:r>
            <w:r>
              <w:rPr>
                <w:rFonts w:ascii="宋体" w:hAnsi="宋体" w:cs="宋体" w:eastAsia="宋体" w:hint="default"/>
                <w:spacing w:val="-52"/>
                <w:sz w:val="21"/>
                <w:szCs w:val="21"/>
              </w:rPr>
              <w:t> </w:t>
            </w:r>
            <w:r>
              <w:rPr>
                <w:rFonts w:ascii="宋体" w:hAnsi="宋体" w:cs="宋体" w:eastAsia="宋体" w:hint="default"/>
                <w:sz w:val="21"/>
                <w:szCs w:val="21"/>
              </w:rPr>
              <w:t>时</w:t>
            </w:r>
            <w:r>
              <w:rPr>
                <w:rFonts w:ascii="宋体" w:hAnsi="宋体" w:cs="宋体" w:eastAsia="宋体" w:hint="default"/>
                <w:spacing w:val="-52"/>
                <w:sz w:val="21"/>
                <w:szCs w:val="21"/>
              </w:rPr>
              <w:t> </w:t>
            </w:r>
            <w:r>
              <w:rPr>
                <w:rFonts w:ascii="宋体" w:hAnsi="宋体" w:cs="宋体" w:eastAsia="宋体" w:hint="default"/>
                <w:spacing w:val="36"/>
                <w:sz w:val="21"/>
                <w:szCs w:val="21"/>
              </w:rPr>
              <w:t>报》及</w:t>
            </w:r>
            <w:r>
              <w:rPr>
                <w:rFonts w:ascii="宋体" w:hAnsi="宋体" w:cs="宋体" w:eastAsia="宋体" w:hint="default"/>
                <w:spacing w:val="-52"/>
                <w:sz w:val="21"/>
                <w:szCs w:val="21"/>
              </w:rPr>
              <w:t> </w:t>
            </w:r>
            <w:r>
              <w:rPr>
                <w:rFonts w:ascii="宋体" w:hAnsi="宋体" w:cs="宋体" w:eastAsia="宋体" w:hint="default"/>
                <w:sz w:val="21"/>
                <w:szCs w:val="21"/>
              </w:rPr>
              <w:t>指</w:t>
            </w:r>
            <w:r>
              <w:rPr>
                <w:rFonts w:ascii="宋体" w:hAnsi="宋体" w:cs="宋体" w:eastAsia="宋体" w:hint="default"/>
                <w:spacing w:val="-52"/>
                <w:sz w:val="21"/>
                <w:szCs w:val="21"/>
              </w:rPr>
              <w:t> </w:t>
            </w:r>
            <w:r>
              <w:rPr>
                <w:rFonts w:ascii="宋体" w:hAnsi="宋体" w:cs="宋体" w:eastAsia="宋体" w:hint="default"/>
                <w:spacing w:val="36"/>
                <w:sz w:val="21"/>
                <w:szCs w:val="21"/>
              </w:rPr>
              <w:t>定信息</w:t>
            </w:r>
            <w:r>
              <w:rPr>
                <w:rFonts w:ascii="宋体" w:hAnsi="宋体" w:cs="宋体" w:eastAsia="宋体" w:hint="default"/>
                <w:spacing w:val="-52"/>
                <w:sz w:val="21"/>
                <w:szCs w:val="21"/>
              </w:rPr>
              <w:t> </w:t>
            </w:r>
            <w:r>
              <w:rPr>
                <w:rFonts w:ascii="宋体" w:hAnsi="宋体" w:cs="宋体" w:eastAsia="宋体" w:hint="default"/>
                <w:sz w:val="21"/>
                <w:szCs w:val="21"/>
              </w:rPr>
              <w:t>披</w:t>
            </w:r>
            <w:r>
              <w:rPr>
                <w:rFonts w:ascii="宋体" w:hAnsi="宋体" w:cs="宋体" w:eastAsia="宋体" w:hint="default"/>
                <w:spacing w:val="-52"/>
                <w:sz w:val="21"/>
                <w:szCs w:val="21"/>
              </w:rPr>
              <w:t> </w:t>
            </w:r>
            <w:r>
              <w:rPr>
                <w:rFonts w:ascii="宋体" w:hAnsi="宋体" w:cs="宋体" w:eastAsia="宋体" w:hint="default"/>
                <w:spacing w:val="36"/>
                <w:sz w:val="21"/>
                <w:szCs w:val="21"/>
              </w:rPr>
              <w:t>露网站</w:t>
            </w:r>
            <w:r>
              <w:rPr>
                <w:rFonts w:ascii="宋体" w:hAnsi="宋体" w:cs="宋体" w:eastAsia="宋体" w:hint="default"/>
                <w:spacing w:val="-50"/>
                <w:sz w:val="21"/>
                <w:szCs w:val="21"/>
              </w:rPr>
              <w:t> </w:t>
            </w:r>
            <w:hyperlink r:id="rId10">
              <w:r>
                <w:rPr>
                  <w:rFonts w:ascii="Times New Roman" w:hAnsi="Times New Roman" w:cs="Times New Roman" w:eastAsia="Times New Roman" w:hint="default"/>
                  <w:sz w:val="24"/>
                  <w:szCs w:val="24"/>
                </w:rPr>
                <w:t>http://www.cninfo.com.cn</w:t>
              </w:r>
            </w:hyperlink>
            <w:r>
              <w:rPr>
                <w:rFonts w:ascii="Times New Roman" w:hAnsi="Times New Roman" w:cs="Times New Roman" w:eastAsia="Times New Roman" w:hint="default"/>
                <w:spacing w:val="-20"/>
                <w:sz w:val="24"/>
                <w:szCs w:val="24"/>
              </w:rPr>
              <w:t> </w:t>
            </w:r>
            <w:r>
              <w:rPr>
                <w:rFonts w:ascii="宋体" w:hAnsi="宋体" w:cs="宋体" w:eastAsia="宋体" w:hint="default"/>
                <w:sz w:val="21"/>
                <w:szCs w:val="21"/>
              </w:rPr>
              <w:t>上</w:t>
            </w:r>
          </w:p>
        </w:tc>
      </w:tr>
      <w:tr>
        <w:trPr>
          <w:trHeight w:val="97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exact"/>
              <w:ind w:left="103" w:right="86"/>
              <w:jc w:val="left"/>
              <w:rPr>
                <w:rFonts w:ascii="宋体" w:hAnsi="宋体" w:cs="宋体" w:eastAsia="宋体" w:hint="default"/>
                <w:sz w:val="21"/>
                <w:szCs w:val="21"/>
              </w:rPr>
            </w:pPr>
            <w:r>
              <w:rPr>
                <w:rFonts w:ascii="宋体" w:hAnsi="宋体" w:cs="宋体" w:eastAsia="宋体" w:hint="default"/>
                <w:spacing w:val="13"/>
                <w:sz w:val="21"/>
                <w:szCs w:val="21"/>
              </w:rPr>
              <w:t>第一届董事会第二十次（临 </w:t>
            </w:r>
            <w:r>
              <w:rPr>
                <w:rFonts w:ascii="宋体" w:hAnsi="宋体" w:cs="宋体" w:eastAsia="宋体" w:hint="default"/>
                <w:sz w:val="21"/>
                <w:szCs w:val="21"/>
              </w:rPr>
              <w:t>时）会议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17"/>
              <w:jc w:val="righ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before="67"/>
              <w:ind w:left="103" w:right="0"/>
              <w:jc w:val="left"/>
              <w:rPr>
                <w:rFonts w:ascii="宋体" w:hAnsi="宋体" w:cs="宋体" w:eastAsia="宋体" w:hint="default"/>
                <w:sz w:val="21"/>
                <w:szCs w:val="21"/>
              </w:rPr>
            </w:pPr>
            <w:r>
              <w:rPr>
                <w:rFonts w:ascii="宋体" w:hAnsi="宋体" w:cs="宋体" w:eastAsia="宋体" w:hint="default"/>
                <w:sz w:val="21"/>
                <w:szCs w:val="21"/>
              </w:rPr>
              <w:t>会议决议刊登于</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日</w:t>
            </w:r>
          </w:p>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《证券时报》及指定信息披露网站</w:t>
            </w:r>
            <w:r>
              <w:rPr>
                <w:rFonts w:ascii="宋体" w:hAnsi="宋体" w:cs="宋体" w:eastAsia="宋体" w:hint="default"/>
                <w:sz w:val="21"/>
                <w:szCs w:val="21"/>
              </w:rPr>
            </w:r>
          </w:p>
          <w:p>
            <w:pPr>
              <w:pStyle w:val="TableParagraph"/>
              <w:spacing w:line="280" w:lineRule="exact"/>
              <w:ind w:left="103" w:right="0"/>
              <w:jc w:val="left"/>
              <w:rPr>
                <w:rFonts w:ascii="宋体" w:hAnsi="宋体" w:cs="宋体" w:eastAsia="宋体" w:hint="default"/>
                <w:sz w:val="21"/>
                <w:szCs w:val="21"/>
              </w:rPr>
            </w:pPr>
            <w:hyperlink r:id="rId10">
              <w:r>
                <w:rPr>
                  <w:rFonts w:ascii="Times New Roman" w:hAnsi="Times New Roman" w:cs="Times New Roman" w:eastAsia="Times New Roman" w:hint="default"/>
                  <w:sz w:val="24"/>
                  <w:szCs w:val="24"/>
                </w:rPr>
                <w:t>http://www.cninfo.com.cn</w:t>
              </w:r>
            </w:hyperlink>
            <w:r>
              <w:rPr>
                <w:rFonts w:ascii="Times New Roman" w:hAnsi="Times New Roman" w:cs="Times New Roman" w:eastAsia="Times New Roman" w:hint="default"/>
                <w:spacing w:val="-20"/>
                <w:sz w:val="24"/>
                <w:szCs w:val="24"/>
              </w:rPr>
              <w:t> </w:t>
            </w:r>
            <w:r>
              <w:rPr>
                <w:rFonts w:ascii="宋体" w:hAnsi="宋体" w:cs="宋体" w:eastAsia="宋体" w:hint="default"/>
                <w:sz w:val="21"/>
                <w:szCs w:val="21"/>
              </w:rPr>
              <w:t>上</w:t>
            </w:r>
          </w:p>
        </w:tc>
      </w:tr>
      <w:tr>
        <w:trPr>
          <w:trHeight w:val="9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exact"/>
              <w:ind w:left="103" w:right="101"/>
              <w:jc w:val="left"/>
              <w:rPr>
                <w:rFonts w:ascii="宋体" w:hAnsi="宋体" w:cs="宋体" w:eastAsia="宋体" w:hint="default"/>
                <w:sz w:val="21"/>
                <w:szCs w:val="21"/>
              </w:rPr>
            </w:pPr>
            <w:r>
              <w:rPr>
                <w:rFonts w:ascii="宋体" w:hAnsi="宋体" w:cs="宋体" w:eastAsia="宋体" w:hint="default"/>
                <w:spacing w:val="-6"/>
                <w:sz w:val="21"/>
                <w:szCs w:val="21"/>
              </w:rPr>
              <w:t>第一届董事会第二十一次（临</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时）会议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17"/>
              <w:jc w:val="righ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before="67"/>
              <w:ind w:left="103" w:right="0"/>
              <w:jc w:val="left"/>
              <w:rPr>
                <w:rFonts w:ascii="宋体" w:hAnsi="宋体" w:cs="宋体" w:eastAsia="宋体" w:hint="default"/>
                <w:sz w:val="21"/>
                <w:szCs w:val="21"/>
              </w:rPr>
            </w:pPr>
            <w:r>
              <w:rPr>
                <w:rFonts w:ascii="宋体" w:hAnsi="宋体" w:cs="宋体" w:eastAsia="宋体" w:hint="default"/>
                <w:sz w:val="21"/>
                <w:szCs w:val="21"/>
              </w:rPr>
              <w:t>会议决议刊登于</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日</w:t>
            </w:r>
          </w:p>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《证券时报》及指定信息披露网站</w:t>
            </w:r>
            <w:r>
              <w:rPr>
                <w:rFonts w:ascii="宋体" w:hAnsi="宋体" w:cs="宋体" w:eastAsia="宋体" w:hint="default"/>
                <w:sz w:val="21"/>
                <w:szCs w:val="21"/>
              </w:rPr>
            </w:r>
          </w:p>
          <w:p>
            <w:pPr>
              <w:pStyle w:val="TableParagraph"/>
              <w:spacing w:line="280" w:lineRule="exact"/>
              <w:ind w:left="103" w:right="0"/>
              <w:jc w:val="left"/>
              <w:rPr>
                <w:rFonts w:ascii="宋体" w:hAnsi="宋体" w:cs="宋体" w:eastAsia="宋体" w:hint="default"/>
                <w:sz w:val="21"/>
                <w:szCs w:val="21"/>
              </w:rPr>
            </w:pPr>
            <w:hyperlink r:id="rId10">
              <w:r>
                <w:rPr>
                  <w:rFonts w:ascii="Times New Roman" w:hAnsi="Times New Roman" w:cs="Times New Roman" w:eastAsia="Times New Roman" w:hint="default"/>
                  <w:sz w:val="24"/>
                  <w:szCs w:val="24"/>
                </w:rPr>
                <w:t>http://www.cninfo.com.cn</w:t>
              </w:r>
            </w:hyperlink>
            <w:r>
              <w:rPr>
                <w:rFonts w:ascii="Times New Roman" w:hAnsi="Times New Roman" w:cs="Times New Roman" w:eastAsia="Times New Roman" w:hint="default"/>
                <w:spacing w:val="-20"/>
                <w:sz w:val="24"/>
                <w:szCs w:val="24"/>
              </w:rPr>
              <w:t> </w:t>
            </w:r>
            <w:r>
              <w:rPr>
                <w:rFonts w:ascii="宋体" w:hAnsi="宋体" w:cs="宋体" w:eastAsia="宋体" w:hint="default"/>
                <w:sz w:val="21"/>
                <w:szCs w:val="21"/>
              </w:rPr>
              <w:t>上</w:t>
            </w:r>
          </w:p>
        </w:tc>
      </w:tr>
    </w:tbl>
    <w:p>
      <w:pPr>
        <w:spacing w:after="0" w:line="280" w:lineRule="exact"/>
        <w:jc w:val="left"/>
        <w:rPr>
          <w:rFonts w:ascii="宋体" w:hAnsi="宋体" w:cs="宋体" w:eastAsia="宋体" w:hint="default"/>
          <w:sz w:val="21"/>
          <w:szCs w:val="21"/>
        </w:rPr>
        <w:sectPr>
          <w:pgSz w:w="11910" w:h="16840"/>
          <w:pgMar w:header="0" w:footer="982" w:top="1100" w:bottom="1180" w:left="1600" w:right="1600"/>
        </w:sectPr>
      </w:pPr>
    </w:p>
    <w:p>
      <w:pPr>
        <w:spacing w:line="240" w:lineRule="auto" w:before="1"/>
        <w:rPr>
          <w:rFonts w:ascii="宋体" w:hAnsi="宋体" w:cs="宋体" w:eastAsia="宋体" w:hint="default"/>
          <w:sz w:val="19"/>
          <w:szCs w:val="19"/>
        </w:rPr>
      </w:pPr>
    </w:p>
    <w:p>
      <w:pPr>
        <w:pStyle w:val="BodyText"/>
        <w:spacing w:line="240" w:lineRule="auto" w:before="35"/>
        <w:ind w:right="102"/>
        <w:jc w:val="left"/>
      </w:pPr>
      <w:r>
        <w:rPr/>
        <w:t>（二）董事会对股东大会决议执行情况</w:t>
      </w:r>
    </w:p>
    <w:p>
      <w:pPr>
        <w:spacing w:line="240" w:lineRule="auto" w:before="3"/>
        <w:rPr>
          <w:rFonts w:ascii="宋体" w:hAnsi="宋体" w:cs="宋体" w:eastAsia="宋体" w:hint="default"/>
          <w:sz w:val="14"/>
          <w:szCs w:val="14"/>
        </w:rPr>
      </w:pPr>
    </w:p>
    <w:p>
      <w:pPr>
        <w:pStyle w:val="BodyText"/>
        <w:spacing w:line="297" w:lineRule="auto" w:before="0"/>
        <w:ind w:right="102" w:firstLine="420"/>
        <w:jc w:val="left"/>
      </w:pPr>
      <w:r>
        <w:rPr>
          <w:spacing w:val="-3"/>
        </w:rPr>
        <w:t>报告期内，公司董事会严格按照《公司法》等法律法规及《公司章程》的规定和要求履</w:t>
      </w:r>
      <w:r>
        <w:rPr/>
        <w:t> 行职责，认真执行并完成了股东大会决议的全部事项。</w:t>
      </w:r>
    </w:p>
    <w:p>
      <w:pPr>
        <w:pStyle w:val="BodyText"/>
        <w:spacing w:line="240" w:lineRule="auto" w:before="135"/>
        <w:ind w:left="560" w:right="102"/>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年度利润分配方案的执行情况</w:t>
      </w:r>
    </w:p>
    <w:p>
      <w:pPr>
        <w:pStyle w:val="BodyText"/>
        <w:spacing w:line="280" w:lineRule="auto" w:before="170"/>
        <w:ind w:left="139" w:right="102" w:firstLine="420"/>
        <w:jc w:val="left"/>
      </w:pPr>
      <w:r>
        <w:rPr/>
        <w:t>根据</w:t>
      </w:r>
      <w:r>
        <w:rPr>
          <w:spacing w:val="-52"/>
        </w:rPr>
        <w:t> </w:t>
      </w: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spacing w:val="-1"/>
        </w:rPr>
        <w:t>日召开的</w:t>
      </w:r>
      <w:r>
        <w:rPr>
          <w:spacing w:val="-52"/>
        </w:rPr>
        <w:t> </w:t>
      </w:r>
      <w:r>
        <w:rPr>
          <w:rFonts w:ascii="Times New Roman" w:hAnsi="Times New Roman" w:cs="Times New Roman" w:eastAsia="Times New Roman" w:hint="default"/>
          <w:spacing w:val="-1"/>
        </w:rPr>
        <w:t>2007</w:t>
      </w:r>
      <w:r>
        <w:rPr>
          <w:rFonts w:ascii="Times New Roman" w:hAnsi="Times New Roman" w:cs="Times New Roman" w:eastAsia="Times New Roman" w:hint="default"/>
          <w:spacing w:val="1"/>
        </w:rPr>
        <w:t> </w:t>
      </w:r>
      <w:r>
        <w:rPr>
          <w:spacing w:val="-9"/>
        </w:rPr>
        <w:t>年度股东大会决议，公司</w:t>
      </w:r>
      <w:r>
        <w:rPr>
          <w:spacing w:val="-52"/>
        </w:rPr>
        <w:t> </w:t>
      </w:r>
      <w:r>
        <w:rPr>
          <w:rFonts w:ascii="Times New Roman" w:hAnsi="Times New Roman" w:cs="Times New Roman" w:eastAsia="Times New Roman" w:hint="default"/>
          <w:spacing w:val="-1"/>
        </w:rPr>
        <w:t>2007</w:t>
      </w:r>
      <w:r>
        <w:rPr>
          <w:rFonts w:ascii="Times New Roman" w:hAnsi="Times New Roman" w:cs="Times New Roman" w:eastAsia="Times New Roman" w:hint="default"/>
          <w:spacing w:val="1"/>
        </w:rPr>
        <w:t> </w:t>
      </w:r>
      <w:r>
        <w:rPr>
          <w:spacing w:val="-1"/>
        </w:rPr>
        <w:t>年利润分配及资本公</w:t>
      </w:r>
      <w:r>
        <w:rPr/>
        <w:t> 积金转增股本方案如下：</w:t>
      </w:r>
    </w:p>
    <w:p>
      <w:pPr>
        <w:pStyle w:val="BodyText"/>
        <w:spacing w:line="240" w:lineRule="auto" w:before="150"/>
        <w:ind w:left="559" w:right="102"/>
        <w:jc w:val="left"/>
      </w:pPr>
      <w:r>
        <w:rPr/>
        <w:t>以</w:t>
      </w:r>
      <w:r>
        <w:rPr>
          <w:spacing w:val="-54"/>
        </w:rPr>
        <w:t> </w:t>
      </w:r>
      <w:r>
        <w:rPr>
          <w:rFonts w:ascii="Times New Roman" w:hAnsi="Times New Roman" w:cs="Times New Roman" w:eastAsia="Times New Roman" w:hint="default"/>
        </w:rPr>
        <w:t>2007 </w:t>
      </w:r>
      <w:r>
        <w:rPr/>
        <w:t>年</w:t>
      </w:r>
      <w:r>
        <w:rPr>
          <w:spacing w:val="-55"/>
        </w:rPr>
        <w:t> </w:t>
      </w:r>
      <w:r>
        <w:rPr>
          <w:rFonts w:ascii="Times New Roman" w:hAnsi="Times New Roman" w:cs="Times New Roman" w:eastAsia="Times New Roman" w:hint="default"/>
        </w:rPr>
        <w:t>12 </w:t>
      </w:r>
      <w:r>
        <w:rPr/>
        <w:t>月</w:t>
      </w:r>
      <w:r>
        <w:rPr>
          <w:spacing w:val="-55"/>
        </w:rPr>
        <w:t> </w:t>
      </w:r>
      <w:r>
        <w:rPr>
          <w:rFonts w:ascii="Times New Roman" w:hAnsi="Times New Roman" w:cs="Times New Roman" w:eastAsia="Times New Roman" w:hint="default"/>
        </w:rPr>
        <w:t>31 </w:t>
      </w:r>
      <w:r>
        <w:rPr/>
        <w:t>日公司总股本</w:t>
      </w:r>
      <w:r>
        <w:rPr>
          <w:spacing w:val="-54"/>
        </w:rPr>
        <w:t> </w:t>
      </w:r>
      <w:r>
        <w:rPr>
          <w:rFonts w:ascii="Times New Roman" w:hAnsi="Times New Roman" w:cs="Times New Roman" w:eastAsia="Times New Roman" w:hint="default"/>
        </w:rPr>
        <w:t>142,559,010 </w:t>
      </w:r>
      <w:r>
        <w:rPr/>
        <w:t>股为基数，向全体股东每</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股派发现金</w:t>
      </w:r>
    </w:p>
    <w:p>
      <w:pPr>
        <w:pStyle w:val="BodyText"/>
        <w:spacing w:line="280" w:lineRule="auto"/>
        <w:ind w:left="138" w:right="102"/>
        <w:jc w:val="left"/>
      </w:pPr>
      <w:r>
        <w:rPr/>
        <w:t>红利</w:t>
      </w:r>
      <w:r>
        <w:rPr>
          <w:spacing w:val="-46"/>
        </w:rPr>
        <w:t> </w:t>
      </w:r>
      <w:r>
        <w:rPr>
          <w:rFonts w:ascii="Times New Roman" w:hAnsi="Times New Roman" w:cs="Times New Roman" w:eastAsia="Times New Roman" w:hint="default"/>
        </w:rPr>
        <w:t>2.00</w:t>
      </w:r>
      <w:r>
        <w:rPr>
          <w:rFonts w:ascii="Times New Roman" w:hAnsi="Times New Roman" w:cs="Times New Roman" w:eastAsia="Times New Roman" w:hint="default"/>
          <w:spacing w:val="7"/>
        </w:rPr>
        <w:t> </w:t>
      </w:r>
      <w:r>
        <w:rPr>
          <w:spacing w:val="-10"/>
        </w:rPr>
        <w:t>元（含税），共计分配利润</w:t>
      </w:r>
      <w:r>
        <w:rPr>
          <w:spacing w:val="-46"/>
        </w:rPr>
        <w:t> </w:t>
      </w:r>
      <w:r>
        <w:rPr>
          <w:rFonts w:ascii="Times New Roman" w:hAnsi="Times New Roman" w:cs="Times New Roman" w:eastAsia="Times New Roman" w:hint="default"/>
          <w:spacing w:val="-1"/>
        </w:rPr>
        <w:t>28,511,802</w:t>
      </w:r>
      <w:r>
        <w:rPr>
          <w:rFonts w:ascii="Times New Roman" w:hAnsi="Times New Roman" w:cs="Times New Roman" w:eastAsia="Times New Roman" w:hint="default"/>
          <w:spacing w:val="7"/>
        </w:rPr>
        <w:t> </w:t>
      </w:r>
      <w:r>
        <w:rPr>
          <w:spacing w:val="-1"/>
        </w:rPr>
        <w:t>元，剩余未分配利润</w:t>
      </w:r>
      <w:r>
        <w:rPr>
          <w:spacing w:val="-46"/>
        </w:rPr>
        <w:t> </w:t>
      </w:r>
      <w:r>
        <w:rPr>
          <w:rFonts w:ascii="Times New Roman" w:hAnsi="Times New Roman" w:cs="Times New Roman" w:eastAsia="Times New Roman" w:hint="default"/>
          <w:spacing w:val="-1"/>
        </w:rPr>
        <w:t>245,940,946.19</w:t>
      </w:r>
      <w:r>
        <w:rPr>
          <w:rFonts w:ascii="Times New Roman" w:hAnsi="Times New Roman" w:cs="Times New Roman" w:eastAsia="Times New Roman" w:hint="default"/>
          <w:spacing w:val="7"/>
        </w:rPr>
        <w:t> </w:t>
      </w:r>
      <w:r>
        <w:rPr>
          <w:spacing w:val="-1"/>
        </w:rPr>
        <w:t>元结转</w:t>
      </w:r>
      <w:r>
        <w:rPr>
          <w:spacing w:val="-103"/>
        </w:rPr>
        <w:t> </w:t>
      </w:r>
      <w:r>
        <w:rPr>
          <w:spacing w:val="-103"/>
        </w:rPr>
      </w:r>
      <w:r>
        <w:rPr/>
        <w:t>至下一年度。</w:t>
      </w:r>
    </w:p>
    <w:p>
      <w:pPr>
        <w:pStyle w:val="BodyText"/>
        <w:spacing w:line="240" w:lineRule="auto" w:before="149"/>
        <w:ind w:left="558" w:right="102"/>
        <w:jc w:val="left"/>
        <w:rPr>
          <w:rFonts w:ascii="Times New Roman" w:hAnsi="Times New Roman" w:cs="Times New Roman" w:eastAsia="Times New Roman" w:hint="default"/>
        </w:rPr>
      </w:pPr>
      <w:r>
        <w:rPr/>
        <w:t>以</w:t>
      </w:r>
      <w:r>
        <w:rPr>
          <w:spacing w:val="-3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4"/>
        </w:rPr>
        <w:t> </w:t>
      </w:r>
      <w:r>
        <w:rPr/>
        <w:t>年</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spacing w:val="-40"/>
        </w:rPr>
        <w:t>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t>日公司总股本</w:t>
      </w:r>
      <w:r>
        <w:rPr>
          <w:spacing w:val="-39"/>
        </w:rPr>
        <w:t> </w:t>
      </w:r>
      <w:r>
        <w:rPr>
          <w:rFonts w:ascii="Times New Roman" w:hAnsi="Times New Roman" w:cs="Times New Roman" w:eastAsia="Times New Roman" w:hint="default"/>
        </w:rPr>
        <w:t>142,559,010</w:t>
      </w:r>
      <w:r>
        <w:rPr>
          <w:rFonts w:ascii="Times New Roman" w:hAnsi="Times New Roman" w:cs="Times New Roman" w:eastAsia="Times New Roman" w:hint="default"/>
          <w:spacing w:val="14"/>
        </w:rPr>
        <w:t> </w:t>
      </w:r>
      <w:r>
        <w:rPr/>
        <w:t>股为基数，向全体股东每</w:t>
      </w:r>
      <w:r>
        <w:rPr>
          <w:spacing w:val="-39"/>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股转增</w:t>
      </w:r>
      <w:r>
        <w:rPr>
          <w:spacing w:val="-39"/>
        </w:rPr>
        <w:t> </w:t>
      </w:r>
      <w:r>
        <w:rPr>
          <w:rFonts w:ascii="Times New Roman" w:hAnsi="Times New Roman" w:cs="Times New Roman" w:eastAsia="Times New Roman" w:hint="default"/>
        </w:rPr>
        <w:t>10</w:t>
      </w:r>
    </w:p>
    <w:p>
      <w:pPr>
        <w:pStyle w:val="BodyText"/>
        <w:spacing w:line="240" w:lineRule="auto"/>
        <w:ind w:left="139" w:right="102"/>
        <w:jc w:val="left"/>
      </w:pPr>
      <w:r>
        <w:rPr/>
        <w:t>股，合计转增</w:t>
      </w:r>
      <w:r>
        <w:rPr>
          <w:spacing w:val="-53"/>
        </w:rPr>
        <w:t> </w:t>
      </w:r>
      <w:r>
        <w:rPr>
          <w:rFonts w:ascii="Times New Roman" w:hAnsi="Times New Roman" w:cs="Times New Roman" w:eastAsia="Times New Roman" w:hint="default"/>
        </w:rPr>
        <w:t>142,559,010 </w:t>
      </w:r>
      <w:r>
        <w:rPr/>
        <w:t>股。</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年末，公司资本公积</w:t>
      </w:r>
      <w:r>
        <w:rPr>
          <w:spacing w:val="-53"/>
        </w:rPr>
        <w:t> </w:t>
      </w:r>
      <w:r>
        <w:rPr>
          <w:rFonts w:ascii="Times New Roman" w:hAnsi="Times New Roman" w:cs="Times New Roman" w:eastAsia="Times New Roman" w:hint="default"/>
        </w:rPr>
        <w:t>558,194,457.56</w:t>
      </w:r>
      <w:r>
        <w:rPr>
          <w:rFonts w:ascii="Times New Roman" w:hAnsi="Times New Roman" w:cs="Times New Roman" w:eastAsia="Times New Roman" w:hint="default"/>
          <w:spacing w:val="-1"/>
        </w:rPr>
        <w:t> </w:t>
      </w:r>
      <w:r>
        <w:rPr/>
        <w:t>元，转增后资本公</w:t>
      </w:r>
    </w:p>
    <w:p>
      <w:pPr>
        <w:pStyle w:val="BodyText"/>
        <w:spacing w:line="240" w:lineRule="auto"/>
        <w:ind w:left="139" w:right="102"/>
        <w:jc w:val="left"/>
      </w:pPr>
      <w:r>
        <w:rPr/>
        <w:t>积余额为</w:t>
      </w:r>
      <w:r>
        <w:rPr>
          <w:spacing w:val="-59"/>
        </w:rPr>
        <w:t> </w:t>
      </w:r>
      <w:r>
        <w:rPr>
          <w:rFonts w:ascii="Times New Roman" w:hAnsi="Times New Roman" w:cs="Times New Roman" w:eastAsia="Times New Roman" w:hint="default"/>
        </w:rPr>
        <w:t>415,635,447.56</w:t>
      </w:r>
      <w:r>
        <w:rPr>
          <w:rFonts w:ascii="Times New Roman" w:hAnsi="Times New Roman" w:cs="Times New Roman" w:eastAsia="Times New Roman" w:hint="default"/>
          <w:spacing w:val="-7"/>
        </w:rPr>
        <w:t> </w:t>
      </w:r>
      <w:r>
        <w:rPr/>
        <w:t>元，股本为</w:t>
      </w:r>
      <w:r>
        <w:rPr>
          <w:spacing w:val="-59"/>
        </w:rPr>
        <w:t> </w:t>
      </w:r>
      <w:r>
        <w:rPr>
          <w:rFonts w:ascii="Times New Roman" w:hAnsi="Times New Roman" w:cs="Times New Roman" w:eastAsia="Times New Roman" w:hint="default"/>
        </w:rPr>
        <w:t>285,118,020</w:t>
      </w:r>
      <w:r>
        <w:rPr>
          <w:rFonts w:ascii="Times New Roman" w:hAnsi="Times New Roman" w:cs="Times New Roman" w:eastAsia="Times New Roman" w:hint="default"/>
          <w:spacing w:val="-6"/>
        </w:rPr>
        <w:t> </w:t>
      </w:r>
      <w:r>
        <w:rPr/>
        <w:t>股。</w:t>
      </w:r>
    </w:p>
    <w:p>
      <w:pPr>
        <w:pStyle w:val="BodyText"/>
        <w:spacing w:line="240" w:lineRule="auto" w:before="169"/>
        <w:ind w:left="559" w:right="102"/>
        <w:jc w:val="left"/>
      </w:pPr>
      <w:r>
        <w:rPr/>
        <w:t>公司于</w:t>
      </w:r>
      <w:r>
        <w:rPr>
          <w:spacing w:val="-5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7"/>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月</w:t>
      </w:r>
      <w:r>
        <w:rPr>
          <w:spacing w:val="-53"/>
        </w:rPr>
        <w:t> </w:t>
      </w:r>
      <w:r>
        <w:rPr>
          <w:rFonts w:ascii="Times New Roman" w:hAnsi="Times New Roman" w:cs="Times New Roman" w:eastAsia="Times New Roman" w:hint="default"/>
        </w:rPr>
        <w:t>25 </w:t>
      </w:r>
      <w:r>
        <w:rPr/>
        <w:t>日在《证券时报》及巨潮资讯网</w:t>
      </w:r>
      <w:r>
        <w:rPr>
          <w:spacing w:val="-53"/>
        </w:rPr>
        <w:t> </w:t>
      </w: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rPr>
        <w:t> </w:t>
      </w:r>
      <w:r>
        <w:rPr/>
        <w:t>上刊</w:t>
      </w:r>
    </w:p>
    <w:p>
      <w:pPr>
        <w:pStyle w:val="BodyText"/>
        <w:spacing w:line="240" w:lineRule="auto"/>
        <w:ind w:left="139" w:right="102"/>
        <w:jc w:val="left"/>
        <w:rPr>
          <w:rFonts w:ascii="Times New Roman" w:hAnsi="Times New Roman" w:cs="Times New Roman" w:eastAsia="Times New Roman" w:hint="default"/>
        </w:rPr>
      </w:pPr>
      <w:r>
        <w:rPr/>
        <w:t>登</w:t>
      </w:r>
      <w:r>
        <w:rPr>
          <w:spacing w:val="-21"/>
        </w:rPr>
        <w:t>了</w:t>
      </w:r>
      <w:r>
        <w:rPr/>
        <w:t>《公司</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7 </w:t>
      </w:r>
      <w:r>
        <w:rPr>
          <w:rFonts w:ascii="Times New Roman" w:hAnsi="Times New Roman" w:cs="Times New Roman" w:eastAsia="Times New Roman" w:hint="default"/>
          <w:spacing w:val="1"/>
        </w:rPr>
        <w:t> </w:t>
      </w:r>
      <w:r>
        <w:rPr/>
        <w:t>年度</w:t>
      </w:r>
      <w:r>
        <w:rPr>
          <w:spacing w:val="-2"/>
        </w:rPr>
        <w:t>利</w:t>
      </w:r>
      <w:r>
        <w:rPr/>
        <w:t>润分配及资本公积金转增股本实施公告</w:t>
      </w:r>
      <w:r>
        <w:rPr>
          <w:spacing w:val="-105"/>
        </w:rPr>
        <w:t>》</w:t>
      </w:r>
      <w:r>
        <w:rPr>
          <w:spacing w:val="-21"/>
        </w:rPr>
        <w:t>：</w:t>
      </w:r>
      <w:r>
        <w:rPr/>
        <w:t>股</w:t>
      </w:r>
      <w:r>
        <w:rPr>
          <w:spacing w:val="-2"/>
        </w:rPr>
        <w:t>权</w:t>
      </w:r>
      <w:r>
        <w:rPr/>
        <w:t>登记日为</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8 </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5</w:t>
      </w:r>
    </w:p>
    <w:p>
      <w:pPr>
        <w:pStyle w:val="BodyText"/>
        <w:spacing w:line="240" w:lineRule="auto"/>
        <w:ind w:left="139" w:right="102"/>
        <w:jc w:val="left"/>
      </w:pPr>
      <w:r>
        <w:rPr/>
        <w:t>月</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日；除权除息日为</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2"/>
        </w:rPr>
        <w:t>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51"/>
        </w:rPr>
        <w:t> </w:t>
      </w:r>
      <w:r>
        <w:rPr/>
        <w:t>月</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日；红利发放日为</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9"/>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51"/>
        </w:rPr>
        <w:t> </w:t>
      </w:r>
      <w:r>
        <w:rPr/>
        <w:t>月</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51"/>
        </w:rPr>
        <w:t> </w:t>
      </w:r>
      <w:r>
        <w:rPr/>
        <w:t>日。</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8"/>
          <w:szCs w:val="18"/>
        </w:rPr>
      </w:pPr>
    </w:p>
    <w:p>
      <w:pPr>
        <w:pStyle w:val="BodyText"/>
        <w:spacing w:line="240" w:lineRule="auto" w:before="0"/>
        <w:ind w:left="139" w:right="102"/>
        <w:jc w:val="left"/>
      </w:pPr>
      <w:r>
        <w:rPr/>
        <w:t>（三）公司董事会各委员会履职情况</w:t>
      </w:r>
    </w:p>
    <w:p>
      <w:pPr>
        <w:spacing w:line="240" w:lineRule="auto" w:before="2"/>
        <w:rPr>
          <w:rFonts w:ascii="宋体" w:hAnsi="宋体" w:cs="宋体" w:eastAsia="宋体" w:hint="default"/>
          <w:sz w:val="14"/>
          <w:szCs w:val="14"/>
        </w:rPr>
      </w:pPr>
    </w:p>
    <w:p>
      <w:pPr>
        <w:pStyle w:val="BodyText"/>
        <w:spacing w:line="379" w:lineRule="auto" w:before="0"/>
        <w:ind w:left="559" w:right="102"/>
        <w:jc w:val="left"/>
      </w:pPr>
      <w:r>
        <w:rPr>
          <w:rFonts w:ascii="Times New Roman" w:hAnsi="Times New Roman" w:cs="Times New Roman" w:eastAsia="Times New Roman" w:hint="default"/>
        </w:rPr>
        <w:t>1</w:t>
      </w:r>
      <w:r>
        <w:rPr/>
        <w:t>、审计委员会 </w:t>
      </w:r>
      <w:r>
        <w:rPr>
          <w:spacing w:val="-3"/>
        </w:rPr>
        <w:t>报告期内，审计委员会共召开了五次会议，讨论审议公司审计部关于募集资金存放与使</w:t>
      </w:r>
    </w:p>
    <w:p>
      <w:pPr>
        <w:pStyle w:val="BodyText"/>
        <w:spacing w:line="219" w:lineRule="exact" w:before="0"/>
        <w:ind w:left="139" w:right="0"/>
        <w:jc w:val="left"/>
      </w:pPr>
      <w:r>
        <w:rPr/>
        <w:t>用、公司与下属子公司内部管理和财务状况等内部审计报告，对公司审计部工作进行指导。</w:t>
      </w:r>
    </w:p>
    <w:p>
      <w:pPr>
        <w:spacing w:line="240" w:lineRule="auto" w:before="2"/>
        <w:rPr>
          <w:rFonts w:ascii="宋体" w:hAnsi="宋体" w:cs="宋体" w:eastAsia="宋体" w:hint="default"/>
          <w:sz w:val="14"/>
          <w:szCs w:val="14"/>
        </w:rPr>
      </w:pPr>
    </w:p>
    <w:p>
      <w:pPr>
        <w:pStyle w:val="BodyText"/>
        <w:spacing w:line="240" w:lineRule="auto" w:before="0"/>
        <w:ind w:left="559" w:right="102"/>
        <w:jc w:val="left"/>
      </w:pPr>
      <w:r>
        <w:rPr/>
        <w:t>在</w:t>
      </w:r>
      <w:r>
        <w:rPr>
          <w:spacing w:val="-45"/>
        </w:rPr>
        <w:t> </w:t>
      </w:r>
      <w:r>
        <w:rPr>
          <w:rFonts w:ascii="Times New Roman" w:hAnsi="Times New Roman" w:cs="Times New Roman" w:eastAsia="Times New Roman" w:hint="default"/>
        </w:rPr>
        <w:t>2008  </w:t>
      </w:r>
      <w:r>
        <w:rPr/>
        <w:t>年年报审计工作中，公司审计委员会主任于</w:t>
      </w:r>
      <w:r>
        <w:rPr>
          <w:spacing w:val="-4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29</w:t>
      </w:r>
      <w:r>
        <w:rPr>
          <w:rFonts w:ascii="Times New Roman" w:hAnsi="Times New Roman" w:cs="Times New Roman" w:eastAsia="Times New Roman" w:hint="default"/>
          <w:spacing w:val="7"/>
        </w:rPr>
        <w:t> </w:t>
      </w:r>
      <w:r>
        <w:rPr/>
        <w:t>日专程参加由广</w:t>
      </w:r>
    </w:p>
    <w:p>
      <w:pPr>
        <w:pStyle w:val="BodyText"/>
        <w:spacing w:line="292" w:lineRule="auto"/>
        <w:ind w:left="139" w:right="100"/>
        <w:jc w:val="left"/>
      </w:pPr>
      <w:r>
        <w:rPr/>
        <w:t>东证监局组织召开的</w:t>
      </w:r>
      <w:r>
        <w:rPr>
          <w:spacing w:val="-52"/>
        </w:rPr>
        <w:t> </w:t>
      </w: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1"/>
        </w:rPr>
        <w:t> </w:t>
      </w:r>
      <w:r>
        <w:rPr>
          <w:spacing w:val="-5"/>
        </w:rPr>
        <w:t>年年报会计监管会议，认真听取广东证监局对</w:t>
      </w:r>
      <w:r>
        <w:rPr>
          <w:spacing w:val="-52"/>
        </w:rPr>
        <w:t> </w:t>
      </w: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1"/>
        </w:rPr>
        <w:t> </w:t>
      </w:r>
      <w:r>
        <w:rPr>
          <w:spacing w:val="-1"/>
        </w:rPr>
        <w:t>年年报工作的</w:t>
      </w:r>
      <w:r>
        <w:rPr>
          <w:spacing w:val="-101"/>
        </w:rPr>
        <w:t> </w:t>
      </w:r>
      <w:r>
        <w:rPr>
          <w:spacing w:val="-101"/>
        </w:rPr>
      </w:r>
      <w:r>
        <w:rPr>
          <w:spacing w:val="-3"/>
        </w:rPr>
        <w:t>指导意见和要求；审计委员会严格按照《审计委员会年报工作规程》的要求履行职责：与审</w:t>
      </w:r>
      <w:r>
        <w:rPr>
          <w:spacing w:val="-80"/>
        </w:rPr>
        <w:t> </w:t>
      </w:r>
      <w:r>
        <w:rPr>
          <w:spacing w:val="-80"/>
        </w:rPr>
      </w:r>
      <w:r>
        <w:rPr>
          <w:spacing w:val="-3"/>
        </w:rPr>
        <w:t>计机构协商确定年度财务报告审计计划和审计工作的时间安排；对公司财务报表进行审阅并</w:t>
      </w:r>
      <w:r>
        <w:rPr>
          <w:spacing w:val="-79"/>
        </w:rPr>
        <w:t> </w:t>
      </w:r>
      <w:r>
        <w:rPr>
          <w:spacing w:val="-79"/>
        </w:rPr>
      </w:r>
      <w:r>
        <w:rPr>
          <w:spacing w:val="-5"/>
        </w:rPr>
        <w:t>形成书面意见；督促会计师事务所审计工作进展情况；与审计会计师保持适时的联系和沟通，</w:t>
      </w:r>
      <w:r>
        <w:rPr>
          <w:spacing w:val="-100"/>
        </w:rPr>
        <w:t> </w:t>
      </w:r>
      <w:r>
        <w:rPr>
          <w:spacing w:val="-100"/>
        </w:rPr>
      </w:r>
      <w:r>
        <w:rPr/>
        <w:t>就审计过程中发现的问题及时交换意见，确保审计的独立性和审计工作的如期完成。</w:t>
      </w:r>
    </w:p>
    <w:p>
      <w:pPr>
        <w:pStyle w:val="BodyText"/>
        <w:spacing w:line="240" w:lineRule="auto" w:before="139"/>
        <w:ind w:left="559" w:right="102"/>
        <w:jc w:val="left"/>
      </w:pPr>
      <w:r>
        <w:rPr/>
        <w:t>立信羊城会计师事务所有限公司对公司</w:t>
      </w:r>
      <w:r>
        <w:rPr>
          <w:spacing w:val="-4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年度财务报告进行现场审计后，公司审计</w:t>
      </w:r>
    </w:p>
    <w:p>
      <w:pPr>
        <w:pStyle w:val="BodyText"/>
        <w:spacing w:line="280" w:lineRule="auto" w:before="49"/>
        <w:ind w:left="139" w:right="211"/>
        <w:jc w:val="left"/>
      </w:pPr>
      <w:r>
        <w:rPr/>
        <w:t>委员会于</w:t>
      </w:r>
      <w:r>
        <w:rPr>
          <w:spacing w:val="-50"/>
        </w:rPr>
        <w:t> </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spacing w:val="-4"/>
        </w:rPr>
        <w:t>日召开了第二届董事会审计委员会第一次会议，经全体委员认真讨</w:t>
      </w:r>
      <w:r>
        <w:rPr/>
        <w:t> 论，一致通过了以下事项，并提交公司第二届董事会第二次会议进行审议：</w:t>
      </w:r>
    </w:p>
    <w:p>
      <w:pPr>
        <w:pStyle w:val="BodyText"/>
        <w:spacing w:line="240" w:lineRule="auto" w:before="150"/>
        <w:ind w:left="559" w:right="102"/>
        <w:jc w:val="left"/>
      </w:pPr>
      <w:r>
        <w:rPr/>
        <w:t>（</w:t>
      </w:r>
      <w:r>
        <w:rPr>
          <w:rFonts w:ascii="Times New Roman" w:hAnsi="Times New Roman" w:cs="Times New Roman" w:eastAsia="Times New Roman" w:hint="default"/>
        </w:rPr>
        <w:t>1</w:t>
      </w:r>
      <w:r>
        <w:rPr/>
        <w:t>）公司</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年度财务会计报告；</w:t>
      </w:r>
    </w:p>
    <w:p>
      <w:pPr>
        <w:pStyle w:val="BodyText"/>
        <w:spacing w:line="240" w:lineRule="auto" w:before="169"/>
        <w:ind w:left="559" w:right="0"/>
        <w:jc w:val="left"/>
      </w:pPr>
      <w:r>
        <w:rPr>
          <w:spacing w:val="-3"/>
        </w:rPr>
        <w:t>审计委员会认为：审计后的</w:t>
      </w:r>
      <w:r>
        <w:rPr>
          <w:spacing w:val="-4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spacing w:val="-3"/>
        </w:rPr>
        <w:t>年度财务报表已经按照《企业会计准则》的规定编制，</w:t>
      </w:r>
    </w:p>
    <w:p>
      <w:pPr>
        <w:pStyle w:val="BodyText"/>
        <w:spacing w:line="280" w:lineRule="auto"/>
        <w:ind w:left="138" w:right="214"/>
        <w:jc w:val="left"/>
      </w:pPr>
      <w:r>
        <w:rPr/>
        <w:t>在所有重大方面公允反映了公司</w:t>
      </w:r>
      <w:r>
        <w:rPr>
          <w:spacing w:val="-6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3"/>
        </w:rPr>
        <w:t> </w:t>
      </w:r>
      <w:r>
        <w:rPr/>
        <w:t>年</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66"/>
        </w:rPr>
        <w:t>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t>日的财务状况以及</w:t>
      </w:r>
      <w:r>
        <w:rPr>
          <w:spacing w:val="-6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4"/>
        </w:rPr>
        <w:t> </w:t>
      </w:r>
      <w:r>
        <w:rPr/>
        <w:t>度的经营成果和现 金流量。</w:t>
      </w:r>
    </w:p>
    <w:p>
      <w:pPr>
        <w:pStyle w:val="BodyText"/>
        <w:spacing w:line="379" w:lineRule="auto" w:before="149"/>
        <w:ind w:left="558" w:right="201"/>
        <w:jc w:val="left"/>
      </w:pPr>
      <w:r>
        <w:rPr/>
        <w:t>（</w:t>
      </w:r>
      <w:r>
        <w:rPr>
          <w:rFonts w:ascii="Times New Roman" w:hAnsi="Times New Roman" w:cs="Times New Roman" w:eastAsia="Times New Roman" w:hint="default"/>
        </w:rPr>
        <w:t>2</w:t>
      </w:r>
      <w:r>
        <w:rPr/>
        <w:t>）关于会计师事务所年报审计工作情况的总结报告； 鉴于立信羊城会计师事务所有限公司已连续为公司提供审计服务</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spacing w:val="-11"/>
        </w:rPr>
        <w:t>年，且该会计师事务</w:t>
      </w:r>
    </w:p>
    <w:p>
      <w:pPr>
        <w:spacing w:after="0" w:line="379" w:lineRule="auto"/>
        <w:jc w:val="left"/>
        <w:sectPr>
          <w:pgSz w:w="11910" w:h="16840"/>
          <w:pgMar w:header="0" w:footer="982" w:top="1100" w:bottom="1180" w:left="1660" w:right="1580"/>
        </w:sectPr>
      </w:pPr>
    </w:p>
    <w:p>
      <w:pPr>
        <w:spacing w:line="240" w:lineRule="auto" w:before="1"/>
        <w:rPr>
          <w:rFonts w:ascii="宋体" w:hAnsi="宋体" w:cs="宋体" w:eastAsia="宋体" w:hint="default"/>
          <w:sz w:val="19"/>
          <w:szCs w:val="19"/>
        </w:rPr>
      </w:pPr>
    </w:p>
    <w:p>
      <w:pPr>
        <w:pStyle w:val="BodyText"/>
        <w:spacing w:line="288" w:lineRule="auto" w:before="35"/>
        <w:ind w:left="139" w:right="216"/>
        <w:jc w:val="both"/>
      </w:pPr>
      <w:r>
        <w:rPr/>
        <w:t>所在审计公司</w:t>
      </w:r>
      <w:r>
        <w:rPr>
          <w:spacing w:val="-4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年财务报告工作中，恪守职责，遵循独立、客观、公证的执业准则，较 </w:t>
      </w:r>
      <w:r>
        <w:rPr>
          <w:spacing w:val="-3"/>
        </w:rPr>
        <w:t>好地完成了公司委托的各项工作。因此，审计委员会同意续聘请立信羊城会计师事务所有限</w:t>
      </w:r>
      <w:r>
        <w:rPr>
          <w:spacing w:val="-79"/>
        </w:rPr>
        <w:t> </w:t>
      </w:r>
      <w:r>
        <w:rPr>
          <w:spacing w:val="-79"/>
        </w:rPr>
      </w:r>
      <w:r>
        <w:rPr/>
        <w:t>公司为公司</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年审计机构。</w:t>
      </w:r>
    </w:p>
    <w:p>
      <w:pPr>
        <w:pStyle w:val="BodyText"/>
        <w:spacing w:line="240" w:lineRule="auto" w:before="123"/>
        <w:ind w:left="559" w:right="102"/>
        <w:jc w:val="left"/>
      </w:pPr>
      <w:r>
        <w:rPr/>
        <w:t>（</w:t>
      </w:r>
      <w:r>
        <w:rPr>
          <w:rFonts w:ascii="Times New Roman" w:hAnsi="Times New Roman" w:cs="Times New Roman" w:eastAsia="Times New Roman" w:hint="default"/>
        </w:rPr>
        <w:t>3</w:t>
      </w:r>
      <w:r>
        <w:rPr/>
        <w:t>）二○○八年度募集资金使用情况专项报告；</w:t>
      </w:r>
    </w:p>
    <w:p>
      <w:pPr>
        <w:pStyle w:val="BodyText"/>
        <w:spacing w:line="240" w:lineRule="auto" w:before="170"/>
        <w:ind w:left="559" w:right="102"/>
        <w:jc w:val="left"/>
      </w:pPr>
      <w:r>
        <w:rPr/>
        <w:t>（</w:t>
      </w:r>
      <w:r>
        <w:rPr>
          <w:rFonts w:ascii="Times New Roman" w:hAnsi="Times New Roman" w:cs="Times New Roman" w:eastAsia="Times New Roman" w:hint="default"/>
        </w:rPr>
        <w:t>4</w:t>
      </w:r>
      <w:r>
        <w:rPr/>
        <w:t>）二○○八年度内部控制自我评价报告。</w:t>
      </w:r>
    </w:p>
    <w:p>
      <w:pPr>
        <w:pStyle w:val="BodyText"/>
        <w:spacing w:line="379" w:lineRule="auto" w:before="169"/>
        <w:ind w:left="559" w:right="102"/>
        <w:jc w:val="left"/>
      </w:pPr>
      <w:r>
        <w:rPr>
          <w:rFonts w:ascii="Times New Roman" w:hAnsi="Times New Roman" w:cs="Times New Roman" w:eastAsia="Times New Roman" w:hint="default"/>
        </w:rPr>
        <w:t>2</w:t>
      </w:r>
      <w:r>
        <w:rPr/>
        <w:t>、薪酬与考核委员会 </w:t>
      </w:r>
      <w:r>
        <w:rPr>
          <w:spacing w:val="-3"/>
        </w:rPr>
        <w:t>报告期内，薪酬与考核委员会共召开了一次会议，即第一届董事会薪酬与考核委员会第</w:t>
      </w:r>
    </w:p>
    <w:p>
      <w:pPr>
        <w:pStyle w:val="BodyText"/>
        <w:spacing w:line="235" w:lineRule="exact" w:before="0"/>
        <w:ind w:left="139" w:right="0"/>
        <w:jc w:val="both"/>
        <w:rPr>
          <w:rFonts w:ascii="Times New Roman" w:hAnsi="Times New Roman" w:cs="Times New Roman" w:eastAsia="Times New Roman" w:hint="default"/>
        </w:rPr>
      </w:pPr>
      <w:r>
        <w:rPr/>
        <w:t>三次会议</w:t>
      </w:r>
      <w:r>
        <w:rPr>
          <w:spacing w:val="-105"/>
        </w:rPr>
        <w:t>，</w:t>
      </w:r>
      <w:r>
        <w:rPr>
          <w:spacing w:val="-2"/>
        </w:rPr>
        <w:t>根</w:t>
      </w:r>
      <w:r>
        <w:rPr/>
        <w:t>据公司薪酬考核制度对公司高级管理人员进行考核</w:t>
      </w:r>
      <w:r>
        <w:rPr>
          <w:spacing w:val="-105"/>
        </w:rPr>
        <w:t>，</w:t>
      </w:r>
      <w:r>
        <w:rPr/>
        <w:t>确认其</w:t>
      </w:r>
      <w:r>
        <w:rPr>
          <w:spacing w:val="-67"/>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07</w:t>
      </w:r>
      <w:r>
        <w:rPr>
          <w:rFonts w:ascii="Times New Roman" w:hAnsi="Times New Roman" w:cs="Times New Roman" w:eastAsia="Times New Roman" w:hint="default"/>
          <w:spacing w:val="-14"/>
        </w:rPr>
        <w:t> </w:t>
      </w:r>
      <w:r>
        <w:rPr/>
        <w:t>年薪</w:t>
      </w:r>
      <w:r>
        <w:rPr>
          <w:spacing w:val="-2"/>
        </w:rPr>
        <w:t>酬</w:t>
      </w:r>
      <w:r>
        <w:rPr/>
        <w:t>及</w:t>
      </w:r>
      <w:r>
        <w:rPr>
          <w:spacing w:val="-67"/>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0</w:t>
      </w:r>
      <w:r>
        <w:rPr>
          <w:rFonts w:ascii="Times New Roman" w:hAnsi="Times New Roman" w:cs="Times New Roman" w:eastAsia="Times New Roman" w:hint="default"/>
        </w:rPr>
        <w:t>8</w:t>
      </w:r>
    </w:p>
    <w:p>
      <w:pPr>
        <w:pStyle w:val="BodyText"/>
        <w:spacing w:line="240" w:lineRule="auto"/>
        <w:ind w:left="139" w:right="0"/>
        <w:jc w:val="both"/>
      </w:pPr>
      <w:r>
        <w:rPr/>
        <w:t>年度考核目标，并提交董事会审议。</w:t>
      </w:r>
    </w:p>
    <w:p>
      <w:pPr>
        <w:spacing w:line="240" w:lineRule="auto" w:before="2"/>
        <w:rPr>
          <w:rFonts w:ascii="宋体" w:hAnsi="宋体" w:cs="宋体" w:eastAsia="宋体" w:hint="default"/>
          <w:sz w:val="14"/>
          <w:szCs w:val="14"/>
        </w:rPr>
      </w:pPr>
    </w:p>
    <w:p>
      <w:pPr>
        <w:pStyle w:val="BodyText"/>
        <w:spacing w:line="240" w:lineRule="auto" w:before="0"/>
        <w:ind w:left="559" w:right="102"/>
        <w:jc w:val="left"/>
      </w:pPr>
      <w:r>
        <w:rPr/>
        <w:t>薪酬与考核委员会于</w:t>
      </w:r>
      <w:r>
        <w:rPr>
          <w:spacing w:val="-3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9"/>
        </w:rPr>
        <w:t> </w:t>
      </w:r>
      <w:r>
        <w:rPr/>
        <w:t>年</w:t>
      </w:r>
      <w:r>
        <w:rPr>
          <w:spacing w:val="-34"/>
        </w:rPr>
        <w:t> </w:t>
      </w:r>
      <w:r>
        <w:rPr>
          <w:rFonts w:ascii="Times New Roman" w:hAnsi="Times New Roman" w:cs="Times New Roman" w:eastAsia="Times New Roman" w:hint="default"/>
        </w:rPr>
        <w:t>3</w:t>
      </w:r>
      <w:r>
        <w:rPr>
          <w:rFonts w:ascii="Times New Roman" w:hAnsi="Times New Roman" w:cs="Times New Roman" w:eastAsia="Times New Roman" w:hint="default"/>
          <w:spacing w:val="17"/>
        </w:rPr>
        <w:t> </w:t>
      </w:r>
      <w:r>
        <w:rPr/>
        <w:t>月</w:t>
      </w:r>
      <w:r>
        <w:rPr>
          <w:spacing w:val="-34"/>
        </w:rPr>
        <w:t> </w:t>
      </w:r>
      <w:r>
        <w:rPr>
          <w:rFonts w:ascii="Times New Roman" w:hAnsi="Times New Roman" w:cs="Times New Roman" w:eastAsia="Times New Roman" w:hint="default"/>
        </w:rPr>
        <w:t>13</w:t>
      </w:r>
      <w:r>
        <w:rPr>
          <w:rFonts w:ascii="Times New Roman" w:hAnsi="Times New Roman" w:cs="Times New Roman" w:eastAsia="Times New Roman" w:hint="default"/>
          <w:spacing w:val="17"/>
        </w:rPr>
        <w:t> </w:t>
      </w:r>
      <w:r>
        <w:rPr/>
        <w:t>日召开第二届董事会薪酬与考核委员会第一次会</w:t>
      </w:r>
    </w:p>
    <w:p>
      <w:pPr>
        <w:pStyle w:val="BodyText"/>
        <w:spacing w:line="292" w:lineRule="auto"/>
        <w:ind w:left="139" w:right="216"/>
        <w:jc w:val="both"/>
      </w:pPr>
      <w:r>
        <w:rPr/>
        <w:t>议，与会委员对公司</w:t>
      </w:r>
      <w:r>
        <w:rPr>
          <w:spacing w:val="-4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年高级管理人员薪酬考核情况进行了审核，认为：公司高级管理 </w:t>
      </w:r>
      <w:r>
        <w:rPr>
          <w:spacing w:val="-3"/>
        </w:rPr>
        <w:t>人员的薪酬决策程序符合规定；高级管理人员的薪酬标准符合公司薪资管理办法的规定。为</w:t>
      </w:r>
      <w:r>
        <w:rPr>
          <w:spacing w:val="-79"/>
        </w:rPr>
        <w:t> </w:t>
      </w:r>
      <w:r>
        <w:rPr>
          <w:spacing w:val="-79"/>
        </w:rPr>
      </w:r>
      <w:r>
        <w:rPr>
          <w:spacing w:val="-3"/>
        </w:rPr>
        <w:t>适应新的经营管理需要，有效建立高管层与企业持续发展相适应的激励与约束机制，促进企</w:t>
      </w:r>
      <w:r>
        <w:rPr>
          <w:spacing w:val="-79"/>
        </w:rPr>
        <w:t> </w:t>
      </w:r>
      <w:r>
        <w:rPr>
          <w:spacing w:val="-79"/>
        </w:rPr>
      </w:r>
      <w:r>
        <w:rPr>
          <w:spacing w:val="-3"/>
        </w:rPr>
        <w:t>业效益增长，公司对原《高管层年度业绩考核与薪酬管理办法》进行了修订，并提交董事会</w:t>
      </w:r>
      <w:r>
        <w:rPr>
          <w:spacing w:val="-80"/>
        </w:rPr>
        <w:t> </w:t>
      </w:r>
      <w:r>
        <w:rPr>
          <w:spacing w:val="-80"/>
        </w:rPr>
      </w:r>
      <w:r>
        <w:rPr/>
        <w:t>审议。</w:t>
      </w:r>
    </w:p>
    <w:p>
      <w:pPr>
        <w:pStyle w:val="BodyText"/>
        <w:spacing w:line="379" w:lineRule="auto" w:before="138"/>
        <w:ind w:left="559" w:right="102"/>
        <w:jc w:val="left"/>
      </w:pPr>
      <w:r>
        <w:rPr>
          <w:rFonts w:ascii="Times New Roman" w:hAnsi="Times New Roman" w:cs="Times New Roman" w:eastAsia="Times New Roman" w:hint="default"/>
        </w:rPr>
        <w:t>3</w:t>
      </w:r>
      <w:r>
        <w:rPr/>
        <w:t>、提名委员会 </w:t>
      </w:r>
      <w:r>
        <w:rPr>
          <w:spacing w:val="-3"/>
        </w:rPr>
        <w:t>报告期内，提名委员会共召开两次会议，对所需人员进行广泛搜寻，并对搜集初选人的</w:t>
      </w:r>
    </w:p>
    <w:p>
      <w:pPr>
        <w:pStyle w:val="BodyText"/>
        <w:spacing w:line="219" w:lineRule="exact" w:before="0"/>
        <w:ind w:left="139" w:right="0"/>
        <w:jc w:val="both"/>
      </w:pPr>
      <w:r>
        <w:rPr/>
        <w:t>职业、学历、职称、详细的工作经历、全部兼职等情况切实进行了审查。</w:t>
      </w:r>
    </w:p>
    <w:p>
      <w:pPr>
        <w:spacing w:line="240" w:lineRule="auto" w:before="2"/>
        <w:rPr>
          <w:rFonts w:ascii="宋体" w:hAnsi="宋体" w:cs="宋体" w:eastAsia="宋体" w:hint="default"/>
          <w:sz w:val="14"/>
          <w:szCs w:val="14"/>
        </w:rPr>
      </w:pPr>
    </w:p>
    <w:p>
      <w:pPr>
        <w:pStyle w:val="BodyText"/>
        <w:spacing w:line="292" w:lineRule="auto" w:before="0"/>
        <w:ind w:left="139" w:right="216" w:firstLine="420"/>
        <w:jc w:val="both"/>
      </w:pPr>
      <w:r>
        <w:rPr>
          <w:spacing w:val="-3"/>
        </w:rPr>
        <w:t>因独立董事罗坚生先生因病逝世，根据《公司章程》第一百零七条“董事会成员中应当</w:t>
      </w:r>
      <w:r>
        <w:rPr/>
        <w:t> </w:t>
      </w:r>
      <w:r>
        <w:rPr>
          <w:spacing w:val="-5"/>
        </w:rPr>
        <w:t>至少包括三分之一独立董事”的要求，提名委员会于</w:t>
      </w:r>
      <w:r>
        <w:rPr>
          <w:spacing w:val="-5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14</w:t>
      </w:r>
      <w:r>
        <w:rPr>
          <w:rFonts w:ascii="Times New Roman" w:hAnsi="Times New Roman" w:cs="Times New Roman" w:eastAsia="Times New Roman" w:hint="default"/>
          <w:spacing w:val="2"/>
        </w:rPr>
        <w:t> </w:t>
      </w:r>
      <w:r>
        <w:rPr/>
        <w:t>日召开第一届董事会提 </w:t>
      </w:r>
      <w:r>
        <w:rPr>
          <w:spacing w:val="-3"/>
        </w:rPr>
        <w:t>名委员会第二次会议，同意公司增补程昆先生为独立董事，并提交第一届董事会第十五次会</w:t>
      </w:r>
      <w:r>
        <w:rPr>
          <w:spacing w:val="-79"/>
        </w:rPr>
        <w:t> </w:t>
      </w:r>
      <w:r>
        <w:rPr>
          <w:spacing w:val="-79"/>
        </w:rPr>
      </w:r>
      <w:r>
        <w:rPr/>
        <w:t>议进行审议。</w:t>
      </w:r>
    </w:p>
    <w:p>
      <w:pPr>
        <w:pStyle w:val="BodyText"/>
        <w:spacing w:line="295" w:lineRule="auto" w:before="138"/>
        <w:ind w:left="139" w:right="102" w:firstLine="420"/>
        <w:jc w:val="left"/>
      </w:pPr>
      <w:r>
        <w:rPr>
          <w:spacing w:val="-6"/>
        </w:rPr>
        <w:t>按照《公司章程》的规定，公司第一届董事会成员任期已届满，为选举新一届董事成员，</w:t>
      </w:r>
      <w:r>
        <w:rPr/>
        <w:t> 提名委员会于</w:t>
      </w:r>
      <w:r>
        <w:rPr>
          <w:spacing w:val="-51"/>
        </w:rPr>
        <w:t> </w:t>
      </w: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spacing w:val="-8"/>
        </w:rPr>
        <w:t>日召开第一届董事会提名委员会第三次会议，审议通过了《关</w:t>
      </w:r>
      <w:r>
        <w:rPr>
          <w:spacing w:val="-101"/>
        </w:rPr>
        <w:t> </w:t>
      </w:r>
      <w:r>
        <w:rPr>
          <w:spacing w:val="-101"/>
        </w:rPr>
      </w:r>
      <w:r>
        <w:rPr>
          <w:spacing w:val="-3"/>
        </w:rPr>
        <w:t>于选举公司第二届董事会非独立董事的议案》和《关于选举公司第二届董事会独立董事的议</w:t>
      </w:r>
      <w:r>
        <w:rPr>
          <w:spacing w:val="-79"/>
        </w:rPr>
        <w:t> </w:t>
      </w:r>
      <w:r>
        <w:rPr>
          <w:spacing w:val="-79"/>
        </w:rPr>
      </w:r>
      <w:r>
        <w:rPr>
          <w:spacing w:val="-3"/>
        </w:rPr>
        <w:t>案》，同意选举赵友永先生、王俊先生、叶子瑜先生、张宗贵先生和任斌女士为公司第二届</w:t>
      </w:r>
      <w:r>
        <w:rPr>
          <w:spacing w:val="-84"/>
        </w:rPr>
        <w:t> </w:t>
      </w:r>
      <w:r>
        <w:rPr>
          <w:spacing w:val="-84"/>
        </w:rPr>
      </w:r>
      <w:r>
        <w:rPr>
          <w:spacing w:val="-3"/>
        </w:rPr>
        <w:t>董事会非独立董事候选人，王礼贵先生、李进一先生和程昆先生为公司第二届董事会独立董</w:t>
      </w:r>
      <w:r>
        <w:rPr>
          <w:spacing w:val="-79"/>
        </w:rPr>
        <w:t> </w:t>
      </w:r>
      <w:r>
        <w:rPr>
          <w:spacing w:val="-79"/>
        </w:rPr>
      </w:r>
      <w:r>
        <w:rPr/>
        <w:t>事候选人，并提交公司第一届董事会第二十一次（临时）会议进行审议。</w:t>
      </w:r>
    </w:p>
    <w:p>
      <w:pPr>
        <w:spacing w:line="240" w:lineRule="auto" w:before="1"/>
        <w:rPr>
          <w:rFonts w:ascii="宋体" w:hAnsi="宋体" w:cs="宋体" w:eastAsia="宋体" w:hint="default"/>
          <w:sz w:val="28"/>
          <w:szCs w:val="28"/>
        </w:rPr>
      </w:pPr>
    </w:p>
    <w:p>
      <w:pPr>
        <w:pStyle w:val="Heading2"/>
        <w:spacing w:line="240" w:lineRule="auto"/>
        <w:ind w:right="0"/>
        <w:jc w:val="both"/>
        <w:rPr>
          <w:b w:val="0"/>
          <w:bCs w:val="0"/>
        </w:rPr>
      </w:pPr>
      <w:r>
        <w:rPr/>
        <w:t>四、公司</w:t>
      </w:r>
      <w:r>
        <w:rPr>
          <w:spacing w:val="-7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年利润分配预案</w:t>
      </w:r>
      <w:r>
        <w:rPr>
          <w:b w:val="0"/>
          <w:bCs w:val="0"/>
        </w:rPr>
      </w:r>
    </w:p>
    <w:p>
      <w:pPr>
        <w:pStyle w:val="BodyText"/>
        <w:spacing w:line="240" w:lineRule="auto" w:before="105"/>
        <w:ind w:left="560" w:right="102"/>
        <w:jc w:val="left"/>
      </w:pPr>
      <w:r>
        <w:rPr>
          <w:spacing w:val="10"/>
        </w:rPr>
        <w:t>经立信羊城会计师事务所有限公司审计确认，公司（母公司）</w:t>
      </w:r>
      <w:r>
        <w:rPr>
          <w:rFonts w:ascii="Times New Roman" w:hAnsi="Times New Roman" w:cs="Times New Roman" w:eastAsia="Times New Roman" w:hint="default"/>
          <w:spacing w:val="10"/>
        </w:rPr>
        <w:t>2008 </w:t>
      </w:r>
      <w:r>
        <w:rPr>
          <w:rFonts w:ascii="Times New Roman" w:hAnsi="Times New Roman" w:cs="Times New Roman" w:eastAsia="Times New Roman" w:hint="default"/>
          <w:spacing w:val="33"/>
        </w:rPr>
        <w:t> </w:t>
      </w:r>
      <w:r>
        <w:rPr>
          <w:spacing w:val="13"/>
        </w:rPr>
        <w:t>年实现净利润</w:t>
      </w:r>
      <w:r>
        <w:rPr/>
      </w:r>
    </w:p>
    <w:p>
      <w:pPr>
        <w:pStyle w:val="BodyText"/>
        <w:spacing w:line="240" w:lineRule="auto"/>
        <w:ind w:right="0"/>
        <w:jc w:val="both"/>
        <w:rPr>
          <w:rFonts w:ascii="Times New Roman" w:hAnsi="Times New Roman" w:cs="Times New Roman" w:eastAsia="Times New Roman" w:hint="default"/>
        </w:rPr>
      </w:pPr>
      <w:r>
        <w:rPr>
          <w:rFonts w:ascii="Times New Roman" w:hAnsi="Times New Roman" w:cs="Times New Roman" w:eastAsia="Times New Roman" w:hint="default"/>
        </w:rPr>
        <w:t>315,559,883.16 </w:t>
      </w:r>
      <w:r>
        <w:rPr>
          <w:spacing w:val="-15"/>
        </w:rPr>
        <w:t>元。依照《公司法》和《公司章程》的规定，提取法定盈余公积金</w:t>
      </w:r>
      <w:r>
        <w:rPr>
          <w:spacing w:val="-42"/>
        </w:rPr>
        <w:t> </w:t>
      </w:r>
      <w:r>
        <w:rPr>
          <w:rFonts w:ascii="Times New Roman" w:hAnsi="Times New Roman" w:cs="Times New Roman" w:eastAsia="Times New Roman" w:hint="default"/>
        </w:rPr>
        <w:t>31,555,988.32</w:t>
      </w:r>
    </w:p>
    <w:p>
      <w:pPr>
        <w:pStyle w:val="BodyText"/>
        <w:spacing w:line="240" w:lineRule="auto"/>
        <w:ind w:left="139" w:right="0"/>
        <w:jc w:val="both"/>
        <w:rPr>
          <w:rFonts w:ascii="Times New Roman" w:hAnsi="Times New Roman" w:cs="Times New Roman" w:eastAsia="Times New Roman" w:hint="default"/>
        </w:rPr>
      </w:pPr>
      <w:r>
        <w:rPr/>
        <w:t>元后，公司可供股东分配利润为 </w:t>
      </w:r>
      <w:r>
        <w:rPr>
          <w:rFonts w:ascii="Times New Roman" w:hAnsi="Times New Roman" w:cs="Times New Roman" w:eastAsia="Times New Roman" w:hint="default"/>
        </w:rPr>
        <w:t>529,944,841.03 </w:t>
      </w:r>
      <w:r>
        <w:rPr/>
        <w:t>元（含以前年度未分配利润</w:t>
      </w:r>
      <w:r>
        <w:rPr>
          <w:spacing w:val="-54"/>
        </w:rPr>
        <w:t> </w:t>
      </w:r>
      <w:r>
        <w:rPr>
          <w:rFonts w:ascii="Times New Roman" w:hAnsi="Times New Roman" w:cs="Times New Roman" w:eastAsia="Times New Roman" w:hint="default"/>
        </w:rPr>
        <w:t>245,940,946.19</w:t>
      </w:r>
    </w:p>
    <w:p>
      <w:pPr>
        <w:pStyle w:val="BodyText"/>
        <w:spacing w:line="240" w:lineRule="auto" w:before="49"/>
        <w:ind w:left="139" w:right="0"/>
        <w:jc w:val="both"/>
      </w:pPr>
      <w:r>
        <w:rPr/>
        <w:t>元</w:t>
      </w:r>
      <w:r>
        <w:rPr>
          <w:spacing w:val="-105"/>
        </w:rPr>
        <w:t>）</w:t>
      </w:r>
      <w:r>
        <w:rPr/>
        <w:t>。</w:t>
      </w:r>
    </w:p>
    <w:p>
      <w:pPr>
        <w:spacing w:line="240" w:lineRule="auto" w:before="3"/>
        <w:rPr>
          <w:rFonts w:ascii="宋体" w:hAnsi="宋体" w:cs="宋体" w:eastAsia="宋体" w:hint="default"/>
          <w:sz w:val="14"/>
          <w:szCs w:val="14"/>
        </w:rPr>
      </w:pPr>
    </w:p>
    <w:p>
      <w:pPr>
        <w:pStyle w:val="BodyText"/>
        <w:spacing w:line="240" w:lineRule="auto" w:before="0"/>
        <w:ind w:left="559" w:right="102"/>
        <w:jc w:val="left"/>
      </w:pPr>
      <w:r>
        <w:rPr/>
        <w:t>公司</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年利润分配及资本公积金转增股本预案如下：</w:t>
      </w:r>
    </w:p>
    <w:p>
      <w:pPr>
        <w:pStyle w:val="BodyText"/>
        <w:spacing w:line="240" w:lineRule="auto" w:before="170"/>
        <w:ind w:left="559" w:right="102"/>
        <w:jc w:val="left"/>
      </w:pPr>
      <w:r>
        <w:rPr/>
        <w:t>以</w:t>
      </w:r>
      <w:r>
        <w:rPr>
          <w:spacing w:val="-54"/>
        </w:rPr>
        <w:t> </w:t>
      </w:r>
      <w:r>
        <w:rPr>
          <w:rFonts w:ascii="Times New Roman" w:hAnsi="Times New Roman" w:cs="Times New Roman" w:eastAsia="Times New Roman" w:hint="default"/>
        </w:rPr>
        <w:t>2008 </w:t>
      </w:r>
      <w:r>
        <w:rPr/>
        <w:t>年</w:t>
      </w:r>
      <w:r>
        <w:rPr>
          <w:spacing w:val="-55"/>
        </w:rPr>
        <w:t> </w:t>
      </w:r>
      <w:r>
        <w:rPr>
          <w:rFonts w:ascii="Times New Roman" w:hAnsi="Times New Roman" w:cs="Times New Roman" w:eastAsia="Times New Roman" w:hint="default"/>
        </w:rPr>
        <w:t>12 </w:t>
      </w:r>
      <w:r>
        <w:rPr/>
        <w:t>月</w:t>
      </w:r>
      <w:r>
        <w:rPr>
          <w:spacing w:val="-54"/>
        </w:rPr>
        <w:t> </w:t>
      </w:r>
      <w:r>
        <w:rPr>
          <w:rFonts w:ascii="Times New Roman" w:hAnsi="Times New Roman" w:cs="Times New Roman" w:eastAsia="Times New Roman" w:hint="default"/>
        </w:rPr>
        <w:t>31 </w:t>
      </w:r>
      <w:r>
        <w:rPr/>
        <w:t>日公司总股本</w:t>
      </w:r>
      <w:r>
        <w:rPr>
          <w:spacing w:val="-54"/>
        </w:rPr>
        <w:t> </w:t>
      </w:r>
      <w:r>
        <w:rPr>
          <w:rFonts w:ascii="Times New Roman" w:hAnsi="Times New Roman" w:cs="Times New Roman" w:eastAsia="Times New Roman" w:hint="default"/>
        </w:rPr>
        <w:t>285,118,020 </w:t>
      </w:r>
      <w:r>
        <w:rPr/>
        <w:t>股为基数，向全体股东每</w:t>
      </w:r>
      <w:r>
        <w:rPr>
          <w:spacing w:val="-54"/>
        </w:rPr>
        <w:t> </w:t>
      </w:r>
      <w:r>
        <w:rPr>
          <w:rFonts w:ascii="Times New Roman" w:hAnsi="Times New Roman" w:cs="Times New Roman" w:eastAsia="Times New Roman" w:hint="default"/>
        </w:rPr>
        <w:t>10 </w:t>
      </w:r>
      <w:r>
        <w:rPr/>
        <w:t>股派发现金</w:t>
      </w:r>
    </w:p>
    <w:p>
      <w:pPr>
        <w:spacing w:after="0" w:line="240" w:lineRule="auto"/>
        <w:jc w:val="left"/>
        <w:sectPr>
          <w:pgSz w:w="11910" w:h="16840"/>
          <w:pgMar w:header="0" w:footer="982" w:top="1100" w:bottom="1180" w:left="1660" w:right="1580"/>
        </w:sectPr>
      </w:pPr>
    </w:p>
    <w:p>
      <w:pPr>
        <w:spacing w:line="240" w:lineRule="auto" w:before="1"/>
        <w:rPr>
          <w:rFonts w:ascii="宋体" w:hAnsi="宋体" w:cs="宋体" w:eastAsia="宋体" w:hint="default"/>
          <w:sz w:val="19"/>
          <w:szCs w:val="19"/>
        </w:rPr>
      </w:pPr>
    </w:p>
    <w:p>
      <w:pPr>
        <w:pStyle w:val="BodyText"/>
        <w:spacing w:line="280" w:lineRule="auto" w:before="35"/>
        <w:ind w:left="220" w:right="211"/>
        <w:jc w:val="left"/>
      </w:pPr>
      <w:r>
        <w:rPr/>
        <w:t>红利</w:t>
      </w:r>
      <w:r>
        <w:rPr>
          <w:spacing w:val="-49"/>
        </w:rPr>
        <w:t> </w:t>
      </w:r>
      <w:r>
        <w:rPr>
          <w:rFonts w:ascii="Times New Roman" w:hAnsi="Times New Roman" w:cs="Times New Roman" w:eastAsia="Times New Roman" w:hint="default"/>
          <w:spacing w:val="-1"/>
        </w:rPr>
        <w:t>2.00</w:t>
      </w:r>
      <w:r>
        <w:rPr>
          <w:rFonts w:ascii="Times New Roman" w:hAnsi="Times New Roman" w:cs="Times New Roman" w:eastAsia="Times New Roman" w:hint="default"/>
          <w:spacing w:val="4"/>
        </w:rPr>
        <w:t> </w:t>
      </w:r>
      <w:r>
        <w:rPr>
          <w:spacing w:val="-12"/>
        </w:rPr>
        <w:t>元（含税），共计分配利润</w:t>
      </w:r>
      <w:r>
        <w:rPr>
          <w:spacing w:val="-49"/>
        </w:rPr>
        <w:t> </w:t>
      </w:r>
      <w:r>
        <w:rPr>
          <w:rFonts w:ascii="Times New Roman" w:hAnsi="Times New Roman" w:cs="Times New Roman" w:eastAsia="Times New Roman" w:hint="default"/>
          <w:spacing w:val="-1"/>
        </w:rPr>
        <w:t>57,023,604.00</w:t>
      </w:r>
      <w:r>
        <w:rPr>
          <w:rFonts w:ascii="Times New Roman" w:hAnsi="Times New Roman" w:cs="Times New Roman" w:eastAsia="Times New Roman" w:hint="default"/>
          <w:spacing w:val="3"/>
        </w:rPr>
        <w:t> </w:t>
      </w:r>
      <w:r>
        <w:rPr>
          <w:spacing w:val="-2"/>
        </w:rPr>
        <w:t>元，剩余未分配利润</w:t>
      </w:r>
      <w:r>
        <w:rPr>
          <w:spacing w:val="-49"/>
        </w:rPr>
        <w:t> </w:t>
      </w:r>
      <w:r>
        <w:rPr>
          <w:rFonts w:ascii="Times New Roman" w:hAnsi="Times New Roman" w:cs="Times New Roman" w:eastAsia="Times New Roman" w:hint="default"/>
          <w:spacing w:val="-1"/>
        </w:rPr>
        <w:t>472,921,237.03</w:t>
      </w:r>
      <w:r>
        <w:rPr>
          <w:rFonts w:ascii="Times New Roman" w:hAnsi="Times New Roman" w:cs="Times New Roman" w:eastAsia="Times New Roman" w:hint="default"/>
          <w:spacing w:val="3"/>
        </w:rPr>
        <w:t> </w:t>
      </w:r>
      <w:r>
        <w:rPr>
          <w:spacing w:val="1"/>
        </w:rPr>
        <w:t>元结</w:t>
      </w:r>
      <w:r>
        <w:rPr>
          <w:spacing w:val="-103"/>
        </w:rPr>
        <w:t> </w:t>
      </w:r>
      <w:r>
        <w:rPr/>
        <w:t>转至下一年度。</w:t>
      </w:r>
    </w:p>
    <w:p>
      <w:pPr>
        <w:pStyle w:val="BodyText"/>
        <w:spacing w:line="240" w:lineRule="auto" w:before="149"/>
        <w:ind w:left="640" w:right="104"/>
        <w:jc w:val="left"/>
      </w:pPr>
      <w:r>
        <w:rPr/>
        <w:t>以</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日公司总股本</w:t>
      </w:r>
      <w:r>
        <w:rPr>
          <w:spacing w:val="-56"/>
        </w:rPr>
        <w:t> </w:t>
      </w:r>
      <w:r>
        <w:rPr>
          <w:rFonts w:ascii="Times New Roman" w:hAnsi="Times New Roman" w:cs="Times New Roman" w:eastAsia="Times New Roman" w:hint="default"/>
        </w:rPr>
        <w:t>285,118,020</w:t>
      </w:r>
      <w:r>
        <w:rPr>
          <w:rFonts w:ascii="Times New Roman" w:hAnsi="Times New Roman" w:cs="Times New Roman" w:eastAsia="Times New Roman" w:hint="default"/>
          <w:spacing w:val="-3"/>
        </w:rPr>
        <w:t> </w:t>
      </w:r>
      <w:r>
        <w:rPr>
          <w:spacing w:val="-5"/>
        </w:rPr>
        <w:t>股为基数，以资本公积转增股本，向全体</w:t>
      </w:r>
    </w:p>
    <w:p>
      <w:pPr>
        <w:pStyle w:val="BodyText"/>
        <w:spacing w:line="391" w:lineRule="auto"/>
        <w:ind w:left="639" w:right="211" w:hanging="420"/>
        <w:jc w:val="left"/>
      </w:pPr>
      <w:r>
        <w:rPr/>
        <w:pict>
          <v:shape style="position:absolute;margin-left:84.360001pt;margin-top:67.316475pt;width:426.85pt;height:144.7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48"/>
                    <w:gridCol w:w="2326"/>
                    <w:gridCol w:w="1424"/>
                    <w:gridCol w:w="1424"/>
                  </w:tblGrid>
                  <w:tr>
                    <w:trPr>
                      <w:trHeight w:val="535"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17"/>
                          <w:ind w:right="1"/>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36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2006</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36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2005</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535"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1"/>
                            <w:szCs w:val="21"/>
                          </w:rPr>
                        </w:pPr>
                        <w:r>
                          <w:rPr>
                            <w:rFonts w:ascii="宋体" w:hAnsi="宋体" w:cs="宋体" w:eastAsia="宋体" w:hint="default"/>
                            <w:sz w:val="21"/>
                            <w:szCs w:val="21"/>
                          </w:rPr>
                          <w:t>利润分配方式</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hAnsi="宋体" w:cs="宋体" w:eastAsia="宋体" w:hint="default"/>
                            <w:sz w:val="21"/>
                            <w:szCs w:val="21"/>
                          </w:rPr>
                          <w:t>现金分红</w:t>
                        </w:r>
                        <w:r>
                          <w:rPr>
                            <w:rFonts w:ascii="Times New Roman" w:hAnsi="Times New Roman" w:cs="Times New Roman" w:eastAsia="Times New Roman" w:hint="default"/>
                            <w:sz w:val="21"/>
                            <w:szCs w:val="21"/>
                          </w:rPr>
                          <w:t>/</w:t>
                        </w:r>
                        <w:r>
                          <w:rPr>
                            <w:rFonts w:ascii="宋体" w:hAnsi="宋体" w:cs="宋体" w:eastAsia="宋体" w:hint="default"/>
                            <w:sz w:val="21"/>
                            <w:szCs w:val="21"/>
                          </w:rPr>
                          <w:t>公积金转增</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hAnsi="宋体" w:cs="宋体" w:eastAsia="宋体" w:hint="default"/>
                            <w:sz w:val="21"/>
                            <w:szCs w:val="21"/>
                          </w:rPr>
                          <w:t>现金分红</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535"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1"/>
                            <w:szCs w:val="21"/>
                          </w:rPr>
                        </w:pPr>
                        <w:r>
                          <w:rPr>
                            <w:rFonts w:ascii="宋体" w:hAnsi="宋体" w:cs="宋体" w:eastAsia="宋体" w:hint="default"/>
                            <w:sz w:val="21"/>
                            <w:szCs w:val="21"/>
                          </w:rPr>
                          <w:t>现金分红金额（含税</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元）</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0"/>
                          <w:jc w:val="right"/>
                          <w:rPr>
                            <w:rFonts w:ascii="Times New Roman" w:hAnsi="Times New Roman" w:cs="Times New Roman" w:eastAsia="Times New Roman" w:hint="default"/>
                            <w:sz w:val="21"/>
                            <w:szCs w:val="21"/>
                          </w:rPr>
                        </w:pPr>
                        <w:r>
                          <w:rPr>
                            <w:rFonts w:ascii="Times New Roman"/>
                            <w:spacing w:val="-1"/>
                            <w:sz w:val="21"/>
                          </w:rPr>
                          <w:t>28,511,802.00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0"/>
                          <w:jc w:val="right"/>
                          <w:rPr>
                            <w:rFonts w:ascii="Times New Roman" w:hAnsi="Times New Roman" w:cs="Times New Roman" w:eastAsia="Times New Roman" w:hint="default"/>
                            <w:sz w:val="21"/>
                            <w:szCs w:val="21"/>
                          </w:rPr>
                        </w:pPr>
                        <w:r>
                          <w:rPr>
                            <w:rFonts w:ascii="Times New Roman"/>
                            <w:spacing w:val="-1"/>
                            <w:sz w:val="21"/>
                          </w:rPr>
                          <w:t>31,967,703.00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1"/>
                          <w:jc w:val="right"/>
                          <w:rPr>
                            <w:rFonts w:ascii="Times New Roman" w:hAnsi="Times New Roman" w:cs="Times New Roman" w:eastAsia="Times New Roman" w:hint="default"/>
                            <w:sz w:val="21"/>
                            <w:szCs w:val="21"/>
                          </w:rPr>
                        </w:pPr>
                        <w:r>
                          <w:rPr>
                            <w:rFonts w:ascii="Times New Roman"/>
                            <w:spacing w:val="-1"/>
                            <w:sz w:val="21"/>
                          </w:rPr>
                          <w:t>0.00</w:t>
                        </w:r>
                      </w:p>
                    </w:tc>
                  </w:tr>
                  <w:tr>
                    <w:trPr>
                      <w:trHeight w:val="610"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0"/>
                          <w:ind w:left="103" w:right="86"/>
                          <w:jc w:val="left"/>
                          <w:rPr>
                            <w:rFonts w:ascii="宋体" w:hAnsi="宋体" w:cs="宋体" w:eastAsia="宋体" w:hint="default"/>
                            <w:sz w:val="21"/>
                            <w:szCs w:val="21"/>
                          </w:rPr>
                        </w:pPr>
                        <w:r>
                          <w:rPr>
                            <w:rFonts w:ascii="宋体" w:hAnsi="宋体" w:cs="宋体" w:eastAsia="宋体" w:hint="default"/>
                            <w:spacing w:val="14"/>
                            <w:sz w:val="21"/>
                            <w:szCs w:val="21"/>
                          </w:rPr>
                          <w:t>合并报表归属于母公司所有者的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净利润（元）</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102"/>
                          <w:jc w:val="right"/>
                          <w:rPr>
                            <w:rFonts w:ascii="Times New Roman" w:hAnsi="Times New Roman" w:cs="Times New Roman" w:eastAsia="Times New Roman" w:hint="default"/>
                            <w:sz w:val="21"/>
                            <w:szCs w:val="21"/>
                          </w:rPr>
                        </w:pPr>
                        <w:r>
                          <w:rPr>
                            <w:rFonts w:ascii="Times New Roman"/>
                            <w:spacing w:val="-1"/>
                            <w:sz w:val="21"/>
                          </w:rPr>
                          <w:t>231,569,801.01</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101"/>
                          <w:jc w:val="right"/>
                          <w:rPr>
                            <w:rFonts w:ascii="Times New Roman" w:hAnsi="Times New Roman" w:cs="Times New Roman" w:eastAsia="Times New Roman" w:hint="default"/>
                            <w:sz w:val="21"/>
                            <w:szCs w:val="21"/>
                          </w:rPr>
                        </w:pPr>
                        <w:r>
                          <w:rPr>
                            <w:rFonts w:ascii="Times New Roman"/>
                            <w:spacing w:val="-1"/>
                            <w:sz w:val="21"/>
                          </w:rPr>
                          <w:t>90,141,692.61</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101"/>
                          <w:jc w:val="right"/>
                          <w:rPr>
                            <w:rFonts w:ascii="Times New Roman" w:hAnsi="Times New Roman" w:cs="Times New Roman" w:eastAsia="Times New Roman" w:hint="default"/>
                            <w:sz w:val="21"/>
                            <w:szCs w:val="21"/>
                          </w:rPr>
                        </w:pPr>
                        <w:r>
                          <w:rPr>
                            <w:rFonts w:ascii="Times New Roman"/>
                            <w:spacing w:val="-1"/>
                            <w:sz w:val="21"/>
                          </w:rPr>
                          <w:t>37,010,678.54</w:t>
                        </w:r>
                      </w:p>
                    </w:tc>
                  </w:tr>
                  <w:tr>
                    <w:trPr>
                      <w:trHeight w:val="668"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48"/>
                          <w:ind w:left="103" w:right="86"/>
                          <w:jc w:val="left"/>
                          <w:rPr>
                            <w:rFonts w:ascii="宋体" w:hAnsi="宋体" w:cs="宋体" w:eastAsia="宋体" w:hint="default"/>
                            <w:sz w:val="21"/>
                            <w:szCs w:val="21"/>
                          </w:rPr>
                        </w:pPr>
                        <w:r>
                          <w:rPr>
                            <w:rFonts w:ascii="宋体" w:hAnsi="宋体" w:cs="宋体" w:eastAsia="宋体" w:hint="default"/>
                            <w:spacing w:val="14"/>
                            <w:sz w:val="21"/>
                            <w:szCs w:val="21"/>
                          </w:rPr>
                          <w:t>占合并报表中归属于母公司所有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者净利润的比率（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12.31%</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35.46%</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w:t>
                        </w:r>
                      </w:p>
                    </w:tc>
                  </w:tr>
                </w:tbl>
                <w:p>
                  <w:pPr/>
                </w:p>
              </w:txbxContent>
            </v:textbox>
            <w10:wrap type="none"/>
          </v:shape>
        </w:pict>
      </w:r>
      <w:r>
        <w:rPr/>
        <w:t>股东每</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股转增</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股，合计转增</w:t>
      </w:r>
      <w:r>
        <w:rPr>
          <w:spacing w:val="-56"/>
        </w:rPr>
        <w:t> </w:t>
      </w:r>
      <w:r>
        <w:rPr>
          <w:rFonts w:ascii="Times New Roman" w:hAnsi="Times New Roman" w:cs="Times New Roman" w:eastAsia="Times New Roman" w:hint="default"/>
        </w:rPr>
        <w:t>57,023,604</w:t>
      </w:r>
      <w:r>
        <w:rPr>
          <w:rFonts w:ascii="Times New Roman" w:hAnsi="Times New Roman" w:cs="Times New Roman" w:eastAsia="Times New Roman" w:hint="default"/>
          <w:spacing w:val="-2"/>
        </w:rPr>
        <w:t> </w:t>
      </w:r>
      <w:r>
        <w:rPr/>
        <w:t>股，转增后股本为</w:t>
      </w:r>
      <w:r>
        <w:rPr>
          <w:spacing w:val="-56"/>
        </w:rPr>
        <w:t> </w:t>
      </w:r>
      <w:r>
        <w:rPr>
          <w:rFonts w:ascii="Times New Roman" w:hAnsi="Times New Roman" w:cs="Times New Roman" w:eastAsia="Times New Roman" w:hint="default"/>
        </w:rPr>
        <w:t>342,141,624</w:t>
      </w:r>
      <w:r>
        <w:rPr>
          <w:rFonts w:ascii="Times New Roman" w:hAnsi="Times New Roman" w:cs="Times New Roman" w:eastAsia="Times New Roman" w:hint="default"/>
          <w:spacing w:val="-2"/>
        </w:rPr>
        <w:t> </w:t>
      </w:r>
      <w:r>
        <w:rPr/>
        <w:t>股。 该利润分配及资本公积金转增股本预案需提请公司股东大会审议。 公司实行持续、稳定的股利分配政策。前三年现金分红情况如下：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2"/>
        <w:spacing w:line="240" w:lineRule="auto" w:before="13"/>
        <w:ind w:left="220" w:right="0"/>
        <w:jc w:val="both"/>
        <w:rPr>
          <w:b w:val="0"/>
          <w:bCs w:val="0"/>
        </w:rPr>
      </w:pPr>
      <w:r>
        <w:rPr/>
        <w:t>五、开展投资者关系管理情况</w:t>
      </w:r>
      <w:r>
        <w:rPr>
          <w:b w:val="0"/>
          <w:bCs w:val="0"/>
        </w:rPr>
      </w:r>
    </w:p>
    <w:p>
      <w:pPr>
        <w:pStyle w:val="BodyText"/>
        <w:spacing w:line="297" w:lineRule="auto" w:before="127"/>
        <w:ind w:left="220" w:right="215" w:firstLine="420"/>
        <w:jc w:val="both"/>
      </w:pPr>
      <w:r>
        <w:rPr>
          <w:spacing w:val="-3"/>
        </w:rPr>
        <w:t>报告期内，根据相关法规及公司《投资者关系管理制度》的规定，公司董事会秘书作为</w:t>
      </w:r>
      <w:r>
        <w:rPr/>
        <w:t> </w:t>
      </w:r>
      <w:r>
        <w:rPr>
          <w:spacing w:val="-3"/>
        </w:rPr>
        <w:t>投资者关系管理的负责人，公司证券部负责投资者关系管理的日常事务，通过多种途径实施</w:t>
      </w:r>
      <w:r>
        <w:rPr>
          <w:spacing w:val="-79"/>
        </w:rPr>
        <w:t> </w:t>
      </w:r>
      <w:r>
        <w:rPr>
          <w:spacing w:val="-79"/>
        </w:rPr>
      </w:r>
      <w:r>
        <w:rPr>
          <w:spacing w:val="-3"/>
        </w:rPr>
        <w:t>有特色的投资者关系管理，树立起“尊重投资者，回报投资者”的理念，认真、规范地做好</w:t>
      </w:r>
      <w:r>
        <w:rPr>
          <w:spacing w:val="-81"/>
        </w:rPr>
        <w:t> </w:t>
      </w:r>
      <w:r>
        <w:rPr>
          <w:spacing w:val="-81"/>
        </w:rPr>
      </w:r>
      <w:r>
        <w:rPr/>
        <w:t>投资者关系管理工作。</w:t>
      </w:r>
    </w:p>
    <w:p>
      <w:pPr>
        <w:pStyle w:val="BodyText"/>
        <w:spacing w:line="280" w:lineRule="auto" w:before="135"/>
        <w:ind w:left="220" w:right="210" w:firstLine="420"/>
        <w:jc w:val="both"/>
      </w:pPr>
      <w:r>
        <w:rPr>
          <w:rFonts w:ascii="Times New Roman" w:hAnsi="Times New Roman" w:cs="Times New Roman" w:eastAsia="Times New Roman" w:hint="default"/>
        </w:rPr>
        <w:t>1</w:t>
      </w:r>
      <w:r>
        <w:rPr/>
        <w:t>、为更大程度保障中小投资者的利益，公司组织董事长、独立董事、财务总监、董事 </w:t>
      </w:r>
      <w:r>
        <w:rPr>
          <w:spacing w:val="2"/>
        </w:rPr>
        <w:t>会秘书于 </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 </w:t>
      </w:r>
      <w:r>
        <w:rPr>
          <w:rFonts w:ascii="Times New Roman" w:hAnsi="Times New Roman" w:cs="Times New Roman" w:eastAsia="Times New Roman" w:hint="default"/>
          <w:spacing w:val="35"/>
        </w:rPr>
        <w:t> </w:t>
      </w:r>
      <w:r>
        <w:rPr>
          <w:spacing w:val="2"/>
        </w:rPr>
        <w:t>日采用远程方式在深圳证券信息有限公司提供的网上平台举行</w:t>
      </w:r>
      <w:r>
        <w:rPr/>
      </w:r>
    </w:p>
    <w:p>
      <w:pPr>
        <w:pStyle w:val="BodyText"/>
        <w:spacing w:line="288" w:lineRule="auto" w:before="10"/>
        <w:ind w:left="220" w:right="215" w:hanging="1"/>
        <w:jc w:val="both"/>
      </w:pPr>
      <w:r>
        <w:rPr>
          <w:rFonts w:ascii="Times New Roman" w:hAnsi="Times New Roman" w:cs="Times New Roman" w:eastAsia="Times New Roman" w:hint="default"/>
        </w:rPr>
        <w:t>2007 </w:t>
      </w:r>
      <w:r>
        <w:rPr/>
        <w:t>年年度报告网上说明会，并且以深交所中小板极少有的</w:t>
      </w:r>
      <w:r>
        <w:rPr>
          <w:spacing w:val="2"/>
        </w:rPr>
        <w:t> </w:t>
      </w:r>
      <w:r>
        <w:rPr>
          <w:rFonts w:ascii="Times New Roman" w:hAnsi="Times New Roman" w:cs="Times New Roman" w:eastAsia="Times New Roman" w:hint="default"/>
        </w:rPr>
        <w:t>100</w:t>
      </w:r>
      <w:r>
        <w:rPr/>
        <w:t>％的回答率回应了投资者 </w:t>
      </w:r>
      <w:r>
        <w:rPr>
          <w:spacing w:val="-3"/>
        </w:rPr>
        <w:t>提交的所有问题；积极采用现场表决和网络表决相结合的方式召开公司股东大会，充分尊重</w:t>
      </w:r>
      <w:r>
        <w:rPr>
          <w:spacing w:val="-80"/>
        </w:rPr>
        <w:t> </w:t>
      </w:r>
      <w:r>
        <w:rPr>
          <w:spacing w:val="-80"/>
        </w:rPr>
      </w:r>
      <w:r>
        <w:rPr/>
        <w:t>中小投资者权益；</w:t>
      </w:r>
    </w:p>
    <w:p>
      <w:pPr>
        <w:pStyle w:val="BodyText"/>
        <w:spacing w:line="288" w:lineRule="auto" w:before="144"/>
        <w:ind w:left="220" w:right="215" w:firstLine="420"/>
        <w:jc w:val="both"/>
      </w:pPr>
      <w:r>
        <w:rPr>
          <w:rFonts w:ascii="Times New Roman" w:hAnsi="Times New Roman" w:cs="Times New Roman" w:eastAsia="Times New Roman" w:hint="default"/>
        </w:rPr>
        <w:t>2</w:t>
      </w:r>
      <w:r>
        <w:rPr/>
        <w:t>、以见面会等多种形式主动加强与投资者的联系和沟通；对个人和机构投资者、分析 </w:t>
      </w:r>
      <w:r>
        <w:rPr>
          <w:spacing w:val="-3"/>
        </w:rPr>
        <w:t>师的现场调研给予充分的尊重，并建立完备的投资者关系管理档案，详细地做好每次接待的</w:t>
      </w:r>
      <w:r>
        <w:rPr>
          <w:spacing w:val="-79"/>
        </w:rPr>
        <w:t> </w:t>
      </w:r>
      <w:r>
        <w:rPr>
          <w:spacing w:val="-79"/>
        </w:rPr>
      </w:r>
      <w:r>
        <w:rPr/>
        <w:t>资料存档工作。</w:t>
      </w:r>
    </w:p>
    <w:p>
      <w:pPr>
        <w:pStyle w:val="BodyText"/>
        <w:spacing w:line="280" w:lineRule="auto" w:before="144"/>
        <w:ind w:left="220" w:right="214" w:firstLine="420"/>
        <w:jc w:val="both"/>
      </w:pPr>
      <w:r>
        <w:rPr>
          <w:rFonts w:ascii="Times New Roman" w:hAnsi="Times New Roman" w:cs="Times New Roman" w:eastAsia="Times New Roman" w:hint="default"/>
        </w:rPr>
        <w:t>3</w:t>
      </w:r>
      <w:r>
        <w:rPr/>
        <w:t>、切实保持投资者热线电话畅通，积极维护投资者关系管理平台，及时回答投资者提 </w:t>
      </w:r>
      <w:r>
        <w:rPr>
          <w:spacing w:val="-3"/>
        </w:rPr>
        <w:t>问，得到投资者高度认可，且公司网站投资者关系栏目被评为</w:t>
      </w:r>
      <w:r>
        <w:rPr>
          <w:spacing w:val="-50"/>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A</w:t>
      </w:r>
      <w:r>
        <w:rPr>
          <w:rFonts w:ascii="Times New Roman" w:hAnsi="Times New Roman" w:cs="Times New Roman" w:eastAsia="Times New Roman" w:hint="default"/>
          <w:spacing w:val="2"/>
        </w:rPr>
        <w:t> </w:t>
      </w:r>
      <w:r>
        <w:rPr/>
        <w:t>股上市公司</w:t>
      </w:r>
      <w:r>
        <w:rPr>
          <w:spacing w:val="-50"/>
        </w:rPr>
        <w:t> </w:t>
      </w:r>
      <w:r>
        <w:rPr>
          <w:rFonts w:ascii="Times New Roman" w:hAnsi="Times New Roman" w:cs="Times New Roman" w:eastAsia="Times New Roman" w:hint="default"/>
          <w:spacing w:val="-7"/>
        </w:rPr>
        <w:t>IR</w:t>
      </w:r>
      <w:r>
        <w:rPr>
          <w:spacing w:val="-7"/>
        </w:rPr>
        <w:t>（投</w:t>
      </w:r>
      <w:r>
        <w:rPr>
          <w:spacing w:val="1"/>
        </w:rPr>
        <w:t> </w:t>
      </w:r>
      <w:r>
        <w:rPr/>
        <w:t>资者关系）主页设计奖；</w:t>
      </w:r>
    </w:p>
    <w:p>
      <w:pPr>
        <w:pStyle w:val="BodyText"/>
        <w:spacing w:line="280" w:lineRule="auto" w:before="150"/>
        <w:ind w:left="220" w:right="216" w:firstLine="420"/>
        <w:jc w:val="both"/>
      </w:pPr>
      <w:r>
        <w:rPr>
          <w:rFonts w:ascii="Times New Roman" w:hAnsi="Times New Roman" w:cs="Times New Roman" w:eastAsia="Times New Roman" w:hint="default"/>
        </w:rPr>
        <w:t>4</w:t>
      </w:r>
      <w:r>
        <w:rPr/>
        <w:t>、认真做好信息披露工作，确保披露信息的真实、准确、及时、完整，以便投资者及 时、全面地了解公司的经营状况和各项重大事项的进展情况。</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2"/>
        <w:spacing w:line="240" w:lineRule="auto"/>
        <w:ind w:left="220" w:right="0"/>
        <w:jc w:val="both"/>
        <w:rPr>
          <w:b w:val="0"/>
          <w:bCs w:val="0"/>
        </w:rPr>
      </w:pPr>
      <w:r>
        <w:rPr/>
        <w:t>六、其他需要披露的事项</w:t>
      </w:r>
      <w:r>
        <w:rPr>
          <w:b w:val="0"/>
          <w:bCs w:val="0"/>
        </w:rPr>
      </w:r>
    </w:p>
    <w:p>
      <w:pPr>
        <w:pStyle w:val="BodyText"/>
        <w:spacing w:line="240" w:lineRule="auto" w:before="127"/>
        <w:ind w:left="640" w:right="211"/>
        <w:jc w:val="left"/>
      </w:pPr>
      <w:r>
        <w:rPr/>
        <w:t>报告期内，公司指定信息披露报纸仍为《证券时报</w:t>
      </w:r>
      <w:r>
        <w:rPr>
          <w:spacing w:val="-105"/>
        </w:rPr>
        <w:t>》</w:t>
      </w:r>
      <w:r>
        <w:rPr/>
        <w:t>，未</w:t>
      </w:r>
      <w:r>
        <w:rPr>
          <w:spacing w:val="-2"/>
        </w:rPr>
        <w:t>发</w:t>
      </w:r>
      <w:r>
        <w:rPr/>
        <w:t>生变更。</w:t>
      </w:r>
    </w:p>
    <w:p>
      <w:pPr>
        <w:spacing w:after="0" w:line="240" w:lineRule="auto"/>
        <w:jc w:val="left"/>
        <w:sectPr>
          <w:pgSz w:w="11910" w:h="16840"/>
          <w:pgMar w:header="0" w:footer="982" w:top="1100" w:bottom="1180" w:left="1580" w:right="1580"/>
        </w:sectPr>
      </w:pPr>
    </w:p>
    <w:p>
      <w:pPr>
        <w:spacing w:line="240" w:lineRule="auto" w:before="4"/>
        <w:rPr>
          <w:rFonts w:ascii="宋体" w:hAnsi="宋体" w:cs="宋体" w:eastAsia="宋体" w:hint="default"/>
          <w:sz w:val="20"/>
          <w:szCs w:val="20"/>
        </w:rPr>
      </w:pPr>
    </w:p>
    <w:p>
      <w:pPr>
        <w:pStyle w:val="Heading1"/>
        <w:spacing w:line="240" w:lineRule="auto"/>
        <w:ind w:left="2927" w:right="1090"/>
        <w:jc w:val="left"/>
        <w:rPr>
          <w:b w:val="0"/>
          <w:bCs w:val="0"/>
        </w:rPr>
      </w:pPr>
      <w:bookmarkStart w:name="_bookmark7" w:id="8"/>
      <w:bookmarkEnd w:id="8"/>
      <w:r>
        <w:rPr>
          <w:b w:val="0"/>
          <w:bCs w:val="0"/>
        </w:rPr>
      </w:r>
      <w:r>
        <w:rPr/>
        <w:t>第八节</w:t>
      </w:r>
      <w:r>
        <w:rPr>
          <w:spacing w:val="-6"/>
        </w:rPr>
        <w:t> </w:t>
      </w:r>
      <w:r>
        <w:rPr/>
        <w:t>监事会报告</w:t>
      </w:r>
      <w:r>
        <w:rPr>
          <w:b w:val="0"/>
          <w:bCs w:val="0"/>
        </w:rPr>
      </w:r>
    </w:p>
    <w:p>
      <w:pPr>
        <w:spacing w:line="240" w:lineRule="auto" w:before="7"/>
        <w:rPr>
          <w:rFonts w:ascii="宋体" w:hAnsi="宋体" w:cs="宋体" w:eastAsia="宋体" w:hint="default"/>
          <w:b/>
          <w:bCs/>
          <w:sz w:val="38"/>
          <w:szCs w:val="38"/>
        </w:rPr>
      </w:pPr>
    </w:p>
    <w:p>
      <w:pPr>
        <w:pStyle w:val="Heading2"/>
        <w:spacing w:line="240" w:lineRule="auto"/>
        <w:ind w:right="1090"/>
        <w:jc w:val="left"/>
        <w:rPr>
          <w:b w:val="0"/>
          <w:bCs w:val="0"/>
        </w:rPr>
      </w:pPr>
      <w:r>
        <w:rPr/>
        <w:t>一、监事会会议情况</w:t>
      </w:r>
      <w:r>
        <w:rPr>
          <w:b w:val="0"/>
          <w:bCs w:val="0"/>
        </w:rPr>
      </w:r>
    </w:p>
    <w:p>
      <w:pPr>
        <w:pStyle w:val="BodyText"/>
        <w:spacing w:line="240" w:lineRule="auto" w:before="127"/>
        <w:ind w:left="560" w:right="1090"/>
        <w:jc w:val="left"/>
      </w:pPr>
      <w:r>
        <w:rPr/>
        <w:t>报告期内，公司监事会共召开会议</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次，具体情况如下：</w:t>
      </w:r>
    </w:p>
    <w:p>
      <w:pPr>
        <w:pStyle w:val="BodyText"/>
        <w:spacing w:line="280" w:lineRule="auto"/>
        <w:ind w:left="139" w:right="130" w:firstLine="420"/>
        <w:jc w:val="left"/>
      </w:pPr>
      <w:r>
        <w:rPr>
          <w:rFonts w:ascii="Times New Roman" w:hAnsi="Times New Roman" w:cs="Times New Roman" w:eastAsia="Times New Roman" w:hint="default"/>
        </w:rPr>
        <w:t>1</w:t>
      </w:r>
      <w:r>
        <w:rPr/>
        <w:t>、公司于</w:t>
      </w:r>
      <w:r>
        <w:rPr>
          <w:spacing w:val="-5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日组织召开了第一届监事会第十一次会议，审议通过如下议 案：</w:t>
      </w:r>
    </w:p>
    <w:p>
      <w:pPr>
        <w:pStyle w:val="BodyText"/>
        <w:spacing w:line="240" w:lineRule="auto" w:before="30"/>
        <w:ind w:left="559" w:right="1090"/>
        <w:jc w:val="left"/>
      </w:pPr>
      <w:r>
        <w:rPr/>
        <w:t>（</w:t>
      </w:r>
      <w:r>
        <w:rPr>
          <w:rFonts w:ascii="Times New Roman" w:hAnsi="Times New Roman" w:cs="Times New Roman" w:eastAsia="Times New Roman" w:hint="default"/>
        </w:rPr>
        <w:t>1</w:t>
      </w:r>
      <w:r>
        <w:rPr>
          <w:spacing w:val="-105"/>
        </w:rPr>
        <w:t>）</w:t>
      </w:r>
      <w:r>
        <w:rPr>
          <w:spacing w:val="-2"/>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07</w:t>
      </w:r>
      <w:r>
        <w:rPr>
          <w:rFonts w:ascii="Times New Roman" w:hAnsi="Times New Roman" w:cs="Times New Roman" w:eastAsia="Times New Roman" w:hint="default"/>
          <w:spacing w:val="-1"/>
        </w:rPr>
        <w:t> </w:t>
      </w:r>
      <w:r>
        <w:rPr/>
        <w:t>年度监事会工作报告</w:t>
      </w:r>
      <w:r>
        <w:rPr>
          <w:spacing w:val="-105"/>
        </w:rPr>
        <w:t>》</w:t>
      </w:r>
      <w:r>
        <w:rPr/>
        <w:t>；</w:t>
      </w:r>
    </w:p>
    <w:p>
      <w:pPr>
        <w:pStyle w:val="BodyText"/>
        <w:spacing w:line="240" w:lineRule="auto"/>
        <w:ind w:left="559" w:right="1090"/>
        <w:jc w:val="left"/>
      </w:pPr>
      <w:r>
        <w:rPr/>
        <w:t>（</w:t>
      </w:r>
      <w:r>
        <w:rPr>
          <w:rFonts w:ascii="Times New Roman" w:hAnsi="Times New Roman" w:cs="Times New Roman" w:eastAsia="Times New Roman" w:hint="default"/>
        </w:rPr>
        <w:t>2</w:t>
      </w:r>
      <w:r>
        <w:rPr>
          <w:spacing w:val="-105"/>
        </w:rPr>
        <w:t>）</w:t>
      </w:r>
      <w:r>
        <w:rPr>
          <w:spacing w:val="-2"/>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07</w:t>
      </w:r>
      <w:r>
        <w:rPr>
          <w:rFonts w:ascii="Times New Roman" w:hAnsi="Times New Roman" w:cs="Times New Roman" w:eastAsia="Times New Roman" w:hint="default"/>
          <w:spacing w:val="-1"/>
        </w:rPr>
        <w:t> </w:t>
      </w:r>
      <w:r>
        <w:rPr/>
        <w:t>年度财务决算报告</w:t>
      </w:r>
      <w:r>
        <w:rPr>
          <w:spacing w:val="-105"/>
        </w:rPr>
        <w:t>》</w:t>
      </w:r>
      <w:r>
        <w:rPr/>
        <w:t>；</w:t>
      </w:r>
    </w:p>
    <w:p>
      <w:pPr>
        <w:pStyle w:val="BodyText"/>
        <w:spacing w:line="240" w:lineRule="auto"/>
        <w:ind w:left="559" w:right="1090"/>
        <w:jc w:val="left"/>
      </w:pPr>
      <w:r>
        <w:rPr/>
        <w:t>（</w:t>
      </w:r>
      <w:r>
        <w:rPr>
          <w:rFonts w:ascii="Times New Roman" w:hAnsi="Times New Roman" w:cs="Times New Roman" w:eastAsia="Times New Roman" w:hint="default"/>
        </w:rPr>
        <w:t>3</w:t>
      </w:r>
      <w:r>
        <w:rPr>
          <w:spacing w:val="-105"/>
        </w:rPr>
        <w:t>）</w:t>
      </w:r>
      <w:r>
        <w:rPr/>
        <w:t>《公司</w:t>
      </w:r>
      <w:r>
        <w:rPr>
          <w:spacing w:val="-5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7 </w:t>
      </w:r>
      <w:r>
        <w:rPr/>
        <w:t>年度内</w:t>
      </w:r>
      <w:r>
        <w:rPr>
          <w:spacing w:val="-2"/>
        </w:rPr>
        <w:t>部</w:t>
      </w:r>
      <w:r>
        <w:rPr/>
        <w:t>控制自我评价报告</w:t>
      </w:r>
      <w:r>
        <w:rPr>
          <w:spacing w:val="-105"/>
        </w:rPr>
        <w:t>》</w:t>
      </w:r>
      <w:r>
        <w:rPr/>
        <w:t>；</w:t>
      </w:r>
    </w:p>
    <w:p>
      <w:pPr>
        <w:pStyle w:val="BodyText"/>
        <w:spacing w:line="240" w:lineRule="auto" w:before="49"/>
        <w:ind w:left="559" w:right="1090"/>
        <w:jc w:val="left"/>
      </w:pPr>
      <w:r>
        <w:rPr/>
        <w:t>（</w:t>
      </w:r>
      <w:r>
        <w:rPr>
          <w:rFonts w:ascii="Times New Roman" w:hAnsi="Times New Roman" w:cs="Times New Roman" w:eastAsia="Times New Roman" w:hint="default"/>
        </w:rPr>
        <w:t>4</w:t>
      </w:r>
      <w:r>
        <w:rPr>
          <w:spacing w:val="-105"/>
        </w:rPr>
        <w:t>）</w:t>
      </w:r>
      <w:r>
        <w:rPr/>
        <w:t>《关</w:t>
      </w:r>
      <w:r>
        <w:rPr>
          <w:spacing w:val="-2"/>
        </w:rPr>
        <w:t>于</w:t>
      </w:r>
      <w:r>
        <w:rPr/>
        <w:t>公司</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7 </w:t>
      </w:r>
      <w:r>
        <w:rPr>
          <w:spacing w:val="-2"/>
        </w:rPr>
        <w:t>年</w:t>
      </w:r>
      <w:r>
        <w:rPr/>
        <w:t>度利润分配及资本公积转增股本的议案</w:t>
      </w:r>
      <w:r>
        <w:rPr>
          <w:spacing w:val="-105"/>
        </w:rPr>
        <w:t>》</w:t>
      </w:r>
      <w:r>
        <w:rPr/>
        <w:t>；</w:t>
      </w:r>
    </w:p>
    <w:p>
      <w:pPr>
        <w:pStyle w:val="BodyText"/>
        <w:spacing w:line="240" w:lineRule="auto"/>
        <w:ind w:left="559" w:right="1090"/>
        <w:jc w:val="left"/>
      </w:pPr>
      <w:r>
        <w:rPr/>
        <w:t>（</w:t>
      </w:r>
      <w:r>
        <w:rPr>
          <w:rFonts w:ascii="Times New Roman" w:hAnsi="Times New Roman" w:cs="Times New Roman" w:eastAsia="Times New Roman" w:hint="default"/>
        </w:rPr>
        <w:t>5</w:t>
      </w:r>
      <w:r>
        <w:rPr>
          <w:spacing w:val="-105"/>
        </w:rPr>
        <w:t>）</w:t>
      </w:r>
      <w:r>
        <w:rPr/>
        <w:t>《公司</w:t>
      </w:r>
      <w:r>
        <w:rPr>
          <w:spacing w:val="-5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7 </w:t>
      </w:r>
      <w:r>
        <w:rPr/>
        <w:t>年年度</w:t>
      </w:r>
      <w:r>
        <w:rPr>
          <w:spacing w:val="-2"/>
        </w:rPr>
        <w:t>报</w:t>
      </w:r>
      <w:r>
        <w:rPr/>
        <w:t>告及摘要</w:t>
      </w:r>
      <w:r>
        <w:rPr>
          <w:spacing w:val="-105"/>
        </w:rPr>
        <w:t>》</w:t>
      </w:r>
      <w:r>
        <w:rPr/>
        <w:t>；</w:t>
      </w:r>
    </w:p>
    <w:p>
      <w:pPr>
        <w:pStyle w:val="BodyText"/>
        <w:spacing w:line="280" w:lineRule="auto"/>
        <w:ind w:left="139" w:right="130" w:firstLine="420"/>
        <w:jc w:val="left"/>
      </w:pPr>
      <w:r>
        <w:rPr>
          <w:spacing w:val="3"/>
        </w:rPr>
        <w:t>（</w:t>
      </w:r>
      <w:r>
        <w:rPr>
          <w:rFonts w:ascii="Times New Roman" w:hAnsi="Times New Roman" w:cs="Times New Roman" w:eastAsia="Times New Roman" w:hint="default"/>
          <w:spacing w:val="4"/>
        </w:rPr>
        <w:t>6</w:t>
      </w:r>
      <w:r>
        <w:rPr>
          <w:spacing w:val="-103"/>
        </w:rPr>
        <w:t>）</w:t>
      </w:r>
      <w:r>
        <w:rPr>
          <w:spacing w:val="3"/>
        </w:rPr>
        <w:t>《关</w:t>
      </w:r>
      <w:r>
        <w:rPr>
          <w:spacing w:val="2"/>
        </w:rPr>
        <w:t>于</w:t>
      </w:r>
      <w:r>
        <w:rPr>
          <w:spacing w:val="3"/>
        </w:rPr>
        <w:t>公司聘请</w:t>
      </w:r>
      <w:r>
        <w:rPr>
          <w:spacing w:val="2"/>
        </w:rPr>
        <w:t>立</w:t>
      </w:r>
      <w:r>
        <w:rPr>
          <w:spacing w:val="3"/>
        </w:rPr>
        <w:t>信羊城会</w:t>
      </w:r>
      <w:r>
        <w:rPr>
          <w:spacing w:val="2"/>
        </w:rPr>
        <w:t>计</w:t>
      </w:r>
      <w:r>
        <w:rPr>
          <w:spacing w:val="3"/>
        </w:rPr>
        <w:t>师事务所</w:t>
      </w:r>
      <w:r>
        <w:rPr>
          <w:spacing w:val="2"/>
        </w:rPr>
        <w:t>有</w:t>
      </w:r>
      <w:r>
        <w:rPr>
          <w:spacing w:val="3"/>
        </w:rPr>
        <w:t>限公司为</w:t>
      </w:r>
      <w:r>
        <w:rPr>
          <w:spacing w:val="2"/>
        </w:rPr>
        <w:t>公</w:t>
      </w:r>
      <w:r>
        <w:rPr/>
        <w:t>司</w:t>
      </w:r>
      <w:r>
        <w:rPr>
          <w:spacing w:val="3"/>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0</w:t>
      </w:r>
      <w:r>
        <w:rPr>
          <w:rFonts w:ascii="Times New Roman" w:hAnsi="Times New Roman" w:cs="Times New Roman" w:eastAsia="Times New Roman" w:hint="default"/>
        </w:rPr>
        <w:t>8 </w:t>
      </w:r>
      <w:r>
        <w:rPr>
          <w:rFonts w:ascii="Times New Roman" w:hAnsi="Times New Roman" w:cs="Times New Roman" w:eastAsia="Times New Roman" w:hint="default"/>
          <w:spacing w:val="3"/>
        </w:rPr>
        <w:t> </w:t>
      </w:r>
      <w:r>
        <w:rPr>
          <w:spacing w:val="2"/>
        </w:rPr>
        <w:t>年</w:t>
      </w:r>
      <w:r>
        <w:rPr>
          <w:spacing w:val="3"/>
        </w:rPr>
        <w:t>度审计机</w:t>
      </w:r>
      <w:r>
        <w:rPr>
          <w:spacing w:val="2"/>
        </w:rPr>
        <w:t>构</w:t>
      </w:r>
      <w:r>
        <w:rPr>
          <w:spacing w:val="3"/>
        </w:rPr>
        <w:t>的议</w:t>
      </w:r>
      <w:r>
        <w:rPr>
          <w:spacing w:val="3"/>
        </w:rPr>
        <w:t> </w:t>
      </w:r>
      <w:r>
        <w:rPr/>
        <w:t>案</w:t>
      </w:r>
      <w:r>
        <w:rPr>
          <w:spacing w:val="-105"/>
        </w:rPr>
        <w:t>》</w:t>
      </w:r>
      <w:r>
        <w:rPr/>
        <w:t>；</w:t>
      </w:r>
    </w:p>
    <w:p>
      <w:pPr>
        <w:pStyle w:val="BodyText"/>
        <w:spacing w:line="240" w:lineRule="auto" w:before="30"/>
        <w:ind w:left="559" w:right="1090"/>
        <w:jc w:val="left"/>
      </w:pPr>
      <w:r>
        <w:rPr/>
        <w:t>（</w:t>
      </w:r>
      <w:r>
        <w:rPr>
          <w:rFonts w:ascii="Times New Roman" w:hAnsi="Times New Roman" w:cs="Times New Roman" w:eastAsia="Times New Roman" w:hint="default"/>
        </w:rPr>
        <w:t>7</w:t>
      </w:r>
      <w:r>
        <w:rPr>
          <w:spacing w:val="-105"/>
        </w:rPr>
        <w:t>）</w:t>
      </w:r>
      <w:r>
        <w:rPr/>
        <w:t>《公司</w:t>
      </w:r>
      <w:r>
        <w:rPr>
          <w:spacing w:val="-5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7 </w:t>
      </w:r>
      <w:r>
        <w:rPr/>
        <w:t>年度募</w:t>
      </w:r>
      <w:r>
        <w:rPr>
          <w:spacing w:val="-2"/>
        </w:rPr>
        <w:t>集</w:t>
      </w:r>
      <w:r>
        <w:rPr/>
        <w:t>资金使用情况专项报告</w:t>
      </w:r>
      <w:r>
        <w:rPr>
          <w:spacing w:val="-106"/>
        </w:rPr>
        <w:t>》</w:t>
      </w:r>
      <w:r>
        <w:rPr/>
        <w:t>；</w:t>
      </w:r>
    </w:p>
    <w:p>
      <w:pPr>
        <w:pStyle w:val="BodyText"/>
        <w:spacing w:line="240" w:lineRule="auto"/>
        <w:ind w:left="559" w:right="1090"/>
        <w:jc w:val="left"/>
      </w:pPr>
      <w:r>
        <w:rPr/>
        <w:t>（</w:t>
      </w:r>
      <w:r>
        <w:rPr>
          <w:rFonts w:ascii="Times New Roman" w:hAnsi="Times New Roman" w:cs="Times New Roman" w:eastAsia="Times New Roman" w:hint="default"/>
        </w:rPr>
        <w:t>8</w:t>
      </w:r>
      <w:r>
        <w:rPr>
          <w:spacing w:val="-105"/>
        </w:rPr>
        <w:t>）</w:t>
      </w:r>
      <w:r>
        <w:rPr/>
        <w:t>《关</w:t>
      </w:r>
      <w:r>
        <w:rPr>
          <w:spacing w:val="-2"/>
        </w:rPr>
        <w:t>于</w:t>
      </w:r>
      <w:r>
        <w:rPr/>
        <w:t>高管层</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年度薪酬考核和</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8 </w:t>
      </w:r>
      <w:r>
        <w:rPr>
          <w:spacing w:val="-2"/>
        </w:rPr>
        <w:t>年</w:t>
      </w:r>
      <w:r>
        <w:rPr/>
        <w:t>度业绩考核目标的议案</w:t>
      </w:r>
      <w:r>
        <w:rPr>
          <w:spacing w:val="-106"/>
        </w:rPr>
        <w:t>》</w:t>
      </w:r>
      <w:r>
        <w:rPr/>
        <w:t>；</w:t>
      </w:r>
    </w:p>
    <w:p>
      <w:pPr>
        <w:pStyle w:val="BodyText"/>
        <w:spacing w:line="240" w:lineRule="auto" w:before="49"/>
        <w:ind w:left="559" w:right="1090"/>
        <w:jc w:val="left"/>
      </w:pPr>
      <w:r>
        <w:rPr/>
        <w:t>（</w:t>
      </w:r>
      <w:r>
        <w:rPr>
          <w:rFonts w:ascii="Times New Roman" w:hAnsi="Times New Roman" w:cs="Times New Roman" w:eastAsia="Times New Roman" w:hint="default"/>
        </w:rPr>
        <w:t>9</w:t>
      </w:r>
      <w:r>
        <w:rPr>
          <w:spacing w:val="-105"/>
        </w:rPr>
        <w:t>）</w:t>
      </w:r>
      <w:r>
        <w:rPr/>
        <w:t>《关</w:t>
      </w:r>
      <w:r>
        <w:rPr>
          <w:spacing w:val="-2"/>
        </w:rPr>
        <w:t>于</w:t>
      </w:r>
      <w:r>
        <w:rPr/>
        <w:t>公司与广州无线电集团有限公司签订</w:t>
      </w:r>
      <w:r>
        <w:rPr>
          <w:rFonts w:ascii="Times New Roman" w:hAnsi="Times New Roman" w:cs="Times New Roman" w:eastAsia="Times New Roman" w:hint="default"/>
        </w:rPr>
        <w:t>&lt;</w:t>
      </w:r>
      <w:r>
        <w:rPr/>
        <w:t>房屋租赁合同</w:t>
      </w:r>
      <w:r>
        <w:rPr>
          <w:rFonts w:ascii="Times New Roman" w:hAnsi="Times New Roman" w:cs="Times New Roman" w:eastAsia="Times New Roman" w:hint="default"/>
        </w:rPr>
        <w:t>&gt;</w:t>
      </w:r>
      <w:r>
        <w:rPr/>
        <w:t>的议案</w:t>
      </w:r>
      <w:r>
        <w:rPr>
          <w:spacing w:val="-105"/>
        </w:rPr>
        <w:t>》</w:t>
      </w:r>
      <w:r>
        <w:rPr/>
        <w:t>；</w:t>
      </w:r>
    </w:p>
    <w:p>
      <w:pPr>
        <w:pStyle w:val="BodyText"/>
        <w:spacing w:line="240" w:lineRule="auto"/>
        <w:ind w:left="559" w:right="1090"/>
        <w:jc w:val="left"/>
      </w:pPr>
      <w:r>
        <w:rPr/>
        <w:t>（</w:t>
      </w:r>
      <w:r>
        <w:rPr>
          <w:rFonts w:ascii="Times New Roman" w:hAnsi="Times New Roman" w:cs="Times New Roman" w:eastAsia="Times New Roman" w:hint="default"/>
        </w:rPr>
        <w:t>1</w:t>
      </w:r>
      <w:r>
        <w:rPr>
          <w:rFonts w:ascii="Times New Roman" w:hAnsi="Times New Roman" w:cs="Times New Roman" w:eastAsia="Times New Roman" w:hint="default"/>
          <w:spacing w:val="-1"/>
        </w:rPr>
        <w:t>0</w:t>
      </w:r>
      <w:r>
        <w:rPr>
          <w:spacing w:val="-105"/>
        </w:rPr>
        <w:t>）</w:t>
      </w:r>
      <w:r>
        <w:rPr/>
        <w:t>《内</w:t>
      </w:r>
      <w:r>
        <w:rPr>
          <w:spacing w:val="-2"/>
        </w:rPr>
        <w:t>部</w:t>
      </w:r>
      <w:r>
        <w:rPr/>
        <w:t>审计管理制度</w:t>
      </w:r>
      <w:r>
        <w:rPr>
          <w:spacing w:val="-105"/>
        </w:rPr>
        <w:t>》</w:t>
      </w:r>
      <w:r>
        <w:rPr/>
        <w:t>（修订</w:t>
      </w:r>
      <w:r>
        <w:rPr>
          <w:spacing w:val="-106"/>
        </w:rPr>
        <w:t>）</w:t>
      </w:r>
      <w:r>
        <w:rPr/>
        <w:t>。</w:t>
      </w:r>
    </w:p>
    <w:p>
      <w:pPr>
        <w:pStyle w:val="BodyText"/>
        <w:spacing w:line="240" w:lineRule="auto"/>
        <w:ind w:left="559" w:right="121"/>
        <w:jc w:val="left"/>
      </w:pPr>
      <w:r>
        <w:rPr>
          <w:spacing w:val="18"/>
        </w:rPr>
        <w:t>本次会</w:t>
      </w:r>
      <w:r>
        <w:rPr>
          <w:spacing w:val="-75"/>
        </w:rPr>
        <w:t> </w:t>
      </w:r>
      <w:r>
        <w:rPr>
          <w:spacing w:val="14"/>
        </w:rPr>
        <w:t>议决</w:t>
      </w:r>
      <w:r>
        <w:rPr>
          <w:spacing w:val="-75"/>
        </w:rPr>
        <w:t> </w:t>
      </w:r>
      <w:r>
        <w:rPr>
          <w:spacing w:val="21"/>
        </w:rPr>
        <w:t>议刊登在</w:t>
      </w:r>
      <w:r>
        <w:rPr>
          <w:spacing w:val="29"/>
        </w:rPr>
        <w:t> </w:t>
      </w:r>
      <w:r>
        <w:rPr>
          <w:rFonts w:ascii="Times New Roman" w:hAnsi="Times New Roman" w:cs="Times New Roman" w:eastAsia="Times New Roman" w:hint="default"/>
        </w:rPr>
        <w:t>2008 </w:t>
      </w:r>
      <w:r>
        <w:rPr>
          <w:rFonts w:ascii="Times New Roman" w:hAnsi="Times New Roman" w:cs="Times New Roman" w:eastAsia="Times New Roman" w:hint="default"/>
          <w:spacing w:val="30"/>
        </w:rPr>
        <w:t> </w:t>
      </w:r>
      <w:r>
        <w:rPr/>
        <w:t>年</w:t>
      </w:r>
      <w:r>
        <w:rPr>
          <w:spacing w:val="29"/>
        </w:rPr>
        <w:t> </w:t>
      </w:r>
      <w:r>
        <w:rPr>
          <w:rFonts w:ascii="Times New Roman" w:hAnsi="Times New Roman" w:cs="Times New Roman" w:eastAsia="Times New Roman" w:hint="default"/>
        </w:rPr>
        <w:t>3 </w:t>
      </w:r>
      <w:r>
        <w:rPr>
          <w:rFonts w:ascii="Times New Roman" w:hAnsi="Times New Roman" w:cs="Times New Roman" w:eastAsia="Times New Roman" w:hint="default"/>
          <w:spacing w:val="29"/>
        </w:rPr>
        <w:t> </w:t>
      </w:r>
      <w:r>
        <w:rPr/>
        <w:t>月</w:t>
      </w:r>
      <w:r>
        <w:rPr>
          <w:spacing w:val="29"/>
        </w:rPr>
        <w:t> </w:t>
      </w:r>
      <w:r>
        <w:rPr>
          <w:rFonts w:ascii="Times New Roman" w:hAnsi="Times New Roman" w:cs="Times New Roman" w:eastAsia="Times New Roman" w:hint="default"/>
        </w:rPr>
        <w:t>29 </w:t>
      </w:r>
      <w:r>
        <w:rPr>
          <w:rFonts w:ascii="Times New Roman" w:hAnsi="Times New Roman" w:cs="Times New Roman" w:eastAsia="Times New Roman" w:hint="default"/>
          <w:spacing w:val="30"/>
        </w:rPr>
        <w:t> </w:t>
      </w:r>
      <w:r>
        <w:rPr>
          <w:spacing w:val="22"/>
        </w:rPr>
        <w:t>日《证券时</w:t>
      </w:r>
      <w:r>
        <w:rPr>
          <w:spacing w:val="-75"/>
        </w:rPr>
        <w:t> </w:t>
      </w:r>
      <w:r>
        <w:rPr>
          <w:spacing w:val="14"/>
        </w:rPr>
        <w:t>报》</w:t>
      </w:r>
      <w:r>
        <w:rPr>
          <w:spacing w:val="-75"/>
        </w:rPr>
        <w:t> </w:t>
      </w:r>
      <w:r>
        <w:rPr>
          <w:spacing w:val="18"/>
        </w:rPr>
        <w:t>及指定</w:t>
      </w:r>
      <w:r>
        <w:rPr>
          <w:spacing w:val="-75"/>
        </w:rPr>
        <w:t> </w:t>
      </w:r>
      <w:r>
        <w:rPr>
          <w:spacing w:val="14"/>
        </w:rPr>
        <w:t>信息</w:t>
      </w:r>
      <w:r>
        <w:rPr>
          <w:spacing w:val="-75"/>
        </w:rPr>
        <w:t> </w:t>
      </w:r>
      <w:r>
        <w:rPr>
          <w:spacing w:val="21"/>
        </w:rPr>
        <w:t>披露网站</w:t>
      </w:r>
      <w:r>
        <w:rPr>
          <w:spacing w:val="-77"/>
        </w:rPr>
        <w:t> </w:t>
      </w:r>
      <w:r>
        <w:rPr/>
      </w:r>
    </w:p>
    <w:p>
      <w:pPr>
        <w:pStyle w:val="BodyText"/>
        <w:spacing w:line="240" w:lineRule="auto" w:before="48"/>
        <w:ind w:right="1090"/>
        <w:jc w:val="left"/>
      </w:pP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24"/>
        </w:rPr>
        <w:t> </w:t>
      </w:r>
      <w:r>
        <w:rPr/>
        <w:t>上。</w:t>
      </w:r>
    </w:p>
    <w:p>
      <w:pPr>
        <w:pStyle w:val="BodyText"/>
        <w:spacing w:line="240" w:lineRule="auto"/>
        <w:ind w:left="560" w:right="0"/>
        <w:jc w:val="left"/>
      </w:pPr>
      <w:r>
        <w:rPr>
          <w:rFonts w:ascii="Times New Roman" w:hAnsi="Times New Roman" w:cs="Times New Roman" w:eastAsia="Times New Roman" w:hint="default"/>
        </w:rPr>
        <w:t>2</w:t>
      </w:r>
      <w:r>
        <w:rPr/>
        <w:t>、公司于</w:t>
      </w:r>
      <w:r>
        <w:rPr>
          <w:spacing w:val="-5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日组织召开了第一届监事会第十二次（临时）会议，会议内</w:t>
      </w:r>
    </w:p>
    <w:p>
      <w:pPr>
        <w:pStyle w:val="BodyText"/>
        <w:spacing w:line="280" w:lineRule="auto"/>
        <w:ind w:left="139" w:right="128"/>
        <w:jc w:val="left"/>
      </w:pPr>
      <w:r>
        <w:rPr>
          <w:spacing w:val="-4"/>
        </w:rPr>
        <w:t>容仅审议通过《关于</w:t>
      </w:r>
      <w:r>
        <w:rPr>
          <w:spacing w:val="-50"/>
        </w:rPr>
        <w:t> </w:t>
      </w: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3"/>
        </w:rPr>
        <w:t> </w:t>
      </w:r>
      <w:r>
        <w:rPr>
          <w:spacing w:val="-6"/>
        </w:rPr>
        <w:t>年第一季度报告的议案》，按深圳证券交易所的有关规定，会议决</w:t>
      </w:r>
      <w:r>
        <w:rPr/>
        <w:t> 议未单独公告，备案于公司证券部。</w:t>
      </w:r>
    </w:p>
    <w:p>
      <w:pPr>
        <w:pStyle w:val="BodyText"/>
        <w:spacing w:line="290" w:lineRule="auto" w:before="29"/>
        <w:ind w:left="139" w:right="136" w:firstLine="420"/>
        <w:jc w:val="both"/>
      </w:pPr>
      <w:r>
        <w:rPr>
          <w:rFonts w:ascii="Times New Roman" w:hAnsi="Times New Roman" w:cs="Times New Roman" w:eastAsia="Times New Roman" w:hint="default"/>
        </w:rPr>
        <w:t>3</w:t>
      </w:r>
      <w:r>
        <w:rPr/>
        <w:t>、公司于</w:t>
      </w:r>
      <w:r>
        <w:rPr>
          <w:spacing w:val="-3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9"/>
        </w:rPr>
        <w:t> </w:t>
      </w:r>
      <w:r>
        <w:rPr/>
        <w:t>年</w:t>
      </w:r>
      <w:r>
        <w:rPr>
          <w:spacing w:val="-36"/>
        </w:rPr>
        <w:t> </w:t>
      </w:r>
      <w:r>
        <w:rPr>
          <w:rFonts w:ascii="Times New Roman" w:hAnsi="Times New Roman" w:cs="Times New Roman" w:eastAsia="Times New Roman" w:hint="default"/>
        </w:rPr>
        <w:t>8</w:t>
      </w:r>
      <w:r>
        <w:rPr>
          <w:rFonts w:ascii="Times New Roman" w:hAnsi="Times New Roman" w:cs="Times New Roman" w:eastAsia="Times New Roman" w:hint="default"/>
          <w:spacing w:val="19"/>
        </w:rPr>
        <w:t> </w:t>
      </w:r>
      <w:r>
        <w:rPr/>
        <w:t>月</w:t>
      </w:r>
      <w:r>
        <w:rPr>
          <w:spacing w:val="-36"/>
        </w:rPr>
        <w:t> </w:t>
      </w:r>
      <w:r>
        <w:rPr>
          <w:rFonts w:ascii="Times New Roman" w:hAnsi="Times New Roman" w:cs="Times New Roman" w:eastAsia="Times New Roman" w:hint="default"/>
        </w:rPr>
        <w:t>7</w:t>
      </w:r>
      <w:r>
        <w:rPr>
          <w:rFonts w:ascii="Times New Roman" w:hAnsi="Times New Roman" w:cs="Times New Roman" w:eastAsia="Times New Roman" w:hint="default"/>
          <w:spacing w:val="17"/>
        </w:rPr>
        <w:t> </w:t>
      </w:r>
      <w:r>
        <w:rPr/>
        <w:t>日组织召开了第一届监事会第十三次会议，审议通过《</w:t>
      </w:r>
      <w:r>
        <w:rPr>
          <w:rFonts w:ascii="Times New Roman" w:hAnsi="Times New Roman" w:cs="Times New Roman" w:eastAsia="Times New Roman" w:hint="default"/>
        </w:rPr>
        <w:t>2008 </w:t>
      </w:r>
      <w:r>
        <w:rPr>
          <w:spacing w:val="-3"/>
        </w:rPr>
        <w:t>年半年度报告》和《关于控股股东及关联方占用公司资金情况的自查报告》，会议决议刊登</w:t>
      </w:r>
      <w:r>
        <w:rPr>
          <w:spacing w:val="-84"/>
        </w:rPr>
        <w:t> </w:t>
      </w:r>
      <w:r>
        <w:rPr>
          <w:spacing w:val="-84"/>
        </w:rPr>
      </w:r>
      <w:r>
        <w:rPr/>
        <w:t>在</w:t>
      </w:r>
      <w:r>
        <w:rPr>
          <w:spacing w:val="-5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日《证券时报》及指定信息披露网站</w:t>
      </w:r>
      <w:r>
        <w:rPr>
          <w:spacing w:val="-57"/>
        </w:rPr>
        <w:t> </w:t>
      </w: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4"/>
        </w:rPr>
        <w:t> </w:t>
      </w:r>
      <w:r>
        <w:rPr/>
        <w:t>上。</w:t>
      </w:r>
    </w:p>
    <w:p>
      <w:pPr>
        <w:pStyle w:val="BodyText"/>
        <w:spacing w:line="240" w:lineRule="auto" w:before="0"/>
        <w:ind w:left="559" w:right="0"/>
        <w:jc w:val="left"/>
      </w:pPr>
      <w:r>
        <w:rPr>
          <w:rFonts w:ascii="Times New Roman" w:hAnsi="Times New Roman" w:cs="Times New Roman" w:eastAsia="Times New Roman" w:hint="default"/>
          <w:spacing w:val="-5"/>
        </w:rPr>
        <w:t>4</w:t>
      </w:r>
      <w:r>
        <w:rPr>
          <w:spacing w:val="-5"/>
        </w:rPr>
        <w:t>、公司于</w:t>
      </w:r>
      <w:r>
        <w:rPr>
          <w:spacing w:val="-5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10 </w:t>
      </w:r>
      <w:r>
        <w:rPr/>
        <w:t>月</w:t>
      </w:r>
      <w:r>
        <w:rPr>
          <w:spacing w:val="-54"/>
        </w:rPr>
        <w:t> </w:t>
      </w:r>
      <w:r>
        <w:rPr>
          <w:rFonts w:ascii="Times New Roman" w:hAnsi="Times New Roman" w:cs="Times New Roman" w:eastAsia="Times New Roman" w:hint="default"/>
        </w:rPr>
        <w:t>23 </w:t>
      </w:r>
      <w:r>
        <w:rPr>
          <w:spacing w:val="-3"/>
        </w:rPr>
        <w:t>日组织召开了第一届监事会第十四次（临时）会议，会议内</w:t>
      </w:r>
    </w:p>
    <w:p>
      <w:pPr>
        <w:pStyle w:val="BodyText"/>
        <w:spacing w:line="280" w:lineRule="auto"/>
        <w:ind w:left="139" w:right="128"/>
        <w:jc w:val="left"/>
      </w:pPr>
      <w:r>
        <w:rPr>
          <w:spacing w:val="-4"/>
        </w:rPr>
        <w:t>容仅审议通过《关于</w:t>
      </w:r>
      <w:r>
        <w:rPr>
          <w:spacing w:val="-50"/>
        </w:rPr>
        <w:t> </w:t>
      </w: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3"/>
        </w:rPr>
        <w:t> </w:t>
      </w:r>
      <w:r>
        <w:rPr>
          <w:spacing w:val="-6"/>
        </w:rPr>
        <w:t>年第三季度报告的议案》，按深圳证券交易所的有关规定，会议决</w:t>
      </w:r>
      <w:r>
        <w:rPr/>
        <w:t> 议未单独公告，备案于公司证券部。</w:t>
      </w:r>
    </w:p>
    <w:p>
      <w:pPr>
        <w:pStyle w:val="BodyText"/>
        <w:spacing w:line="280" w:lineRule="auto" w:before="29"/>
        <w:ind w:left="138" w:right="132" w:firstLine="420"/>
        <w:jc w:val="left"/>
      </w:pPr>
      <w:r>
        <w:rPr>
          <w:rFonts w:ascii="Times New Roman" w:hAnsi="Times New Roman" w:cs="Times New Roman" w:eastAsia="Times New Roman" w:hint="default"/>
          <w:spacing w:val="-5"/>
        </w:rPr>
        <w:t>5</w:t>
      </w:r>
      <w:r>
        <w:rPr>
          <w:spacing w:val="-5"/>
        </w:rPr>
        <w:t>、公司于</w:t>
      </w:r>
      <w:r>
        <w:rPr>
          <w:spacing w:val="-5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 </w:t>
      </w:r>
      <w:r>
        <w:rPr/>
        <w:t>月</w:t>
      </w:r>
      <w:r>
        <w:rPr>
          <w:spacing w:val="-54"/>
        </w:rPr>
        <w:t> </w:t>
      </w:r>
      <w:r>
        <w:rPr>
          <w:rFonts w:ascii="Times New Roman" w:hAnsi="Times New Roman" w:cs="Times New Roman" w:eastAsia="Times New Roman" w:hint="default"/>
        </w:rPr>
        <w:t>18 </w:t>
      </w:r>
      <w:r>
        <w:rPr>
          <w:spacing w:val="-3"/>
        </w:rPr>
        <w:t>日组织召开了第一届监事会第十五次（临时）会议，审议通</w:t>
      </w:r>
      <w:r>
        <w:rPr/>
        <w:t> 过如下议案：</w:t>
      </w:r>
    </w:p>
    <w:p>
      <w:pPr>
        <w:pStyle w:val="BodyText"/>
        <w:spacing w:line="240" w:lineRule="auto" w:before="30"/>
        <w:ind w:left="558" w:right="1090"/>
        <w:jc w:val="left"/>
      </w:pPr>
      <w:r>
        <w:rPr/>
        <w:t>（</w:t>
      </w:r>
      <w:r>
        <w:rPr>
          <w:rFonts w:ascii="Times New Roman" w:hAnsi="Times New Roman" w:cs="Times New Roman" w:eastAsia="Times New Roman" w:hint="default"/>
        </w:rPr>
        <w:t>1</w:t>
      </w:r>
      <w:r>
        <w:rPr>
          <w:spacing w:val="-105"/>
        </w:rPr>
        <w:t>）</w:t>
      </w:r>
      <w:r>
        <w:rPr/>
        <w:t>《关</w:t>
      </w:r>
      <w:r>
        <w:rPr>
          <w:spacing w:val="-2"/>
        </w:rPr>
        <w:t>于</w:t>
      </w:r>
      <w:r>
        <w:rPr/>
        <w:t>选举公司第二届监事会非职工监事的议案</w:t>
      </w:r>
      <w:r>
        <w:rPr>
          <w:spacing w:val="-105"/>
        </w:rPr>
        <w:t>》</w:t>
      </w:r>
      <w:r>
        <w:rPr/>
        <w:t>；</w:t>
      </w:r>
    </w:p>
    <w:p>
      <w:pPr>
        <w:pStyle w:val="BodyText"/>
        <w:spacing w:line="240" w:lineRule="auto" w:before="49"/>
        <w:ind w:left="558" w:right="1090"/>
        <w:jc w:val="left"/>
      </w:pPr>
      <w:r>
        <w:rPr/>
        <w:t>（</w:t>
      </w:r>
      <w:r>
        <w:rPr>
          <w:rFonts w:ascii="Times New Roman" w:hAnsi="Times New Roman" w:cs="Times New Roman" w:eastAsia="Times New Roman" w:hint="default"/>
        </w:rPr>
        <w:t>2</w:t>
      </w:r>
      <w:r>
        <w:rPr>
          <w:spacing w:val="-105"/>
        </w:rPr>
        <w:t>）</w:t>
      </w:r>
      <w:r>
        <w:rPr/>
        <w:t>《关</w:t>
      </w:r>
      <w:r>
        <w:rPr>
          <w:spacing w:val="-2"/>
        </w:rPr>
        <w:t>于</w:t>
      </w:r>
      <w:r>
        <w:rPr/>
        <w:t>公司与广州无线电集团有限公司签订</w:t>
      </w:r>
      <w:r>
        <w:rPr>
          <w:rFonts w:ascii="Times New Roman" w:hAnsi="Times New Roman" w:cs="Times New Roman" w:eastAsia="Times New Roman" w:hint="default"/>
        </w:rPr>
        <w:t>&lt;</w:t>
      </w:r>
      <w:r>
        <w:rPr/>
        <w:t>房屋租赁合同</w:t>
      </w:r>
      <w:r>
        <w:rPr>
          <w:rFonts w:ascii="Times New Roman" w:hAnsi="Times New Roman" w:cs="Times New Roman" w:eastAsia="Times New Roman" w:hint="default"/>
        </w:rPr>
        <w:t>&gt;</w:t>
      </w:r>
      <w:r>
        <w:rPr/>
        <w:t>的议案</w:t>
      </w:r>
      <w:r>
        <w:rPr>
          <w:spacing w:val="-105"/>
        </w:rPr>
        <w:t>》</w:t>
      </w:r>
      <w:r>
        <w:rPr/>
        <w:t>；</w:t>
      </w:r>
    </w:p>
    <w:p>
      <w:pPr>
        <w:pStyle w:val="BodyText"/>
        <w:spacing w:line="280" w:lineRule="auto"/>
        <w:ind w:left="139" w:right="121" w:firstLine="420"/>
        <w:jc w:val="left"/>
      </w:pPr>
      <w:r>
        <w:rPr/>
        <w:t>（</w:t>
      </w:r>
      <w:r>
        <w:rPr>
          <w:rFonts w:ascii="Times New Roman" w:hAnsi="Times New Roman" w:cs="Times New Roman" w:eastAsia="Times New Roman" w:hint="default"/>
        </w:rPr>
        <w:t>3</w:t>
      </w:r>
      <w:r>
        <w:rPr>
          <w:spacing w:val="-199"/>
        </w:rPr>
        <w:t>）</w:t>
      </w:r>
      <w:r>
        <w:rPr/>
        <w:t>《关于</w:t>
      </w:r>
      <w:r>
        <w:rPr>
          <w:spacing w:val="-2"/>
        </w:rPr>
        <w:t>公</w:t>
      </w:r>
      <w:r>
        <w:rPr/>
        <w:t>司全资子公司深圳广电银通金融电子科技有限公司与广州无线电集团有限</w:t>
      </w:r>
      <w:r>
        <w:rPr/>
        <w:t> 公司签订</w:t>
      </w:r>
      <w:r>
        <w:rPr>
          <w:rFonts w:ascii="Times New Roman" w:hAnsi="Times New Roman" w:cs="Times New Roman" w:eastAsia="Times New Roman" w:hint="default"/>
        </w:rPr>
        <w:t>&lt;</w:t>
      </w:r>
      <w:r>
        <w:rPr/>
        <w:t>房屋租赁合同</w:t>
      </w:r>
      <w:r>
        <w:rPr>
          <w:rFonts w:ascii="Times New Roman" w:hAnsi="Times New Roman" w:cs="Times New Roman" w:eastAsia="Times New Roman" w:hint="default"/>
        </w:rPr>
        <w:t>&gt;</w:t>
      </w:r>
      <w:r>
        <w:rPr/>
        <w:t>的议案</w:t>
      </w:r>
      <w:r>
        <w:rPr>
          <w:spacing w:val="-105"/>
        </w:rPr>
        <w:t>》</w:t>
      </w:r>
      <w:r>
        <w:rPr/>
        <w:t>；</w:t>
      </w:r>
    </w:p>
    <w:p>
      <w:pPr>
        <w:pStyle w:val="BodyText"/>
        <w:spacing w:line="240" w:lineRule="auto" w:before="10"/>
        <w:ind w:left="559" w:right="135"/>
        <w:jc w:val="left"/>
      </w:pPr>
      <w:r>
        <w:rPr/>
        <w:t>（</w:t>
      </w:r>
      <w:r>
        <w:rPr>
          <w:rFonts w:ascii="Times New Roman" w:hAnsi="Times New Roman" w:cs="Times New Roman" w:eastAsia="Times New Roman" w:hint="default"/>
        </w:rPr>
        <w:t>4</w:t>
      </w:r>
      <w:r>
        <w:rPr>
          <w:spacing w:val="-105"/>
        </w:rPr>
        <w:t>）</w:t>
      </w:r>
      <w:r>
        <w:rPr/>
        <w:t>《关</w:t>
      </w:r>
      <w:r>
        <w:rPr>
          <w:spacing w:val="-2"/>
        </w:rPr>
        <w:t>于</w:t>
      </w:r>
      <w:r>
        <w:rPr/>
        <w:t>公司与广州鑫广电物业服务有限公司签订</w:t>
      </w:r>
      <w:r>
        <w:rPr>
          <w:rFonts w:ascii="Times New Roman" w:hAnsi="Times New Roman" w:cs="Times New Roman" w:eastAsia="Times New Roman" w:hint="default"/>
        </w:rPr>
        <w:t>&lt;</w:t>
      </w:r>
      <w:r>
        <w:rPr/>
        <w:t>物业委托管理合同</w:t>
      </w:r>
      <w:r>
        <w:rPr>
          <w:rFonts w:ascii="Times New Roman" w:hAnsi="Times New Roman" w:cs="Times New Roman" w:eastAsia="Times New Roman" w:hint="default"/>
        </w:rPr>
        <w:t>&gt;</w:t>
      </w:r>
      <w:r>
        <w:rPr/>
        <w:t>的议案</w:t>
      </w:r>
      <w:r>
        <w:rPr>
          <w:spacing w:val="-106"/>
        </w:rPr>
        <w:t>》</w:t>
      </w:r>
      <w:r>
        <w:rPr/>
        <w:t>；</w:t>
      </w:r>
    </w:p>
    <w:p>
      <w:pPr>
        <w:pStyle w:val="BodyText"/>
        <w:spacing w:line="280" w:lineRule="auto" w:before="48"/>
        <w:ind w:left="139" w:right="121" w:firstLine="420"/>
        <w:jc w:val="left"/>
      </w:pPr>
      <w:r>
        <w:rPr/>
        <w:t>（</w:t>
      </w:r>
      <w:r>
        <w:rPr>
          <w:rFonts w:ascii="Times New Roman" w:hAnsi="Times New Roman" w:cs="Times New Roman" w:eastAsia="Times New Roman" w:hint="default"/>
        </w:rPr>
        <w:t>5</w:t>
      </w:r>
      <w:r>
        <w:rPr>
          <w:spacing w:val="-199"/>
        </w:rPr>
        <w:t>）</w:t>
      </w:r>
      <w:r>
        <w:rPr/>
        <w:t>《关于</w:t>
      </w:r>
      <w:r>
        <w:rPr>
          <w:spacing w:val="-2"/>
        </w:rPr>
        <w:t>公</w:t>
      </w:r>
      <w:r>
        <w:rPr/>
        <w:t>司全资子公司深圳广电银通金融电子科技有限公司与广州鑫广电物业服务</w:t>
      </w:r>
      <w:r>
        <w:rPr/>
        <w:t> 有限公司签订</w:t>
      </w:r>
      <w:r>
        <w:rPr>
          <w:rFonts w:ascii="Times New Roman" w:hAnsi="Times New Roman" w:cs="Times New Roman" w:eastAsia="Times New Roman" w:hint="default"/>
        </w:rPr>
        <w:t>&lt;</w:t>
      </w:r>
      <w:r>
        <w:rPr/>
        <w:t>物业委托管理合同</w:t>
      </w:r>
      <w:r>
        <w:rPr>
          <w:rFonts w:ascii="Times New Roman" w:hAnsi="Times New Roman" w:cs="Times New Roman" w:eastAsia="Times New Roman" w:hint="default"/>
        </w:rPr>
        <w:t>&gt;</w:t>
      </w:r>
      <w:r>
        <w:rPr/>
        <w:t>的议案</w:t>
      </w:r>
      <w:r>
        <w:rPr>
          <w:spacing w:val="-105"/>
        </w:rPr>
        <w:t>》</w:t>
      </w:r>
      <w:r>
        <w:rPr/>
        <w:t>；</w:t>
      </w:r>
    </w:p>
    <w:p>
      <w:pPr>
        <w:pStyle w:val="BodyText"/>
        <w:spacing w:line="240" w:lineRule="auto" w:before="10"/>
        <w:ind w:left="560" w:right="1090"/>
        <w:jc w:val="left"/>
      </w:pPr>
      <w:r>
        <w:rPr/>
        <w:t>（</w:t>
      </w:r>
      <w:r>
        <w:rPr>
          <w:rFonts w:ascii="Times New Roman" w:hAnsi="Times New Roman" w:cs="Times New Roman" w:eastAsia="Times New Roman" w:hint="default"/>
        </w:rPr>
        <w:t>6</w:t>
      </w:r>
      <w:r>
        <w:rPr>
          <w:spacing w:val="-105"/>
        </w:rPr>
        <w:t>）</w:t>
      </w:r>
      <w:r>
        <w:rPr/>
        <w:t>《关</w:t>
      </w:r>
      <w:r>
        <w:rPr>
          <w:spacing w:val="-2"/>
        </w:rPr>
        <w:t>于</w:t>
      </w:r>
      <w:r>
        <w:rPr/>
        <w:t>变更部分募集资金投向的议案</w:t>
      </w:r>
      <w:r>
        <w:rPr>
          <w:spacing w:val="-105"/>
        </w:rPr>
        <w:t>》</w:t>
      </w:r>
      <w:r>
        <w:rPr/>
        <w:t>。</w:t>
      </w:r>
    </w:p>
    <w:p>
      <w:pPr>
        <w:pStyle w:val="BodyText"/>
        <w:spacing w:line="240" w:lineRule="auto" w:before="49"/>
        <w:ind w:left="560" w:right="0"/>
        <w:jc w:val="left"/>
      </w:pPr>
      <w:r>
        <w:rPr>
          <w:spacing w:val="16"/>
        </w:rPr>
        <w:t>本次会</w:t>
      </w:r>
      <w:r>
        <w:rPr>
          <w:spacing w:val="-79"/>
        </w:rPr>
        <w:t> </w:t>
      </w:r>
      <w:r>
        <w:rPr>
          <w:spacing w:val="12"/>
        </w:rPr>
        <w:t>议决</w:t>
      </w:r>
      <w:r>
        <w:rPr>
          <w:spacing w:val="-79"/>
        </w:rPr>
        <w:t> </w:t>
      </w:r>
      <w:r>
        <w:rPr>
          <w:spacing w:val="18"/>
        </w:rPr>
        <w:t>议刊登在</w:t>
      </w:r>
      <w:r>
        <w:rPr>
          <w:spacing w:val="26"/>
        </w:rPr>
        <w:t> </w:t>
      </w:r>
      <w:r>
        <w:rPr>
          <w:rFonts w:ascii="Times New Roman" w:hAnsi="Times New Roman" w:cs="Times New Roman" w:eastAsia="Times New Roman" w:hint="default"/>
        </w:rPr>
        <w:t>2008 </w:t>
      </w:r>
      <w:r>
        <w:rPr>
          <w:rFonts w:ascii="Times New Roman" w:hAnsi="Times New Roman" w:cs="Times New Roman" w:eastAsia="Times New Roman" w:hint="default"/>
          <w:spacing w:val="28"/>
        </w:rPr>
        <w:t> </w:t>
      </w:r>
      <w:r>
        <w:rPr/>
        <w:t>年</w:t>
      </w:r>
      <w:r>
        <w:rPr>
          <w:spacing w:val="26"/>
        </w:rPr>
        <w:t> </w:t>
      </w:r>
      <w:r>
        <w:rPr>
          <w:rFonts w:ascii="Times New Roman" w:hAnsi="Times New Roman" w:cs="Times New Roman" w:eastAsia="Times New Roman" w:hint="default"/>
        </w:rPr>
        <w:t>12 </w:t>
      </w:r>
      <w:r>
        <w:rPr>
          <w:rFonts w:ascii="Times New Roman" w:hAnsi="Times New Roman" w:cs="Times New Roman" w:eastAsia="Times New Roman" w:hint="default"/>
          <w:spacing w:val="26"/>
        </w:rPr>
        <w:t> </w:t>
      </w:r>
      <w:r>
        <w:rPr/>
        <w:t>月</w:t>
      </w:r>
      <w:r>
        <w:rPr>
          <w:spacing w:val="26"/>
        </w:rPr>
        <w:t> </w:t>
      </w:r>
      <w:r>
        <w:rPr>
          <w:rFonts w:ascii="Times New Roman" w:hAnsi="Times New Roman" w:cs="Times New Roman" w:eastAsia="Times New Roman" w:hint="default"/>
        </w:rPr>
        <w:t>19 </w:t>
      </w:r>
      <w:r>
        <w:rPr>
          <w:rFonts w:ascii="Times New Roman" w:hAnsi="Times New Roman" w:cs="Times New Roman" w:eastAsia="Times New Roman" w:hint="default"/>
          <w:spacing w:val="28"/>
        </w:rPr>
        <w:t> </w:t>
      </w:r>
      <w:r>
        <w:rPr>
          <w:spacing w:val="20"/>
        </w:rPr>
        <w:t>日《证券时</w:t>
      </w:r>
      <w:r>
        <w:rPr>
          <w:spacing w:val="-79"/>
        </w:rPr>
        <w:t> </w:t>
      </w:r>
      <w:r>
        <w:rPr>
          <w:spacing w:val="12"/>
        </w:rPr>
        <w:t>报》</w:t>
      </w:r>
      <w:r>
        <w:rPr>
          <w:spacing w:val="-79"/>
        </w:rPr>
        <w:t> </w:t>
      </w:r>
      <w:r>
        <w:rPr>
          <w:spacing w:val="16"/>
        </w:rPr>
        <w:t>及指定</w:t>
      </w:r>
      <w:r>
        <w:rPr>
          <w:spacing w:val="-79"/>
        </w:rPr>
        <w:t> </w:t>
      </w:r>
      <w:r>
        <w:rPr>
          <w:spacing w:val="12"/>
        </w:rPr>
        <w:t>信息</w:t>
      </w:r>
      <w:r>
        <w:rPr>
          <w:spacing w:val="-79"/>
        </w:rPr>
        <w:t> </w:t>
      </w:r>
      <w:r>
        <w:rPr>
          <w:spacing w:val="18"/>
        </w:rPr>
        <w:t>披露网站</w:t>
      </w:r>
      <w:r>
        <w:rPr>
          <w:spacing w:val="-80"/>
        </w:rPr>
        <w:t> </w:t>
      </w:r>
      <w:r>
        <w:rPr/>
      </w:r>
    </w:p>
    <w:p>
      <w:pPr>
        <w:pStyle w:val="BodyText"/>
        <w:spacing w:line="240" w:lineRule="auto"/>
        <w:ind w:right="1090"/>
        <w:jc w:val="left"/>
      </w:pP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24"/>
        </w:rPr>
        <w:t> </w:t>
      </w:r>
      <w:r>
        <w:rPr/>
        <w:t>上。</w:t>
      </w:r>
    </w:p>
    <w:p>
      <w:pPr>
        <w:spacing w:after="0" w:line="240" w:lineRule="auto"/>
        <w:jc w:val="left"/>
        <w:sectPr>
          <w:pgSz w:w="11910" w:h="16840"/>
          <w:pgMar w:header="0" w:footer="982" w:top="1100" w:bottom="1180" w:left="1660" w:right="1660"/>
        </w:sectPr>
      </w:pPr>
    </w:p>
    <w:p>
      <w:pPr>
        <w:spacing w:line="240" w:lineRule="auto" w:before="12"/>
        <w:rPr>
          <w:rFonts w:ascii="宋体" w:hAnsi="宋体" w:cs="宋体" w:eastAsia="宋体" w:hint="default"/>
          <w:sz w:val="19"/>
          <w:szCs w:val="19"/>
        </w:rPr>
      </w:pPr>
    </w:p>
    <w:p>
      <w:pPr>
        <w:pStyle w:val="Heading2"/>
        <w:spacing w:line="240" w:lineRule="auto" w:before="13"/>
        <w:ind w:right="102"/>
        <w:jc w:val="left"/>
        <w:rPr>
          <w:b w:val="0"/>
          <w:bCs w:val="0"/>
        </w:rPr>
      </w:pPr>
      <w:r>
        <w:rPr/>
        <w:t>二、监事会对有关事项发表的独立意见</w:t>
      </w:r>
      <w:r>
        <w:rPr>
          <w:b w:val="0"/>
          <w:bCs w:val="0"/>
        </w:rPr>
      </w:r>
    </w:p>
    <w:p>
      <w:pPr>
        <w:pStyle w:val="BodyText"/>
        <w:spacing w:line="460" w:lineRule="exact" w:before="5"/>
        <w:ind w:left="560" w:right="206" w:hanging="420"/>
        <w:jc w:val="left"/>
      </w:pPr>
      <w:r>
        <w:rPr/>
        <w:t>（一）公司依法运作情况 </w:t>
      </w:r>
      <w:r>
        <w:rPr>
          <w:spacing w:val="-8"/>
        </w:rPr>
        <w:t>公司监事会严格按照《公司法》、《公司章程》等的规定，认真履行职责，积极参加股东</w:t>
      </w:r>
    </w:p>
    <w:p>
      <w:pPr>
        <w:pStyle w:val="BodyText"/>
        <w:spacing w:line="292" w:lineRule="auto" w:before="3"/>
        <w:ind w:left="139" w:right="216"/>
        <w:jc w:val="both"/>
      </w:pPr>
      <w:r>
        <w:rPr/>
        <w:t>大会，列席董事会会议，对公司</w:t>
      </w:r>
      <w:r>
        <w:rPr>
          <w:spacing w:val="-4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年依法运作进行监督，认为：公司不断健全和完善内 </w:t>
      </w:r>
      <w:r>
        <w:rPr>
          <w:spacing w:val="-3"/>
        </w:rPr>
        <w:t>部控制制度；董事会运作规范、决策合理、程序合法，认真执行股东大会的各项决议，忠实</w:t>
      </w:r>
      <w:r>
        <w:rPr>
          <w:spacing w:val="-84"/>
        </w:rPr>
        <w:t> </w:t>
      </w:r>
      <w:r>
        <w:rPr>
          <w:spacing w:val="-84"/>
        </w:rPr>
      </w:r>
      <w:r>
        <w:rPr>
          <w:spacing w:val="-3"/>
        </w:rPr>
        <w:t>履行了诚信义务；公司董事、高级管理人员执行公司职务时不存在违反法律、法规、《公司</w:t>
      </w:r>
      <w:r>
        <w:rPr>
          <w:spacing w:val="-83"/>
        </w:rPr>
        <w:t> </w:t>
      </w:r>
      <w:r>
        <w:rPr>
          <w:spacing w:val="-83"/>
        </w:rPr>
      </w:r>
      <w:r>
        <w:rPr/>
        <w:t>章程》或损害公司利益的行为。</w:t>
      </w:r>
    </w:p>
    <w:p>
      <w:pPr>
        <w:pStyle w:val="BodyText"/>
        <w:spacing w:line="240" w:lineRule="auto" w:before="139"/>
        <w:ind w:left="139" w:right="102"/>
        <w:jc w:val="left"/>
      </w:pPr>
      <w:r>
        <w:rPr/>
        <w:t>（二）检查公司财务的情况</w:t>
      </w:r>
    </w:p>
    <w:p>
      <w:pPr>
        <w:spacing w:line="240" w:lineRule="auto" w:before="2"/>
        <w:rPr>
          <w:rFonts w:ascii="宋体" w:hAnsi="宋体" w:cs="宋体" w:eastAsia="宋体" w:hint="default"/>
          <w:sz w:val="14"/>
          <w:szCs w:val="14"/>
        </w:rPr>
      </w:pPr>
    </w:p>
    <w:p>
      <w:pPr>
        <w:pStyle w:val="BodyText"/>
        <w:spacing w:line="288" w:lineRule="auto" w:before="0"/>
        <w:ind w:left="139" w:right="216" w:firstLine="420"/>
        <w:jc w:val="both"/>
      </w:pPr>
      <w:r>
        <w:rPr/>
        <w:t>监事会对</w:t>
      </w:r>
      <w:r>
        <w:rPr>
          <w:spacing w:val="-4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年公司的财务状况和财务管理进行了监督和检查，并作了认真细致的审 </w:t>
      </w:r>
      <w:r>
        <w:rPr>
          <w:spacing w:val="-3"/>
        </w:rPr>
        <w:t>核，认为：公司财务制度健全，财务运作规范，财务状况良好。立信羊城会计师事务所有限</w:t>
      </w:r>
      <w:r>
        <w:rPr>
          <w:spacing w:val="-84"/>
        </w:rPr>
        <w:t> </w:t>
      </w:r>
      <w:r>
        <w:rPr>
          <w:spacing w:val="-84"/>
        </w:rPr>
      </w:r>
      <w:r>
        <w:rPr/>
        <w:t>公司出具的标准无保留意见审计报告真实、公允地反映公司</w:t>
      </w:r>
      <w:r>
        <w:rPr>
          <w:spacing w:val="-4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年度的财务状况和经营成 果。</w:t>
      </w:r>
    </w:p>
    <w:p>
      <w:pPr>
        <w:pStyle w:val="BodyText"/>
        <w:spacing w:line="240" w:lineRule="auto" w:before="143"/>
        <w:ind w:left="139" w:right="102"/>
        <w:jc w:val="left"/>
      </w:pPr>
      <w:r>
        <w:rPr/>
        <w:t>（三）检查内部控制的情况</w:t>
      </w:r>
    </w:p>
    <w:p>
      <w:pPr>
        <w:spacing w:line="240" w:lineRule="auto" w:before="3"/>
        <w:rPr>
          <w:rFonts w:ascii="宋体" w:hAnsi="宋体" w:cs="宋体" w:eastAsia="宋体" w:hint="default"/>
          <w:sz w:val="14"/>
          <w:szCs w:val="14"/>
        </w:rPr>
      </w:pPr>
    </w:p>
    <w:p>
      <w:pPr>
        <w:pStyle w:val="BodyText"/>
        <w:spacing w:line="292" w:lineRule="auto" w:before="0"/>
        <w:ind w:left="139" w:right="216" w:firstLine="420"/>
        <w:jc w:val="both"/>
      </w:pPr>
      <w:r>
        <w:rPr/>
        <w:t>监事会对董事会关于公司</w:t>
      </w:r>
      <w:r>
        <w:rPr>
          <w:spacing w:val="-6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4"/>
        </w:rPr>
        <w:t> </w:t>
      </w:r>
      <w:r>
        <w:rPr/>
        <w:t>年度内部控制的自我评价报告、公司内部控制制度的建 </w:t>
      </w:r>
      <w:r>
        <w:rPr>
          <w:spacing w:val="-3"/>
        </w:rPr>
        <w:t>设和运行情况进行了审核，认为：公司已建立了较为完善的内部控制制度体系并能得到有效</w:t>
      </w:r>
      <w:r>
        <w:rPr>
          <w:spacing w:val="-79"/>
        </w:rPr>
        <w:t> </w:t>
      </w:r>
      <w:r>
        <w:rPr>
          <w:spacing w:val="-79"/>
        </w:rPr>
      </w:r>
      <w:r>
        <w:rPr>
          <w:spacing w:val="-3"/>
        </w:rPr>
        <w:t>的执行。公司内部控制的自我评价报告真实、客观地反映了公司内部控制制度的建设及运行</w:t>
      </w:r>
      <w:r>
        <w:rPr>
          <w:spacing w:val="-79"/>
        </w:rPr>
        <w:t> </w:t>
      </w:r>
      <w:r>
        <w:rPr>
          <w:spacing w:val="-79"/>
        </w:rPr>
      </w:r>
      <w:r>
        <w:rPr/>
        <w:t>情况。</w:t>
      </w:r>
    </w:p>
    <w:p>
      <w:pPr>
        <w:pStyle w:val="BodyText"/>
        <w:spacing w:line="460" w:lineRule="exact" w:before="17"/>
        <w:ind w:left="559" w:right="102" w:hanging="420"/>
        <w:jc w:val="left"/>
      </w:pPr>
      <w:r>
        <w:rPr/>
        <w:t>（四）检查募集资金使用情况 </w:t>
      </w:r>
      <w:r>
        <w:rPr>
          <w:spacing w:val="-3"/>
        </w:rPr>
        <w:t>监事会对募集资金的管理和使用进行了有效的监督，认为：公司募集资金的管理能够严</w:t>
      </w:r>
    </w:p>
    <w:p>
      <w:pPr>
        <w:pStyle w:val="BodyText"/>
        <w:spacing w:line="297" w:lineRule="auto" w:before="3"/>
        <w:ind w:left="139" w:right="100"/>
        <w:jc w:val="left"/>
      </w:pPr>
      <w:r>
        <w:rPr>
          <w:spacing w:val="-5"/>
        </w:rPr>
        <w:t>格按照《募集资金使用管理办法》的规定和要求执行，募集资金的实际使用去向合法、合规，</w:t>
      </w:r>
      <w:r>
        <w:rPr>
          <w:spacing w:val="-100"/>
        </w:rPr>
        <w:t> </w:t>
      </w:r>
      <w:r>
        <w:rPr>
          <w:spacing w:val="-100"/>
        </w:rPr>
      </w:r>
      <w:r>
        <w:rPr/>
        <w:t>未发现违反相关法律、法规及损害股东利益的行为。</w:t>
      </w:r>
    </w:p>
    <w:p>
      <w:pPr>
        <w:pStyle w:val="BodyText"/>
        <w:spacing w:line="297" w:lineRule="auto" w:before="134"/>
        <w:ind w:left="139" w:right="216" w:firstLine="420"/>
        <w:jc w:val="both"/>
      </w:pPr>
      <w:r>
        <w:rPr>
          <w:spacing w:val="-3"/>
        </w:rPr>
        <w:t>对变更部分募集资金投向情况进行核查，并发表专项意见，认为：此次变更部分募集资</w:t>
      </w:r>
      <w:r>
        <w:rPr/>
        <w:t> </w:t>
      </w:r>
      <w:r>
        <w:rPr>
          <w:spacing w:val="-3"/>
        </w:rPr>
        <w:t>金投向是适应市场的变化，有利于提高公司募集资金的使用效益，对于促进公司发展具有积</w:t>
      </w:r>
      <w:r>
        <w:rPr>
          <w:spacing w:val="-79"/>
        </w:rPr>
        <w:t> </w:t>
      </w:r>
      <w:r>
        <w:rPr>
          <w:spacing w:val="-79"/>
        </w:rPr>
      </w:r>
      <w:r>
        <w:rPr/>
        <w:t>极的作用；未发现损害中小投资者利益的情况；程序符合有关法律、法规之规定。</w:t>
      </w:r>
    </w:p>
    <w:p>
      <w:pPr>
        <w:pStyle w:val="BodyText"/>
        <w:spacing w:line="240" w:lineRule="auto" w:before="135"/>
        <w:ind w:left="139" w:right="102"/>
        <w:jc w:val="left"/>
      </w:pPr>
      <w:r>
        <w:rPr/>
        <w:t>（五）关联交易情况</w:t>
      </w:r>
    </w:p>
    <w:p>
      <w:pPr>
        <w:spacing w:line="240" w:lineRule="auto" w:before="2"/>
        <w:rPr>
          <w:rFonts w:ascii="宋体" w:hAnsi="宋体" w:cs="宋体" w:eastAsia="宋体" w:hint="default"/>
          <w:sz w:val="14"/>
          <w:szCs w:val="14"/>
        </w:rPr>
      </w:pPr>
    </w:p>
    <w:p>
      <w:pPr>
        <w:pStyle w:val="BodyText"/>
        <w:spacing w:line="292" w:lineRule="auto" w:before="0"/>
        <w:ind w:left="139" w:right="216" w:firstLine="420"/>
        <w:jc w:val="both"/>
      </w:pPr>
      <w:r>
        <w:rPr/>
        <w:t>监事会对公司</w:t>
      </w:r>
      <w:r>
        <w:rPr>
          <w:spacing w:val="-4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年度发生的关联交易进行了监督和核查，认为：公司发生的关联交 </w:t>
      </w:r>
      <w:r>
        <w:rPr>
          <w:spacing w:val="-3"/>
        </w:rPr>
        <w:t>易的决策程序符合有关法律、法规及《公司章程》的规定，依据等价有偿、公允市价的原则</w:t>
      </w:r>
      <w:r>
        <w:rPr>
          <w:spacing w:val="-84"/>
        </w:rPr>
        <w:t> </w:t>
      </w:r>
      <w:r>
        <w:rPr>
          <w:spacing w:val="-84"/>
        </w:rPr>
      </w:r>
      <w:r>
        <w:rPr>
          <w:spacing w:val="-3"/>
        </w:rPr>
        <w:t>定价，价格公允，没有违反公开、公平、公正的原则，不存在损害公司和中小股东利益的情</w:t>
      </w:r>
      <w:r>
        <w:rPr>
          <w:spacing w:val="-84"/>
        </w:rPr>
        <w:t> </w:t>
      </w:r>
      <w:r>
        <w:rPr>
          <w:spacing w:val="-84"/>
        </w:rPr>
      </w:r>
      <w:r>
        <w:rPr/>
        <w:t>形。</w:t>
      </w:r>
    </w:p>
    <w:p>
      <w:pPr>
        <w:spacing w:after="0" w:line="292" w:lineRule="auto"/>
        <w:jc w:val="both"/>
        <w:sectPr>
          <w:pgSz w:w="11910" w:h="16840"/>
          <w:pgMar w:header="0" w:footer="982" w:top="1100" w:bottom="1180" w:left="16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1"/>
        <w:spacing w:line="240" w:lineRule="auto"/>
        <w:ind w:left="3448" w:right="0"/>
        <w:jc w:val="left"/>
        <w:rPr>
          <w:b w:val="0"/>
          <w:bCs w:val="0"/>
        </w:rPr>
      </w:pPr>
      <w:bookmarkStart w:name="_bookmark8" w:id="9"/>
      <w:bookmarkEnd w:id="9"/>
      <w:r>
        <w:rPr>
          <w:b w:val="0"/>
          <w:bCs w:val="0"/>
        </w:rPr>
      </w:r>
      <w:r>
        <w:rPr/>
        <w:t>第九节</w:t>
      </w:r>
      <w:r>
        <w:rPr>
          <w:spacing w:val="-5"/>
        </w:rPr>
        <w:t> </w:t>
      </w:r>
      <w:r>
        <w:rPr/>
        <w:t>重要事项</w:t>
      </w:r>
      <w:r>
        <w:rPr>
          <w:b w:val="0"/>
          <w:bCs w:val="0"/>
        </w:rPr>
      </w:r>
    </w:p>
    <w:p>
      <w:pPr>
        <w:spacing w:line="240" w:lineRule="auto" w:before="6"/>
        <w:rPr>
          <w:rFonts w:ascii="宋体" w:hAnsi="宋体" w:cs="宋体" w:eastAsia="宋体" w:hint="default"/>
          <w:b/>
          <w:bCs/>
          <w:sz w:val="38"/>
          <w:szCs w:val="38"/>
        </w:rPr>
      </w:pPr>
    </w:p>
    <w:p>
      <w:pPr>
        <w:pStyle w:val="Heading2"/>
        <w:spacing w:line="376" w:lineRule="auto"/>
        <w:ind w:left="499" w:right="0"/>
        <w:jc w:val="left"/>
        <w:rPr>
          <w:b w:val="0"/>
          <w:bCs w:val="0"/>
        </w:rPr>
      </w:pPr>
      <w:r>
        <w:rPr/>
        <w:t>一、报告期内，公司无重大诉讼、仲裁事项。</w:t>
      </w:r>
      <w:r>
        <w:rPr>
          <w:spacing w:val="1"/>
          <w:w w:val="99"/>
        </w:rPr>
        <w:t> </w:t>
      </w:r>
      <w:r>
        <w:rPr/>
        <w:t>二、报告期内，公司未发生破产重整等相关事项。</w:t>
      </w:r>
      <w:r>
        <w:rPr>
          <w:b w:val="0"/>
          <w:bCs w:val="0"/>
        </w:rPr>
      </w:r>
    </w:p>
    <w:p>
      <w:pPr>
        <w:pStyle w:val="Heading2"/>
        <w:spacing w:line="297" w:lineRule="auto" w:before="47"/>
        <w:ind w:left="499" w:right="0"/>
        <w:jc w:val="left"/>
        <w:rPr>
          <w:b w:val="0"/>
          <w:bCs w:val="0"/>
        </w:rPr>
      </w:pPr>
      <w:r>
        <w:rPr>
          <w:spacing w:val="-4"/>
          <w:w w:val="95"/>
        </w:rPr>
        <w:t>三、报告期末，公司未持有其他上市公司股权、参股商业银行、证券</w:t>
      </w:r>
      <w:r>
        <w:rPr>
          <w:spacing w:val="10"/>
          <w:w w:val="95"/>
        </w:rPr>
        <w:t> </w:t>
      </w:r>
      <w:r>
        <w:rPr>
          <w:spacing w:val="10"/>
          <w:w w:val="95"/>
        </w:rPr>
      </w:r>
      <w:r>
        <w:rPr/>
        <w:t>公司、保险公司、信托公司和期货公司等事项。</w:t>
      </w:r>
      <w:r>
        <w:rPr>
          <w:b w:val="0"/>
          <w:bCs w:val="0"/>
        </w:rPr>
      </w:r>
    </w:p>
    <w:p>
      <w:pPr>
        <w:pStyle w:val="Heading2"/>
        <w:spacing w:line="376" w:lineRule="auto" w:before="140"/>
        <w:ind w:left="500" w:right="1194"/>
        <w:jc w:val="left"/>
        <w:rPr>
          <w:b w:val="0"/>
          <w:bCs w:val="0"/>
        </w:rPr>
      </w:pPr>
      <w:r>
        <w:rPr/>
        <w:t>四、报告期内，公司未发生收购及出售资产、吸收合并事项。</w:t>
      </w:r>
      <w:r>
        <w:rPr>
          <w:spacing w:val="1"/>
          <w:w w:val="99"/>
        </w:rPr>
        <w:t> </w:t>
      </w:r>
      <w:r>
        <w:rPr/>
        <w:t>五、报告期内，公司未实施股权激励计划。</w:t>
      </w:r>
      <w:r>
        <w:rPr>
          <w:spacing w:val="1"/>
          <w:w w:val="99"/>
        </w:rPr>
        <w:t> </w:t>
      </w:r>
      <w:r>
        <w:rPr/>
        <w:t>六、报告期内重大关联交易事项</w:t>
      </w:r>
      <w:r>
        <w:rPr>
          <w:b w:val="0"/>
          <w:bCs w:val="0"/>
        </w:rPr>
      </w:r>
    </w:p>
    <w:p>
      <w:pPr>
        <w:pStyle w:val="BodyText"/>
        <w:spacing w:line="240" w:lineRule="auto" w:before="96"/>
        <w:ind w:left="500" w:right="0"/>
        <w:jc w:val="left"/>
      </w:pPr>
      <w:r>
        <w:rPr/>
        <w:t>（一）报告期，采购货物：</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2626"/>
        <w:gridCol w:w="1364"/>
        <w:gridCol w:w="1948"/>
        <w:gridCol w:w="979"/>
        <w:gridCol w:w="2160"/>
      </w:tblGrid>
      <w:tr>
        <w:trPr>
          <w:trHeight w:val="324" w:hRule="exact"/>
        </w:trPr>
        <w:tc>
          <w:tcPr>
            <w:tcW w:w="262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779" w:right="0"/>
              <w:jc w:val="left"/>
              <w:rPr>
                <w:rFonts w:ascii="宋体" w:hAnsi="宋体" w:cs="宋体" w:eastAsia="宋体" w:hint="default"/>
                <w:sz w:val="21"/>
                <w:szCs w:val="21"/>
              </w:rPr>
            </w:pPr>
            <w:r>
              <w:rPr>
                <w:rFonts w:ascii="宋体" w:hAnsi="宋体" w:cs="宋体" w:eastAsia="宋体" w:hint="default"/>
                <w:b/>
                <w:bCs/>
                <w:sz w:val="21"/>
                <w:szCs w:val="21"/>
              </w:rPr>
              <w:t>关联方名称</w:t>
            </w:r>
            <w:r>
              <w:rPr>
                <w:rFonts w:ascii="宋体" w:hAnsi="宋体" w:cs="宋体" w:eastAsia="宋体" w:hint="default"/>
                <w:sz w:val="21"/>
                <w:szCs w:val="21"/>
              </w:rPr>
            </w:r>
          </w:p>
        </w:tc>
        <w:tc>
          <w:tcPr>
            <w:tcW w:w="3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9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年金额</w:t>
            </w:r>
            <w:r>
              <w:rPr>
                <w:rFonts w:ascii="宋体" w:hAnsi="宋体" w:cs="宋体" w:eastAsia="宋体" w:hint="default"/>
                <w:sz w:val="21"/>
                <w:szCs w:val="21"/>
              </w:rPr>
            </w:r>
          </w:p>
        </w:tc>
        <w:tc>
          <w:tcPr>
            <w:tcW w:w="31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1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年金额</w:t>
            </w:r>
            <w:r>
              <w:rPr>
                <w:rFonts w:ascii="宋体" w:hAnsi="宋体" w:cs="宋体" w:eastAsia="宋体" w:hint="default"/>
                <w:sz w:val="21"/>
                <w:szCs w:val="21"/>
              </w:rPr>
            </w:r>
          </w:p>
        </w:tc>
      </w:tr>
      <w:tr>
        <w:trPr>
          <w:trHeight w:val="641" w:hRule="exact"/>
        </w:trPr>
        <w:tc>
          <w:tcPr>
            <w:tcW w:w="2626" w:type="dxa"/>
            <w:vMerge/>
            <w:tcBorders>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3"/>
              <w:jc w:val="center"/>
              <w:rPr>
                <w:rFonts w:ascii="宋体" w:hAnsi="宋体" w:cs="宋体" w:eastAsia="宋体" w:hint="default"/>
                <w:sz w:val="21"/>
                <w:szCs w:val="21"/>
              </w:rPr>
            </w:pPr>
            <w:r>
              <w:rPr>
                <w:rFonts w:ascii="宋体" w:hAnsi="宋体" w:cs="宋体" w:eastAsia="宋体" w:hint="default"/>
                <w:b/>
                <w:bCs/>
                <w:spacing w:val="-2"/>
                <w:sz w:val="21"/>
                <w:szCs w:val="21"/>
              </w:rPr>
              <w:t>金额（万元）</w:t>
            </w:r>
            <w:r>
              <w:rPr>
                <w:rFonts w:ascii="宋体" w:hAnsi="宋体" w:cs="宋体" w:eastAsia="宋体" w:hint="default"/>
                <w:spacing w:val="-2"/>
                <w:sz w:val="21"/>
                <w:szCs w:val="21"/>
              </w:rPr>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3" w:right="-3" w:firstLine="21"/>
              <w:jc w:val="left"/>
              <w:rPr>
                <w:rFonts w:ascii="宋体" w:hAnsi="宋体" w:cs="宋体" w:eastAsia="宋体" w:hint="default"/>
                <w:sz w:val="21"/>
                <w:szCs w:val="21"/>
              </w:rPr>
            </w:pPr>
            <w:r>
              <w:rPr>
                <w:rFonts w:ascii="宋体" w:hAnsi="宋体" w:cs="宋体" w:eastAsia="宋体" w:hint="default"/>
                <w:b/>
                <w:bCs/>
                <w:sz w:val="21"/>
                <w:szCs w:val="21"/>
              </w:rPr>
              <w:t>占年度（同期）同</w:t>
            </w:r>
            <w:r>
              <w:rPr>
                <w:rFonts w:ascii="宋体" w:hAnsi="宋体" w:cs="宋体" w:eastAsia="宋体" w:hint="default"/>
                <w:b/>
                <w:bCs/>
                <w:spacing w:val="1"/>
                <w:w w:val="99"/>
                <w:sz w:val="21"/>
                <w:szCs w:val="21"/>
              </w:rPr>
              <w:t> </w:t>
            </w:r>
            <w:r>
              <w:rPr>
                <w:rFonts w:ascii="宋体" w:hAnsi="宋体" w:cs="宋体" w:eastAsia="宋体" w:hint="default"/>
                <w:b/>
                <w:bCs/>
                <w:spacing w:val="-7"/>
                <w:sz w:val="21"/>
                <w:szCs w:val="21"/>
              </w:rPr>
              <w:t>类交易百分比（％）</w:t>
            </w:r>
            <w:r>
              <w:rPr>
                <w:rFonts w:ascii="宋体" w:hAnsi="宋体" w:cs="宋体" w:eastAsia="宋体" w:hint="default"/>
                <w:sz w:val="21"/>
                <w:szCs w:val="21"/>
              </w:rPr>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73" w:right="100" w:hanging="171"/>
              <w:jc w:val="left"/>
              <w:rPr>
                <w:rFonts w:ascii="宋体" w:hAnsi="宋体" w:cs="宋体" w:eastAsia="宋体" w:hint="default"/>
                <w:sz w:val="21"/>
                <w:szCs w:val="21"/>
              </w:rPr>
            </w:pPr>
            <w:r>
              <w:rPr>
                <w:rFonts w:ascii="宋体" w:hAnsi="宋体" w:cs="宋体" w:eastAsia="宋体" w:hint="default"/>
                <w:b/>
                <w:bCs/>
                <w:spacing w:val="-20"/>
                <w:sz w:val="21"/>
                <w:szCs w:val="21"/>
              </w:rPr>
              <w:t>金额（万</w:t>
            </w:r>
            <w:r>
              <w:rPr>
                <w:rFonts w:ascii="宋体" w:hAnsi="宋体" w:cs="宋体" w:eastAsia="宋体" w:hint="default"/>
                <w:b/>
                <w:bCs/>
                <w:spacing w:val="1"/>
                <w:w w:val="99"/>
                <w:sz w:val="21"/>
                <w:szCs w:val="21"/>
              </w:rPr>
              <w:t> </w:t>
            </w:r>
            <w:r>
              <w:rPr>
                <w:rFonts w:ascii="宋体" w:hAnsi="宋体" w:cs="宋体" w:eastAsia="宋体" w:hint="default"/>
                <w:b/>
                <w:bCs/>
                <w:sz w:val="21"/>
                <w:szCs w:val="21"/>
              </w:rPr>
              <w:t>元）</w:t>
            </w:r>
            <w:r>
              <w:rPr>
                <w:rFonts w:ascii="宋体" w:hAnsi="宋体" w:cs="宋体" w:eastAsia="宋体" w:hint="default"/>
                <w:sz w:val="21"/>
                <w:szCs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31" w:right="124" w:hanging="106"/>
              <w:jc w:val="left"/>
              <w:rPr>
                <w:rFonts w:ascii="宋体" w:hAnsi="宋体" w:cs="宋体" w:eastAsia="宋体" w:hint="default"/>
                <w:sz w:val="21"/>
                <w:szCs w:val="21"/>
              </w:rPr>
            </w:pPr>
            <w:r>
              <w:rPr>
                <w:rFonts w:ascii="宋体" w:hAnsi="宋体" w:cs="宋体" w:eastAsia="宋体" w:hint="default"/>
                <w:b/>
                <w:bCs/>
                <w:sz w:val="21"/>
                <w:szCs w:val="21"/>
              </w:rPr>
              <w:t>占年度（同期）同类</w:t>
            </w:r>
            <w:r>
              <w:rPr>
                <w:rFonts w:ascii="宋体" w:hAnsi="宋体" w:cs="宋体" w:eastAsia="宋体" w:hint="default"/>
                <w:b/>
                <w:bCs/>
                <w:spacing w:val="1"/>
                <w:w w:val="99"/>
                <w:sz w:val="21"/>
                <w:szCs w:val="21"/>
              </w:rPr>
              <w:t> </w:t>
            </w:r>
            <w:r>
              <w:rPr>
                <w:rFonts w:ascii="宋体" w:hAnsi="宋体" w:cs="宋体" w:eastAsia="宋体" w:hint="default"/>
                <w:b/>
                <w:bCs/>
                <w:sz w:val="21"/>
                <w:szCs w:val="21"/>
              </w:rPr>
              <w:t>交易百分比（％）</w:t>
            </w:r>
            <w:r>
              <w:rPr>
                <w:rFonts w:ascii="宋体" w:hAnsi="宋体" w:cs="宋体" w:eastAsia="宋体" w:hint="default"/>
                <w:sz w:val="21"/>
                <w:szCs w:val="21"/>
              </w:rPr>
            </w:r>
          </w:p>
        </w:tc>
      </w:tr>
      <w:tr>
        <w:trPr>
          <w:trHeight w:val="294"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广州海格机械有限公司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1.23</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97" w:right="0"/>
              <w:jc w:val="left"/>
              <w:rPr>
                <w:rFonts w:ascii="Times New Roman" w:hAnsi="Times New Roman" w:cs="Times New Roman" w:eastAsia="Times New Roman" w:hint="default"/>
                <w:sz w:val="21"/>
                <w:szCs w:val="21"/>
              </w:rPr>
            </w:pPr>
            <w:r>
              <w:rPr>
                <w:rFonts w:ascii="Times New Roman"/>
                <w:sz w:val="21"/>
              </w:rPr>
              <w:t>0.01%</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1"/>
                <w:szCs w:val="21"/>
              </w:rPr>
            </w:pPr>
            <w:r>
              <w:rPr>
                <w:rFonts w:ascii="Times New Roman"/>
                <w:sz w:val="21"/>
              </w:rPr>
              <w:t>24.07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1"/>
                <w:szCs w:val="21"/>
              </w:rPr>
            </w:pPr>
            <w:r>
              <w:rPr>
                <w:rFonts w:ascii="Times New Roman"/>
                <w:sz w:val="21"/>
              </w:rPr>
              <w:t>0.03%</w:t>
            </w:r>
          </w:p>
        </w:tc>
      </w:tr>
      <w:tr>
        <w:trPr>
          <w:trHeight w:val="295"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广州无线电集团有限公司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0.00</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97" w:right="0"/>
              <w:jc w:val="left"/>
              <w:rPr>
                <w:rFonts w:ascii="Times New Roman" w:hAnsi="Times New Roman" w:cs="Times New Roman" w:eastAsia="Times New Roman" w:hint="default"/>
                <w:sz w:val="21"/>
                <w:szCs w:val="21"/>
              </w:rPr>
            </w:pPr>
            <w:r>
              <w:rPr>
                <w:rFonts w:ascii="Times New Roman"/>
                <w:sz w:val="21"/>
              </w:rPr>
              <w:t>0.00%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12.46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1"/>
                <w:szCs w:val="21"/>
              </w:rPr>
            </w:pPr>
            <w:r>
              <w:rPr>
                <w:rFonts w:ascii="Times New Roman"/>
                <w:sz w:val="21"/>
              </w:rPr>
              <w:t>0.02%</w:t>
            </w:r>
          </w:p>
        </w:tc>
      </w:tr>
      <w:tr>
        <w:trPr>
          <w:trHeight w:val="295"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1.23</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97" w:right="0"/>
              <w:jc w:val="left"/>
              <w:rPr>
                <w:rFonts w:ascii="Times New Roman" w:hAnsi="Times New Roman" w:cs="Times New Roman" w:eastAsia="Times New Roman" w:hint="default"/>
                <w:sz w:val="21"/>
                <w:szCs w:val="21"/>
              </w:rPr>
            </w:pPr>
            <w:r>
              <w:rPr>
                <w:rFonts w:ascii="Times New Roman"/>
                <w:sz w:val="21"/>
              </w:rPr>
              <w:t>0.01%</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36.53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1"/>
                <w:szCs w:val="21"/>
              </w:rPr>
            </w:pPr>
            <w:r>
              <w:rPr>
                <w:rFonts w:ascii="Times New Roman"/>
                <w:sz w:val="21"/>
              </w:rPr>
              <w:t>0.05%</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before="35"/>
        <w:ind w:left="500" w:right="0"/>
        <w:jc w:val="left"/>
      </w:pPr>
      <w:r>
        <w:rPr/>
        <w:t>（二）房屋与场地租赁及管理</w:t>
      </w:r>
    </w:p>
    <w:p>
      <w:pPr>
        <w:spacing w:line="240" w:lineRule="auto" w:before="2"/>
        <w:rPr>
          <w:rFonts w:ascii="宋体" w:hAnsi="宋体" w:cs="宋体" w:eastAsia="宋体" w:hint="default"/>
          <w:sz w:val="14"/>
          <w:szCs w:val="14"/>
        </w:rPr>
      </w:pPr>
    </w:p>
    <w:p>
      <w:pPr>
        <w:pStyle w:val="BodyText"/>
        <w:spacing w:line="297" w:lineRule="auto" w:before="0"/>
        <w:ind w:left="500" w:right="496" w:firstLine="420"/>
        <w:jc w:val="both"/>
      </w:pPr>
      <w:r>
        <w:rPr/>
        <w:t>报告期</w:t>
      </w:r>
      <w:r>
        <w:rPr>
          <w:spacing w:val="-94"/>
        </w:rPr>
        <w:t>，</w:t>
      </w:r>
      <w:r>
        <w:rPr/>
        <w:t>公司及全资子公司深圳银通目前部分生产经营用房继续向公司控股股东广州无</w:t>
      </w:r>
      <w:r>
        <w:rPr/>
        <w:t> 线电集团有限公司租用</w:t>
      </w:r>
      <w:r>
        <w:rPr>
          <w:spacing w:val="-94"/>
        </w:rPr>
        <w:t>，</w:t>
      </w:r>
      <w:r>
        <w:rPr/>
        <w:t>同时公司和深圳银通将从广州无线电集团有限公司租赁而来的场地</w:t>
      </w:r>
      <w:r>
        <w:rPr/>
        <w:t> 物业继续委托给广州无线电集团有限公司参股子公司广州鑫广电物业服务有限公</w:t>
      </w:r>
      <w:r>
        <w:rPr>
          <w:spacing w:val="-94"/>
        </w:rPr>
        <w:t>司</w:t>
      </w:r>
      <w:r>
        <w:rPr/>
        <w:t>（以下简</w:t>
      </w:r>
      <w:r>
        <w:rPr/>
        <w:t> 称“广电物业</w:t>
      </w:r>
      <w:r>
        <w:rPr>
          <w:spacing w:val="-105"/>
        </w:rPr>
        <w:t>”</w:t>
      </w:r>
      <w:r>
        <w:rPr/>
        <w:t>）进行</w:t>
      </w:r>
      <w:r>
        <w:rPr>
          <w:spacing w:val="-2"/>
        </w:rPr>
        <w:t>管</w:t>
      </w:r>
      <w:r>
        <w:rPr/>
        <w:t>理。</w:t>
      </w:r>
    </w:p>
    <w:p>
      <w:pPr>
        <w:pStyle w:val="BodyText"/>
        <w:spacing w:line="240" w:lineRule="auto" w:before="135"/>
        <w:ind w:left="920" w:right="0"/>
        <w:jc w:val="left"/>
      </w:pPr>
      <w:r>
        <w:rPr>
          <w:rFonts w:ascii="Times New Roman" w:hAnsi="Times New Roman" w:cs="Times New Roman" w:eastAsia="Times New Roman" w:hint="default"/>
        </w:rPr>
        <w:t>1</w:t>
      </w:r>
      <w:r>
        <w:rPr/>
        <w:t>、房屋租赁</w:t>
      </w:r>
    </w:p>
    <w:p>
      <w:pPr>
        <w:pStyle w:val="BodyText"/>
        <w:spacing w:line="240" w:lineRule="auto" w:before="170"/>
        <w:ind w:left="920" w:right="0"/>
        <w:jc w:val="left"/>
      </w:pPr>
      <w:r>
        <w:rPr/>
        <w:t>公司于</w:t>
      </w:r>
      <w:r>
        <w:rPr>
          <w:spacing w:val="-52"/>
        </w:rPr>
        <w:t> </w:t>
      </w:r>
      <w:r>
        <w:rPr>
          <w:rFonts w:ascii="Times New Roman" w:hAnsi="Times New Roman" w:cs="Times New Roman" w:eastAsia="Times New Roman" w:hint="default"/>
        </w:rPr>
        <w:t>2006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日与广州无线电集团有限公司签订《房地产租赁合同</w:t>
      </w:r>
      <w:r>
        <w:rPr>
          <w:spacing w:val="-105"/>
        </w:rPr>
        <w:t>》</w:t>
      </w:r>
      <w:r>
        <w:rPr/>
        <w:t>，公</w:t>
      </w:r>
      <w:r>
        <w:rPr>
          <w:spacing w:val="-2"/>
        </w:rPr>
        <w:t>司</w:t>
      </w:r>
      <w:r>
        <w:rPr/>
        <w:t>租</w:t>
      </w:r>
    </w:p>
    <w:p>
      <w:pPr>
        <w:pStyle w:val="BodyText"/>
        <w:spacing w:line="240" w:lineRule="auto"/>
        <w:ind w:left="499" w:right="0"/>
        <w:jc w:val="left"/>
      </w:pPr>
      <w:r>
        <w:rPr/>
        <w:t>用广州无线电集团有限公司拥有的坐落在广州市天河区平云路</w:t>
      </w:r>
      <w:r>
        <w:rPr>
          <w:spacing w:val="-52"/>
        </w:rPr>
        <w:t> </w:t>
      </w:r>
      <w:r>
        <w:rPr>
          <w:rFonts w:ascii="Times New Roman" w:hAnsi="Times New Roman" w:cs="Times New Roman" w:eastAsia="Times New Roman" w:hint="default"/>
        </w:rPr>
        <w:t>163</w:t>
      </w:r>
      <w:r>
        <w:rPr>
          <w:rFonts w:ascii="Times New Roman" w:hAnsi="Times New Roman" w:cs="Times New Roman" w:eastAsia="Times New Roman" w:hint="default"/>
          <w:spacing w:val="1"/>
        </w:rPr>
        <w:t> </w:t>
      </w:r>
      <w:r>
        <w:rPr>
          <w:spacing w:val="-9"/>
        </w:rPr>
        <w:t>号的房屋、场地，租赁期</w:t>
      </w:r>
    </w:p>
    <w:p>
      <w:pPr>
        <w:pStyle w:val="BodyText"/>
        <w:spacing w:line="240" w:lineRule="auto" w:before="49"/>
        <w:ind w:left="499" w:right="0"/>
        <w:jc w:val="left"/>
        <w:rPr>
          <w:rFonts w:ascii="Times New Roman" w:hAnsi="Times New Roman" w:cs="Times New Roman" w:eastAsia="Times New Roman" w:hint="default"/>
        </w:rPr>
      </w:pPr>
      <w:r>
        <w:rPr/>
        <w:t>限从</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6 </w:t>
      </w:r>
      <w:r>
        <w:rPr/>
        <w:t>年</w:t>
      </w:r>
      <w:r>
        <w:rPr>
          <w:spacing w:val="-54"/>
        </w:rPr>
        <w:t> </w:t>
      </w:r>
      <w:r>
        <w:rPr>
          <w:rFonts w:ascii="Times New Roman" w:hAnsi="Times New Roman" w:cs="Times New Roman" w:eastAsia="Times New Roman" w:hint="default"/>
        </w:rPr>
        <w:t>1 </w:t>
      </w:r>
      <w:r>
        <w:rPr/>
        <w:t>月</w:t>
      </w:r>
      <w:r>
        <w:rPr>
          <w:spacing w:val="-54"/>
        </w:rPr>
        <w:t> </w:t>
      </w:r>
      <w:r>
        <w:rPr>
          <w:rFonts w:ascii="Times New Roman" w:hAnsi="Times New Roman" w:cs="Times New Roman" w:eastAsia="Times New Roman" w:hint="default"/>
        </w:rPr>
        <w:t>1 </w:t>
      </w:r>
      <w:r>
        <w:rPr/>
        <w:t>日至</w:t>
      </w:r>
      <w:r>
        <w:rPr>
          <w:spacing w:val="-5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8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 </w:t>
      </w:r>
      <w:r>
        <w:rPr/>
        <w:t>日</w:t>
      </w:r>
      <w:r>
        <w:rPr>
          <w:spacing w:val="-100"/>
        </w:rPr>
        <w:t>。</w:t>
      </w:r>
      <w:r>
        <w:rPr/>
        <w:t>其中</w:t>
      </w:r>
      <w:r>
        <w:rPr>
          <w:spacing w:val="-2"/>
        </w:rPr>
        <w:t>租</w:t>
      </w:r>
      <w:r>
        <w:rPr/>
        <w:t>用通讯大楼一楼</w:t>
      </w:r>
      <w:r>
        <w:rPr>
          <w:spacing w:val="-100"/>
        </w:rPr>
        <w:t>，</w:t>
      </w:r>
      <w:r>
        <w:rPr/>
        <w:t>房地产建筑面积</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14</w:t>
      </w:r>
      <w:r>
        <w:rPr>
          <w:rFonts w:ascii="Times New Roman" w:hAnsi="Times New Roman" w:cs="Times New Roman" w:eastAsia="Times New Roman" w:hint="default"/>
          <w:spacing w:val="1"/>
        </w:rPr>
        <w:t>.</w:t>
      </w:r>
      <w:r>
        <w:rPr>
          <w:rFonts w:ascii="Times New Roman" w:hAnsi="Times New Roman" w:cs="Times New Roman" w:eastAsia="Times New Roman" w:hint="default"/>
        </w:rPr>
        <w:t>4</w:t>
      </w:r>
    </w:p>
    <w:p>
      <w:pPr>
        <w:pStyle w:val="BodyText"/>
        <w:spacing w:line="240" w:lineRule="auto"/>
        <w:ind w:left="499" w:right="0"/>
        <w:jc w:val="left"/>
      </w:pPr>
      <w:r>
        <w:rPr/>
        <w:t>平方米；租用通讯大楼四楼，房地产建筑面积 </w:t>
      </w:r>
      <w:r>
        <w:rPr>
          <w:rFonts w:ascii="Times New Roman" w:hAnsi="Times New Roman" w:cs="Times New Roman" w:eastAsia="Times New Roman" w:hint="default"/>
        </w:rPr>
        <w:t>1944.6</w:t>
      </w:r>
      <w:r>
        <w:rPr>
          <w:rFonts w:ascii="Times New Roman" w:hAnsi="Times New Roman" w:cs="Times New Roman" w:eastAsia="Times New Roman" w:hint="default"/>
          <w:spacing w:val="6"/>
        </w:rPr>
        <w:t> </w:t>
      </w:r>
      <w:r>
        <w:rPr/>
        <w:t>平方米；租用通讯大楼七楼，房地产</w:t>
      </w:r>
    </w:p>
    <w:p>
      <w:pPr>
        <w:pStyle w:val="BodyText"/>
        <w:spacing w:line="240" w:lineRule="auto"/>
        <w:ind w:left="499" w:right="0"/>
        <w:jc w:val="left"/>
      </w:pPr>
      <w:r>
        <w:rPr/>
        <w:t>建筑面积</w:t>
      </w:r>
      <w:r>
        <w:rPr>
          <w:spacing w:val="-52"/>
        </w:rPr>
        <w:t> </w:t>
      </w:r>
      <w:r>
        <w:rPr>
          <w:rFonts w:ascii="Times New Roman" w:hAnsi="Times New Roman" w:cs="Times New Roman" w:eastAsia="Times New Roman" w:hint="default"/>
        </w:rPr>
        <w:t>2961.6</w:t>
      </w:r>
      <w:r>
        <w:rPr>
          <w:rFonts w:ascii="Times New Roman" w:hAnsi="Times New Roman" w:cs="Times New Roman" w:eastAsia="Times New Roman" w:hint="default"/>
          <w:spacing w:val="1"/>
        </w:rPr>
        <w:t> </w:t>
      </w:r>
      <w:r>
        <w:rPr/>
        <w:t>平方米；租用通讯大楼八楼，房地产建筑面积</w:t>
      </w:r>
      <w:r>
        <w:rPr>
          <w:spacing w:val="-52"/>
        </w:rPr>
        <w:t> </w:t>
      </w:r>
      <w:r>
        <w:rPr>
          <w:rFonts w:ascii="Times New Roman" w:hAnsi="Times New Roman" w:cs="Times New Roman" w:eastAsia="Times New Roman" w:hint="default"/>
        </w:rPr>
        <w:t>3035.3</w:t>
      </w:r>
      <w:r>
        <w:rPr>
          <w:rFonts w:ascii="Times New Roman" w:hAnsi="Times New Roman" w:cs="Times New Roman" w:eastAsia="Times New Roman" w:hint="default"/>
          <w:spacing w:val="1"/>
        </w:rPr>
        <w:t> </w:t>
      </w:r>
      <w:r>
        <w:rPr/>
        <w:t>平方米；租用通讯大</w:t>
      </w:r>
    </w:p>
    <w:p>
      <w:pPr>
        <w:pStyle w:val="BodyText"/>
        <w:spacing w:line="240" w:lineRule="auto" w:before="49"/>
        <w:ind w:left="499" w:right="0"/>
        <w:jc w:val="left"/>
        <w:rPr>
          <w:rFonts w:ascii="Times New Roman" w:hAnsi="Times New Roman" w:cs="Times New Roman" w:eastAsia="Times New Roman" w:hint="default"/>
        </w:rPr>
      </w:pPr>
      <w:r>
        <w:rPr/>
        <w:t>楼六楼，房地产建筑面积</w:t>
      </w:r>
      <w:r>
        <w:rPr>
          <w:spacing w:val="-69"/>
        </w:rPr>
        <w:t> </w:t>
      </w:r>
      <w:r>
        <w:rPr>
          <w:rFonts w:ascii="Times New Roman" w:hAnsi="Times New Roman" w:cs="Times New Roman" w:eastAsia="Times New Roman" w:hint="default"/>
        </w:rPr>
        <w:t>1164.92</w:t>
      </w:r>
      <w:r>
        <w:rPr>
          <w:rFonts w:ascii="Times New Roman" w:hAnsi="Times New Roman" w:cs="Times New Roman" w:eastAsia="Times New Roman" w:hint="default"/>
          <w:spacing w:val="-16"/>
        </w:rPr>
        <w:t> </w:t>
      </w:r>
      <w:r>
        <w:rPr/>
        <w:t>平方米；租用通讯大楼六楼西面，房地产建筑面积</w:t>
      </w:r>
      <w:r>
        <w:rPr>
          <w:spacing w:val="-69"/>
        </w:rPr>
        <w:t> </w:t>
      </w:r>
      <w:r>
        <w:rPr>
          <w:rFonts w:ascii="Times New Roman" w:hAnsi="Times New Roman" w:cs="Times New Roman" w:eastAsia="Times New Roman" w:hint="default"/>
        </w:rPr>
        <w:t>700.03</w:t>
      </w:r>
    </w:p>
    <w:p>
      <w:pPr>
        <w:pStyle w:val="BodyText"/>
        <w:spacing w:line="240" w:lineRule="auto"/>
        <w:ind w:left="499" w:right="0"/>
        <w:jc w:val="left"/>
      </w:pPr>
      <w:r>
        <w:rPr/>
        <w:t>平方米；租用通讯大楼二楼，房地产建筑面积</w:t>
      </w:r>
      <w:r>
        <w:rPr>
          <w:spacing w:val="-66"/>
        </w:rPr>
        <w:t> </w:t>
      </w:r>
      <w:r>
        <w:rPr>
          <w:rFonts w:ascii="Times New Roman" w:hAnsi="Times New Roman" w:cs="Times New Roman" w:eastAsia="Times New Roman" w:hint="default"/>
        </w:rPr>
        <w:t>316.75</w:t>
      </w:r>
      <w:r>
        <w:rPr>
          <w:rFonts w:ascii="Times New Roman" w:hAnsi="Times New Roman" w:cs="Times New Roman" w:eastAsia="Times New Roman" w:hint="default"/>
          <w:spacing w:val="-13"/>
        </w:rPr>
        <w:t> </w:t>
      </w:r>
      <w:r>
        <w:rPr/>
        <w:t>平方米，以上租用的楼房按单价</w:t>
      </w:r>
      <w:r>
        <w:rPr>
          <w:spacing w:val="-66"/>
        </w:rPr>
        <w:t> </w:t>
      </w:r>
      <w:r>
        <w:rPr>
          <w:rFonts w:ascii="Times New Roman" w:hAnsi="Times New Roman" w:cs="Times New Roman" w:eastAsia="Times New Roman" w:hint="default"/>
        </w:rPr>
        <w:t>15</w:t>
      </w:r>
      <w:r>
        <w:rPr>
          <w:rFonts w:ascii="Times New Roman" w:hAnsi="Times New Roman" w:cs="Times New Roman" w:eastAsia="Times New Roman" w:hint="default"/>
          <w:spacing w:val="-11"/>
        </w:rPr>
        <w:t> </w:t>
      </w:r>
      <w:r>
        <w:rPr/>
        <w:t>元</w:t>
      </w:r>
    </w:p>
    <w:p>
      <w:pPr>
        <w:pStyle w:val="BodyText"/>
        <w:spacing w:line="240" w:lineRule="auto"/>
        <w:ind w:left="499" w:right="0"/>
        <w:jc w:val="left"/>
      </w:pP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月计算月租金。</w:t>
      </w:r>
    </w:p>
    <w:p>
      <w:pPr>
        <w:spacing w:after="0" w:line="240" w:lineRule="auto"/>
        <w:jc w:val="left"/>
        <w:sectPr>
          <w:pgSz w:w="11910" w:h="16840"/>
          <w:pgMar w:header="0" w:footer="982" w:top="1100" w:bottom="1180" w:left="1300" w:right="1300"/>
        </w:sectPr>
      </w:pPr>
    </w:p>
    <w:p>
      <w:pPr>
        <w:spacing w:line="240" w:lineRule="auto" w:before="1"/>
        <w:rPr>
          <w:rFonts w:ascii="宋体" w:hAnsi="宋体" w:cs="宋体" w:eastAsia="宋体" w:hint="default"/>
          <w:sz w:val="19"/>
          <w:szCs w:val="19"/>
        </w:rPr>
      </w:pPr>
    </w:p>
    <w:p>
      <w:pPr>
        <w:pStyle w:val="BodyText"/>
        <w:spacing w:line="240" w:lineRule="auto" w:before="35"/>
        <w:ind w:left="560" w:right="102"/>
        <w:jc w:val="left"/>
      </w:pPr>
      <w:r>
        <w:rPr/>
        <w:t>另租用广州无线电集团有限公司</w:t>
      </w:r>
      <w:r>
        <w:rPr>
          <w:spacing w:val="-51"/>
        </w:rPr>
        <w:t> </w:t>
      </w:r>
      <w:r>
        <w:rPr>
          <w:rFonts w:ascii="Times New Roman" w:hAnsi="Times New Roman" w:cs="Times New Roman" w:eastAsia="Times New Roman" w:hint="default"/>
        </w:rPr>
        <w:t>41</w:t>
      </w:r>
      <w:r>
        <w:rPr>
          <w:rFonts w:ascii="Times New Roman" w:hAnsi="Times New Roman" w:cs="Times New Roman" w:eastAsia="Times New Roman" w:hint="default"/>
          <w:spacing w:val="1"/>
        </w:rPr>
        <w:t> </w:t>
      </w:r>
      <w:r>
        <w:rPr/>
        <w:t>号楼五金库，房地产建筑面积</w:t>
      </w:r>
      <w:r>
        <w:rPr>
          <w:spacing w:val="-51"/>
        </w:rPr>
        <w:t> </w:t>
      </w:r>
      <w:r>
        <w:rPr>
          <w:rFonts w:ascii="Times New Roman" w:hAnsi="Times New Roman" w:cs="Times New Roman" w:eastAsia="Times New Roman" w:hint="default"/>
        </w:rPr>
        <w:t>18.18 </w:t>
      </w:r>
      <w:r>
        <w:rPr/>
        <w:t>平方米</w:t>
      </w:r>
      <w:r>
        <w:rPr>
          <w:rFonts w:ascii="Times New Roman" w:hAnsi="Times New Roman" w:cs="Times New Roman" w:eastAsia="Times New Roman" w:hint="default"/>
        </w:rPr>
        <w:t>,</w:t>
      </w:r>
      <w:r>
        <w:rPr/>
        <w:t>按单价</w:t>
      </w:r>
    </w:p>
    <w:p>
      <w:pPr>
        <w:pStyle w:val="BodyText"/>
        <w:spacing w:line="240" w:lineRule="auto"/>
        <w:ind w:right="10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月计算月租金</w:t>
      </w:r>
      <w:r>
        <w:rPr>
          <w:rFonts w:ascii="Times New Roman" w:hAnsi="Times New Roman" w:cs="Times New Roman" w:eastAsia="Times New Roman" w:hint="default"/>
        </w:rPr>
        <w:t>;</w:t>
      </w:r>
      <w:r>
        <w:rPr/>
        <w:t>租用</w:t>
      </w:r>
      <w:r>
        <w:rPr>
          <w:spacing w:val="-52"/>
        </w:rPr>
        <w:t> </w:t>
      </w:r>
      <w:r>
        <w:rPr>
          <w:rFonts w:ascii="Times New Roman" w:hAnsi="Times New Roman" w:cs="Times New Roman" w:eastAsia="Times New Roman" w:hint="default"/>
        </w:rPr>
        <w:t>62</w:t>
      </w:r>
      <w:r>
        <w:rPr>
          <w:rFonts w:ascii="Times New Roman" w:hAnsi="Times New Roman" w:cs="Times New Roman" w:eastAsia="Times New Roman" w:hint="default"/>
          <w:spacing w:val="1"/>
        </w:rPr>
        <w:t> </w:t>
      </w:r>
      <w:r>
        <w:rPr>
          <w:spacing w:val="-3"/>
        </w:rPr>
        <w:t>号楼质检楼一楼，房地产建筑面积</w:t>
      </w:r>
      <w:r>
        <w:rPr>
          <w:spacing w:val="-52"/>
        </w:rPr>
        <w:t> </w:t>
      </w:r>
      <w:r>
        <w:rPr>
          <w:rFonts w:ascii="Times New Roman" w:hAnsi="Times New Roman" w:cs="Times New Roman" w:eastAsia="Times New Roman" w:hint="default"/>
        </w:rPr>
        <w:t>245.4</w:t>
      </w:r>
      <w:r>
        <w:rPr>
          <w:rFonts w:ascii="Times New Roman" w:hAnsi="Times New Roman" w:cs="Times New Roman" w:eastAsia="Times New Roman" w:hint="default"/>
          <w:spacing w:val="2"/>
        </w:rPr>
        <w:t> </w:t>
      </w:r>
      <w:r>
        <w:rPr>
          <w:spacing w:val="-5"/>
        </w:rPr>
        <w:t>平方米，按单价</w:t>
      </w:r>
    </w:p>
    <w:p>
      <w:pPr>
        <w:pStyle w:val="BodyText"/>
        <w:spacing w:line="240" w:lineRule="auto" w:before="49"/>
        <w:ind w:left="139" w:right="102"/>
        <w:jc w:val="left"/>
      </w:pPr>
      <w:r>
        <w:rPr>
          <w:rFonts w:ascii="Times New Roman" w:hAnsi="Times New Roman" w:cs="Times New Roman" w:eastAsia="Times New Roman" w:hint="default"/>
        </w:rPr>
        <w:t>6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月计算月租金；租用 </w:t>
      </w:r>
      <w:r>
        <w:rPr>
          <w:rFonts w:ascii="Times New Roman" w:hAnsi="Times New Roman" w:cs="Times New Roman" w:eastAsia="Times New Roman" w:hint="default"/>
        </w:rPr>
        <w:t>2 </w:t>
      </w:r>
      <w:r>
        <w:rPr/>
        <w:t>号厂房大厅北房间，房地产建筑面积 </w:t>
      </w:r>
      <w:r>
        <w:rPr>
          <w:rFonts w:ascii="Times New Roman" w:hAnsi="Times New Roman" w:cs="Times New Roman" w:eastAsia="Times New Roman" w:hint="default"/>
        </w:rPr>
        <w:t>161.4</w:t>
      </w:r>
      <w:r>
        <w:rPr>
          <w:rFonts w:ascii="Times New Roman" w:hAnsi="Times New Roman" w:cs="Times New Roman" w:eastAsia="Times New Roman" w:hint="default"/>
          <w:spacing w:val="-5"/>
        </w:rPr>
        <w:t> </w:t>
      </w:r>
      <w:r>
        <w:rPr/>
        <w:t>平方米，按</w:t>
      </w:r>
    </w:p>
    <w:p>
      <w:pPr>
        <w:pStyle w:val="BodyText"/>
        <w:spacing w:line="240" w:lineRule="auto"/>
        <w:ind w:left="139" w:right="102"/>
        <w:jc w:val="left"/>
      </w:pPr>
      <w:r>
        <w:rPr/>
        <w:t>单价</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月计算月租金。</w:t>
      </w:r>
    </w:p>
    <w:p>
      <w:pPr>
        <w:pStyle w:val="BodyText"/>
        <w:spacing w:line="240" w:lineRule="auto" w:before="170"/>
        <w:ind w:left="559" w:right="102"/>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spacing w:val="-3"/>
        </w:rPr>
        <w:t>日，公司重新与广州无线电集团有限公司签订编号为</w:t>
      </w:r>
      <w:r>
        <w:rPr>
          <w:spacing w:val="-51"/>
        </w:rPr>
        <w:t> </w:t>
      </w:r>
      <w:r>
        <w:rPr>
          <w:rFonts w:ascii="Times New Roman" w:hAnsi="Times New Roman" w:cs="Times New Roman" w:eastAsia="Times New Roman" w:hint="default"/>
        </w:rPr>
        <w:t>ZL2007026</w:t>
      </w:r>
      <w:r>
        <w:rPr>
          <w:rFonts w:ascii="Times New Roman" w:hAnsi="Times New Roman" w:cs="Times New Roman" w:eastAsia="Times New Roman" w:hint="default"/>
          <w:spacing w:val="2"/>
        </w:rPr>
        <w:t> </w:t>
      </w:r>
      <w:r>
        <w:rPr>
          <w:spacing w:val="-16"/>
        </w:rPr>
        <w:t>的《房</w:t>
      </w:r>
    </w:p>
    <w:p>
      <w:pPr>
        <w:pStyle w:val="BodyText"/>
        <w:spacing w:line="240" w:lineRule="auto" w:before="49"/>
        <w:ind w:left="139" w:right="102"/>
        <w:jc w:val="left"/>
      </w:pPr>
      <w:r>
        <w:rPr/>
        <w:t>屋租赁合同</w:t>
      </w:r>
      <w:r>
        <w:rPr>
          <w:spacing w:val="-106"/>
        </w:rPr>
        <w:t>》</w:t>
      </w:r>
      <w:r>
        <w:rPr/>
        <w:t>，公司租用广州无线电集团有限公司拥有的坐落在广州市天河区平云路</w:t>
      </w:r>
      <w:r>
        <w:rPr>
          <w:spacing w:val="-48"/>
        </w:rPr>
        <w:t> </w:t>
      </w:r>
      <w:r>
        <w:rPr>
          <w:rFonts w:ascii="Times New Roman" w:hAnsi="Times New Roman" w:cs="Times New Roman" w:eastAsia="Times New Roman" w:hint="default"/>
        </w:rPr>
        <w:t>163</w:t>
      </w:r>
      <w:r>
        <w:rPr>
          <w:rFonts w:ascii="Times New Roman" w:hAnsi="Times New Roman" w:cs="Times New Roman" w:eastAsia="Times New Roman" w:hint="default"/>
          <w:spacing w:val="5"/>
        </w:rPr>
        <w:t> </w:t>
      </w:r>
      <w:r>
        <w:rPr/>
        <w:t>号</w:t>
      </w:r>
    </w:p>
    <w:p>
      <w:pPr>
        <w:pStyle w:val="BodyText"/>
        <w:spacing w:line="240" w:lineRule="auto"/>
        <w:ind w:left="139" w:right="102"/>
        <w:jc w:val="left"/>
      </w:pPr>
      <w:r>
        <w:rPr/>
        <w:t>的房屋、场地</w:t>
      </w:r>
      <w:r>
        <w:rPr>
          <w:rFonts w:ascii="Times New Roman" w:hAnsi="Times New Roman" w:cs="Times New Roman" w:eastAsia="Times New Roman" w:hint="default"/>
        </w:rPr>
        <w:t>,</w:t>
      </w:r>
      <w:r>
        <w:rPr/>
        <w:t>租赁期限从</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p>
    <w:p>
      <w:pPr>
        <w:pStyle w:val="BodyText"/>
        <w:spacing w:line="240" w:lineRule="auto" w:before="170"/>
        <w:ind w:left="558" w:right="102"/>
        <w:jc w:val="left"/>
      </w:pPr>
      <w:r>
        <w:rPr/>
        <w:t>其中租用通讯大楼一楼中部，房地产建筑面积</w:t>
      </w:r>
      <w:r>
        <w:rPr>
          <w:spacing w:val="-55"/>
        </w:rPr>
        <w:t> </w:t>
      </w:r>
      <w:r>
        <w:rPr>
          <w:rFonts w:ascii="Times New Roman" w:hAnsi="Times New Roman" w:cs="Times New Roman" w:eastAsia="Times New Roman" w:hint="default"/>
        </w:rPr>
        <w:t>914.4</w:t>
      </w:r>
      <w:r>
        <w:rPr>
          <w:rFonts w:ascii="Times New Roman" w:hAnsi="Times New Roman" w:cs="Times New Roman" w:eastAsia="Times New Roman" w:hint="default"/>
          <w:spacing w:val="-2"/>
        </w:rPr>
        <w:t> </w:t>
      </w:r>
      <w:r>
        <w:rPr/>
        <w:t>平方米；租用通讯大楼二楼东部，</w:t>
      </w:r>
    </w:p>
    <w:p>
      <w:pPr>
        <w:pStyle w:val="BodyText"/>
        <w:spacing w:line="240" w:lineRule="auto"/>
        <w:ind w:left="138" w:right="102"/>
        <w:jc w:val="left"/>
      </w:pPr>
      <w:r>
        <w:rPr/>
        <w:t>房地产建筑面积</w:t>
      </w:r>
      <w:r>
        <w:rPr>
          <w:spacing w:val="-51"/>
        </w:rPr>
        <w:t> </w:t>
      </w:r>
      <w:r>
        <w:rPr>
          <w:rFonts w:ascii="Times New Roman" w:hAnsi="Times New Roman" w:cs="Times New Roman" w:eastAsia="Times New Roman" w:hint="default"/>
        </w:rPr>
        <w:t>1581.4</w:t>
      </w:r>
      <w:r>
        <w:rPr>
          <w:rFonts w:ascii="Times New Roman" w:hAnsi="Times New Roman" w:cs="Times New Roman" w:eastAsia="Times New Roman" w:hint="default"/>
          <w:spacing w:val="1"/>
        </w:rPr>
        <w:t> </w:t>
      </w:r>
      <w:r>
        <w:rPr/>
        <w:t>平方米；租用通讯大楼四楼东部，房地产建筑面积</w:t>
      </w:r>
      <w:r>
        <w:rPr>
          <w:spacing w:val="-51"/>
        </w:rPr>
        <w:t> </w:t>
      </w:r>
      <w:r>
        <w:rPr>
          <w:rFonts w:ascii="Times New Roman" w:hAnsi="Times New Roman" w:cs="Times New Roman" w:eastAsia="Times New Roman" w:hint="default"/>
        </w:rPr>
        <w:t>1944.6</w:t>
      </w:r>
      <w:r>
        <w:rPr>
          <w:rFonts w:ascii="Times New Roman" w:hAnsi="Times New Roman" w:cs="Times New Roman" w:eastAsia="Times New Roman" w:hint="default"/>
          <w:spacing w:val="1"/>
        </w:rPr>
        <w:t> </w:t>
      </w:r>
      <w:r>
        <w:rPr/>
        <w:t>平方米；</w:t>
      </w:r>
    </w:p>
    <w:p>
      <w:pPr>
        <w:pStyle w:val="BodyText"/>
        <w:spacing w:line="240" w:lineRule="auto" w:before="49"/>
        <w:ind w:left="138" w:right="102"/>
        <w:jc w:val="left"/>
      </w:pPr>
      <w:r>
        <w:rPr/>
        <w:t>租用通讯大楼五楼，房地产建筑面积</w:t>
      </w:r>
      <w:r>
        <w:rPr>
          <w:spacing w:val="-78"/>
        </w:rPr>
        <w:t> </w:t>
      </w:r>
      <w:r>
        <w:rPr>
          <w:rFonts w:ascii="Times New Roman" w:hAnsi="Times New Roman" w:cs="Times New Roman" w:eastAsia="Times New Roman" w:hint="default"/>
        </w:rPr>
        <w:t>2961.57</w:t>
      </w:r>
      <w:r>
        <w:rPr>
          <w:rFonts w:ascii="Times New Roman" w:hAnsi="Times New Roman" w:cs="Times New Roman" w:eastAsia="Times New Roman" w:hint="default"/>
          <w:spacing w:val="-25"/>
        </w:rPr>
        <w:t> </w:t>
      </w:r>
      <w:r>
        <w:rPr/>
        <w:t>平方米；租用通讯大楼六楼西部，房地产建筑</w:t>
      </w:r>
    </w:p>
    <w:p>
      <w:pPr>
        <w:pStyle w:val="BodyText"/>
        <w:spacing w:line="240" w:lineRule="auto"/>
        <w:ind w:left="138" w:right="102"/>
        <w:jc w:val="left"/>
      </w:pPr>
      <w:r>
        <w:rPr/>
        <w:t>面积</w:t>
      </w:r>
      <w:r>
        <w:rPr>
          <w:spacing w:val="-48"/>
        </w:rPr>
        <w:t> </w:t>
      </w:r>
      <w:r>
        <w:rPr>
          <w:rFonts w:ascii="Times New Roman" w:hAnsi="Times New Roman" w:cs="Times New Roman" w:eastAsia="Times New Roman" w:hint="default"/>
        </w:rPr>
        <w:t>1290.3</w:t>
      </w:r>
      <w:r>
        <w:rPr>
          <w:rFonts w:ascii="Times New Roman" w:hAnsi="Times New Roman" w:cs="Times New Roman" w:eastAsia="Times New Roman" w:hint="default"/>
          <w:spacing w:val="3"/>
        </w:rPr>
        <w:t> </w:t>
      </w:r>
      <w:r>
        <w:rPr>
          <w:spacing w:val="-4"/>
        </w:rPr>
        <w:t>平方米；租用通讯大楼七楼，房地产建筑面积</w:t>
      </w:r>
      <w:r>
        <w:rPr>
          <w:spacing w:val="-48"/>
        </w:rPr>
        <w:t> </w:t>
      </w:r>
      <w:r>
        <w:rPr>
          <w:rFonts w:ascii="Times New Roman" w:hAnsi="Times New Roman" w:cs="Times New Roman" w:eastAsia="Times New Roman" w:hint="default"/>
        </w:rPr>
        <w:t>2961.57</w:t>
      </w:r>
      <w:r>
        <w:rPr>
          <w:rFonts w:ascii="Times New Roman" w:hAnsi="Times New Roman" w:cs="Times New Roman" w:eastAsia="Times New Roman" w:hint="default"/>
          <w:spacing w:val="6"/>
        </w:rPr>
        <w:t> </w:t>
      </w:r>
      <w:r>
        <w:rPr>
          <w:spacing w:val="-4"/>
        </w:rPr>
        <w:t>平方米；租用通讯大楼八</w:t>
      </w:r>
    </w:p>
    <w:p>
      <w:pPr>
        <w:pStyle w:val="BodyText"/>
        <w:spacing w:line="240" w:lineRule="auto"/>
        <w:ind w:left="138" w:right="102"/>
        <w:jc w:val="left"/>
      </w:pPr>
      <w:r>
        <w:rPr/>
        <w:t>楼，房地产建筑面积</w:t>
      </w:r>
      <w:r>
        <w:rPr>
          <w:spacing w:val="-56"/>
        </w:rPr>
        <w:t> </w:t>
      </w:r>
      <w:r>
        <w:rPr>
          <w:rFonts w:ascii="Times New Roman" w:hAnsi="Times New Roman" w:cs="Times New Roman" w:eastAsia="Times New Roman" w:hint="default"/>
        </w:rPr>
        <w:t>3035.25</w:t>
      </w:r>
      <w:r>
        <w:rPr>
          <w:rFonts w:ascii="Times New Roman" w:hAnsi="Times New Roman" w:cs="Times New Roman" w:eastAsia="Times New Roman" w:hint="default"/>
          <w:spacing w:val="-2"/>
        </w:rPr>
        <w:t> </w:t>
      </w:r>
      <w:r>
        <w:rPr/>
        <w:t>平方米，以上租用的楼房按单价</w:t>
      </w:r>
      <w:r>
        <w:rPr>
          <w:spacing w:val="-56"/>
        </w:rPr>
        <w:t>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月计算月租金。</w:t>
      </w:r>
    </w:p>
    <w:p>
      <w:pPr>
        <w:pStyle w:val="BodyText"/>
        <w:spacing w:line="240" w:lineRule="auto" w:before="169"/>
        <w:ind w:left="558" w:right="102"/>
        <w:jc w:val="left"/>
      </w:pPr>
      <w:r>
        <w:rPr/>
        <w:t>租用</w:t>
      </w:r>
      <w:r>
        <w:rPr>
          <w:spacing w:val="-53"/>
        </w:rPr>
        <w:t> </w:t>
      </w:r>
      <w:r>
        <w:rPr>
          <w:rFonts w:ascii="Times New Roman" w:hAnsi="Times New Roman" w:cs="Times New Roman" w:eastAsia="Times New Roman" w:hint="default"/>
        </w:rPr>
        <w:t>13#</w:t>
      </w:r>
      <w:r>
        <w:rPr/>
        <w:t>平房，房地产建筑面积</w:t>
      </w:r>
      <w:r>
        <w:rPr>
          <w:spacing w:val="-53"/>
        </w:rPr>
        <w:t> </w:t>
      </w:r>
      <w:r>
        <w:rPr>
          <w:rFonts w:ascii="Times New Roman" w:hAnsi="Times New Roman" w:cs="Times New Roman" w:eastAsia="Times New Roman" w:hint="default"/>
        </w:rPr>
        <w:t>134.78 </w:t>
      </w:r>
      <w:r>
        <w:rPr/>
        <w:t>平方米；租用</w:t>
      </w:r>
      <w:r>
        <w:rPr>
          <w:spacing w:val="-53"/>
        </w:rPr>
        <w:t> </w:t>
      </w:r>
      <w:r>
        <w:rPr>
          <w:rFonts w:ascii="Times New Roman" w:hAnsi="Times New Roman" w:cs="Times New Roman" w:eastAsia="Times New Roman" w:hint="default"/>
        </w:rPr>
        <w:t>62 </w:t>
      </w:r>
      <w:r>
        <w:rPr/>
        <w:t>号楼质检楼一楼北部，房地产</w:t>
      </w:r>
    </w:p>
    <w:p>
      <w:pPr>
        <w:pStyle w:val="BodyText"/>
        <w:spacing w:line="240" w:lineRule="auto"/>
        <w:ind w:left="138" w:right="102"/>
        <w:jc w:val="left"/>
      </w:pPr>
      <w:r>
        <w:rPr/>
        <w:t>建筑面积</w:t>
      </w:r>
      <w:r>
        <w:rPr>
          <w:spacing w:val="-55"/>
        </w:rPr>
        <w:t> </w:t>
      </w:r>
      <w:r>
        <w:rPr>
          <w:rFonts w:ascii="Times New Roman" w:hAnsi="Times New Roman" w:cs="Times New Roman" w:eastAsia="Times New Roman" w:hint="default"/>
        </w:rPr>
        <w:t>245.36</w:t>
      </w:r>
      <w:r>
        <w:rPr>
          <w:rFonts w:ascii="Times New Roman" w:hAnsi="Times New Roman" w:cs="Times New Roman" w:eastAsia="Times New Roman" w:hint="default"/>
          <w:spacing w:val="-1"/>
        </w:rPr>
        <w:t> </w:t>
      </w:r>
      <w:r>
        <w:rPr/>
        <w:t>平方米，按单价</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月计算月租金。</w:t>
      </w:r>
    </w:p>
    <w:p>
      <w:pPr>
        <w:pStyle w:val="BodyText"/>
        <w:spacing w:line="240" w:lineRule="auto" w:before="170"/>
        <w:ind w:left="559" w:right="0"/>
        <w:jc w:val="left"/>
      </w:pPr>
      <w:r>
        <w:rPr/>
        <w:t>租用</w:t>
      </w:r>
      <w:r>
        <w:rPr>
          <w:spacing w:val="-50"/>
        </w:rPr>
        <w:t> </w:t>
      </w:r>
      <w:r>
        <w:rPr>
          <w:rFonts w:ascii="Times New Roman" w:hAnsi="Times New Roman" w:cs="Times New Roman" w:eastAsia="Times New Roman" w:hint="default"/>
          <w:spacing w:val="-4"/>
        </w:rPr>
        <w:t>1#</w:t>
      </w:r>
      <w:r>
        <w:rPr>
          <w:spacing w:val="-4"/>
        </w:rPr>
        <w:t>厂房一层中部，房地产建筑面积</w:t>
      </w:r>
      <w:r>
        <w:rPr>
          <w:spacing w:val="-50"/>
        </w:rPr>
        <w:t> </w:t>
      </w:r>
      <w:r>
        <w:rPr>
          <w:rFonts w:ascii="Times New Roman" w:hAnsi="Times New Roman" w:cs="Times New Roman" w:eastAsia="Times New Roman" w:hint="default"/>
        </w:rPr>
        <w:t>820.37</w:t>
      </w:r>
      <w:r>
        <w:rPr>
          <w:rFonts w:ascii="Times New Roman" w:hAnsi="Times New Roman" w:cs="Times New Roman" w:eastAsia="Times New Roman" w:hint="default"/>
          <w:spacing w:val="3"/>
        </w:rPr>
        <w:t> </w:t>
      </w:r>
      <w:r>
        <w:rPr>
          <w:spacing w:val="-9"/>
        </w:rPr>
        <w:t>平方米；租用</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号厂房首层东北部房间，</w:t>
      </w:r>
    </w:p>
    <w:p>
      <w:pPr>
        <w:pStyle w:val="BodyText"/>
        <w:spacing w:line="240" w:lineRule="auto" w:before="49"/>
        <w:ind w:right="102"/>
        <w:jc w:val="left"/>
      </w:pPr>
      <w:r>
        <w:rPr/>
        <w:t>房地产建筑面积平方米；租用</w:t>
      </w:r>
      <w:r>
        <w:rPr>
          <w:spacing w:val="-61"/>
        </w:rPr>
        <w:t> </w:t>
      </w:r>
      <w:r>
        <w:rPr>
          <w:rFonts w:ascii="Times New Roman" w:hAnsi="Times New Roman" w:cs="Times New Roman" w:eastAsia="Times New Roman" w:hint="default"/>
        </w:rPr>
        <w:t>62</w:t>
      </w:r>
      <w:r>
        <w:rPr>
          <w:rFonts w:ascii="Times New Roman" w:hAnsi="Times New Roman" w:cs="Times New Roman" w:eastAsia="Times New Roman" w:hint="default"/>
          <w:spacing w:val="-8"/>
        </w:rPr>
        <w:t> </w:t>
      </w:r>
      <w:r>
        <w:rPr/>
        <w:t>号楼质检楼一楼南部，房地产建筑面积</w:t>
      </w:r>
      <w:r>
        <w:rPr>
          <w:spacing w:val="-61"/>
        </w:rPr>
        <w:t> </w:t>
      </w:r>
      <w:r>
        <w:rPr>
          <w:rFonts w:ascii="Times New Roman" w:hAnsi="Times New Roman" w:cs="Times New Roman" w:eastAsia="Times New Roman" w:hint="default"/>
        </w:rPr>
        <w:t>359.55</w:t>
      </w:r>
      <w:r>
        <w:rPr>
          <w:rFonts w:ascii="Times New Roman" w:hAnsi="Times New Roman" w:cs="Times New Roman" w:eastAsia="Times New Roman" w:hint="default"/>
          <w:spacing w:val="-8"/>
        </w:rPr>
        <w:t> </w:t>
      </w:r>
      <w:r>
        <w:rPr>
          <w:spacing w:val="-4"/>
        </w:rPr>
        <w:t>平方米；租</w:t>
      </w:r>
    </w:p>
    <w:p>
      <w:pPr>
        <w:pStyle w:val="BodyText"/>
        <w:spacing w:line="240" w:lineRule="auto"/>
        <w:ind w:right="102"/>
        <w:jc w:val="left"/>
      </w:pPr>
      <w:r>
        <w:rPr/>
        <w:t>用</w:t>
      </w:r>
      <w:r>
        <w:rPr>
          <w:spacing w:val="-55"/>
        </w:rPr>
        <w:t> </w:t>
      </w:r>
      <w:r>
        <w:rPr>
          <w:rFonts w:ascii="Times New Roman" w:hAnsi="Times New Roman" w:cs="Times New Roman" w:eastAsia="Times New Roman" w:hint="default"/>
        </w:rPr>
        <w:t>2#</w:t>
      </w:r>
      <w:r>
        <w:rPr/>
        <w:t>厂房首层北房间，房地产建筑面积</w:t>
      </w:r>
      <w:r>
        <w:rPr>
          <w:spacing w:val="-55"/>
        </w:rPr>
        <w:t> </w:t>
      </w:r>
      <w:r>
        <w:rPr>
          <w:rFonts w:ascii="Times New Roman" w:hAnsi="Times New Roman" w:cs="Times New Roman" w:eastAsia="Times New Roman" w:hint="default"/>
        </w:rPr>
        <w:t>161.4</w:t>
      </w:r>
      <w:r>
        <w:rPr>
          <w:rFonts w:ascii="Times New Roman" w:hAnsi="Times New Roman" w:cs="Times New Roman" w:eastAsia="Times New Roman" w:hint="default"/>
          <w:spacing w:val="-2"/>
        </w:rPr>
        <w:t> </w:t>
      </w:r>
      <w:r>
        <w:rPr/>
        <w:t>平方米，按单价</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月计算月租金。</w:t>
      </w:r>
    </w:p>
    <w:p>
      <w:pPr>
        <w:pStyle w:val="BodyText"/>
        <w:spacing w:line="240" w:lineRule="auto" w:before="170"/>
        <w:ind w:left="560" w:right="102"/>
        <w:jc w:val="left"/>
      </w:pPr>
      <w:r>
        <w:rPr/>
        <w:t>租用</w:t>
      </w:r>
      <w:r>
        <w:rPr>
          <w:spacing w:val="-55"/>
        </w:rPr>
        <w:t> </w:t>
      </w:r>
      <w:r>
        <w:rPr>
          <w:rFonts w:ascii="Times New Roman" w:hAnsi="Times New Roman" w:cs="Times New Roman" w:eastAsia="Times New Roman" w:hint="default"/>
        </w:rPr>
        <w:t>41#</w:t>
      </w:r>
      <w:r>
        <w:rPr/>
        <w:t>五金库，房地产建筑面积</w:t>
      </w:r>
      <w:r>
        <w:rPr>
          <w:spacing w:val="-55"/>
        </w:rPr>
        <w:t> </w:t>
      </w:r>
      <w:r>
        <w:rPr>
          <w:rFonts w:ascii="Times New Roman" w:hAnsi="Times New Roman" w:cs="Times New Roman" w:eastAsia="Times New Roman" w:hint="default"/>
        </w:rPr>
        <w:t>18.18</w:t>
      </w:r>
      <w:r>
        <w:rPr>
          <w:rFonts w:ascii="Times New Roman" w:hAnsi="Times New Roman" w:cs="Times New Roman" w:eastAsia="Times New Roman" w:hint="default"/>
          <w:spacing w:val="-2"/>
        </w:rPr>
        <w:t> </w:t>
      </w:r>
      <w:r>
        <w:rPr/>
        <w:t>平方米，按单价</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月计算月租金。</w:t>
      </w:r>
    </w:p>
    <w:p>
      <w:pPr>
        <w:pStyle w:val="BodyText"/>
        <w:spacing w:line="240" w:lineRule="auto" w:before="169"/>
        <w:ind w:left="560" w:right="102"/>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47"/>
        </w:rPr>
        <w:t> </w:t>
      </w:r>
      <w:r>
        <w:rPr>
          <w:rFonts w:ascii="Times New Roman" w:hAnsi="Times New Roman" w:cs="Times New Roman" w:eastAsia="Times New Roman" w:hint="default"/>
        </w:rPr>
        <w:t>22</w:t>
      </w:r>
      <w:r>
        <w:rPr>
          <w:rFonts w:ascii="Times New Roman" w:hAnsi="Times New Roman" w:cs="Times New Roman" w:eastAsia="Times New Roman" w:hint="default"/>
          <w:spacing w:val="6"/>
        </w:rPr>
        <w:t> </w:t>
      </w:r>
      <w:r>
        <w:rPr/>
        <w:t>日，公司与广州无线电集团有限公司签订编号为</w:t>
      </w:r>
      <w:r>
        <w:rPr>
          <w:spacing w:val="-47"/>
        </w:rPr>
        <w:t> </w:t>
      </w:r>
      <w:r>
        <w:rPr>
          <w:rFonts w:ascii="Times New Roman" w:hAnsi="Times New Roman" w:cs="Times New Roman" w:eastAsia="Times New Roman" w:hint="default"/>
        </w:rPr>
        <w:t>ZL2007026-1</w:t>
      </w:r>
      <w:r>
        <w:rPr>
          <w:rFonts w:ascii="Times New Roman" w:hAnsi="Times New Roman" w:cs="Times New Roman" w:eastAsia="Times New Roman" w:hint="default"/>
          <w:spacing w:val="5"/>
        </w:rPr>
        <w:t> </w:t>
      </w:r>
      <w:r>
        <w:rPr/>
        <w:t>的《房</w:t>
      </w:r>
    </w:p>
    <w:p>
      <w:pPr>
        <w:pStyle w:val="BodyText"/>
        <w:spacing w:line="240" w:lineRule="auto"/>
        <w:ind w:right="102"/>
        <w:jc w:val="left"/>
        <w:rPr>
          <w:rFonts w:ascii="Times New Roman" w:hAnsi="Times New Roman" w:cs="Times New Roman" w:eastAsia="Times New Roman" w:hint="default"/>
        </w:rPr>
      </w:pPr>
      <w:r>
        <w:rPr/>
        <w:t>屋租赁合同补充协议</w:t>
      </w:r>
      <w:r>
        <w:rPr>
          <w:spacing w:val="-105"/>
        </w:rPr>
        <w:t>》</w:t>
      </w:r>
      <w:r>
        <w:rPr>
          <w:spacing w:val="-2"/>
        </w:rPr>
        <w:t>，</w:t>
      </w:r>
      <w:r>
        <w:rPr/>
        <w:t>退租</w:t>
      </w:r>
      <w:r>
        <w:rPr>
          <w:spacing w:val="-37"/>
        </w:rPr>
        <w:t> </w:t>
      </w:r>
      <w:r>
        <w:rPr>
          <w:rFonts w:ascii="Times New Roman" w:hAnsi="Times New Roman" w:cs="Times New Roman" w:eastAsia="Times New Roman" w:hint="default"/>
        </w:rPr>
        <w:t>2#</w:t>
      </w:r>
      <w:r>
        <w:rPr/>
        <w:t>厂</w:t>
      </w:r>
      <w:r>
        <w:rPr>
          <w:spacing w:val="-2"/>
        </w:rPr>
        <w:t>房</w:t>
      </w:r>
      <w:r>
        <w:rPr/>
        <w:t>首层北房间，房地产建筑面积</w:t>
      </w:r>
      <w:r>
        <w:rPr>
          <w:spacing w:val="-3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6</w:t>
      </w:r>
      <w:r>
        <w:rPr>
          <w:rFonts w:ascii="Times New Roman" w:hAnsi="Times New Roman" w:cs="Times New Roman" w:eastAsia="Times New Roman" w:hint="default"/>
        </w:rPr>
        <w:t>1</w:t>
      </w:r>
      <w:r>
        <w:rPr>
          <w:rFonts w:ascii="Times New Roman" w:hAnsi="Times New Roman" w:cs="Times New Roman" w:eastAsia="Times New Roman" w:hint="default"/>
          <w:spacing w:val="-1"/>
        </w:rPr>
        <w:t>.</w:t>
      </w:r>
      <w:r>
        <w:rPr>
          <w:rFonts w:ascii="Times New Roman" w:hAnsi="Times New Roman" w:cs="Times New Roman" w:eastAsia="Times New Roman" w:hint="default"/>
        </w:rPr>
        <w:t>4</w:t>
      </w:r>
      <w:r>
        <w:rPr>
          <w:rFonts w:ascii="Times New Roman" w:hAnsi="Times New Roman" w:cs="Times New Roman" w:eastAsia="Times New Roman" w:hint="default"/>
          <w:spacing w:val="16"/>
        </w:rPr>
        <w:t> </w:t>
      </w:r>
      <w:r>
        <w:rPr/>
        <w:t>平方米；</w:t>
      </w:r>
      <w:r>
        <w:rPr>
          <w:spacing w:val="-2"/>
        </w:rPr>
        <w:t>另</w:t>
      </w:r>
      <w:r>
        <w:rPr/>
        <w:t>租用</w:t>
      </w:r>
      <w:r>
        <w:rPr>
          <w:spacing w:val="-36"/>
        </w:rPr>
        <w:t> </w:t>
      </w:r>
      <w:r>
        <w:rPr>
          <w:rFonts w:ascii="Times New Roman" w:hAnsi="Times New Roman" w:cs="Times New Roman" w:eastAsia="Times New Roman" w:hint="default"/>
        </w:rPr>
        <w:t>2</w:t>
      </w:r>
    </w:p>
    <w:p>
      <w:pPr>
        <w:pStyle w:val="BodyText"/>
        <w:spacing w:line="240" w:lineRule="auto"/>
        <w:ind w:right="0"/>
        <w:jc w:val="left"/>
      </w:pPr>
      <w:r>
        <w:rPr/>
        <w:t>号厂房首层东北部房间，房地产建筑面积</w:t>
      </w:r>
      <w:r>
        <w:rPr>
          <w:spacing w:val="-61"/>
        </w:rPr>
        <w:t> </w:t>
      </w:r>
      <w:r>
        <w:rPr>
          <w:rFonts w:ascii="Times New Roman" w:hAnsi="Times New Roman" w:cs="Times New Roman" w:eastAsia="Times New Roman" w:hint="default"/>
        </w:rPr>
        <w:t>82.69</w:t>
      </w:r>
      <w:r>
        <w:rPr>
          <w:rFonts w:ascii="Times New Roman" w:hAnsi="Times New Roman" w:cs="Times New Roman" w:eastAsia="Times New Roman" w:hint="default"/>
          <w:spacing w:val="-9"/>
        </w:rPr>
        <w:t> </w:t>
      </w:r>
      <w:r>
        <w:rPr>
          <w:spacing w:val="-4"/>
        </w:rPr>
        <w:t>平方米，按单价</w:t>
      </w:r>
      <w:r>
        <w:rPr>
          <w:spacing w:val="-61"/>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月计算月租金。</w:t>
      </w:r>
    </w:p>
    <w:p>
      <w:pPr>
        <w:pStyle w:val="BodyText"/>
        <w:spacing w:line="240" w:lineRule="auto" w:before="170"/>
        <w:ind w:left="560" w:right="10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08</w:t>
      </w:r>
      <w:r>
        <w:rPr>
          <w:rFonts w:ascii="Times New Roman" w:hAnsi="Times New Roman" w:cs="Times New Roman" w:eastAsia="Times New Roman" w:hint="default"/>
          <w:spacing w:val="-13"/>
        </w:rPr>
        <w:t> </w:t>
      </w:r>
      <w:r>
        <w:rPr/>
        <w:t>年</w:t>
      </w:r>
      <w:r>
        <w:rPr>
          <w:spacing w:val="-66"/>
        </w:rPr>
        <w:t> </w:t>
      </w:r>
      <w:r>
        <w:rPr>
          <w:rFonts w:ascii="Times New Roman" w:hAnsi="Times New Roman" w:cs="Times New Roman" w:eastAsia="Times New Roman" w:hint="default"/>
        </w:rPr>
        <w:t>7</w:t>
      </w:r>
      <w:r>
        <w:rPr>
          <w:rFonts w:ascii="Times New Roman" w:hAnsi="Times New Roman" w:cs="Times New Roman" w:eastAsia="Times New Roman" w:hint="default"/>
          <w:spacing w:val="-13"/>
        </w:rPr>
        <w:t> </w:t>
      </w:r>
      <w:r>
        <w:rPr/>
        <w:t>月</w:t>
      </w:r>
      <w:r>
        <w:rPr>
          <w:spacing w:val="-66"/>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日</w:t>
      </w:r>
      <w:r>
        <w:rPr>
          <w:spacing w:val="-105"/>
        </w:rPr>
        <w:t>，</w:t>
      </w:r>
      <w:r>
        <w:rPr/>
        <w:t>本公</w:t>
      </w:r>
      <w:r>
        <w:rPr>
          <w:spacing w:val="-2"/>
        </w:rPr>
        <w:t>司</w:t>
      </w:r>
      <w:r>
        <w:rPr/>
        <w:t>重新与广州无线电集团有限公司签订编号为</w:t>
      </w:r>
      <w:r>
        <w:rPr>
          <w:spacing w:val="-66"/>
        </w:rPr>
        <w:t> </w:t>
      </w:r>
      <w:r>
        <w:rPr>
          <w:rFonts w:ascii="Times New Roman" w:hAnsi="Times New Roman" w:cs="Times New Roman" w:eastAsia="Times New Roman" w:hint="default"/>
        </w:rPr>
        <w:t>ZL2008017</w:t>
      </w:r>
      <w:r>
        <w:rPr>
          <w:rFonts w:ascii="Times New Roman" w:hAnsi="Times New Roman" w:cs="Times New Roman" w:eastAsia="Times New Roman" w:hint="default"/>
          <w:spacing w:val="-13"/>
        </w:rPr>
        <w:t> </w:t>
      </w:r>
      <w:r>
        <w:rPr>
          <w:spacing w:val="-106"/>
        </w:rPr>
        <w:t>的</w:t>
      </w:r>
      <w:r>
        <w:rPr>
          <w:spacing w:val="-2"/>
        </w:rPr>
        <w:t>《房</w:t>
      </w:r>
      <w:r>
        <w:rPr/>
      </w:r>
    </w:p>
    <w:p>
      <w:pPr>
        <w:pStyle w:val="BodyText"/>
        <w:spacing w:line="240" w:lineRule="auto" w:before="49"/>
        <w:ind w:right="102"/>
        <w:jc w:val="left"/>
      </w:pPr>
      <w:r>
        <w:rPr/>
        <w:t>屋租赁合同</w:t>
      </w:r>
      <w:r>
        <w:rPr>
          <w:spacing w:val="-106"/>
        </w:rPr>
        <w:t>》</w:t>
      </w:r>
      <w:r>
        <w:rPr/>
        <w:t>，公司租用广州无线电集团有限公司拥有的坐落在广州市天河区平云路</w:t>
      </w:r>
      <w:r>
        <w:rPr>
          <w:spacing w:val="-48"/>
        </w:rPr>
        <w:t> </w:t>
      </w:r>
      <w:r>
        <w:rPr>
          <w:rFonts w:ascii="Times New Roman" w:hAnsi="Times New Roman" w:cs="Times New Roman" w:eastAsia="Times New Roman" w:hint="default"/>
        </w:rPr>
        <w:t>163</w:t>
      </w:r>
      <w:r>
        <w:rPr>
          <w:rFonts w:ascii="Times New Roman" w:hAnsi="Times New Roman" w:cs="Times New Roman" w:eastAsia="Times New Roman" w:hint="default"/>
          <w:spacing w:val="5"/>
        </w:rPr>
        <w:t> </w:t>
      </w:r>
      <w:r>
        <w:rPr/>
        <w:t>号</w:t>
      </w:r>
    </w:p>
    <w:p>
      <w:pPr>
        <w:pStyle w:val="BodyText"/>
        <w:spacing w:line="240" w:lineRule="auto"/>
        <w:ind w:right="102"/>
        <w:jc w:val="left"/>
      </w:pPr>
      <w:r>
        <w:rPr/>
        <w:t>的房屋、场地</w:t>
      </w:r>
      <w:r>
        <w:rPr>
          <w:rFonts w:ascii="Times New Roman" w:hAnsi="Times New Roman" w:cs="Times New Roman" w:eastAsia="Times New Roman" w:hint="default"/>
        </w:rPr>
        <w:t>,</w:t>
      </w:r>
      <w:r>
        <w:rPr/>
        <w:t>租赁期限从</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p>
    <w:p>
      <w:pPr>
        <w:pStyle w:val="BodyText"/>
        <w:spacing w:line="240" w:lineRule="auto" w:before="170"/>
        <w:ind w:left="560" w:right="102"/>
        <w:jc w:val="left"/>
      </w:pPr>
      <w:r>
        <w:rPr/>
        <w:t>其中租用通讯大楼一楼中部，房地产建筑面积</w:t>
      </w:r>
      <w:r>
        <w:rPr>
          <w:spacing w:val="-55"/>
        </w:rPr>
        <w:t> </w:t>
      </w:r>
      <w:r>
        <w:rPr>
          <w:rFonts w:ascii="Times New Roman" w:hAnsi="Times New Roman" w:cs="Times New Roman" w:eastAsia="Times New Roman" w:hint="default"/>
        </w:rPr>
        <w:t>914.4</w:t>
      </w:r>
      <w:r>
        <w:rPr>
          <w:rFonts w:ascii="Times New Roman" w:hAnsi="Times New Roman" w:cs="Times New Roman" w:eastAsia="Times New Roman" w:hint="default"/>
          <w:spacing w:val="-2"/>
        </w:rPr>
        <w:t> </w:t>
      </w:r>
      <w:r>
        <w:rPr/>
        <w:t>平方米；租用通讯大楼二楼东部，</w:t>
      </w:r>
    </w:p>
    <w:p>
      <w:pPr>
        <w:pStyle w:val="BodyText"/>
        <w:spacing w:line="240" w:lineRule="auto" w:before="49"/>
        <w:ind w:right="102"/>
        <w:jc w:val="left"/>
      </w:pPr>
      <w:r>
        <w:rPr/>
        <w:t>房地产建筑面积</w:t>
      </w:r>
      <w:r>
        <w:rPr>
          <w:spacing w:val="-51"/>
        </w:rPr>
        <w:t> </w:t>
      </w:r>
      <w:r>
        <w:rPr>
          <w:rFonts w:ascii="Times New Roman" w:hAnsi="Times New Roman" w:cs="Times New Roman" w:eastAsia="Times New Roman" w:hint="default"/>
        </w:rPr>
        <w:t>1581.4</w:t>
      </w:r>
      <w:r>
        <w:rPr>
          <w:rFonts w:ascii="Times New Roman" w:hAnsi="Times New Roman" w:cs="Times New Roman" w:eastAsia="Times New Roman" w:hint="default"/>
          <w:spacing w:val="1"/>
        </w:rPr>
        <w:t> </w:t>
      </w:r>
      <w:r>
        <w:rPr/>
        <w:t>平方米；租用通讯大楼四楼东部，房地产建筑面积</w:t>
      </w:r>
      <w:r>
        <w:rPr>
          <w:spacing w:val="-51"/>
        </w:rPr>
        <w:t> </w:t>
      </w:r>
      <w:r>
        <w:rPr>
          <w:rFonts w:ascii="Times New Roman" w:hAnsi="Times New Roman" w:cs="Times New Roman" w:eastAsia="Times New Roman" w:hint="default"/>
        </w:rPr>
        <w:t>1944.6</w:t>
      </w:r>
      <w:r>
        <w:rPr>
          <w:rFonts w:ascii="Times New Roman" w:hAnsi="Times New Roman" w:cs="Times New Roman" w:eastAsia="Times New Roman" w:hint="default"/>
          <w:spacing w:val="1"/>
        </w:rPr>
        <w:t> </w:t>
      </w:r>
      <w:r>
        <w:rPr/>
        <w:t>平方米；</w:t>
      </w:r>
    </w:p>
    <w:p>
      <w:pPr>
        <w:pStyle w:val="BodyText"/>
        <w:spacing w:line="240" w:lineRule="auto"/>
        <w:ind w:left="139" w:right="102"/>
        <w:jc w:val="left"/>
      </w:pPr>
      <w:r>
        <w:rPr/>
        <w:t>租用通讯大楼五楼，房地产建筑面积</w:t>
      </w:r>
      <w:r>
        <w:rPr>
          <w:spacing w:val="-78"/>
        </w:rPr>
        <w:t> </w:t>
      </w:r>
      <w:r>
        <w:rPr>
          <w:rFonts w:ascii="Times New Roman" w:hAnsi="Times New Roman" w:cs="Times New Roman" w:eastAsia="Times New Roman" w:hint="default"/>
        </w:rPr>
        <w:t>2961.57</w:t>
      </w:r>
      <w:r>
        <w:rPr>
          <w:rFonts w:ascii="Times New Roman" w:hAnsi="Times New Roman" w:cs="Times New Roman" w:eastAsia="Times New Roman" w:hint="default"/>
          <w:spacing w:val="-25"/>
        </w:rPr>
        <w:t> </w:t>
      </w:r>
      <w:r>
        <w:rPr/>
        <w:t>平方米；租用通讯大楼六楼西部，房地产建筑</w:t>
      </w:r>
    </w:p>
    <w:p>
      <w:pPr>
        <w:pStyle w:val="BodyText"/>
        <w:spacing w:line="240" w:lineRule="auto"/>
        <w:ind w:left="139" w:right="102"/>
        <w:jc w:val="left"/>
      </w:pPr>
      <w:r>
        <w:rPr/>
        <w:t>面积</w:t>
      </w:r>
      <w:r>
        <w:rPr>
          <w:spacing w:val="-48"/>
        </w:rPr>
        <w:t> </w:t>
      </w:r>
      <w:r>
        <w:rPr>
          <w:rFonts w:ascii="Times New Roman" w:hAnsi="Times New Roman" w:cs="Times New Roman" w:eastAsia="Times New Roman" w:hint="default"/>
        </w:rPr>
        <w:t>241.91</w:t>
      </w:r>
      <w:r>
        <w:rPr>
          <w:rFonts w:ascii="Times New Roman" w:hAnsi="Times New Roman" w:cs="Times New Roman" w:eastAsia="Times New Roman" w:hint="default"/>
          <w:spacing w:val="3"/>
        </w:rPr>
        <w:t> </w:t>
      </w:r>
      <w:r>
        <w:rPr>
          <w:spacing w:val="-4"/>
        </w:rPr>
        <w:t>平方米；租用通讯大楼七楼，房地产建筑面积</w:t>
      </w:r>
      <w:r>
        <w:rPr>
          <w:spacing w:val="-48"/>
        </w:rPr>
        <w:t> </w:t>
      </w:r>
      <w:r>
        <w:rPr>
          <w:rFonts w:ascii="Times New Roman" w:hAnsi="Times New Roman" w:cs="Times New Roman" w:eastAsia="Times New Roman" w:hint="default"/>
        </w:rPr>
        <w:t>2961.57</w:t>
      </w:r>
      <w:r>
        <w:rPr>
          <w:rFonts w:ascii="Times New Roman" w:hAnsi="Times New Roman" w:cs="Times New Roman" w:eastAsia="Times New Roman" w:hint="default"/>
          <w:spacing w:val="6"/>
        </w:rPr>
        <w:t> </w:t>
      </w:r>
      <w:r>
        <w:rPr>
          <w:spacing w:val="-4"/>
        </w:rPr>
        <w:t>平方米；租用通讯大楼八</w:t>
      </w:r>
    </w:p>
    <w:p>
      <w:pPr>
        <w:pStyle w:val="BodyText"/>
        <w:spacing w:line="240" w:lineRule="auto" w:before="49"/>
        <w:ind w:left="139" w:right="102"/>
        <w:jc w:val="left"/>
      </w:pPr>
      <w:r>
        <w:rPr/>
        <w:t>楼，房地产建筑面积</w:t>
      </w:r>
      <w:r>
        <w:rPr>
          <w:spacing w:val="-56"/>
        </w:rPr>
        <w:t> </w:t>
      </w:r>
      <w:r>
        <w:rPr>
          <w:rFonts w:ascii="Times New Roman" w:hAnsi="Times New Roman" w:cs="Times New Roman" w:eastAsia="Times New Roman" w:hint="default"/>
        </w:rPr>
        <w:t>3035.25</w:t>
      </w:r>
      <w:r>
        <w:rPr>
          <w:rFonts w:ascii="Times New Roman" w:hAnsi="Times New Roman" w:cs="Times New Roman" w:eastAsia="Times New Roman" w:hint="default"/>
          <w:spacing w:val="-2"/>
        </w:rPr>
        <w:t> </w:t>
      </w:r>
      <w:r>
        <w:rPr/>
        <w:t>平方米，以上租用的楼房按单价</w:t>
      </w:r>
      <w:r>
        <w:rPr>
          <w:spacing w:val="-56"/>
        </w:rPr>
        <w:t>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月计算月租金。</w:t>
      </w:r>
    </w:p>
    <w:p>
      <w:pPr>
        <w:pStyle w:val="BodyText"/>
        <w:spacing w:line="240" w:lineRule="auto" w:before="170"/>
        <w:ind w:left="559" w:right="102"/>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spacing w:val="-3"/>
        </w:rPr>
        <w:t>日，本公司与广州无线电集团有限公司签订编号为</w:t>
      </w:r>
      <w:r>
        <w:rPr>
          <w:spacing w:val="-51"/>
        </w:rPr>
        <w:t> </w:t>
      </w:r>
      <w:r>
        <w:rPr>
          <w:rFonts w:ascii="Times New Roman" w:hAnsi="Times New Roman" w:cs="Times New Roman" w:eastAsia="Times New Roman" w:hint="default"/>
        </w:rPr>
        <w:t>ZL2008009</w:t>
      </w:r>
      <w:r>
        <w:rPr>
          <w:rFonts w:ascii="Times New Roman" w:hAnsi="Times New Roman" w:cs="Times New Roman" w:eastAsia="Times New Roman" w:hint="default"/>
          <w:spacing w:val="2"/>
        </w:rPr>
        <w:t> </w:t>
      </w:r>
      <w:r>
        <w:rPr>
          <w:spacing w:val="-12"/>
        </w:rPr>
        <w:t>的《房屋</w:t>
      </w:r>
    </w:p>
    <w:p>
      <w:pPr>
        <w:pStyle w:val="BodyText"/>
        <w:spacing w:line="240" w:lineRule="auto"/>
        <w:ind w:left="139" w:right="102"/>
        <w:jc w:val="left"/>
      </w:pPr>
      <w:r>
        <w:rPr/>
        <w:t>租赁合同</w:t>
      </w:r>
      <w:r>
        <w:rPr>
          <w:spacing w:val="-105"/>
        </w:rPr>
        <w:t>》</w:t>
      </w:r>
      <w:r>
        <w:rPr>
          <w:spacing w:val="-2"/>
        </w:rPr>
        <w:t>，</w:t>
      </w:r>
      <w:r>
        <w:rPr/>
        <w:t>公司租用广州无线电集团有限公司拥有的坐落在广州市天河区平云路</w:t>
      </w:r>
      <w:r>
        <w:rPr>
          <w:spacing w:val="-48"/>
        </w:rPr>
        <w:t> </w:t>
      </w:r>
      <w:r>
        <w:rPr>
          <w:rFonts w:ascii="Times New Roman" w:hAnsi="Times New Roman" w:cs="Times New Roman" w:eastAsia="Times New Roman" w:hint="default"/>
        </w:rPr>
        <w:t>163</w:t>
      </w:r>
      <w:r>
        <w:rPr>
          <w:rFonts w:ascii="Times New Roman" w:hAnsi="Times New Roman" w:cs="Times New Roman" w:eastAsia="Times New Roman" w:hint="default"/>
          <w:spacing w:val="5"/>
        </w:rPr>
        <w:t> </w:t>
      </w:r>
      <w:r>
        <w:rPr/>
        <w:t>号的</w:t>
      </w:r>
    </w:p>
    <w:p>
      <w:pPr>
        <w:pStyle w:val="BodyText"/>
        <w:spacing w:line="240" w:lineRule="auto" w:before="49"/>
        <w:ind w:left="139" w:right="102"/>
        <w:jc w:val="left"/>
      </w:pPr>
      <w:r>
        <w:rPr>
          <w:spacing w:val="-3"/>
        </w:rPr>
        <w:t>广电科技大厦四楼、五楼作为办公及研发用地，房地产建筑面积 </w:t>
      </w:r>
      <w:r>
        <w:rPr>
          <w:rFonts w:ascii="Times New Roman" w:hAnsi="Times New Roman" w:cs="Times New Roman" w:eastAsia="Times New Roman" w:hint="default"/>
        </w:rPr>
        <w:t>4,599.58</w:t>
      </w:r>
      <w:r>
        <w:rPr>
          <w:rFonts w:ascii="Times New Roman" w:hAnsi="Times New Roman" w:cs="Times New Roman" w:eastAsia="Times New Roman" w:hint="default"/>
          <w:spacing w:val="-26"/>
        </w:rPr>
        <w:t> </w:t>
      </w:r>
      <w:r>
        <w:rPr>
          <w:spacing w:val="-5"/>
        </w:rPr>
        <w:t>平方米，租赁期限</w:t>
      </w:r>
    </w:p>
    <w:p>
      <w:pPr>
        <w:pStyle w:val="BodyText"/>
        <w:spacing w:line="280" w:lineRule="auto"/>
        <w:ind w:left="138" w:right="102"/>
        <w:jc w:val="left"/>
      </w:pPr>
      <w:r>
        <w:rPr/>
        <w:t>为</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日，按</w:t>
      </w:r>
      <w:r>
        <w:rPr>
          <w:spacing w:val="-54"/>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平主米</w:t>
      </w:r>
      <w:r>
        <w:rPr>
          <w:rFonts w:ascii="Times New Roman" w:hAnsi="Times New Roman" w:cs="Times New Roman" w:eastAsia="Times New Roman" w:hint="default"/>
        </w:rPr>
        <w:t>/</w:t>
      </w:r>
      <w:r>
        <w:rPr/>
        <w:t>月计算月租金，第二年开始每年 递增</w:t>
      </w:r>
      <w:r>
        <w:rPr>
          <w:spacing w:val="-53"/>
        </w:rPr>
        <w:t> </w:t>
      </w:r>
      <w:r>
        <w:rPr>
          <w:rFonts w:ascii="Times New Roman" w:hAnsi="Times New Roman" w:cs="Times New Roman" w:eastAsia="Times New Roman" w:hint="default"/>
        </w:rPr>
        <w:t>5%</w:t>
      </w:r>
      <w:r>
        <w:rPr/>
        <w:t>。</w:t>
      </w:r>
    </w:p>
    <w:p>
      <w:pPr>
        <w:pStyle w:val="BodyText"/>
        <w:spacing w:line="240" w:lineRule="auto" w:before="130"/>
        <w:ind w:left="558" w:right="102"/>
        <w:jc w:val="left"/>
      </w:pPr>
      <w:r>
        <w:rPr/>
        <w:t>公司的全资子公司深圳银通公司于</w:t>
      </w:r>
      <w:r>
        <w:rPr>
          <w:spacing w:val="-68"/>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7</w:t>
      </w:r>
      <w:r>
        <w:rPr>
          <w:rFonts w:ascii="Times New Roman" w:hAnsi="Times New Roman" w:cs="Times New Roman" w:eastAsia="Times New Roman" w:hint="default"/>
          <w:spacing w:val="-15"/>
        </w:rPr>
        <w:t> </w:t>
      </w:r>
      <w:r>
        <w:rPr/>
        <w:t>年</w:t>
      </w:r>
      <w:r>
        <w:rPr>
          <w:spacing w:val="-70"/>
        </w:rPr>
        <w:t> </w:t>
      </w: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t>月</w:t>
      </w:r>
      <w:r>
        <w:rPr>
          <w:spacing w:val="-70"/>
        </w:rPr>
        <w:t> </w:t>
      </w:r>
      <w:r>
        <w:rPr>
          <w:rFonts w:ascii="Times New Roman" w:hAnsi="Times New Roman" w:cs="Times New Roman" w:eastAsia="Times New Roman" w:hint="default"/>
        </w:rPr>
        <w:t>1</w:t>
      </w:r>
      <w:r>
        <w:rPr>
          <w:rFonts w:ascii="Times New Roman" w:hAnsi="Times New Roman" w:cs="Times New Roman" w:eastAsia="Times New Roman" w:hint="default"/>
          <w:spacing w:val="-16"/>
        </w:rPr>
        <w:t> </w:t>
      </w:r>
      <w:r>
        <w:rPr/>
        <w:t>日与广州无线电集团有限公司签</w:t>
      </w:r>
      <w:r>
        <w:rPr>
          <w:spacing w:val="-105"/>
        </w:rPr>
        <w:t>订</w:t>
      </w:r>
      <w:r>
        <w:rPr>
          <w:spacing w:val="-2"/>
        </w:rPr>
        <w:t>《广</w:t>
      </w:r>
      <w:r>
        <w:rPr/>
      </w:r>
    </w:p>
    <w:p>
      <w:pPr>
        <w:pStyle w:val="BodyText"/>
        <w:spacing w:line="240" w:lineRule="auto" w:before="49"/>
        <w:ind w:left="138" w:right="102"/>
        <w:jc w:val="left"/>
        <w:rPr>
          <w:rFonts w:ascii="Times New Roman" w:hAnsi="Times New Roman" w:cs="Times New Roman" w:eastAsia="Times New Roman" w:hint="default"/>
        </w:rPr>
      </w:pPr>
      <w:r>
        <w:rPr/>
        <w:t>州市房屋</w:t>
      </w:r>
      <w:r>
        <w:rPr>
          <w:spacing w:val="1"/>
        </w:rPr>
        <w:t>租</w:t>
      </w:r>
      <w:r>
        <w:rPr/>
        <w:t>赁合同</w:t>
      </w:r>
      <w:r>
        <w:rPr>
          <w:spacing w:val="-105"/>
        </w:rPr>
        <w:t>》</w:t>
      </w:r>
      <w:r>
        <w:rPr/>
        <w:t>，</w:t>
      </w:r>
      <w:r>
        <w:rPr>
          <w:spacing w:val="1"/>
        </w:rPr>
        <w:t>租</w:t>
      </w:r>
      <w:r>
        <w:rPr/>
        <w:t>用广州无</w:t>
      </w:r>
      <w:r>
        <w:rPr>
          <w:spacing w:val="1"/>
        </w:rPr>
        <w:t>线</w:t>
      </w:r>
      <w:r>
        <w:rPr/>
        <w:t>电集团有</w:t>
      </w:r>
      <w:r>
        <w:rPr>
          <w:spacing w:val="1"/>
        </w:rPr>
        <w:t>限</w:t>
      </w:r>
      <w:r>
        <w:rPr/>
        <w:t>公司拥有</w:t>
      </w:r>
      <w:r>
        <w:rPr>
          <w:spacing w:val="1"/>
        </w:rPr>
        <w:t>的</w:t>
      </w:r>
      <w:r>
        <w:rPr/>
        <w:t>坐落在广</w:t>
      </w:r>
      <w:r>
        <w:rPr>
          <w:spacing w:val="1"/>
        </w:rPr>
        <w:t>州</w:t>
      </w:r>
      <w:r>
        <w:rPr/>
        <w:t>市天河区</w:t>
      </w:r>
      <w:r>
        <w:rPr>
          <w:spacing w:val="1"/>
        </w:rPr>
        <w:t>平</w:t>
      </w:r>
      <w:r>
        <w:rPr/>
        <w:t>云路 </w:t>
      </w:r>
      <w:r>
        <w:rPr>
          <w:rFonts w:ascii="Times New Roman" w:hAnsi="Times New Roman" w:cs="Times New Roman" w:eastAsia="Times New Roman" w:hint="default"/>
        </w:rPr>
        <w:t>163</w:t>
      </w:r>
    </w:p>
    <w:p>
      <w:pPr>
        <w:pStyle w:val="BodyText"/>
        <w:spacing w:line="240" w:lineRule="auto"/>
        <w:ind w:left="138" w:right="102"/>
        <w:jc w:val="left"/>
      </w:pPr>
      <w:r>
        <w:rPr/>
        <w:t>号的房屋、场地</w:t>
      </w:r>
      <w:r>
        <w:rPr>
          <w:rFonts w:ascii="Times New Roman" w:hAnsi="Times New Roman" w:cs="Times New Roman" w:eastAsia="Times New Roman" w:hint="default"/>
        </w:rPr>
        <w:t>,</w:t>
      </w:r>
      <w:r>
        <w:rPr/>
        <w:t>租赁期限从</w:t>
      </w:r>
      <w:r>
        <w:rPr>
          <w:spacing w:val="-4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日至</w:t>
      </w:r>
      <w:r>
        <w:rPr>
          <w:spacing w:val="-4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日。其中租用通讯大楼六</w:t>
      </w:r>
    </w:p>
    <w:p>
      <w:pPr>
        <w:spacing w:after="0" w:line="240" w:lineRule="auto"/>
        <w:jc w:val="left"/>
        <w:sectPr>
          <w:pgSz w:w="11910" w:h="16840"/>
          <w:pgMar w:header="0" w:footer="982" w:top="1100" w:bottom="1180" w:left="1660" w:right="1580"/>
        </w:sectPr>
      </w:pPr>
    </w:p>
    <w:p>
      <w:pPr>
        <w:spacing w:line="240" w:lineRule="auto" w:before="1"/>
        <w:rPr>
          <w:rFonts w:ascii="宋体" w:hAnsi="宋体" w:cs="宋体" w:eastAsia="宋体" w:hint="default"/>
          <w:sz w:val="19"/>
          <w:szCs w:val="19"/>
        </w:rPr>
      </w:pPr>
    </w:p>
    <w:p>
      <w:pPr>
        <w:pStyle w:val="BodyText"/>
        <w:spacing w:line="240" w:lineRule="auto" w:before="35"/>
        <w:ind w:right="102"/>
        <w:jc w:val="left"/>
        <w:rPr>
          <w:rFonts w:ascii="Times New Roman" w:hAnsi="Times New Roman" w:cs="Times New Roman" w:eastAsia="Times New Roman" w:hint="default"/>
        </w:rPr>
      </w:pPr>
      <w:r>
        <w:rPr/>
        <w:t>楼东部，房地产建筑面积 </w:t>
      </w:r>
      <w:r>
        <w:rPr>
          <w:rFonts w:ascii="Times New Roman" w:hAnsi="Times New Roman" w:cs="Times New Roman" w:eastAsia="Times New Roman" w:hint="default"/>
        </w:rPr>
        <w:t>1099.92 </w:t>
      </w:r>
      <w:r>
        <w:rPr/>
        <w:t>平方米，按单价 </w:t>
      </w:r>
      <w:r>
        <w:rPr>
          <w:rFonts w:ascii="Times New Roman" w:hAnsi="Times New Roman" w:cs="Times New Roman" w:eastAsia="Times New Roman" w:hint="default"/>
        </w:rPr>
        <w:t>15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月计算月租金。</w:t>
      </w:r>
      <w:r>
        <w:rPr>
          <w:rFonts w:ascii="Times New Roman" w:hAnsi="Times New Roman" w:cs="Times New Roman" w:eastAsia="Times New Roman" w:hint="default"/>
        </w:rPr>
        <w:t>2007 </w:t>
      </w:r>
      <w:r>
        <w:rPr/>
        <w:t>年</w:t>
      </w:r>
      <w:r>
        <w:rPr>
          <w:spacing w:val="-9"/>
        </w:rPr>
        <w:t> </w:t>
      </w:r>
      <w:r>
        <w:rPr>
          <w:rFonts w:ascii="Times New Roman" w:hAnsi="Times New Roman" w:cs="Times New Roman" w:eastAsia="Times New Roman" w:hint="default"/>
        </w:rPr>
        <w:t>5</w:t>
      </w:r>
    </w:p>
    <w:p>
      <w:pPr>
        <w:pStyle w:val="BodyText"/>
        <w:spacing w:line="240" w:lineRule="auto"/>
        <w:ind w:left="139" w:right="102"/>
        <w:jc w:val="left"/>
        <w:rPr>
          <w:rFonts w:ascii="Times New Roman" w:hAnsi="Times New Roman" w:cs="Times New Roman" w:eastAsia="Times New Roman" w:hint="default"/>
        </w:rPr>
      </w:pPr>
      <w:r>
        <w:rPr/>
        <w:t>月起，增加租用通讯大楼六楼西面，房地产建筑面积</w:t>
      </w:r>
      <w:r>
        <w:rPr>
          <w:spacing w:val="-41"/>
        </w:rPr>
        <w:t> </w:t>
      </w:r>
      <w:r>
        <w:rPr>
          <w:rFonts w:ascii="Times New Roman" w:hAnsi="Times New Roman" w:cs="Times New Roman" w:eastAsia="Times New Roman" w:hint="default"/>
        </w:rPr>
        <w:t>511.65</w:t>
      </w:r>
      <w:r>
        <w:rPr>
          <w:rFonts w:ascii="Times New Roman" w:hAnsi="Times New Roman" w:cs="Times New Roman" w:eastAsia="Times New Roman" w:hint="default"/>
          <w:spacing w:val="12"/>
        </w:rPr>
        <w:t> </w:t>
      </w:r>
      <w:r>
        <w:rPr/>
        <w:t>平方米，按单价</w:t>
      </w:r>
      <w:r>
        <w:rPr>
          <w:spacing w:val="-41"/>
        </w:rPr>
        <w:t> </w:t>
      </w:r>
      <w:r>
        <w:rPr>
          <w:rFonts w:ascii="Times New Roman" w:hAnsi="Times New Roman" w:cs="Times New Roman" w:eastAsia="Times New Roman" w:hint="default"/>
        </w:rPr>
        <w:t>15</w:t>
      </w:r>
      <w:r>
        <w:rPr>
          <w:rFonts w:ascii="Times New Roman" w:hAnsi="Times New Roman" w:cs="Times New Roman" w:eastAsia="Times New Roman" w:hint="default"/>
          <w:spacing w:val="12"/>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p>
    <w:p>
      <w:pPr>
        <w:pStyle w:val="BodyText"/>
        <w:spacing w:line="240" w:lineRule="auto" w:before="49"/>
        <w:ind w:left="139" w:right="0"/>
        <w:jc w:val="left"/>
      </w:pPr>
      <w:r>
        <w:rPr>
          <w:spacing w:val="-7"/>
        </w:rPr>
        <w:t>月计算月租金。</w:t>
      </w:r>
      <w:r>
        <w:rPr>
          <w:rFonts w:ascii="Times New Roman" w:hAnsi="Times New Roman" w:cs="Times New Roman" w:eastAsia="Times New Roman" w:hint="default"/>
          <w:spacing w:val="-7"/>
        </w:rPr>
        <w:t>2007</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spacing w:val="-6"/>
        </w:rPr>
        <w:t>月起，增加租用通讯大楼六楼西面，房地产建筑面积</w:t>
      </w:r>
      <w:r>
        <w:rPr>
          <w:spacing w:val="-52"/>
        </w:rPr>
        <w:t> </w:t>
      </w:r>
      <w:r>
        <w:rPr>
          <w:rFonts w:ascii="Times New Roman" w:hAnsi="Times New Roman" w:cs="Times New Roman" w:eastAsia="Times New Roman" w:hint="default"/>
        </w:rPr>
        <w:t>63.00</w:t>
      </w:r>
      <w:r>
        <w:rPr>
          <w:rFonts w:ascii="Times New Roman" w:hAnsi="Times New Roman" w:cs="Times New Roman" w:eastAsia="Times New Roman" w:hint="default"/>
          <w:spacing w:val="1"/>
        </w:rPr>
        <w:t> </w:t>
      </w:r>
      <w:r>
        <w:rPr/>
        <w:t>平方米，</w:t>
      </w:r>
    </w:p>
    <w:p>
      <w:pPr>
        <w:pStyle w:val="BodyText"/>
        <w:spacing w:line="240" w:lineRule="auto"/>
        <w:ind w:left="139" w:right="102"/>
        <w:jc w:val="left"/>
      </w:pPr>
      <w:r>
        <w:rPr/>
        <w:t>按单价</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月计算月租金。</w:t>
      </w:r>
    </w:p>
    <w:p>
      <w:pPr>
        <w:pStyle w:val="BodyText"/>
        <w:spacing w:line="280" w:lineRule="auto" w:before="170"/>
        <w:ind w:left="139" w:right="216" w:firstLine="420"/>
        <w:jc w:val="both"/>
        <w:rPr>
          <w:rFonts w:ascii="Times New Roman" w:hAnsi="Times New Roman" w:cs="Times New Roman" w:eastAsia="Times New Roman" w:hint="default"/>
        </w:rPr>
      </w:pPr>
      <w:r>
        <w:rPr/>
        <w:t>公司的全资子公司深圳广电银通金融电子科技有限公司于</w:t>
      </w:r>
      <w:r>
        <w:rPr>
          <w:spacing w:val="-6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6"/>
        </w:rPr>
        <w:t> </w:t>
      </w:r>
      <w:r>
        <w:rPr/>
        <w:t>年</w:t>
      </w:r>
      <w:r>
        <w:rPr>
          <w:spacing w:val="-71"/>
        </w:rPr>
        <w:t> </w:t>
      </w:r>
      <w:r>
        <w:rPr>
          <w:rFonts w:ascii="Times New Roman" w:hAnsi="Times New Roman" w:cs="Times New Roman" w:eastAsia="Times New Roman" w:hint="default"/>
        </w:rPr>
        <w:t>7</w:t>
      </w:r>
      <w:r>
        <w:rPr>
          <w:rFonts w:ascii="Times New Roman" w:hAnsi="Times New Roman" w:cs="Times New Roman" w:eastAsia="Times New Roman" w:hint="default"/>
          <w:spacing w:val="-16"/>
        </w:rPr>
        <w:t> </w:t>
      </w:r>
      <w:r>
        <w:rPr/>
        <w:t>月</w:t>
      </w:r>
      <w:r>
        <w:rPr>
          <w:spacing w:val="-71"/>
        </w:rPr>
        <w:t> </w:t>
      </w:r>
      <w:r>
        <w:rPr>
          <w:rFonts w:ascii="Times New Roman" w:hAnsi="Times New Roman" w:cs="Times New Roman" w:eastAsia="Times New Roman" w:hint="default"/>
        </w:rPr>
        <w:t>31</w:t>
      </w:r>
      <w:r>
        <w:rPr>
          <w:rFonts w:ascii="Times New Roman" w:hAnsi="Times New Roman" w:cs="Times New Roman" w:eastAsia="Times New Roman" w:hint="default"/>
          <w:spacing w:val="-16"/>
        </w:rPr>
        <w:t> </w:t>
      </w:r>
      <w:r>
        <w:rPr/>
        <w:t>日与广州无线 电集团有限公司签订编号为</w:t>
      </w:r>
      <w:r>
        <w:rPr>
          <w:spacing w:val="-45"/>
        </w:rPr>
        <w:t> </w:t>
      </w:r>
      <w:r>
        <w:rPr>
          <w:rFonts w:ascii="Times New Roman" w:hAnsi="Times New Roman" w:cs="Times New Roman" w:eastAsia="Times New Roman" w:hint="default"/>
          <w:spacing w:val="-1"/>
        </w:rPr>
        <w:t>ZL2008015</w:t>
      </w:r>
      <w:r>
        <w:rPr>
          <w:rFonts w:ascii="Times New Roman" w:hAnsi="Times New Roman" w:cs="Times New Roman" w:eastAsia="Times New Roman" w:hint="default"/>
          <w:spacing w:val="8"/>
        </w:rPr>
        <w:t> </w:t>
      </w:r>
      <w:r>
        <w:rPr>
          <w:spacing w:val="-7"/>
        </w:rPr>
        <w:t>的《房屋租赁合同》，租用广州无线电集团有限公司</w:t>
      </w:r>
      <w:r>
        <w:rPr>
          <w:spacing w:val="-102"/>
        </w:rPr>
        <w:t> </w:t>
      </w:r>
      <w:r>
        <w:rPr>
          <w:spacing w:val="-102"/>
        </w:rPr>
      </w:r>
      <w:r>
        <w:rPr/>
        <w:t>拥有的坐落在广州市天河区平云路</w:t>
      </w:r>
      <w:r>
        <w:rPr>
          <w:spacing w:val="-52"/>
        </w:rPr>
        <w:t> </w:t>
      </w:r>
      <w:r>
        <w:rPr>
          <w:rFonts w:ascii="Times New Roman" w:hAnsi="Times New Roman" w:cs="Times New Roman" w:eastAsia="Times New Roman" w:hint="default"/>
          <w:spacing w:val="-1"/>
        </w:rPr>
        <w:t>163</w:t>
      </w:r>
      <w:r>
        <w:rPr>
          <w:rFonts w:ascii="Times New Roman" w:hAnsi="Times New Roman" w:cs="Times New Roman" w:eastAsia="Times New Roman" w:hint="default"/>
          <w:spacing w:val="1"/>
        </w:rPr>
        <w:t> </w:t>
      </w:r>
      <w:r>
        <w:rPr>
          <w:spacing w:val="-8"/>
        </w:rPr>
        <w:t>号的房屋、场地</w:t>
      </w:r>
      <w:r>
        <w:rPr>
          <w:rFonts w:ascii="Times New Roman" w:hAnsi="Times New Roman" w:cs="Times New Roman" w:eastAsia="Times New Roman" w:hint="default"/>
          <w:spacing w:val="-8"/>
        </w:rPr>
        <w:t>,</w:t>
      </w:r>
      <w:r>
        <w:rPr>
          <w:spacing w:val="-8"/>
        </w:rPr>
        <w:t>租赁期限从</w:t>
      </w:r>
      <w:r>
        <w:rPr>
          <w:spacing w:val="-52"/>
        </w:rPr>
        <w:t> </w:t>
      </w: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53"/>
        </w:rPr>
        <w:t> </w:t>
      </w:r>
      <w:r>
        <w:rPr>
          <w:rFonts w:ascii="Times New Roman" w:hAnsi="Times New Roman" w:cs="Times New Roman" w:eastAsia="Times New Roman" w:hint="default"/>
          <w:spacing w:val="-1"/>
        </w:rPr>
        <w:t>2009</w:t>
      </w:r>
    </w:p>
    <w:p>
      <w:pPr>
        <w:pStyle w:val="BodyText"/>
        <w:spacing w:line="240" w:lineRule="auto" w:before="10"/>
        <w:ind w:left="138" w:right="102"/>
        <w:jc w:val="left"/>
      </w:pP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日。其中租用通讯大楼六楼东部，房地产建筑面积</w:t>
      </w:r>
      <w:r>
        <w:rPr>
          <w:spacing w:val="-53"/>
        </w:rPr>
        <w:t> </w:t>
      </w:r>
      <w:r>
        <w:rPr>
          <w:rFonts w:ascii="Times New Roman" w:hAnsi="Times New Roman" w:cs="Times New Roman" w:eastAsia="Times New Roman" w:hint="default"/>
        </w:rPr>
        <w:t>1,674.57</w:t>
      </w:r>
      <w:r>
        <w:rPr>
          <w:rFonts w:ascii="Times New Roman" w:hAnsi="Times New Roman" w:cs="Times New Roman" w:eastAsia="Times New Roman" w:hint="default"/>
          <w:spacing w:val="-1"/>
        </w:rPr>
        <w:t> </w:t>
      </w:r>
      <w:r>
        <w:rPr/>
        <w:t>平方米；租用通讯大</w:t>
      </w:r>
    </w:p>
    <w:p>
      <w:pPr>
        <w:pStyle w:val="BodyText"/>
        <w:spacing w:line="240" w:lineRule="auto"/>
        <w:ind w:left="138" w:right="102"/>
        <w:jc w:val="left"/>
      </w:pPr>
      <w:r>
        <w:rPr/>
        <w:t>楼六楼西部，房地产建筑面积</w:t>
      </w:r>
      <w:r>
        <w:rPr>
          <w:spacing w:val="-55"/>
        </w:rPr>
        <w:t> </w:t>
      </w:r>
      <w:r>
        <w:rPr>
          <w:rFonts w:ascii="Times New Roman" w:hAnsi="Times New Roman" w:cs="Times New Roman" w:eastAsia="Times New Roman" w:hint="default"/>
        </w:rPr>
        <w:t>1,048.39</w:t>
      </w:r>
      <w:r>
        <w:rPr>
          <w:rFonts w:ascii="Times New Roman" w:hAnsi="Times New Roman" w:cs="Times New Roman" w:eastAsia="Times New Roman" w:hint="default"/>
          <w:spacing w:val="-2"/>
        </w:rPr>
        <w:t> </w:t>
      </w:r>
      <w:r>
        <w:rPr/>
        <w:t>平方米，按单价</w:t>
      </w:r>
      <w:r>
        <w:rPr>
          <w:spacing w:val="-55"/>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月计算月租金。</w:t>
      </w:r>
    </w:p>
    <w:p>
      <w:pPr>
        <w:pStyle w:val="BodyText"/>
        <w:spacing w:line="240" w:lineRule="auto" w:before="169"/>
        <w:ind w:left="558" w:right="102"/>
        <w:jc w:val="left"/>
      </w:pPr>
      <w:r>
        <w:rPr>
          <w:rFonts w:ascii="Times New Roman" w:hAnsi="Times New Roman" w:cs="Times New Roman" w:eastAsia="Times New Roman" w:hint="default"/>
        </w:rPr>
        <w:t>2007 </w:t>
      </w:r>
      <w:r>
        <w:rPr/>
        <w:t>年度、</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年度的租金情况列示如下：</w:t>
      </w:r>
    </w:p>
    <w:p>
      <w:pPr>
        <w:spacing w:line="240" w:lineRule="auto" w:before="9"/>
        <w:rPr>
          <w:rFonts w:ascii="宋体" w:hAnsi="宋体" w:cs="宋体" w:eastAsia="宋体" w:hint="default"/>
          <w:sz w:val="15"/>
          <w:szCs w:val="15"/>
        </w:rPr>
      </w:pPr>
    </w:p>
    <w:tbl>
      <w:tblPr>
        <w:tblW w:w="0" w:type="auto"/>
        <w:jc w:val="left"/>
        <w:tblInd w:w="600" w:type="dxa"/>
        <w:tblLayout w:type="fixed"/>
        <w:tblCellMar>
          <w:top w:w="0" w:type="dxa"/>
          <w:left w:w="0" w:type="dxa"/>
          <w:bottom w:w="0" w:type="dxa"/>
          <w:right w:w="0" w:type="dxa"/>
        </w:tblCellMar>
        <w:tblLook w:val="01E0"/>
      </w:tblPr>
      <w:tblGrid>
        <w:gridCol w:w="2909"/>
        <w:gridCol w:w="1150"/>
        <w:gridCol w:w="1594"/>
        <w:gridCol w:w="1722"/>
      </w:tblGrid>
      <w:tr>
        <w:trPr>
          <w:trHeight w:val="28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
              <w:jc w:val="center"/>
              <w:rPr>
                <w:rFonts w:ascii="宋体" w:hAnsi="宋体" w:cs="宋体" w:eastAsia="宋体" w:hint="default"/>
                <w:sz w:val="21"/>
                <w:szCs w:val="21"/>
              </w:rPr>
            </w:pPr>
            <w:r>
              <w:rPr>
                <w:rFonts w:ascii="宋体" w:hAnsi="宋体" w:cs="宋体" w:eastAsia="宋体" w:hint="default"/>
                <w:b/>
                <w:bCs/>
                <w:sz w:val="21"/>
                <w:szCs w:val="21"/>
              </w:rPr>
              <w:t>关联方名称</w:t>
            </w:r>
            <w:r>
              <w:rPr>
                <w:rFonts w:ascii="宋体" w:hAnsi="宋体" w:cs="宋体" w:eastAsia="宋体" w:hint="default"/>
                <w:sz w:val="21"/>
                <w:szCs w:val="21"/>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6" w:right="0"/>
              <w:jc w:val="left"/>
              <w:rPr>
                <w:rFonts w:ascii="宋体" w:hAnsi="宋体" w:cs="宋体" w:eastAsia="宋体" w:hint="default"/>
                <w:sz w:val="21"/>
                <w:szCs w:val="21"/>
              </w:rPr>
            </w:pPr>
            <w:r>
              <w:rPr>
                <w:rFonts w:ascii="宋体" w:hAnsi="宋体" w:cs="宋体" w:eastAsia="宋体" w:hint="default"/>
                <w:b/>
                <w:bCs/>
                <w:sz w:val="21"/>
                <w:szCs w:val="21"/>
              </w:rPr>
              <w:t>性质</w:t>
            </w:r>
            <w:r>
              <w:rPr>
                <w:rFonts w:ascii="宋体" w:hAnsi="宋体" w:cs="宋体" w:eastAsia="宋体" w:hint="default"/>
                <w:sz w:val="21"/>
                <w:szCs w:val="21"/>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4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0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广州无线电集团有限公司</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0" w:right="0"/>
              <w:jc w:val="left"/>
              <w:rPr>
                <w:rFonts w:ascii="宋体" w:hAnsi="宋体" w:cs="宋体" w:eastAsia="宋体" w:hint="default"/>
                <w:sz w:val="21"/>
                <w:szCs w:val="21"/>
              </w:rPr>
            </w:pPr>
            <w:r>
              <w:rPr>
                <w:rFonts w:ascii="宋体" w:hAnsi="宋体" w:cs="宋体" w:eastAsia="宋体" w:hint="default"/>
                <w:sz w:val="21"/>
                <w:szCs w:val="21"/>
              </w:rPr>
              <w:t>租金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94" w:right="0"/>
              <w:jc w:val="left"/>
              <w:rPr>
                <w:rFonts w:ascii="Times New Roman" w:hAnsi="Times New Roman" w:cs="Times New Roman" w:eastAsia="Times New Roman" w:hint="default"/>
                <w:sz w:val="21"/>
                <w:szCs w:val="21"/>
              </w:rPr>
            </w:pPr>
            <w:r>
              <w:rPr>
                <w:rFonts w:ascii="Times New Roman"/>
                <w:sz w:val="21"/>
              </w:rPr>
              <w:t>5,263,623.04</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58" w:right="0"/>
              <w:jc w:val="left"/>
              <w:rPr>
                <w:rFonts w:ascii="Times New Roman" w:hAnsi="Times New Roman" w:cs="Times New Roman" w:eastAsia="Times New Roman" w:hint="default"/>
                <w:sz w:val="21"/>
                <w:szCs w:val="21"/>
              </w:rPr>
            </w:pPr>
            <w:r>
              <w:rPr>
                <w:rFonts w:ascii="Times New Roman"/>
                <w:sz w:val="21"/>
              </w:rPr>
              <w:t>2,949,910.04</w:t>
            </w:r>
          </w:p>
        </w:tc>
      </w:tr>
    </w:tbl>
    <w:p>
      <w:pPr>
        <w:spacing w:line="240" w:lineRule="auto" w:before="3"/>
        <w:rPr>
          <w:rFonts w:ascii="宋体" w:hAnsi="宋体" w:cs="宋体" w:eastAsia="宋体" w:hint="default"/>
          <w:sz w:val="22"/>
          <w:szCs w:val="22"/>
        </w:rPr>
      </w:pPr>
    </w:p>
    <w:p>
      <w:pPr>
        <w:pStyle w:val="BodyText"/>
        <w:spacing w:line="240" w:lineRule="auto" w:before="35"/>
        <w:ind w:left="560" w:right="102"/>
        <w:jc w:val="left"/>
      </w:pPr>
      <w:r>
        <w:rPr>
          <w:rFonts w:ascii="Times New Roman" w:hAnsi="Times New Roman" w:cs="Times New Roman" w:eastAsia="Times New Roman" w:hint="default"/>
        </w:rPr>
        <w:t>2</w:t>
      </w:r>
      <w:r>
        <w:rPr/>
        <w:t>、物业管理</w:t>
      </w:r>
    </w:p>
    <w:p>
      <w:pPr>
        <w:pStyle w:val="BodyText"/>
        <w:spacing w:line="240" w:lineRule="auto" w:before="170"/>
        <w:ind w:left="560" w:right="102"/>
        <w:jc w:val="left"/>
      </w:pPr>
      <w:r>
        <w:rPr/>
        <w:t>公司于</w:t>
      </w:r>
      <w:r>
        <w:rPr>
          <w:spacing w:val="-52"/>
        </w:rPr>
        <w:t> </w:t>
      </w:r>
      <w:r>
        <w:rPr>
          <w:rFonts w:ascii="Times New Roman" w:hAnsi="Times New Roman" w:cs="Times New Roman" w:eastAsia="Times New Roman" w:hint="default"/>
        </w:rPr>
        <w:t>2006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日与广州广电物业管理有限公司签订的《物业委托管理合同</w:t>
      </w:r>
      <w:r>
        <w:rPr>
          <w:spacing w:val="-106"/>
        </w:rPr>
        <w:t>》</w:t>
      </w:r>
      <w:r>
        <w:rPr/>
        <w:t>：</w:t>
      </w:r>
    </w:p>
    <w:p>
      <w:pPr>
        <w:pStyle w:val="BodyText"/>
        <w:spacing w:line="240" w:lineRule="auto" w:before="49"/>
        <w:ind w:left="139" w:right="102"/>
        <w:jc w:val="left"/>
      </w:pPr>
      <w:r>
        <w:rPr/>
        <w:t>公司同意将坐落在天河区平云路</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6</w:t>
      </w:r>
      <w:r>
        <w:rPr>
          <w:rFonts w:ascii="Times New Roman" w:hAnsi="Times New Roman" w:cs="Times New Roman" w:eastAsia="Times New Roman" w:hint="default"/>
        </w:rPr>
        <w:t>3 </w:t>
      </w:r>
      <w:r>
        <w:rPr/>
        <w:t>号与广州</w:t>
      </w:r>
      <w:r>
        <w:rPr>
          <w:spacing w:val="-2"/>
        </w:rPr>
        <w:t>无</w:t>
      </w:r>
      <w:r>
        <w:rPr/>
        <w:t>线电集团有限公司签订租赁合同的房屋</w:t>
      </w:r>
      <w:r>
        <w:rPr>
          <w:spacing w:val="-94"/>
        </w:rPr>
        <w:t>、</w:t>
      </w:r>
      <w:r>
        <w:rPr/>
        <w:t>场</w:t>
      </w:r>
    </w:p>
    <w:p>
      <w:pPr>
        <w:pStyle w:val="BodyText"/>
        <w:spacing w:line="240" w:lineRule="auto"/>
        <w:ind w:left="139" w:right="102"/>
        <w:jc w:val="left"/>
      </w:pPr>
      <w:r>
        <w:rPr/>
        <w:t>地等物业以</w:t>
      </w:r>
      <w:r>
        <w:rPr>
          <w:spacing w:val="-55"/>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月</w:t>
      </w:r>
      <w:r>
        <w:rPr>
          <w:rFonts w:ascii="Times New Roman" w:hAnsi="Times New Roman" w:cs="Times New Roman" w:eastAsia="Times New Roman" w:hint="default"/>
        </w:rPr>
        <w:t>/</w:t>
      </w:r>
      <w:r>
        <w:rPr/>
        <w:t>平方米的价格委托给广州广电物业管理有限公司进行管理</w:t>
      </w:r>
      <w:r>
        <w:rPr>
          <w:rFonts w:ascii="Times New Roman" w:hAnsi="Times New Roman" w:cs="Times New Roman" w:eastAsia="Times New Roman" w:hint="default"/>
        </w:rPr>
        <w:t>,</w:t>
      </w:r>
      <w:r>
        <w:rPr/>
        <w:t>并按电梯所</w:t>
      </w:r>
    </w:p>
    <w:p>
      <w:pPr>
        <w:pStyle w:val="BodyText"/>
        <w:spacing w:line="240" w:lineRule="auto"/>
        <w:ind w:left="139" w:right="102"/>
        <w:jc w:val="left"/>
      </w:pPr>
      <w:r>
        <w:rPr/>
        <w:t>在楼层面积计算分摊电梯费（根据合同本企业每月应分摊电梯费为 </w:t>
      </w:r>
      <w:r>
        <w:rPr>
          <w:rFonts w:ascii="Times New Roman" w:hAnsi="Times New Roman" w:cs="Times New Roman" w:eastAsia="Times New Roman" w:hint="default"/>
        </w:rPr>
        <w:t>8,466.26</w:t>
      </w:r>
      <w:r>
        <w:rPr>
          <w:rFonts w:ascii="Times New Roman" w:hAnsi="Times New Roman" w:cs="Times New Roman" w:eastAsia="Times New Roman" w:hint="default"/>
          <w:spacing w:val="6"/>
        </w:rPr>
        <w:t> </w:t>
      </w:r>
      <w:r>
        <w:rPr/>
        <w:t>元</w:t>
      </w:r>
      <w:r>
        <w:rPr>
          <w:rFonts w:ascii="Times New Roman" w:hAnsi="Times New Roman" w:cs="Times New Roman" w:eastAsia="Times New Roman" w:hint="default"/>
        </w:rPr>
        <w:t>,</w:t>
      </w:r>
      <w:r>
        <w:rPr/>
        <w:t>加班分摊电</w:t>
      </w:r>
    </w:p>
    <w:p>
      <w:pPr>
        <w:pStyle w:val="BodyText"/>
        <w:spacing w:line="240" w:lineRule="auto"/>
        <w:ind w:left="139" w:right="102"/>
        <w:jc w:val="left"/>
      </w:pPr>
      <w:r>
        <w:rPr/>
        <w:t>梯费另算</w:t>
      </w:r>
      <w:r>
        <w:rPr>
          <w:spacing w:val="-105"/>
        </w:rPr>
        <w:t>）</w:t>
      </w:r>
      <w:r>
        <w:rPr>
          <w:spacing w:val="-2"/>
        </w:rPr>
        <w:t>，</w:t>
      </w:r>
      <w:r>
        <w:rPr/>
        <w:t>管理期限从</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6 </w:t>
      </w:r>
      <w:r>
        <w:rPr/>
        <w:t>年</w:t>
      </w:r>
      <w:r>
        <w:rPr>
          <w:spacing w:val="-54"/>
        </w:rPr>
        <w:t> </w:t>
      </w:r>
      <w:r>
        <w:rPr>
          <w:rFonts w:ascii="Times New Roman" w:hAnsi="Times New Roman" w:cs="Times New Roman" w:eastAsia="Times New Roman" w:hint="default"/>
        </w:rPr>
        <w:t>1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8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 </w:t>
      </w:r>
      <w:r>
        <w:rPr/>
        <w:t>日。</w:t>
      </w:r>
    </w:p>
    <w:p>
      <w:pPr>
        <w:pStyle w:val="BodyText"/>
        <w:spacing w:line="240" w:lineRule="auto" w:before="169"/>
        <w:ind w:left="559" w:right="0"/>
        <w:jc w:val="left"/>
      </w:pPr>
      <w:r>
        <w:rPr>
          <w:rFonts w:ascii="Times New Roman" w:hAnsi="Times New Roman" w:cs="Times New Roman" w:eastAsia="Times New Roman" w:hint="default"/>
          <w:spacing w:val="-1"/>
        </w:rPr>
        <w:t>2007</w:t>
      </w:r>
      <w:r>
        <w:rPr>
          <w:rFonts w:ascii="Times New Roman" w:hAnsi="Times New Roman" w:cs="Times New Roman" w:eastAsia="Times New Roman" w:hint="default"/>
          <w:spacing w:val="29"/>
        </w:rPr>
        <w:t> </w:t>
      </w:r>
      <w:r>
        <w:rPr>
          <w:spacing w:val="-2"/>
        </w:rPr>
        <w:t>年，与广州鑫广电物业服务有限公司（广州广电物业管理有限公司的全资子公司）</w:t>
      </w:r>
    </w:p>
    <w:p>
      <w:pPr>
        <w:pStyle w:val="BodyText"/>
        <w:spacing w:line="280" w:lineRule="auto"/>
        <w:ind w:left="139" w:right="98"/>
        <w:jc w:val="left"/>
      </w:pPr>
      <w:r>
        <w:rPr>
          <w:spacing w:val="-6"/>
        </w:rPr>
        <w:t>签订补充协议，由</w:t>
      </w:r>
      <w:r>
        <w:rPr>
          <w:spacing w:val="-6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3"/>
        </w:rPr>
        <w:t> </w:t>
      </w:r>
      <w:r>
        <w:rPr/>
        <w:t>年</w:t>
      </w:r>
      <w:r>
        <w:rPr>
          <w:spacing w:val="-65"/>
        </w:rPr>
        <w:t> </w:t>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t>月起，上述物业管理合同由广州鑫广电物业服务有限公司执行， 其他条款不变。</w:t>
      </w:r>
    </w:p>
    <w:p>
      <w:pPr>
        <w:pStyle w:val="BodyText"/>
        <w:spacing w:line="285" w:lineRule="auto" w:before="149"/>
        <w:ind w:left="139" w:right="105" w:firstLine="42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w:t>
      </w:r>
      <w:r>
        <w:rPr>
          <w:spacing w:val="-60"/>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w:t>
      </w:r>
      <w:r>
        <w:rPr>
          <w:spacing w:val="-61"/>
        </w:rPr>
        <w:t> </w:t>
      </w:r>
      <w:r>
        <w:rPr>
          <w:rFonts w:ascii="Times New Roman" w:hAnsi="Times New Roman" w:cs="Times New Roman" w:eastAsia="Times New Roman" w:hint="default"/>
        </w:rPr>
        <w:t>29</w:t>
      </w:r>
      <w:r>
        <w:rPr>
          <w:rFonts w:ascii="Times New Roman" w:hAnsi="Times New Roman" w:cs="Times New Roman" w:eastAsia="Times New Roman" w:hint="default"/>
          <w:spacing w:val="-7"/>
        </w:rPr>
        <w:t> </w:t>
      </w:r>
      <w:r>
        <w:rPr/>
        <w:t>日，本公司与广州广电物业管理有限公司签订《广州广电运通科学城产 业园》物业管理合同，将广电运通科学城产业园委托广州广电物业管理有限公司进行管理， 每月费用为</w:t>
      </w:r>
      <w:r>
        <w:rPr>
          <w:spacing w:val="-42"/>
        </w:rPr>
        <w:t> </w:t>
      </w:r>
      <w:r>
        <w:rPr>
          <w:rFonts w:ascii="Times New Roman" w:hAnsi="Times New Roman" w:cs="Times New Roman" w:eastAsia="Times New Roman" w:hint="default"/>
          <w:spacing w:val="-1"/>
        </w:rPr>
        <w:t>84,937.00</w:t>
      </w:r>
      <w:r>
        <w:rPr>
          <w:rFonts w:ascii="Times New Roman" w:hAnsi="Times New Roman" w:cs="Times New Roman" w:eastAsia="Times New Roman" w:hint="default"/>
          <w:spacing w:val="11"/>
        </w:rPr>
        <w:t> </w:t>
      </w:r>
      <w:r>
        <w:rPr>
          <w:spacing w:val="-1"/>
        </w:rPr>
        <w:t>元（服务人数为</w:t>
      </w:r>
      <w:r>
        <w:rPr>
          <w:spacing w:val="-42"/>
        </w:rPr>
        <w:t> </w:t>
      </w:r>
      <w:r>
        <w:rPr>
          <w:rFonts w:ascii="Times New Roman" w:hAnsi="Times New Roman" w:cs="Times New Roman" w:eastAsia="Times New Roman" w:hint="default"/>
        </w:rPr>
        <w:t>29</w:t>
      </w:r>
      <w:r>
        <w:rPr>
          <w:rFonts w:ascii="Times New Roman" w:hAnsi="Times New Roman" w:cs="Times New Roman" w:eastAsia="Times New Roman" w:hint="default"/>
          <w:spacing w:val="11"/>
        </w:rPr>
        <w:t> </w:t>
      </w:r>
      <w:r>
        <w:rPr>
          <w:spacing w:val="-11"/>
        </w:rPr>
        <w:t>人），每增派保安每名</w:t>
      </w:r>
      <w:r>
        <w:rPr>
          <w:spacing w:val="-42"/>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1"/>
        </w:rPr>
        <w:t> </w:t>
      </w:r>
      <w:r>
        <w:rPr>
          <w:spacing w:val="-1"/>
        </w:rPr>
        <w:t>元，保洁员每名</w:t>
      </w:r>
      <w:r>
        <w:rPr>
          <w:spacing w:val="-42"/>
        </w:rPr>
        <w:t> </w:t>
      </w:r>
      <w:r>
        <w:rPr>
          <w:rFonts w:ascii="Times New Roman" w:hAnsi="Times New Roman" w:cs="Times New Roman" w:eastAsia="Times New Roman" w:hint="default"/>
          <w:spacing w:val="-1"/>
        </w:rPr>
        <w:t>1850</w:t>
      </w:r>
      <w:r>
        <w:rPr>
          <w:rFonts w:ascii="Times New Roman" w:hAnsi="Times New Roman" w:cs="Times New Roman" w:eastAsia="Times New Roman" w:hint="default"/>
          <w:spacing w:val="-48"/>
        </w:rPr>
        <w:t> </w:t>
      </w:r>
      <w:r>
        <w:rPr>
          <w:rFonts w:ascii="Times New Roman" w:hAnsi="Times New Roman" w:cs="Times New Roman" w:eastAsia="Times New Roman" w:hint="default"/>
          <w:spacing w:val="-48"/>
        </w:rPr>
      </w:r>
      <w:r>
        <w:rPr/>
        <w:t>元，每月按双方核定并认可的服务人员人数按实结算，管理期限为一年。</w:t>
      </w:r>
    </w:p>
    <w:p>
      <w:pPr>
        <w:pStyle w:val="BodyText"/>
        <w:spacing w:line="240" w:lineRule="auto" w:before="146"/>
        <w:ind w:left="559" w:right="102"/>
        <w:jc w:val="left"/>
      </w:pPr>
      <w:r>
        <w:rPr>
          <w:rFonts w:ascii="Times New Roman" w:hAnsi="Times New Roman" w:cs="Times New Roman" w:eastAsia="Times New Roman" w:hint="default"/>
        </w:rPr>
        <w:t>2008 </w:t>
      </w:r>
      <w:r>
        <w:rPr/>
        <w:t>年度、</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年度的物业管理费情况列示如下：</w:t>
      </w:r>
    </w:p>
    <w:p>
      <w:pPr>
        <w:spacing w:line="240" w:lineRule="auto" w:before="9"/>
        <w:rPr>
          <w:rFonts w:ascii="宋体" w:hAnsi="宋体" w:cs="宋体" w:eastAsia="宋体" w:hint="default"/>
          <w:sz w:val="15"/>
          <w:szCs w:val="15"/>
        </w:rPr>
      </w:pPr>
    </w:p>
    <w:tbl>
      <w:tblPr>
        <w:tblW w:w="0" w:type="auto"/>
        <w:jc w:val="left"/>
        <w:tblInd w:w="550" w:type="dxa"/>
        <w:tblLayout w:type="fixed"/>
        <w:tblCellMar>
          <w:top w:w="0" w:type="dxa"/>
          <w:left w:w="0" w:type="dxa"/>
          <w:bottom w:w="0" w:type="dxa"/>
          <w:right w:w="0" w:type="dxa"/>
        </w:tblCellMar>
        <w:tblLook w:val="01E0"/>
      </w:tblPr>
      <w:tblGrid>
        <w:gridCol w:w="2988"/>
        <w:gridCol w:w="1272"/>
        <w:gridCol w:w="1608"/>
        <w:gridCol w:w="1608"/>
      </w:tblGrid>
      <w:tr>
        <w:trPr>
          <w:trHeight w:val="282"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62" w:right="0"/>
              <w:jc w:val="left"/>
              <w:rPr>
                <w:rFonts w:ascii="宋体" w:hAnsi="宋体" w:cs="宋体" w:eastAsia="宋体" w:hint="default"/>
                <w:sz w:val="21"/>
                <w:szCs w:val="21"/>
              </w:rPr>
            </w:pPr>
            <w:r>
              <w:rPr>
                <w:rFonts w:ascii="宋体" w:hAnsi="宋体" w:cs="宋体" w:eastAsia="宋体" w:hint="default"/>
                <w:b/>
                <w:bCs/>
                <w:sz w:val="21"/>
                <w:szCs w:val="21"/>
              </w:rPr>
              <w:t>关联方名称</w:t>
            </w:r>
            <w:r>
              <w:rPr>
                <w:rFonts w:ascii="宋体" w:hAnsi="宋体" w:cs="宋体" w:eastAsia="宋体" w:hint="default"/>
                <w:sz w:val="21"/>
                <w:szCs w:val="21"/>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性质</w:t>
            </w:r>
            <w:r>
              <w:rPr>
                <w:rFonts w:ascii="宋体" w:hAnsi="宋体" w:cs="宋体" w:eastAsia="宋体" w:hint="default"/>
                <w:sz w:val="21"/>
                <w:szCs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5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5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82"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广州广电物业管理有限公司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物业管理费</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8"/>
              <w:jc w:val="right"/>
              <w:rPr>
                <w:rFonts w:ascii="Times New Roman" w:hAnsi="Times New Roman" w:cs="Times New Roman" w:eastAsia="Times New Roman" w:hint="default"/>
                <w:sz w:val="21"/>
                <w:szCs w:val="21"/>
              </w:rPr>
            </w:pPr>
            <w:r>
              <w:rPr>
                <w:rFonts w:ascii="Times New Roman"/>
                <w:spacing w:val="-1"/>
                <w:sz w:val="21"/>
              </w:rPr>
              <w:t>247,054.19</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70"/>
              <w:jc w:val="right"/>
              <w:rPr>
                <w:rFonts w:ascii="Times New Roman" w:hAnsi="Times New Roman" w:cs="Times New Roman" w:eastAsia="Times New Roman" w:hint="default"/>
                <w:sz w:val="21"/>
                <w:szCs w:val="21"/>
              </w:rPr>
            </w:pPr>
            <w:r>
              <w:rPr>
                <w:rFonts w:ascii="Times New Roman"/>
                <w:spacing w:val="-1"/>
                <w:sz w:val="21"/>
              </w:rPr>
              <w:t>50,177.81</w:t>
            </w:r>
          </w:p>
        </w:tc>
      </w:tr>
      <w:tr>
        <w:trPr>
          <w:trHeight w:val="283"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广州鑫广电物业服务有限公司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物业管理费</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1"/>
              <w:jc w:val="right"/>
              <w:rPr>
                <w:rFonts w:ascii="Times New Roman" w:hAnsi="Times New Roman" w:cs="Times New Roman" w:eastAsia="Times New Roman" w:hint="default"/>
                <w:sz w:val="21"/>
                <w:szCs w:val="21"/>
              </w:rPr>
            </w:pPr>
            <w:r>
              <w:rPr>
                <w:rFonts w:ascii="Times New Roman"/>
                <w:spacing w:val="-1"/>
                <w:sz w:val="21"/>
              </w:rPr>
              <w:t>1,341,273.92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71"/>
              <w:jc w:val="right"/>
              <w:rPr>
                <w:rFonts w:ascii="Times New Roman" w:hAnsi="Times New Roman" w:cs="Times New Roman" w:eastAsia="Times New Roman" w:hint="default"/>
                <w:sz w:val="21"/>
                <w:szCs w:val="21"/>
              </w:rPr>
            </w:pPr>
            <w:r>
              <w:rPr>
                <w:rFonts w:ascii="Times New Roman"/>
                <w:spacing w:val="-1"/>
                <w:sz w:val="21"/>
              </w:rPr>
              <w:t>853,451.62</w:t>
            </w:r>
          </w:p>
        </w:tc>
      </w:tr>
    </w:tbl>
    <w:p>
      <w:pPr>
        <w:spacing w:line="240" w:lineRule="auto" w:before="3"/>
        <w:rPr>
          <w:rFonts w:ascii="宋体" w:hAnsi="宋体" w:cs="宋体" w:eastAsia="宋体" w:hint="default"/>
          <w:sz w:val="22"/>
          <w:szCs w:val="22"/>
        </w:rPr>
      </w:pPr>
    </w:p>
    <w:p>
      <w:pPr>
        <w:pStyle w:val="BodyText"/>
        <w:spacing w:line="297" w:lineRule="auto" w:before="35"/>
        <w:ind w:right="216" w:firstLine="420"/>
        <w:jc w:val="both"/>
      </w:pPr>
      <w:r>
        <w:rPr>
          <w:spacing w:val="2"/>
        </w:rPr>
        <w:t>公司租用的房屋使用的水电费由广州无线电集团有限公司物业管理部根据公司独立水</w:t>
      </w:r>
      <w:r>
        <w:rPr/>
        <w:t> </w:t>
      </w:r>
      <w:r>
        <w:rPr>
          <w:spacing w:val="-3"/>
        </w:rPr>
        <w:t>表，电表读数作合理分摊后计算应收水费及电费；公司每月电话费由广州无线电集团有限公</w:t>
      </w:r>
      <w:r>
        <w:rPr>
          <w:spacing w:val="-79"/>
        </w:rPr>
        <w:t> </w:t>
      </w:r>
      <w:r>
        <w:rPr>
          <w:spacing w:val="-79"/>
        </w:rPr>
      </w:r>
      <w:r>
        <w:rPr>
          <w:spacing w:val="-3"/>
        </w:rPr>
        <w:t>司物业管理部代收代付，广州无线电集团有限公司物业管理部每月根据由公司使用的各电话</w:t>
      </w:r>
      <w:r>
        <w:rPr>
          <w:spacing w:val="-79"/>
        </w:rPr>
        <w:t> </w:t>
      </w:r>
      <w:r>
        <w:rPr>
          <w:spacing w:val="-79"/>
        </w:rPr>
      </w:r>
      <w:r>
        <w:rPr/>
        <w:t>号码的电信费用结算清单汇总代收代付电话费。</w:t>
      </w:r>
    </w:p>
    <w:p>
      <w:pPr>
        <w:pStyle w:val="BodyText"/>
        <w:spacing w:line="288" w:lineRule="auto" w:before="135"/>
        <w:ind w:right="216" w:firstLine="420"/>
        <w:jc w:val="both"/>
      </w:pPr>
      <w:r>
        <w:rPr>
          <w:spacing w:val="2"/>
        </w:rPr>
        <w:t>上述房屋租赁和物业管理协议经公司第一届董事会第三次会议和第一届董事会第十五</w:t>
      </w:r>
      <w:r>
        <w:rPr/>
        <w:t> 次会议决议通过，并经公司</w:t>
      </w:r>
      <w:r>
        <w:rPr>
          <w:spacing w:val="-49"/>
        </w:rPr>
        <w:t> </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年度股东大会批准，上述关联交易的定价是根据租赁房屋 </w:t>
      </w:r>
      <w:r>
        <w:rPr>
          <w:spacing w:val="-3"/>
        </w:rPr>
        <w:t>所在地的市场价格，双方在自愿、平等、协商一致的基础上确定的，价格公允合理，没有损</w:t>
      </w:r>
    </w:p>
    <w:p>
      <w:pPr>
        <w:spacing w:after="0" w:line="288" w:lineRule="auto"/>
        <w:jc w:val="both"/>
        <w:sectPr>
          <w:pgSz w:w="11910" w:h="16840"/>
          <w:pgMar w:header="0" w:footer="982" w:top="1100" w:bottom="1180" w:left="1660" w:right="1580"/>
        </w:sectPr>
      </w:pPr>
    </w:p>
    <w:p>
      <w:pPr>
        <w:spacing w:line="240" w:lineRule="auto" w:before="1"/>
        <w:rPr>
          <w:rFonts w:ascii="宋体" w:hAnsi="宋体" w:cs="宋体" w:eastAsia="宋体" w:hint="default"/>
          <w:sz w:val="19"/>
          <w:szCs w:val="19"/>
        </w:rPr>
      </w:pPr>
    </w:p>
    <w:p>
      <w:pPr>
        <w:pStyle w:val="BodyText"/>
        <w:spacing w:line="297" w:lineRule="auto" w:before="35"/>
        <w:ind w:right="100" w:hanging="1"/>
        <w:jc w:val="left"/>
      </w:pPr>
      <w:r>
        <w:rPr>
          <w:spacing w:val="-5"/>
        </w:rPr>
        <w:t>害非关联方股东的利益，有利于公司的正常生产、办公和长期稳定发展。对于上述关联交易，</w:t>
      </w:r>
      <w:r>
        <w:rPr>
          <w:spacing w:val="-98"/>
        </w:rPr>
        <w:t> </w:t>
      </w:r>
      <w:r>
        <w:rPr>
          <w:spacing w:val="-98"/>
        </w:rPr>
      </w:r>
      <w:r>
        <w:rPr>
          <w:spacing w:val="-8"/>
        </w:rPr>
        <w:t>公司严格履行必要的决策程序和审批手续，符合《深圳证券交易所股票上市规则》、《公司章</w:t>
      </w:r>
      <w:r>
        <w:rPr>
          <w:spacing w:val="-84"/>
        </w:rPr>
        <w:t> </w:t>
      </w:r>
      <w:r>
        <w:rPr>
          <w:spacing w:val="-84"/>
        </w:rPr>
      </w:r>
      <w:r>
        <w:rPr/>
        <w:t>程》和《关联交易管理制度》的有关规定。</w:t>
      </w:r>
    </w:p>
    <w:p>
      <w:pPr>
        <w:pStyle w:val="BodyText"/>
        <w:spacing w:line="379" w:lineRule="auto" w:before="135"/>
        <w:ind w:left="560" w:right="102"/>
        <w:jc w:val="left"/>
      </w:pPr>
      <w:r>
        <w:rPr>
          <w:rFonts w:ascii="Times New Roman" w:hAnsi="Times New Roman" w:cs="Times New Roman" w:eastAsia="Times New Roman" w:hint="default"/>
        </w:rPr>
        <w:t>3</w:t>
      </w:r>
      <w:r>
        <w:rPr/>
        <w:t>、华颖宾馆房租 </w:t>
      </w:r>
      <w:r>
        <w:rPr>
          <w:spacing w:val="2"/>
        </w:rPr>
        <w:t>公司按市场价格租用广州无线电集团有限公司下属二级核算单位广州无线电华颖宾馆</w:t>
      </w:r>
    </w:p>
    <w:p>
      <w:pPr>
        <w:pStyle w:val="BodyText"/>
        <w:spacing w:line="234" w:lineRule="exact" w:before="0"/>
        <w:ind w:right="0"/>
        <w:jc w:val="left"/>
      </w:pPr>
      <w:r>
        <w:rPr>
          <w:spacing w:val="-4"/>
        </w:rPr>
        <w:t>房间和综合楼宿舍，</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1"/>
        </w:rPr>
        <w:t> </w:t>
      </w:r>
      <w:r>
        <w:rPr/>
        <w:t>年度支付租赁费</w:t>
      </w:r>
      <w:r>
        <w:rPr>
          <w:spacing w:val="-54"/>
        </w:rPr>
        <w:t> </w:t>
      </w:r>
      <w:r>
        <w:rPr>
          <w:rFonts w:ascii="Times New Roman" w:hAnsi="Times New Roman" w:cs="Times New Roman" w:eastAsia="Times New Roman" w:hint="default"/>
        </w:rPr>
        <w:t>406,353.00</w:t>
      </w:r>
      <w:r>
        <w:rPr>
          <w:rFonts w:ascii="Times New Roman" w:hAnsi="Times New Roman" w:cs="Times New Roman" w:eastAsia="Times New Roman" w:hint="default"/>
          <w:spacing w:val="-1"/>
        </w:rPr>
        <w:t> </w:t>
      </w:r>
      <w:r>
        <w:rPr>
          <w:spacing w:val="-9"/>
        </w:rPr>
        <w:t>元；</w:t>
      </w:r>
      <w:r>
        <w:rPr>
          <w:rFonts w:ascii="Times New Roman" w:hAnsi="Times New Roman" w:cs="Times New Roman" w:eastAsia="Times New Roman" w:hint="default"/>
          <w:spacing w:val="-9"/>
        </w:rPr>
        <w:t>2008</w:t>
      </w:r>
      <w:r>
        <w:rPr>
          <w:rFonts w:ascii="Times New Roman" w:hAnsi="Times New Roman" w:cs="Times New Roman" w:eastAsia="Times New Roman" w:hint="default"/>
          <w:spacing w:val="-2"/>
        </w:rPr>
        <w:t> </w:t>
      </w:r>
      <w:r>
        <w:rPr/>
        <w:t>年支付租赁费</w:t>
      </w:r>
      <w:r>
        <w:rPr>
          <w:spacing w:val="-54"/>
        </w:rPr>
        <w:t> </w:t>
      </w:r>
      <w:r>
        <w:rPr>
          <w:rFonts w:ascii="Times New Roman" w:hAnsi="Times New Roman" w:cs="Times New Roman" w:eastAsia="Times New Roman" w:hint="default"/>
        </w:rPr>
        <w:t>518,010.00 </w:t>
      </w:r>
      <w:r>
        <w:rPr/>
        <w:t>元。</w:t>
      </w:r>
    </w:p>
    <w:p>
      <w:pPr>
        <w:spacing w:line="240" w:lineRule="auto" w:before="6"/>
        <w:rPr>
          <w:rFonts w:ascii="宋体" w:hAnsi="宋体" w:cs="宋体" w:eastAsia="宋体" w:hint="default"/>
          <w:sz w:val="31"/>
          <w:szCs w:val="31"/>
        </w:rPr>
      </w:pPr>
    </w:p>
    <w:p>
      <w:pPr>
        <w:pStyle w:val="BodyText"/>
        <w:spacing w:line="343" w:lineRule="auto" w:before="0"/>
        <w:ind w:left="560" w:right="102" w:hanging="420"/>
        <w:jc w:val="left"/>
      </w:pPr>
      <w:r>
        <w:rPr/>
        <w:t>（三）报告期内公司与关联方关联债权、债务往来情况 </w:t>
      </w:r>
      <w:r>
        <w:rPr>
          <w:spacing w:val="-3"/>
        </w:rPr>
        <w:t>报告期内，公司未发生控股股东及其它关联方非经营性占用公司资金的情况。会计师事</w:t>
      </w:r>
    </w:p>
    <w:p>
      <w:pPr>
        <w:pStyle w:val="BodyText"/>
        <w:spacing w:line="251" w:lineRule="exact" w:before="0"/>
        <w:ind w:right="102"/>
        <w:jc w:val="left"/>
      </w:pPr>
      <w:r>
        <w:rPr/>
        <w:t>务所对公司与关联方资金往来情况出具</w:t>
      </w:r>
      <w:r>
        <w:rPr>
          <w:spacing w:val="-94"/>
        </w:rPr>
        <w:t>了</w:t>
      </w:r>
      <w:r>
        <w:rPr/>
        <w:t>《关于对广州广电运通金融电子股份有限公司关联</w:t>
      </w:r>
    </w:p>
    <w:p>
      <w:pPr>
        <w:pStyle w:val="BodyText"/>
        <w:spacing w:line="240" w:lineRule="auto" w:before="66"/>
        <w:ind w:right="102"/>
        <w:jc w:val="left"/>
      </w:pPr>
      <w:r>
        <w:rPr/>
        <w:t>方资金往来审核报告</w:t>
      </w:r>
      <w:r>
        <w:rPr>
          <w:spacing w:val="-105"/>
        </w:rPr>
        <w:t>》</w:t>
      </w:r>
      <w:r>
        <w:rPr>
          <w:spacing w:val="-106"/>
        </w:rPr>
        <w:t>（</w:t>
      </w:r>
      <w:r>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9</w:t>
      </w:r>
      <w:r>
        <w:rPr/>
        <w:t>）羊</w:t>
      </w:r>
      <w:r>
        <w:rPr>
          <w:spacing w:val="-2"/>
        </w:rPr>
        <w:t>专</w:t>
      </w:r>
      <w:r>
        <w:rPr/>
        <w:t>审字第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5</w:t>
      </w:r>
      <w:r>
        <w:rPr>
          <w:rFonts w:ascii="Times New Roman" w:hAnsi="Times New Roman" w:cs="Times New Roman" w:eastAsia="Times New Roman" w:hint="default"/>
        </w:rPr>
        <w:t>7</w:t>
      </w:r>
      <w:r>
        <w:rPr>
          <w:rFonts w:ascii="Times New Roman" w:hAnsi="Times New Roman" w:cs="Times New Roman" w:eastAsia="Times New Roman" w:hint="default"/>
          <w:spacing w:val="-1"/>
        </w:rPr>
        <w:t>6</w:t>
      </w:r>
      <w:r>
        <w:rPr>
          <w:rFonts w:ascii="Times New Roman" w:hAnsi="Times New Roman" w:cs="Times New Roman" w:eastAsia="Times New Roman" w:hint="default"/>
        </w:rPr>
        <w:t>6 </w:t>
      </w:r>
      <w:r>
        <w:rPr/>
        <w:t>号</w:t>
      </w:r>
      <w:r>
        <w:rPr>
          <w:spacing w:val="-105"/>
        </w:rPr>
        <w:t>）</w:t>
      </w:r>
      <w:r>
        <w:rPr/>
        <w:t>。</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8"/>
          <w:szCs w:val="18"/>
        </w:rPr>
      </w:pPr>
    </w:p>
    <w:p>
      <w:pPr>
        <w:pStyle w:val="BodyText"/>
        <w:spacing w:line="297" w:lineRule="auto" w:before="0"/>
        <w:ind w:right="198"/>
        <w:jc w:val="left"/>
      </w:pPr>
      <w:r>
        <w:rPr/>
        <w:t>（四</w:t>
      </w:r>
      <w:r>
        <w:rPr>
          <w:spacing w:val="-94"/>
        </w:rPr>
        <w:t>）</w:t>
      </w:r>
      <w:r>
        <w:rPr/>
        <w:t>公司审计机构立信羊城会计师事务所有限公司对公司控股股东及其他关联方资金占用</w:t>
      </w:r>
      <w:r>
        <w:rPr/>
        <w:t> 情况出具了如下专项审计说明</w:t>
      </w:r>
      <w:r>
        <w:rPr>
          <w:spacing w:val="-105"/>
        </w:rPr>
        <w:t>（</w:t>
      </w:r>
      <w:r>
        <w:rPr/>
        <w:t>（</w:t>
      </w:r>
      <w:r>
        <w:rPr>
          <w:rFonts w:ascii="Times New Roman" w:hAnsi="Times New Roman" w:cs="Times New Roman" w:eastAsia="Times New Roman" w:hint="default"/>
          <w:spacing w:val="-1"/>
        </w:rPr>
        <w:t>20</w:t>
      </w:r>
      <w:r>
        <w:rPr>
          <w:rFonts w:ascii="Times New Roman" w:hAnsi="Times New Roman" w:cs="Times New Roman" w:eastAsia="Times New Roman" w:hint="default"/>
        </w:rPr>
        <w:t>09</w:t>
      </w:r>
      <w:r>
        <w:rPr/>
        <w:t>）羊专</w:t>
      </w:r>
      <w:r>
        <w:rPr>
          <w:spacing w:val="-2"/>
        </w:rPr>
        <w:t>审</w:t>
      </w:r>
      <w:r>
        <w:rPr/>
        <w:t>字第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5</w:t>
      </w:r>
      <w:r>
        <w:rPr>
          <w:rFonts w:ascii="Times New Roman" w:hAnsi="Times New Roman" w:cs="Times New Roman" w:eastAsia="Times New Roman" w:hint="default"/>
        </w:rPr>
        <w:t>7</w:t>
      </w:r>
      <w:r>
        <w:rPr>
          <w:rFonts w:ascii="Times New Roman" w:hAnsi="Times New Roman" w:cs="Times New Roman" w:eastAsia="Times New Roman" w:hint="default"/>
          <w:spacing w:val="-1"/>
        </w:rPr>
        <w:t>6</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w:t>
      </w:r>
      <w:r>
        <w:rPr>
          <w:spacing w:val="-105"/>
        </w:rPr>
        <w:t>）</w:t>
      </w:r>
      <w:r>
        <w:rPr/>
        <w:t>：</w:t>
      </w:r>
    </w:p>
    <w:p>
      <w:pPr>
        <w:spacing w:line="240" w:lineRule="auto" w:before="4"/>
        <w:rPr>
          <w:rFonts w:ascii="宋体" w:hAnsi="宋体" w:cs="宋体" w:eastAsia="宋体" w:hint="default"/>
          <w:sz w:val="29"/>
          <w:szCs w:val="29"/>
        </w:rPr>
      </w:pPr>
    </w:p>
    <w:p>
      <w:pPr>
        <w:pStyle w:val="Heading4"/>
        <w:spacing w:line="272" w:lineRule="exact"/>
        <w:ind w:left="2371" w:right="2447"/>
        <w:jc w:val="center"/>
        <w:rPr>
          <w:b w:val="0"/>
          <w:bCs w:val="0"/>
        </w:rPr>
      </w:pPr>
      <w:r>
        <w:rPr>
          <w:w w:val="95"/>
        </w:rPr>
        <w:t>关于对广州广电运通金融电子股份有限公司</w:t>
      </w:r>
      <w:r>
        <w:rPr>
          <w:spacing w:val="82"/>
          <w:w w:val="95"/>
        </w:rPr>
        <w:t> </w:t>
      </w:r>
      <w:r>
        <w:rPr>
          <w:spacing w:val="82"/>
          <w:w w:val="95"/>
        </w:rPr>
      </w:r>
      <w:r>
        <w:rPr/>
        <w:t>关联方资金往来审核报告</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9"/>
          <w:szCs w:val="19"/>
        </w:rPr>
      </w:pPr>
    </w:p>
    <w:p>
      <w:pPr>
        <w:pStyle w:val="BodyText"/>
        <w:spacing w:line="240" w:lineRule="auto" w:before="0"/>
        <w:ind w:right="102"/>
        <w:jc w:val="left"/>
      </w:pPr>
      <w:r>
        <w:rPr/>
        <w:t>广州广电运通金融电子股份有限公司董事会：</w:t>
      </w:r>
    </w:p>
    <w:p>
      <w:pPr>
        <w:spacing w:line="240" w:lineRule="auto" w:before="2"/>
        <w:rPr>
          <w:rFonts w:ascii="宋体" w:hAnsi="宋体" w:cs="宋体" w:eastAsia="宋体" w:hint="default"/>
          <w:sz w:val="14"/>
          <w:szCs w:val="14"/>
        </w:rPr>
      </w:pPr>
    </w:p>
    <w:p>
      <w:pPr>
        <w:pStyle w:val="BodyText"/>
        <w:spacing w:line="280" w:lineRule="auto" w:before="0"/>
        <w:ind w:right="106" w:firstLine="419"/>
        <w:jc w:val="left"/>
      </w:pPr>
      <w:r>
        <w:rPr/>
        <w:t>我们审计了贵公司</w:t>
      </w:r>
      <w:r>
        <w:rPr>
          <w:spacing w:val="-50"/>
        </w:rPr>
        <w:t> </w:t>
      </w: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1"/>
        </w:rPr>
        <w:t> </w:t>
      </w:r>
      <w:r>
        <w:rPr>
          <w:spacing w:val="-7"/>
        </w:rPr>
        <w:t>年度财务报表并出具了（</w:t>
      </w:r>
      <w:r>
        <w:rPr>
          <w:rFonts w:ascii="Times New Roman" w:hAnsi="Times New Roman" w:cs="Times New Roman" w:eastAsia="Times New Roman" w:hint="default"/>
          <w:spacing w:val="-7"/>
        </w:rPr>
        <w:t>2009</w:t>
      </w:r>
      <w:r>
        <w:rPr>
          <w:spacing w:val="-7"/>
        </w:rPr>
        <w:t>）羊查字第</w:t>
      </w:r>
      <w:r>
        <w:rPr>
          <w:spacing w:val="-50"/>
        </w:rPr>
        <w:t> </w:t>
      </w:r>
      <w:r>
        <w:rPr>
          <w:rFonts w:ascii="Times New Roman" w:hAnsi="Times New Roman" w:cs="Times New Roman" w:eastAsia="Times New Roman" w:hint="default"/>
          <w:spacing w:val="-1"/>
        </w:rPr>
        <w:t>15765</w:t>
      </w:r>
      <w:r>
        <w:rPr>
          <w:rFonts w:ascii="Times New Roman" w:hAnsi="Times New Roman" w:cs="Times New Roman" w:eastAsia="Times New Roman" w:hint="default"/>
          <w:spacing w:val="3"/>
        </w:rPr>
        <w:t> </w:t>
      </w:r>
      <w:r>
        <w:rPr>
          <w:spacing w:val="-22"/>
        </w:rPr>
        <w:t>号《审计报告》，</w:t>
      </w:r>
      <w:r>
        <w:rPr/>
        <w:t> 在此基础上我们对贵公司披露的关联方资金往来进行了审核。</w:t>
      </w:r>
    </w:p>
    <w:p>
      <w:pPr>
        <w:pStyle w:val="BodyText"/>
        <w:spacing w:line="292" w:lineRule="auto" w:before="150"/>
        <w:ind w:right="215" w:firstLine="420"/>
        <w:jc w:val="both"/>
      </w:pPr>
      <w:r>
        <w:rPr>
          <w:spacing w:val="-3"/>
        </w:rPr>
        <w:t>贵公司的责任是真实、完整向监管部门报送关联方资金往来情况与提供原始合同或协议</w:t>
      </w:r>
      <w:r>
        <w:rPr/>
        <w:t> </w:t>
      </w:r>
      <w:r>
        <w:rPr>
          <w:spacing w:val="-3"/>
        </w:rPr>
        <w:t>等资料或副本、会计凭证与账簿记录等我们认为必要的资料。我们的责任是对贵公司是否按</w:t>
      </w:r>
      <w:r>
        <w:rPr>
          <w:spacing w:val="-79"/>
        </w:rPr>
        <w:t> </w:t>
      </w:r>
      <w:r>
        <w:rPr>
          <w:spacing w:val="-79"/>
        </w:rPr>
      </w:r>
      <w:r>
        <w:rPr>
          <w:spacing w:val="-3"/>
        </w:rPr>
        <w:t>照中国证券监督管理委员会与国务院国有资产监督管理委员会联合颁发的《关于规范上市公</w:t>
      </w:r>
      <w:r>
        <w:rPr>
          <w:spacing w:val="-79"/>
        </w:rPr>
        <w:t> </w:t>
      </w:r>
      <w:r>
        <w:rPr>
          <w:spacing w:val="-79"/>
        </w:rPr>
      </w:r>
      <w:r>
        <w:rPr>
          <w:spacing w:val="-3"/>
        </w:rPr>
        <w:t>司与关联方资金往来及上市公司对外担保若干问题的通知》（证监发</w:t>
      </w:r>
      <w:r>
        <w:rPr>
          <w:rFonts w:ascii="Times New Roman" w:hAnsi="Times New Roman" w:cs="Times New Roman" w:eastAsia="Times New Roman" w:hint="default"/>
          <w:spacing w:val="-3"/>
        </w:rPr>
        <w:t>[2003]56</w:t>
      </w:r>
      <w:r>
        <w:rPr>
          <w:rFonts w:ascii="Times New Roman" w:hAnsi="Times New Roman" w:cs="Times New Roman" w:eastAsia="Times New Roman" w:hint="default"/>
          <w:spacing w:val="37"/>
        </w:rPr>
        <w:t> </w:t>
      </w:r>
      <w:r>
        <w:rPr>
          <w:spacing w:val="-1"/>
        </w:rPr>
        <w:t>号）的规定披</w:t>
      </w:r>
      <w:r>
        <w:rPr/>
        <w:t> 露了关联方资金往来情况进行专项审核，并发表审核意见。</w:t>
      </w:r>
    </w:p>
    <w:p>
      <w:pPr>
        <w:pStyle w:val="BodyText"/>
        <w:spacing w:line="297" w:lineRule="auto" w:before="138"/>
        <w:ind w:right="215" w:firstLine="420"/>
        <w:jc w:val="both"/>
      </w:pPr>
      <w:r>
        <w:rPr>
          <w:spacing w:val="-3"/>
        </w:rPr>
        <w:t>我们按照中国注册会计师审计准则的规定执行了审核工作。中国注册会计师审计准则要</w:t>
      </w:r>
      <w:r>
        <w:rPr/>
        <w:t> </w:t>
      </w:r>
      <w:r>
        <w:rPr>
          <w:spacing w:val="-3"/>
        </w:rPr>
        <w:t>求我们遵守职业道德规范，计划和实施审核工作以对贵公司自行清查与向监管部门报送关联</w:t>
      </w:r>
      <w:r>
        <w:rPr>
          <w:spacing w:val="-79"/>
        </w:rPr>
        <w:t> </w:t>
      </w:r>
      <w:r>
        <w:rPr>
          <w:spacing w:val="-79"/>
        </w:rPr>
      </w:r>
      <w:r>
        <w:rPr>
          <w:spacing w:val="-3"/>
        </w:rPr>
        <w:t>方资金往来情况是否不存在重大错报获取合理保证。审核工作涉及实施审核程序，以获取有</w:t>
      </w:r>
      <w:r>
        <w:rPr>
          <w:spacing w:val="-79"/>
        </w:rPr>
        <w:t> </w:t>
      </w:r>
      <w:r>
        <w:rPr>
          <w:spacing w:val="-79"/>
        </w:rPr>
      </w:r>
      <w:r>
        <w:rPr>
          <w:spacing w:val="-3"/>
        </w:rPr>
        <w:t>关关联方资金往来情况披露的相关证据。选择的审核程序取决于我们的判断，包括对由于舞</w:t>
      </w:r>
      <w:r>
        <w:rPr>
          <w:spacing w:val="-79"/>
        </w:rPr>
        <w:t> </w:t>
      </w:r>
      <w:r>
        <w:rPr>
          <w:spacing w:val="-79"/>
        </w:rPr>
      </w:r>
      <w:r>
        <w:rPr>
          <w:spacing w:val="-3"/>
        </w:rPr>
        <w:t>弊或错误导致的自行清查后向监管部门报送关联方资金往来情况重大错报风险的评估。在进</w:t>
      </w:r>
      <w:r>
        <w:rPr>
          <w:spacing w:val="-79"/>
        </w:rPr>
        <w:t> </w:t>
      </w:r>
      <w:r>
        <w:rPr>
          <w:spacing w:val="-79"/>
        </w:rPr>
      </w:r>
      <w:r>
        <w:rPr>
          <w:spacing w:val="-3"/>
        </w:rPr>
        <w:t>行风险评估时，我们考虑与向监管部门报送关联方资金往来情况相关的内部控制，以设计恰</w:t>
      </w:r>
      <w:r>
        <w:rPr>
          <w:spacing w:val="-79"/>
        </w:rPr>
        <w:t> </w:t>
      </w:r>
      <w:r>
        <w:rPr>
          <w:spacing w:val="-79"/>
        </w:rPr>
      </w:r>
      <w:r>
        <w:rPr/>
        <w:t>当的审核程序，但目的并非对内部控制有效性发表意见。</w:t>
      </w:r>
    </w:p>
    <w:p>
      <w:pPr>
        <w:pStyle w:val="BodyText"/>
        <w:spacing w:line="297" w:lineRule="auto" w:before="135"/>
        <w:ind w:right="215" w:firstLine="420"/>
        <w:jc w:val="both"/>
      </w:pPr>
      <w:r>
        <w:rPr>
          <w:spacing w:val="-3"/>
        </w:rPr>
        <w:t>我们对贵公司与关联方资金往来情况实施了相关调查，查阅了有关资料、会计凭证、核</w:t>
      </w:r>
      <w:r>
        <w:rPr/>
        <w:t> 对账簿记录等我们认为必要的审核程序。</w:t>
      </w:r>
    </w:p>
    <w:p>
      <w:pPr>
        <w:pStyle w:val="BodyText"/>
        <w:spacing w:line="240" w:lineRule="auto" w:before="134"/>
        <w:ind w:left="560" w:right="102"/>
        <w:jc w:val="left"/>
      </w:pPr>
      <w:r>
        <w:rPr/>
        <w:t>现将审核情况说明如下：</w:t>
      </w:r>
    </w:p>
    <w:p>
      <w:pPr>
        <w:spacing w:line="240" w:lineRule="auto" w:before="3"/>
        <w:rPr>
          <w:rFonts w:ascii="宋体" w:hAnsi="宋体" w:cs="宋体" w:eastAsia="宋体" w:hint="default"/>
          <w:sz w:val="14"/>
          <w:szCs w:val="14"/>
        </w:rPr>
      </w:pPr>
    </w:p>
    <w:p>
      <w:pPr>
        <w:pStyle w:val="BodyText"/>
        <w:spacing w:line="240" w:lineRule="auto" w:before="0"/>
        <w:ind w:left="560" w:right="102"/>
        <w:jc w:val="left"/>
        <w:rPr>
          <w:rFonts w:ascii="Times New Roman" w:hAnsi="Times New Roman" w:cs="Times New Roman" w:eastAsia="Times New Roman" w:hint="default"/>
        </w:rPr>
      </w:pPr>
      <w:r>
        <w:rPr/>
        <w:t>一、</w:t>
      </w:r>
      <w:r>
        <w:rPr>
          <w:rFonts w:ascii="Times New Roman" w:hAnsi="Times New Roman" w:cs="Times New Roman" w:eastAsia="Times New Roman" w:hint="default"/>
        </w:rPr>
        <w:t>2008 </w:t>
      </w:r>
      <w:r>
        <w:rPr/>
        <w:t>年内</w:t>
      </w:r>
      <w:r>
        <w:rPr>
          <w:rFonts w:ascii="Times New Roman" w:hAnsi="Times New Roman" w:cs="Times New Roman" w:eastAsia="Times New Roman" w:hint="default"/>
        </w:rPr>
        <w:t>,</w:t>
      </w:r>
      <w:r>
        <w:rPr/>
        <w:t>大股东及其附属企业非经营性占用公司（含子公司）资金发生额为</w:t>
      </w:r>
      <w:r>
        <w:rPr>
          <w:spacing w:val="-48"/>
        </w:rPr>
        <w:t> </w:t>
      </w:r>
      <w:r>
        <w:rPr>
          <w:rFonts w:ascii="Times New Roman" w:hAnsi="Times New Roman" w:cs="Times New Roman" w:eastAsia="Times New Roman" w:hint="default"/>
        </w:rPr>
        <w:t>0.00</w:t>
      </w:r>
    </w:p>
    <w:p>
      <w:pPr>
        <w:spacing w:after="0" w:line="240" w:lineRule="auto"/>
        <w:jc w:val="left"/>
        <w:rPr>
          <w:rFonts w:ascii="Times New Roman" w:hAnsi="Times New Roman" w:cs="Times New Roman" w:eastAsia="Times New Roman" w:hint="default"/>
        </w:rPr>
        <w:sectPr>
          <w:pgSz w:w="11910" w:h="16840"/>
          <w:pgMar w:header="0" w:footer="982" w:top="1100" w:bottom="1180" w:left="1660" w:right="1580"/>
        </w:sectPr>
      </w:pPr>
    </w:p>
    <w:p>
      <w:pPr>
        <w:spacing w:line="240" w:lineRule="auto" w:before="8"/>
        <w:rPr>
          <w:rFonts w:ascii="Times New Roman" w:hAnsi="Times New Roman" w:cs="Times New Roman" w:eastAsia="Times New Roman" w:hint="default"/>
          <w:sz w:val="21"/>
          <w:szCs w:val="21"/>
        </w:rPr>
      </w:pPr>
    </w:p>
    <w:p>
      <w:pPr>
        <w:pStyle w:val="BodyText"/>
        <w:spacing w:line="240" w:lineRule="auto" w:before="35"/>
        <w:ind w:right="102"/>
        <w:jc w:val="left"/>
      </w:pPr>
      <w:r>
        <w:rPr/>
        <w:t>元；截止</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日余额（未扣除已计提的坏账准备）为</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w:t>
      </w:r>
    </w:p>
    <w:p>
      <w:pPr>
        <w:pStyle w:val="BodyText"/>
        <w:spacing w:line="240" w:lineRule="auto" w:before="170"/>
        <w:ind w:left="559" w:right="102"/>
        <w:jc w:val="left"/>
      </w:pPr>
      <w:r>
        <w:rPr/>
        <w:t>１、垫付的工资、福利、保险、广告费及其他支出合计为</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69"/>
        <w:ind w:left="559" w:right="102"/>
        <w:jc w:val="left"/>
      </w:pPr>
      <w:r>
        <w:rPr/>
        <w:t>２、承担实际履约的担保责任形成的资金为</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70"/>
        <w:ind w:left="559" w:right="102"/>
        <w:jc w:val="left"/>
      </w:pPr>
      <w:r>
        <w:rPr/>
        <w:t>３、有偿或无偿地拆借公司的资金给控股股东及附属企业使用的资金为</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70"/>
        <w:ind w:left="559" w:right="0"/>
        <w:jc w:val="left"/>
      </w:pPr>
      <w:r>
        <w:rPr/>
        <w:t>４、通过银行或非银行金融机构向控股股东及附属企业提供委托贷款的资金为</w:t>
      </w:r>
      <w:r>
        <w:rPr>
          <w:spacing w:val="-75"/>
        </w:rPr>
        <w:t> </w:t>
      </w:r>
      <w:r>
        <w:rPr>
          <w:rFonts w:ascii="Times New Roman" w:hAnsi="Times New Roman" w:cs="Times New Roman" w:eastAsia="Times New Roman" w:hint="default"/>
        </w:rPr>
        <w:t>0.00</w:t>
      </w:r>
      <w:r>
        <w:rPr>
          <w:rFonts w:ascii="Times New Roman" w:hAnsi="Times New Roman" w:cs="Times New Roman" w:eastAsia="Times New Roman" w:hint="default"/>
          <w:spacing w:val="-23"/>
        </w:rPr>
        <w:t> </w:t>
      </w:r>
      <w:r>
        <w:rPr/>
        <w:t>元；</w:t>
      </w:r>
    </w:p>
    <w:p>
      <w:pPr>
        <w:pStyle w:val="BodyText"/>
        <w:spacing w:line="240" w:lineRule="auto" w:before="169"/>
        <w:ind w:left="559" w:right="102"/>
        <w:jc w:val="left"/>
      </w:pPr>
      <w:r>
        <w:rPr/>
        <w:t>５、委托控股股东及附属企业进行投资活动的资金为</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70"/>
        <w:ind w:left="559" w:right="102"/>
        <w:jc w:val="left"/>
      </w:pPr>
      <w:r>
        <w:rPr/>
        <w:t>６、为控股股东及附属企业开具没有真实交易背景的商业承兑汇票的资金为</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70"/>
        <w:ind w:left="559" w:right="102"/>
        <w:jc w:val="left"/>
      </w:pPr>
      <w:r>
        <w:rPr/>
        <w:t>７、代控股股东及附属企业偿还债务的资金为</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70"/>
        <w:ind w:left="559" w:right="102"/>
        <w:jc w:val="left"/>
      </w:pPr>
      <w:r>
        <w:rPr/>
        <w:t>８、中国证监会认定的其他方式的资金为</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69"/>
        <w:ind w:left="559" w:right="102"/>
        <w:jc w:val="left"/>
      </w:pPr>
      <w:r>
        <w:rPr/>
        <w:t>二、</w:t>
      </w:r>
      <w:r>
        <w:rPr>
          <w:rFonts w:ascii="Times New Roman" w:hAnsi="Times New Roman" w:cs="Times New Roman" w:eastAsia="Times New Roman" w:hint="default"/>
        </w:rPr>
        <w:t>2008 </w:t>
      </w:r>
      <w:r>
        <w:rPr>
          <w:rFonts w:ascii="Times New Roman" w:hAnsi="Times New Roman" w:cs="Times New Roman" w:eastAsia="Times New Roman" w:hint="default"/>
          <w:spacing w:val="21"/>
        </w:rPr>
        <w:t> </w:t>
      </w:r>
      <w:r>
        <w:rPr>
          <w:spacing w:val="6"/>
        </w:rPr>
        <w:t>年内，大股东及其附属企业与公司（含子公司）经营性资金往来发生额为</w:t>
      </w:r>
    </w:p>
    <w:p>
      <w:pPr>
        <w:pStyle w:val="BodyText"/>
        <w:spacing w:line="379" w:lineRule="auto"/>
        <w:ind w:left="559" w:right="102" w:hanging="420"/>
        <w:jc w:val="left"/>
      </w:pPr>
      <w:r>
        <w:rPr>
          <w:rFonts w:ascii="Times New Roman" w:hAnsi="Times New Roman" w:cs="Times New Roman" w:eastAsia="Times New Roman" w:hint="default"/>
        </w:rPr>
        <w:t>18,060.00</w:t>
      </w:r>
      <w:r>
        <w:rPr>
          <w:rFonts w:ascii="Times New Roman" w:hAnsi="Times New Roman" w:cs="Times New Roman" w:eastAsia="Times New Roman" w:hint="default"/>
          <w:spacing w:val="-2"/>
        </w:rPr>
        <w:t> </w:t>
      </w:r>
      <w:r>
        <w:rPr/>
        <w:t>元；截止</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日余额（未扣除已计提的坏账准备）为</w:t>
      </w:r>
      <w:r>
        <w:rPr>
          <w:spacing w:val="-55"/>
        </w:rPr>
        <w:t> </w:t>
      </w:r>
      <w:r>
        <w:rPr>
          <w:rFonts w:ascii="Times New Roman" w:hAnsi="Times New Roman" w:cs="Times New Roman" w:eastAsia="Times New Roman" w:hint="default"/>
        </w:rPr>
        <w:t>82,603.70</w:t>
      </w:r>
      <w:r>
        <w:rPr>
          <w:rFonts w:ascii="Times New Roman" w:hAnsi="Times New Roman" w:cs="Times New Roman" w:eastAsia="Times New Roman" w:hint="default"/>
          <w:spacing w:val="-2"/>
        </w:rPr>
        <w:t> </w:t>
      </w:r>
      <w:r>
        <w:rPr/>
        <w:t>元。 </w:t>
      </w:r>
      <w:r>
        <w:rPr>
          <w:spacing w:val="-3"/>
        </w:rPr>
        <w:t>三、公司与子公司（含子公司的附属企业）之间往来的非经营性资金往来余额（未扣除</w:t>
      </w:r>
    </w:p>
    <w:p>
      <w:pPr>
        <w:pStyle w:val="BodyText"/>
        <w:spacing w:line="234" w:lineRule="exact" w:before="0"/>
        <w:ind w:left="139" w:right="102"/>
        <w:jc w:val="left"/>
      </w:pPr>
      <w:r>
        <w:rPr/>
        <w:t>已计提的坏账准备）为</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80" w:lineRule="auto" w:before="170"/>
        <w:ind w:left="139" w:right="205" w:firstLine="420"/>
        <w:jc w:val="left"/>
      </w:pPr>
      <w:r>
        <w:rPr/>
        <w:t>四、</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年内，其他关联方与公司（含子公司）非经营性资金往来发生额为</w:t>
      </w:r>
      <w:r>
        <w:rPr>
          <w:spacing w:val="-51"/>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截止</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日余额（未扣除已计提的坏账准备）为</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w:t>
      </w:r>
    </w:p>
    <w:p>
      <w:pPr>
        <w:pStyle w:val="BodyText"/>
        <w:spacing w:line="240" w:lineRule="auto" w:before="129"/>
        <w:ind w:left="558" w:right="102"/>
        <w:jc w:val="left"/>
      </w:pPr>
      <w:r>
        <w:rPr/>
        <w:t>１、垫付的工资、福利、保险、广告费及其他支出合计为</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70"/>
        <w:ind w:left="558" w:right="102"/>
        <w:jc w:val="left"/>
      </w:pPr>
      <w:r>
        <w:rPr/>
        <w:t>２、承担实际履约的担保责任形成的资金为</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70"/>
        <w:ind w:left="558" w:right="102"/>
        <w:jc w:val="left"/>
      </w:pPr>
      <w:r>
        <w:rPr/>
        <w:t>３、有偿或无偿地拆借公司的资金给其他关联方使用的资金为</w:t>
      </w:r>
      <w:r>
        <w:rPr>
          <w:spacing w:val="-56"/>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w:t>
      </w:r>
    </w:p>
    <w:p>
      <w:pPr>
        <w:pStyle w:val="BodyText"/>
        <w:spacing w:line="240" w:lineRule="auto" w:before="169"/>
        <w:ind w:left="558" w:right="102"/>
        <w:jc w:val="left"/>
      </w:pPr>
      <w:r>
        <w:rPr/>
        <w:t>４、通过银行或非银行金融机构向其他关联方提供委托贷款的资金为</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70"/>
        <w:ind w:left="558" w:right="102"/>
        <w:jc w:val="left"/>
      </w:pPr>
      <w:r>
        <w:rPr/>
        <w:t>５、委托其他关联方进行投资活动的资金为</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70"/>
        <w:ind w:left="558" w:right="102"/>
        <w:jc w:val="left"/>
      </w:pPr>
      <w:r>
        <w:rPr/>
        <w:t>６、为其他关联方开具没有真实交易背景的商业承兑汇票的资金为</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70"/>
        <w:ind w:left="558" w:right="102"/>
        <w:jc w:val="left"/>
      </w:pPr>
      <w:r>
        <w:rPr/>
        <w:t>７、代其他关联方偿还债务的资金为</w:t>
      </w:r>
      <w:r>
        <w:rPr>
          <w:spacing w:val="-53"/>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69"/>
        <w:ind w:left="560" w:right="102"/>
        <w:jc w:val="left"/>
      </w:pPr>
      <w:r>
        <w:rPr/>
        <w:t>８、中国证监会认定的其他方式的资金为</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80" w:lineRule="auto" w:before="170"/>
        <w:ind w:right="201" w:firstLine="420"/>
        <w:jc w:val="left"/>
      </w:pPr>
      <w:r>
        <w:rPr/>
        <w:t>附件：广州广电运通金融电子股份有限公司</w:t>
      </w:r>
      <w:r>
        <w:rPr>
          <w:spacing w:val="-4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年度非经营性资金占用及其他关联资 金往来情况汇总表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BodyText"/>
        <w:tabs>
          <w:tab w:pos="5915" w:val="left" w:leader="none"/>
        </w:tabs>
        <w:spacing w:line="403" w:lineRule="auto" w:before="0"/>
        <w:ind w:left="5915" w:right="332" w:hanging="5356"/>
        <w:jc w:val="left"/>
      </w:pPr>
      <w:r>
        <w:rPr/>
        <w:t>立信羊城会计师事务所有限公司</w:t>
        <w:tab/>
        <w:t>中国注册会计师：</w:t>
      </w:r>
      <w:r>
        <w:rPr>
          <w:spacing w:val="-2"/>
        </w:rPr>
        <w:t> </w:t>
      </w:r>
      <w:r>
        <w:rPr/>
        <w:t>陈雄溢</w:t>
      </w:r>
      <w:r>
        <w:rPr/>
        <w:t> 中国注册会计师：</w:t>
      </w:r>
      <w:r>
        <w:rPr>
          <w:spacing w:val="-2"/>
        </w:rPr>
        <w:t> </w:t>
      </w:r>
      <w:r>
        <w:rPr/>
        <w:t>王建民</w:t>
      </w:r>
    </w:p>
    <w:p>
      <w:pPr>
        <w:pStyle w:val="BodyText"/>
        <w:tabs>
          <w:tab w:pos="6125" w:val="left" w:leader="none"/>
        </w:tabs>
        <w:spacing w:line="240" w:lineRule="auto" w:before="42"/>
        <w:ind w:left="4445" w:right="102"/>
        <w:jc w:val="left"/>
      </w:pPr>
      <w:r>
        <w:rPr/>
        <w:t>中 国 • 广</w:t>
      </w:r>
      <w:r>
        <w:rPr>
          <w:spacing w:val="-2"/>
        </w:rPr>
        <w:t> </w:t>
      </w:r>
      <w:r>
        <w:rPr/>
        <w:t>州</w:t>
        <w:tab/>
        <w:t>二○○九年三月二十六日</w:t>
      </w:r>
    </w:p>
    <w:p>
      <w:pPr>
        <w:spacing w:after="0" w:line="240" w:lineRule="auto"/>
        <w:jc w:val="left"/>
        <w:sectPr>
          <w:pgSz w:w="11910" w:h="16840"/>
          <w:pgMar w:header="0" w:footer="982" w:top="1100" w:bottom="1180" w:left="1660" w:right="1580"/>
        </w:sectPr>
      </w:pPr>
    </w:p>
    <w:p>
      <w:pPr>
        <w:spacing w:line="240" w:lineRule="auto" w:before="10"/>
        <w:rPr>
          <w:rFonts w:ascii="宋体" w:hAnsi="宋体" w:cs="宋体" w:eastAsia="宋体" w:hint="default"/>
          <w:sz w:val="5"/>
          <w:szCs w:val="5"/>
        </w:rPr>
      </w:pPr>
    </w:p>
    <w:p>
      <w:pPr>
        <w:spacing w:line="720" w:lineRule="exact"/>
        <w:ind w:left="422"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665.65pt;height:36pt;mso-position-horizontal-relative:char;mso-position-vertical-relative:line" coordorigin="0,0" coordsize="13313,720">
            <v:group style="position:absolute;left:7;top:713;width:13299;height:2" coordorigin="7,713" coordsize="13299,2">
              <v:shape style="position:absolute;left:7;top:713;width:13299;height:2" coordorigin="7,713" coordsize="13299,0" path="m7,713l13306,713e" filled="false" stroked="true" strokeweight=".72pt" strokecolor="#000000">
                <v:path arrowok="t"/>
              </v:shape>
              <v:shape style="position:absolute;left:26;top:0;width:1608;height:640" type="#_x0000_t75" stroked="false">
                <v:imagedata r:id="rId16" o:title=""/>
              </v:shape>
              <v:shape style="position:absolute;left:0;top:0;width:13313;height:72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spacing w:before="0"/>
                        <w:ind w:left="0" w:right="35" w:firstLine="0"/>
                        <w:jc w:val="righ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年年度报告</w:t>
                      </w:r>
                    </w:p>
                  </w:txbxContent>
                </v:textbox>
                <w10:wrap type="none"/>
              </v:shape>
            </v:group>
          </v:group>
        </w:pict>
      </w:r>
      <w:r>
        <w:rPr>
          <w:rFonts w:ascii="宋体" w:hAnsi="宋体" w:cs="宋体" w:eastAsia="宋体" w:hint="default"/>
          <w:position w:val="-13"/>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5395" w:val="left" w:leader="none"/>
          <w:tab w:pos="13034" w:val="left" w:leader="none"/>
        </w:tabs>
        <w:spacing w:before="0"/>
        <w:ind w:left="149" w:right="369" w:firstLine="0"/>
        <w:jc w:val="left"/>
        <w:rPr>
          <w:rFonts w:ascii="宋体" w:hAnsi="宋体" w:cs="宋体" w:eastAsia="宋体" w:hint="default"/>
          <w:sz w:val="14"/>
          <w:szCs w:val="14"/>
        </w:rPr>
      </w:pPr>
      <w:r>
        <w:rPr>
          <w:rFonts w:ascii="宋体" w:hAnsi="宋体" w:cs="宋体" w:eastAsia="宋体" w:hint="default"/>
          <w:sz w:val="14"/>
          <w:szCs w:val="14"/>
        </w:rPr>
        <w:t>附件</w:t>
        <w:tab/>
      </w:r>
      <w:r>
        <w:rPr>
          <w:rFonts w:ascii="宋体" w:hAnsi="宋体" w:cs="宋体" w:eastAsia="宋体" w:hint="default"/>
          <w:spacing w:val="-1"/>
          <w:sz w:val="14"/>
          <w:szCs w:val="14"/>
        </w:rPr>
        <w:t>上市公司2008年度非经营性资金占用及其他关联资金往来情况汇总表</w:t>
        <w:tab/>
        <w:t>单位：万元</w:t>
      </w:r>
    </w:p>
    <w:p>
      <w:pPr>
        <w:spacing w:line="240" w:lineRule="auto" w:before="7"/>
        <w:rPr>
          <w:rFonts w:ascii="宋体" w:hAnsi="宋体" w:cs="宋体" w:eastAsia="宋体" w:hint="default"/>
          <w:sz w:val="25"/>
          <w:szCs w:val="25"/>
        </w:rPr>
      </w:pPr>
    </w:p>
    <w:p>
      <w:pPr>
        <w:spacing w:before="60"/>
        <w:ind w:left="221" w:right="369" w:firstLine="0"/>
        <w:jc w:val="left"/>
        <w:rPr>
          <w:rFonts w:ascii="宋体" w:hAnsi="宋体" w:cs="宋体" w:eastAsia="宋体" w:hint="default"/>
          <w:sz w:val="14"/>
          <w:szCs w:val="14"/>
        </w:rPr>
      </w:pPr>
      <w:r>
        <w:rPr>
          <w:rFonts w:ascii="宋体" w:hAnsi="宋体" w:cs="宋体" w:eastAsia="宋体" w:hint="default"/>
          <w:sz w:val="14"/>
          <w:szCs w:val="14"/>
        </w:rPr>
        <w:t>编制单位:广州广电运通金融电子股份有限公司</w:t>
      </w:r>
    </w:p>
    <w:tbl>
      <w:tblPr>
        <w:tblW w:w="0" w:type="auto"/>
        <w:jc w:val="left"/>
        <w:tblInd w:w="119" w:type="dxa"/>
        <w:tblLayout w:type="fixed"/>
        <w:tblCellMar>
          <w:top w:w="0" w:type="dxa"/>
          <w:left w:w="0" w:type="dxa"/>
          <w:bottom w:w="0" w:type="dxa"/>
          <w:right w:w="0" w:type="dxa"/>
        </w:tblCellMar>
        <w:tblLook w:val="01E0"/>
      </w:tblPr>
      <w:tblGrid>
        <w:gridCol w:w="2207"/>
        <w:gridCol w:w="1129"/>
        <w:gridCol w:w="1129"/>
        <w:gridCol w:w="1129"/>
        <w:gridCol w:w="1129"/>
        <w:gridCol w:w="1129"/>
        <w:gridCol w:w="1370"/>
        <w:gridCol w:w="1129"/>
        <w:gridCol w:w="1129"/>
        <w:gridCol w:w="1129"/>
        <w:gridCol w:w="1285"/>
      </w:tblGrid>
      <w:tr>
        <w:trPr>
          <w:trHeight w:val="1096" w:hRule="exact"/>
        </w:trPr>
        <w:tc>
          <w:tcPr>
            <w:tcW w:w="2207" w:type="dxa"/>
            <w:tcBorders>
              <w:top w:val="single" w:sz="14" w:space="0" w:color="000000"/>
              <w:left w:val="single" w:sz="9" w:space="0" w:color="000000"/>
              <w:bottom w:val="single" w:sz="5" w:space="0" w:color="000000"/>
              <w:right w:val="single" w:sz="5"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4"/>
                <w:szCs w:val="14"/>
              </w:rPr>
            </w:pPr>
            <w:r>
              <w:rPr>
                <w:rFonts w:ascii="宋体" w:hAnsi="宋体" w:cs="宋体" w:eastAsia="宋体" w:hint="default"/>
                <w:sz w:val="14"/>
                <w:szCs w:val="14"/>
              </w:rPr>
              <w:t>非经营性资金占用</w:t>
            </w:r>
          </w:p>
        </w:tc>
        <w:tc>
          <w:tcPr>
            <w:tcW w:w="1129" w:type="dxa"/>
            <w:tcBorders>
              <w:top w:val="single" w:sz="14"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8" w:right="0"/>
              <w:jc w:val="left"/>
              <w:rPr>
                <w:rFonts w:ascii="宋体" w:hAnsi="宋体" w:cs="宋体" w:eastAsia="宋体" w:hint="default"/>
                <w:sz w:val="14"/>
                <w:szCs w:val="14"/>
              </w:rPr>
            </w:pPr>
            <w:r>
              <w:rPr>
                <w:rFonts w:ascii="宋体" w:hAnsi="宋体" w:cs="宋体" w:eastAsia="宋体" w:hint="default"/>
                <w:sz w:val="14"/>
                <w:szCs w:val="14"/>
              </w:rPr>
              <w:t>资金占用方名称</w:t>
            </w:r>
          </w:p>
        </w:tc>
        <w:tc>
          <w:tcPr>
            <w:tcW w:w="1129" w:type="dxa"/>
            <w:tcBorders>
              <w:top w:val="single" w:sz="14"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176" w:lineRule="exact"/>
              <w:ind w:left="18" w:right="92"/>
              <w:jc w:val="left"/>
              <w:rPr>
                <w:rFonts w:ascii="宋体" w:hAnsi="宋体" w:cs="宋体" w:eastAsia="宋体" w:hint="default"/>
                <w:sz w:val="14"/>
                <w:szCs w:val="14"/>
              </w:rPr>
            </w:pPr>
            <w:r>
              <w:rPr>
                <w:rFonts w:ascii="宋体" w:hAnsi="宋体" w:cs="宋体" w:eastAsia="宋体" w:hint="default"/>
                <w:sz w:val="14"/>
                <w:szCs w:val="14"/>
              </w:rPr>
              <w:t>占用方与上市公</w:t>
            </w:r>
            <w:r>
              <w:rPr>
                <w:rFonts w:ascii="宋体" w:hAnsi="宋体" w:cs="宋体" w:eastAsia="宋体" w:hint="default"/>
                <w:spacing w:val="-51"/>
                <w:sz w:val="14"/>
                <w:szCs w:val="14"/>
              </w:rPr>
              <w:t> </w:t>
            </w:r>
            <w:r>
              <w:rPr>
                <w:rFonts w:ascii="宋体" w:hAnsi="宋体" w:cs="宋体" w:eastAsia="宋体" w:hint="default"/>
                <w:spacing w:val="-51"/>
                <w:sz w:val="14"/>
                <w:szCs w:val="14"/>
              </w:rPr>
            </w:r>
            <w:r>
              <w:rPr>
                <w:rFonts w:ascii="宋体" w:hAnsi="宋体" w:cs="宋体" w:eastAsia="宋体" w:hint="default"/>
                <w:sz w:val="14"/>
                <w:szCs w:val="14"/>
              </w:rPr>
              <w:t>司的关联关系</w:t>
            </w:r>
          </w:p>
        </w:tc>
        <w:tc>
          <w:tcPr>
            <w:tcW w:w="1129" w:type="dxa"/>
            <w:tcBorders>
              <w:top w:val="single" w:sz="14" w:space="0" w:color="000000"/>
              <w:left w:val="single" w:sz="5" w:space="0" w:color="000000"/>
              <w:bottom w:val="single" w:sz="5" w:space="0" w:color="000000"/>
              <w:right w:val="single" w:sz="5"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28" w:lineRule="auto"/>
              <w:ind w:left="18" w:right="380"/>
              <w:jc w:val="both"/>
              <w:rPr>
                <w:rFonts w:ascii="宋体" w:hAnsi="宋体" w:cs="宋体" w:eastAsia="宋体" w:hint="default"/>
                <w:sz w:val="14"/>
                <w:szCs w:val="14"/>
              </w:rPr>
            </w:pPr>
            <w:r>
              <w:rPr>
                <w:rFonts w:ascii="宋体" w:hAnsi="宋体" w:cs="宋体" w:eastAsia="宋体" w:hint="default"/>
                <w:sz w:val="14"/>
                <w:szCs w:val="14"/>
              </w:rPr>
              <w:t>上市公司核</w:t>
            </w:r>
            <w:r>
              <w:rPr>
                <w:rFonts w:ascii="宋体" w:hAnsi="宋体" w:cs="宋体" w:eastAsia="宋体" w:hint="default"/>
                <w:spacing w:val="-57"/>
                <w:sz w:val="14"/>
                <w:szCs w:val="14"/>
              </w:rPr>
              <w:t> </w:t>
            </w:r>
            <w:r>
              <w:rPr>
                <w:rFonts w:ascii="宋体" w:hAnsi="宋体" w:cs="宋体" w:eastAsia="宋体" w:hint="default"/>
                <w:spacing w:val="-57"/>
                <w:sz w:val="14"/>
                <w:szCs w:val="14"/>
              </w:rPr>
            </w:r>
            <w:r>
              <w:rPr>
                <w:rFonts w:ascii="宋体" w:hAnsi="宋体" w:cs="宋体" w:eastAsia="宋体" w:hint="default"/>
                <w:sz w:val="14"/>
                <w:szCs w:val="14"/>
              </w:rPr>
              <w:t>算的会计科</w:t>
            </w:r>
            <w:r>
              <w:rPr>
                <w:rFonts w:ascii="宋体" w:hAnsi="宋体" w:cs="宋体" w:eastAsia="宋体" w:hint="default"/>
                <w:spacing w:val="-57"/>
                <w:sz w:val="14"/>
                <w:szCs w:val="14"/>
              </w:rPr>
              <w:t> </w:t>
            </w:r>
            <w:r>
              <w:rPr>
                <w:rFonts w:ascii="宋体" w:hAnsi="宋体" w:cs="宋体" w:eastAsia="宋体" w:hint="default"/>
                <w:spacing w:val="-57"/>
                <w:sz w:val="14"/>
                <w:szCs w:val="14"/>
              </w:rPr>
            </w:r>
            <w:r>
              <w:rPr>
                <w:rFonts w:ascii="宋体" w:hAnsi="宋体" w:cs="宋体" w:eastAsia="宋体" w:hint="default"/>
                <w:sz w:val="14"/>
                <w:szCs w:val="14"/>
              </w:rPr>
              <w:t>目</w:t>
            </w:r>
          </w:p>
        </w:tc>
        <w:tc>
          <w:tcPr>
            <w:tcW w:w="1129" w:type="dxa"/>
            <w:tcBorders>
              <w:top w:val="single" w:sz="14"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176" w:lineRule="exact"/>
              <w:ind w:left="18" w:right="93"/>
              <w:jc w:val="left"/>
              <w:rPr>
                <w:rFonts w:ascii="宋体" w:hAnsi="宋体" w:cs="宋体" w:eastAsia="宋体" w:hint="default"/>
                <w:sz w:val="14"/>
                <w:szCs w:val="14"/>
              </w:rPr>
            </w:pPr>
            <w:r>
              <w:rPr>
                <w:rFonts w:ascii="宋体" w:hAnsi="宋体" w:cs="宋体" w:eastAsia="宋体" w:hint="default"/>
                <w:sz w:val="14"/>
                <w:szCs w:val="14"/>
              </w:rPr>
              <w:t>2008年期初占用</w:t>
            </w:r>
            <w:r>
              <w:rPr>
                <w:rFonts w:ascii="宋体" w:hAnsi="宋体" w:cs="宋体" w:eastAsia="宋体" w:hint="default"/>
                <w:spacing w:val="-51"/>
                <w:sz w:val="14"/>
                <w:szCs w:val="14"/>
              </w:rPr>
              <w:t> </w:t>
            </w:r>
            <w:r>
              <w:rPr>
                <w:rFonts w:ascii="宋体" w:hAnsi="宋体" w:cs="宋体" w:eastAsia="宋体" w:hint="default"/>
                <w:spacing w:val="-51"/>
                <w:sz w:val="14"/>
                <w:szCs w:val="14"/>
              </w:rPr>
            </w:r>
            <w:r>
              <w:rPr>
                <w:rFonts w:ascii="宋体" w:hAnsi="宋体" w:cs="宋体" w:eastAsia="宋体" w:hint="default"/>
                <w:sz w:val="14"/>
                <w:szCs w:val="14"/>
              </w:rPr>
              <w:t>资金余额</w:t>
            </w:r>
          </w:p>
        </w:tc>
        <w:tc>
          <w:tcPr>
            <w:tcW w:w="1129" w:type="dxa"/>
            <w:tcBorders>
              <w:top w:val="single" w:sz="14" w:space="0" w:color="000000"/>
              <w:left w:val="single" w:sz="5" w:space="0" w:color="000000"/>
              <w:bottom w:val="single" w:sz="5" w:space="0" w:color="000000"/>
              <w:right w:val="single" w:sz="5"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28" w:lineRule="auto"/>
              <w:ind w:left="18" w:right="93"/>
              <w:jc w:val="both"/>
              <w:rPr>
                <w:rFonts w:ascii="宋体" w:hAnsi="宋体" w:cs="宋体" w:eastAsia="宋体" w:hint="default"/>
                <w:sz w:val="14"/>
                <w:szCs w:val="14"/>
              </w:rPr>
            </w:pPr>
            <w:r>
              <w:rPr>
                <w:rFonts w:ascii="宋体" w:hAnsi="宋体" w:cs="宋体" w:eastAsia="宋体" w:hint="default"/>
                <w:sz w:val="14"/>
                <w:szCs w:val="14"/>
              </w:rPr>
              <w:t>2008年度占用累</w:t>
            </w:r>
            <w:r>
              <w:rPr>
                <w:rFonts w:ascii="宋体" w:hAnsi="宋体" w:cs="宋体" w:eastAsia="宋体" w:hint="default"/>
                <w:spacing w:val="-51"/>
                <w:sz w:val="14"/>
                <w:szCs w:val="14"/>
              </w:rPr>
              <w:t> </w:t>
            </w:r>
            <w:r>
              <w:rPr>
                <w:rFonts w:ascii="宋体" w:hAnsi="宋体" w:cs="宋体" w:eastAsia="宋体" w:hint="default"/>
                <w:spacing w:val="-51"/>
                <w:sz w:val="14"/>
                <w:szCs w:val="14"/>
              </w:rPr>
            </w:r>
            <w:r>
              <w:rPr>
                <w:rFonts w:ascii="宋体" w:hAnsi="宋体" w:cs="宋体" w:eastAsia="宋体" w:hint="default"/>
                <w:sz w:val="14"/>
                <w:szCs w:val="14"/>
              </w:rPr>
              <w:t>计发生金额（不</w:t>
            </w:r>
            <w:r>
              <w:rPr>
                <w:rFonts w:ascii="宋体" w:hAnsi="宋体" w:cs="宋体" w:eastAsia="宋体" w:hint="default"/>
                <w:spacing w:val="-51"/>
                <w:sz w:val="14"/>
                <w:szCs w:val="14"/>
              </w:rPr>
              <w:t> </w:t>
            </w:r>
            <w:r>
              <w:rPr>
                <w:rFonts w:ascii="宋体" w:hAnsi="宋体" w:cs="宋体" w:eastAsia="宋体" w:hint="default"/>
                <w:spacing w:val="-51"/>
                <w:sz w:val="14"/>
                <w:szCs w:val="14"/>
              </w:rPr>
            </w:r>
            <w:r>
              <w:rPr>
                <w:rFonts w:ascii="宋体" w:hAnsi="宋体" w:cs="宋体" w:eastAsia="宋体" w:hint="default"/>
                <w:sz w:val="14"/>
                <w:szCs w:val="14"/>
              </w:rPr>
              <w:t>含利息）</w:t>
            </w:r>
          </w:p>
        </w:tc>
        <w:tc>
          <w:tcPr>
            <w:tcW w:w="1370" w:type="dxa"/>
            <w:tcBorders>
              <w:top w:val="single" w:sz="14"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176" w:lineRule="exact"/>
              <w:ind w:left="19" w:right="47"/>
              <w:jc w:val="left"/>
              <w:rPr>
                <w:rFonts w:ascii="宋体" w:hAnsi="宋体" w:cs="宋体" w:eastAsia="宋体" w:hint="default"/>
                <w:sz w:val="14"/>
                <w:szCs w:val="14"/>
              </w:rPr>
            </w:pPr>
            <w:r>
              <w:rPr>
                <w:rFonts w:ascii="宋体" w:hAnsi="宋体" w:cs="宋体" w:eastAsia="宋体" w:hint="default"/>
                <w:sz w:val="14"/>
                <w:szCs w:val="14"/>
              </w:rPr>
              <w:t>2008年度占用资金的</w:t>
            </w:r>
            <w:r>
              <w:rPr>
                <w:rFonts w:ascii="宋体" w:hAnsi="宋体" w:cs="宋体" w:eastAsia="宋体" w:hint="default"/>
                <w:spacing w:val="-47"/>
                <w:sz w:val="14"/>
                <w:szCs w:val="14"/>
              </w:rPr>
              <w:t> </w:t>
            </w:r>
            <w:r>
              <w:rPr>
                <w:rFonts w:ascii="宋体" w:hAnsi="宋体" w:cs="宋体" w:eastAsia="宋体" w:hint="default"/>
                <w:spacing w:val="-47"/>
                <w:sz w:val="14"/>
                <w:szCs w:val="14"/>
              </w:rPr>
            </w:r>
            <w:r>
              <w:rPr>
                <w:rFonts w:ascii="宋体" w:hAnsi="宋体" w:cs="宋体" w:eastAsia="宋体" w:hint="default"/>
                <w:sz w:val="14"/>
                <w:szCs w:val="14"/>
              </w:rPr>
              <w:t>利息（如有）</w:t>
            </w:r>
          </w:p>
        </w:tc>
        <w:tc>
          <w:tcPr>
            <w:tcW w:w="1129" w:type="dxa"/>
            <w:tcBorders>
              <w:top w:val="single" w:sz="14"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176" w:lineRule="exact"/>
              <w:ind w:left="18" w:right="92"/>
              <w:jc w:val="left"/>
              <w:rPr>
                <w:rFonts w:ascii="宋体" w:hAnsi="宋体" w:cs="宋体" w:eastAsia="宋体" w:hint="default"/>
                <w:sz w:val="14"/>
                <w:szCs w:val="14"/>
              </w:rPr>
            </w:pPr>
            <w:r>
              <w:rPr>
                <w:rFonts w:ascii="宋体" w:hAnsi="宋体" w:cs="宋体" w:eastAsia="宋体" w:hint="default"/>
                <w:sz w:val="14"/>
                <w:szCs w:val="14"/>
              </w:rPr>
              <w:t>2008年度偿还累</w:t>
            </w:r>
            <w:r>
              <w:rPr>
                <w:rFonts w:ascii="宋体" w:hAnsi="宋体" w:cs="宋体" w:eastAsia="宋体" w:hint="default"/>
                <w:spacing w:val="-51"/>
                <w:sz w:val="14"/>
                <w:szCs w:val="14"/>
              </w:rPr>
              <w:t> </w:t>
            </w:r>
            <w:r>
              <w:rPr>
                <w:rFonts w:ascii="宋体" w:hAnsi="宋体" w:cs="宋体" w:eastAsia="宋体" w:hint="default"/>
                <w:spacing w:val="-51"/>
                <w:sz w:val="14"/>
                <w:szCs w:val="14"/>
              </w:rPr>
            </w:r>
            <w:r>
              <w:rPr>
                <w:rFonts w:ascii="宋体" w:hAnsi="宋体" w:cs="宋体" w:eastAsia="宋体" w:hint="default"/>
                <w:sz w:val="14"/>
                <w:szCs w:val="14"/>
              </w:rPr>
              <w:t>计发生金额</w:t>
            </w:r>
          </w:p>
        </w:tc>
        <w:tc>
          <w:tcPr>
            <w:tcW w:w="1129" w:type="dxa"/>
            <w:tcBorders>
              <w:top w:val="single" w:sz="14"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176" w:lineRule="exact"/>
              <w:ind w:left="18" w:right="92"/>
              <w:jc w:val="left"/>
              <w:rPr>
                <w:rFonts w:ascii="宋体" w:hAnsi="宋体" w:cs="宋体" w:eastAsia="宋体" w:hint="default"/>
                <w:sz w:val="14"/>
                <w:szCs w:val="14"/>
              </w:rPr>
            </w:pPr>
            <w:r>
              <w:rPr>
                <w:rFonts w:ascii="宋体" w:hAnsi="宋体" w:cs="宋体" w:eastAsia="宋体" w:hint="default"/>
                <w:sz w:val="14"/>
                <w:szCs w:val="14"/>
              </w:rPr>
              <w:t>2008年期末占用</w:t>
            </w:r>
            <w:r>
              <w:rPr>
                <w:rFonts w:ascii="宋体" w:hAnsi="宋体" w:cs="宋体" w:eastAsia="宋体" w:hint="default"/>
                <w:spacing w:val="-51"/>
                <w:sz w:val="14"/>
                <w:szCs w:val="14"/>
              </w:rPr>
              <w:t> </w:t>
            </w:r>
            <w:r>
              <w:rPr>
                <w:rFonts w:ascii="宋体" w:hAnsi="宋体" w:cs="宋体" w:eastAsia="宋体" w:hint="default"/>
                <w:spacing w:val="-51"/>
                <w:sz w:val="14"/>
                <w:szCs w:val="14"/>
              </w:rPr>
            </w:r>
            <w:r>
              <w:rPr>
                <w:rFonts w:ascii="宋体" w:hAnsi="宋体" w:cs="宋体" w:eastAsia="宋体" w:hint="default"/>
                <w:sz w:val="14"/>
                <w:szCs w:val="14"/>
              </w:rPr>
              <w:t>资金余额</w:t>
            </w:r>
          </w:p>
        </w:tc>
        <w:tc>
          <w:tcPr>
            <w:tcW w:w="1129" w:type="dxa"/>
            <w:tcBorders>
              <w:top w:val="single" w:sz="14"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9" w:right="0"/>
              <w:jc w:val="left"/>
              <w:rPr>
                <w:rFonts w:ascii="宋体" w:hAnsi="宋体" w:cs="宋体" w:eastAsia="宋体" w:hint="default"/>
                <w:sz w:val="14"/>
                <w:szCs w:val="14"/>
              </w:rPr>
            </w:pPr>
            <w:r>
              <w:rPr>
                <w:rFonts w:ascii="宋体" w:hAnsi="宋体" w:cs="宋体" w:eastAsia="宋体" w:hint="default"/>
                <w:sz w:val="14"/>
                <w:szCs w:val="14"/>
              </w:rPr>
              <w:t>占用形成原因</w:t>
            </w:r>
          </w:p>
        </w:tc>
        <w:tc>
          <w:tcPr>
            <w:tcW w:w="1285" w:type="dxa"/>
            <w:tcBorders>
              <w:top w:val="single" w:sz="14" w:space="0" w:color="000000"/>
              <w:left w:val="single" w:sz="5" w:space="0" w:color="000000"/>
              <w:bottom w:val="single" w:sz="5" w:space="0" w:color="000000"/>
              <w:right w:val="single" w:sz="9"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34"/>
              <w:jc w:val="right"/>
              <w:rPr>
                <w:rFonts w:ascii="宋体" w:hAnsi="宋体" w:cs="宋体" w:eastAsia="宋体" w:hint="default"/>
                <w:sz w:val="14"/>
                <w:szCs w:val="14"/>
              </w:rPr>
            </w:pPr>
            <w:r>
              <w:rPr>
                <w:rFonts w:ascii="宋体" w:hAnsi="宋体" w:cs="宋体" w:eastAsia="宋体" w:hint="default"/>
                <w:spacing w:val="-1"/>
                <w:sz w:val="14"/>
                <w:szCs w:val="14"/>
              </w:rPr>
              <w:t>占用性质</w:t>
            </w:r>
          </w:p>
        </w:tc>
      </w:tr>
      <w:tr>
        <w:trPr>
          <w:trHeight w:val="257" w:hRule="exact"/>
        </w:trPr>
        <w:tc>
          <w:tcPr>
            <w:tcW w:w="2207" w:type="dxa"/>
            <w:vMerge w:val="restart"/>
            <w:tcBorders>
              <w:top w:val="single" w:sz="5" w:space="0" w:color="000000"/>
              <w:left w:val="single" w:sz="9" w:space="0" w:color="000000"/>
              <w:right w:val="single" w:sz="5"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376" w:right="0"/>
              <w:jc w:val="left"/>
              <w:rPr>
                <w:rFonts w:ascii="宋体" w:hAnsi="宋体" w:cs="宋体" w:eastAsia="宋体" w:hint="default"/>
                <w:sz w:val="14"/>
                <w:szCs w:val="14"/>
              </w:rPr>
            </w:pPr>
            <w:r>
              <w:rPr>
                <w:rFonts w:ascii="宋体" w:hAnsi="宋体" w:cs="宋体" w:eastAsia="宋体" w:hint="default"/>
                <w:sz w:val="14"/>
                <w:szCs w:val="14"/>
              </w:rPr>
              <w:t>现大股东及其附属企业</w:t>
            </w: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370"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285" w:type="dxa"/>
            <w:tcBorders>
              <w:top w:val="single" w:sz="5" w:space="0" w:color="000000"/>
              <w:left w:val="single" w:sz="5" w:space="0" w:color="000000"/>
              <w:bottom w:val="single" w:sz="5" w:space="0" w:color="000000"/>
              <w:right w:val="single" w:sz="9" w:space="0" w:color="000000"/>
            </w:tcBorders>
          </w:tcPr>
          <w:p>
            <w:pPr>
              <w:pStyle w:val="TableParagraph"/>
              <w:spacing w:line="240" w:lineRule="auto" w:before="21"/>
              <w:ind w:left="19" w:right="0"/>
              <w:jc w:val="left"/>
              <w:rPr>
                <w:rFonts w:ascii="宋体" w:hAnsi="宋体" w:cs="宋体" w:eastAsia="宋体" w:hint="default"/>
                <w:sz w:val="14"/>
                <w:szCs w:val="14"/>
              </w:rPr>
            </w:pPr>
            <w:r>
              <w:rPr>
                <w:rFonts w:ascii="宋体" w:hAnsi="宋体" w:cs="宋体" w:eastAsia="宋体" w:hint="default"/>
                <w:sz w:val="14"/>
                <w:szCs w:val="14"/>
              </w:rPr>
              <w:t>非经营性占用</w:t>
            </w:r>
          </w:p>
        </w:tc>
      </w:tr>
      <w:tr>
        <w:trPr>
          <w:trHeight w:val="257" w:hRule="exact"/>
        </w:trPr>
        <w:tc>
          <w:tcPr>
            <w:tcW w:w="2207" w:type="dxa"/>
            <w:vMerge/>
            <w:tcBorders>
              <w:left w:val="single" w:sz="9"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370"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285" w:type="dxa"/>
            <w:tcBorders>
              <w:top w:val="single" w:sz="5" w:space="0" w:color="000000"/>
              <w:left w:val="single" w:sz="5" w:space="0" w:color="000000"/>
              <w:bottom w:val="single" w:sz="5" w:space="0" w:color="000000"/>
              <w:right w:val="single" w:sz="9" w:space="0" w:color="000000"/>
            </w:tcBorders>
          </w:tcPr>
          <w:p>
            <w:pPr>
              <w:pStyle w:val="TableParagraph"/>
              <w:spacing w:line="240" w:lineRule="auto" w:before="21"/>
              <w:ind w:left="19" w:right="0"/>
              <w:jc w:val="left"/>
              <w:rPr>
                <w:rFonts w:ascii="宋体" w:hAnsi="宋体" w:cs="宋体" w:eastAsia="宋体" w:hint="default"/>
                <w:sz w:val="14"/>
                <w:szCs w:val="14"/>
              </w:rPr>
            </w:pPr>
            <w:r>
              <w:rPr>
                <w:rFonts w:ascii="宋体" w:hAnsi="宋体" w:cs="宋体" w:eastAsia="宋体" w:hint="default"/>
                <w:sz w:val="14"/>
                <w:szCs w:val="14"/>
              </w:rPr>
              <w:t>非经营性占用</w:t>
            </w:r>
          </w:p>
        </w:tc>
      </w:tr>
      <w:tr>
        <w:trPr>
          <w:trHeight w:val="257" w:hRule="exact"/>
        </w:trPr>
        <w:tc>
          <w:tcPr>
            <w:tcW w:w="2207" w:type="dxa"/>
            <w:tcBorders>
              <w:top w:val="single" w:sz="5" w:space="0" w:color="000000"/>
              <w:left w:val="single" w:sz="9" w:space="0" w:color="000000"/>
              <w:bottom w:val="single" w:sz="5" w:space="0" w:color="000000"/>
              <w:right w:val="single" w:sz="5" w:space="0" w:color="000000"/>
            </w:tcBorders>
          </w:tcPr>
          <w:p>
            <w:pPr>
              <w:pStyle w:val="TableParagraph"/>
              <w:spacing w:line="240" w:lineRule="auto" w:before="21"/>
              <w:ind w:right="0"/>
              <w:jc w:val="center"/>
              <w:rPr>
                <w:rFonts w:ascii="宋体" w:hAnsi="宋体" w:cs="宋体" w:eastAsia="宋体" w:hint="default"/>
                <w:sz w:val="14"/>
                <w:szCs w:val="14"/>
              </w:rPr>
            </w:pPr>
            <w:r>
              <w:rPr>
                <w:rFonts w:ascii="宋体" w:hAnsi="宋体" w:cs="宋体" w:eastAsia="宋体" w:hint="default"/>
                <w:sz w:val="14"/>
                <w:szCs w:val="14"/>
              </w:rPr>
              <w:t>小计</w:t>
            </w: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370"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285" w:type="dxa"/>
            <w:tcBorders>
              <w:top w:val="single" w:sz="5" w:space="0" w:color="000000"/>
              <w:left w:val="single" w:sz="5" w:space="0" w:color="000000"/>
              <w:bottom w:val="single" w:sz="5" w:space="0" w:color="000000"/>
              <w:right w:val="single" w:sz="9" w:space="0" w:color="000000"/>
            </w:tcBorders>
          </w:tcPr>
          <w:p>
            <w:pPr/>
          </w:p>
        </w:tc>
      </w:tr>
      <w:tr>
        <w:trPr>
          <w:trHeight w:val="257" w:hRule="exact"/>
        </w:trPr>
        <w:tc>
          <w:tcPr>
            <w:tcW w:w="2207" w:type="dxa"/>
            <w:vMerge w:val="restart"/>
            <w:tcBorders>
              <w:top w:val="single" w:sz="5" w:space="0" w:color="000000"/>
              <w:left w:val="single" w:sz="9" w:space="0" w:color="000000"/>
              <w:right w:val="single" w:sz="5"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376" w:right="0"/>
              <w:jc w:val="left"/>
              <w:rPr>
                <w:rFonts w:ascii="宋体" w:hAnsi="宋体" w:cs="宋体" w:eastAsia="宋体" w:hint="default"/>
                <w:sz w:val="14"/>
                <w:szCs w:val="14"/>
              </w:rPr>
            </w:pPr>
            <w:r>
              <w:rPr>
                <w:rFonts w:ascii="宋体" w:hAnsi="宋体" w:cs="宋体" w:eastAsia="宋体" w:hint="default"/>
                <w:sz w:val="14"/>
                <w:szCs w:val="14"/>
              </w:rPr>
              <w:t>前大股东及其附属企业</w:t>
            </w: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370"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285" w:type="dxa"/>
            <w:tcBorders>
              <w:top w:val="single" w:sz="5" w:space="0" w:color="000000"/>
              <w:left w:val="single" w:sz="5" w:space="0" w:color="000000"/>
              <w:bottom w:val="single" w:sz="5" w:space="0" w:color="000000"/>
              <w:right w:val="single" w:sz="9" w:space="0" w:color="000000"/>
            </w:tcBorders>
          </w:tcPr>
          <w:p>
            <w:pPr>
              <w:pStyle w:val="TableParagraph"/>
              <w:spacing w:line="240" w:lineRule="auto" w:before="21"/>
              <w:ind w:left="19" w:right="0"/>
              <w:jc w:val="left"/>
              <w:rPr>
                <w:rFonts w:ascii="宋体" w:hAnsi="宋体" w:cs="宋体" w:eastAsia="宋体" w:hint="default"/>
                <w:sz w:val="14"/>
                <w:szCs w:val="14"/>
              </w:rPr>
            </w:pPr>
            <w:r>
              <w:rPr>
                <w:rFonts w:ascii="宋体" w:hAnsi="宋体" w:cs="宋体" w:eastAsia="宋体" w:hint="default"/>
                <w:sz w:val="14"/>
                <w:szCs w:val="14"/>
              </w:rPr>
              <w:t>非经营性占用</w:t>
            </w:r>
          </w:p>
        </w:tc>
      </w:tr>
      <w:tr>
        <w:trPr>
          <w:trHeight w:val="257" w:hRule="exact"/>
        </w:trPr>
        <w:tc>
          <w:tcPr>
            <w:tcW w:w="2207" w:type="dxa"/>
            <w:vMerge/>
            <w:tcBorders>
              <w:left w:val="single" w:sz="9"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370"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285" w:type="dxa"/>
            <w:tcBorders>
              <w:top w:val="single" w:sz="5" w:space="0" w:color="000000"/>
              <w:left w:val="single" w:sz="5" w:space="0" w:color="000000"/>
              <w:bottom w:val="single" w:sz="5" w:space="0" w:color="000000"/>
              <w:right w:val="single" w:sz="9" w:space="0" w:color="000000"/>
            </w:tcBorders>
          </w:tcPr>
          <w:p>
            <w:pPr>
              <w:pStyle w:val="TableParagraph"/>
              <w:spacing w:line="240" w:lineRule="auto" w:before="21"/>
              <w:ind w:left="19" w:right="0"/>
              <w:jc w:val="left"/>
              <w:rPr>
                <w:rFonts w:ascii="宋体" w:hAnsi="宋体" w:cs="宋体" w:eastAsia="宋体" w:hint="default"/>
                <w:sz w:val="14"/>
                <w:szCs w:val="14"/>
              </w:rPr>
            </w:pPr>
            <w:r>
              <w:rPr>
                <w:rFonts w:ascii="宋体" w:hAnsi="宋体" w:cs="宋体" w:eastAsia="宋体" w:hint="default"/>
                <w:sz w:val="14"/>
                <w:szCs w:val="14"/>
              </w:rPr>
              <w:t>非经营性占用</w:t>
            </w:r>
          </w:p>
        </w:tc>
      </w:tr>
      <w:tr>
        <w:trPr>
          <w:trHeight w:val="257" w:hRule="exact"/>
        </w:trPr>
        <w:tc>
          <w:tcPr>
            <w:tcW w:w="2207" w:type="dxa"/>
            <w:tcBorders>
              <w:top w:val="single" w:sz="5" w:space="0" w:color="000000"/>
              <w:left w:val="single" w:sz="9" w:space="0" w:color="000000"/>
              <w:bottom w:val="single" w:sz="5" w:space="0" w:color="000000"/>
              <w:right w:val="single" w:sz="5" w:space="0" w:color="000000"/>
            </w:tcBorders>
          </w:tcPr>
          <w:p>
            <w:pPr>
              <w:pStyle w:val="TableParagraph"/>
              <w:spacing w:line="240" w:lineRule="auto" w:before="21"/>
              <w:ind w:right="0"/>
              <w:jc w:val="center"/>
              <w:rPr>
                <w:rFonts w:ascii="宋体" w:hAnsi="宋体" w:cs="宋体" w:eastAsia="宋体" w:hint="default"/>
                <w:sz w:val="14"/>
                <w:szCs w:val="14"/>
              </w:rPr>
            </w:pPr>
            <w:r>
              <w:rPr>
                <w:rFonts w:ascii="宋体" w:hAnsi="宋体" w:cs="宋体" w:eastAsia="宋体" w:hint="default"/>
                <w:sz w:val="14"/>
                <w:szCs w:val="14"/>
              </w:rPr>
              <w:t>小计</w:t>
            </w: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370"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285" w:type="dxa"/>
            <w:tcBorders>
              <w:top w:val="single" w:sz="5" w:space="0" w:color="000000"/>
              <w:left w:val="single" w:sz="5" w:space="0" w:color="000000"/>
              <w:bottom w:val="single" w:sz="5" w:space="0" w:color="000000"/>
              <w:right w:val="single" w:sz="9" w:space="0" w:color="000000"/>
            </w:tcBorders>
          </w:tcPr>
          <w:p>
            <w:pPr/>
          </w:p>
        </w:tc>
      </w:tr>
      <w:tr>
        <w:trPr>
          <w:trHeight w:val="257" w:hRule="exact"/>
        </w:trPr>
        <w:tc>
          <w:tcPr>
            <w:tcW w:w="2207" w:type="dxa"/>
            <w:tcBorders>
              <w:top w:val="single" w:sz="5" w:space="0" w:color="000000"/>
              <w:left w:val="single" w:sz="9" w:space="0" w:color="000000"/>
              <w:bottom w:val="single" w:sz="5" w:space="0" w:color="000000"/>
              <w:right w:val="single" w:sz="5" w:space="0" w:color="000000"/>
            </w:tcBorders>
          </w:tcPr>
          <w:p>
            <w:pPr>
              <w:pStyle w:val="TableParagraph"/>
              <w:spacing w:line="240" w:lineRule="auto" w:before="21"/>
              <w:ind w:right="0"/>
              <w:jc w:val="center"/>
              <w:rPr>
                <w:rFonts w:ascii="宋体" w:hAnsi="宋体" w:cs="宋体" w:eastAsia="宋体" w:hint="default"/>
                <w:sz w:val="14"/>
                <w:szCs w:val="14"/>
              </w:rPr>
            </w:pPr>
            <w:r>
              <w:rPr>
                <w:rFonts w:ascii="宋体" w:hAnsi="宋体" w:cs="宋体" w:eastAsia="宋体" w:hint="default"/>
                <w:sz w:val="14"/>
                <w:szCs w:val="14"/>
              </w:rPr>
              <w:t>总计</w:t>
            </w: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370"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285" w:type="dxa"/>
            <w:tcBorders>
              <w:top w:val="single" w:sz="5" w:space="0" w:color="000000"/>
              <w:left w:val="single" w:sz="5" w:space="0" w:color="000000"/>
              <w:bottom w:val="single" w:sz="5" w:space="0" w:color="000000"/>
              <w:right w:val="single" w:sz="9" w:space="0" w:color="000000"/>
            </w:tcBorders>
          </w:tcPr>
          <w:p>
            <w:pPr/>
          </w:p>
        </w:tc>
      </w:tr>
      <w:tr>
        <w:trPr>
          <w:trHeight w:val="526" w:hRule="exact"/>
        </w:trPr>
        <w:tc>
          <w:tcPr>
            <w:tcW w:w="2207" w:type="dxa"/>
            <w:tcBorders>
              <w:top w:val="single" w:sz="5" w:space="0" w:color="000000"/>
              <w:left w:val="single" w:sz="9" w:space="0" w:color="000000"/>
              <w:bottom w:val="single" w:sz="5" w:space="0" w:color="000000"/>
              <w:right w:val="single" w:sz="5" w:space="0" w:color="000000"/>
            </w:tcBorders>
          </w:tcPr>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right="1"/>
              <w:jc w:val="center"/>
              <w:rPr>
                <w:rFonts w:ascii="宋体" w:hAnsi="宋体" w:cs="宋体" w:eastAsia="宋体" w:hint="default"/>
                <w:sz w:val="14"/>
                <w:szCs w:val="14"/>
              </w:rPr>
            </w:pPr>
            <w:r>
              <w:rPr>
                <w:rFonts w:ascii="宋体" w:hAnsi="宋体" w:cs="宋体" w:eastAsia="宋体" w:hint="default"/>
                <w:sz w:val="14"/>
                <w:szCs w:val="14"/>
              </w:rPr>
              <w:t>其他关联资金往来</w:t>
            </w:r>
          </w:p>
        </w:tc>
        <w:tc>
          <w:tcPr>
            <w:tcW w:w="11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18" w:right="0"/>
              <w:jc w:val="left"/>
              <w:rPr>
                <w:rFonts w:ascii="宋体" w:hAnsi="宋体" w:cs="宋体" w:eastAsia="宋体" w:hint="default"/>
                <w:sz w:val="14"/>
                <w:szCs w:val="14"/>
              </w:rPr>
            </w:pPr>
            <w:r>
              <w:rPr>
                <w:rFonts w:ascii="宋体" w:hAnsi="宋体" w:cs="宋体" w:eastAsia="宋体" w:hint="default"/>
                <w:sz w:val="14"/>
                <w:szCs w:val="14"/>
              </w:rPr>
              <w:t>资金往来名称</w:t>
            </w:r>
          </w:p>
        </w:tc>
        <w:tc>
          <w:tcPr>
            <w:tcW w:w="1129" w:type="dxa"/>
            <w:tcBorders>
              <w:top w:val="single" w:sz="5" w:space="0" w:color="000000"/>
              <w:left w:val="single" w:sz="5" w:space="0" w:color="000000"/>
              <w:bottom w:val="single" w:sz="5" w:space="0" w:color="000000"/>
              <w:right w:val="single" w:sz="5" w:space="0" w:color="000000"/>
            </w:tcBorders>
          </w:tcPr>
          <w:p>
            <w:pPr>
              <w:pStyle w:val="TableParagraph"/>
              <w:spacing w:line="176" w:lineRule="exact" w:before="92"/>
              <w:ind w:left="18" w:right="92"/>
              <w:jc w:val="left"/>
              <w:rPr>
                <w:rFonts w:ascii="宋体" w:hAnsi="宋体" w:cs="宋体" w:eastAsia="宋体" w:hint="default"/>
                <w:sz w:val="14"/>
                <w:szCs w:val="14"/>
              </w:rPr>
            </w:pPr>
            <w:r>
              <w:rPr>
                <w:rFonts w:ascii="宋体" w:hAnsi="宋体" w:cs="宋体" w:eastAsia="宋体" w:hint="default"/>
                <w:sz w:val="14"/>
                <w:szCs w:val="14"/>
              </w:rPr>
              <w:t>往来方与上市公</w:t>
            </w:r>
            <w:r>
              <w:rPr>
                <w:rFonts w:ascii="宋体" w:hAnsi="宋体" w:cs="宋体" w:eastAsia="宋体" w:hint="default"/>
                <w:spacing w:val="-51"/>
                <w:sz w:val="14"/>
                <w:szCs w:val="14"/>
              </w:rPr>
              <w:t> </w:t>
            </w:r>
            <w:r>
              <w:rPr>
                <w:rFonts w:ascii="宋体" w:hAnsi="宋体" w:cs="宋体" w:eastAsia="宋体" w:hint="default"/>
                <w:spacing w:val="-51"/>
                <w:sz w:val="14"/>
                <w:szCs w:val="14"/>
              </w:rPr>
            </w:r>
            <w:r>
              <w:rPr>
                <w:rFonts w:ascii="宋体" w:hAnsi="宋体" w:cs="宋体" w:eastAsia="宋体" w:hint="default"/>
                <w:sz w:val="14"/>
                <w:szCs w:val="14"/>
              </w:rPr>
              <w:t>司的关系</w:t>
            </w:r>
          </w:p>
        </w:tc>
        <w:tc>
          <w:tcPr>
            <w:tcW w:w="1129" w:type="dxa"/>
            <w:tcBorders>
              <w:top w:val="single" w:sz="5" w:space="0" w:color="000000"/>
              <w:left w:val="single" w:sz="5" w:space="0" w:color="000000"/>
              <w:bottom w:val="single" w:sz="5" w:space="0" w:color="000000"/>
              <w:right w:val="single" w:sz="5" w:space="0" w:color="000000"/>
            </w:tcBorders>
          </w:tcPr>
          <w:p>
            <w:pPr>
              <w:pStyle w:val="TableParagraph"/>
              <w:spacing w:line="176" w:lineRule="exact" w:before="92"/>
              <w:ind w:left="18" w:right="92"/>
              <w:jc w:val="left"/>
              <w:rPr>
                <w:rFonts w:ascii="宋体" w:hAnsi="宋体" w:cs="宋体" w:eastAsia="宋体" w:hint="default"/>
                <w:sz w:val="14"/>
                <w:szCs w:val="14"/>
              </w:rPr>
            </w:pPr>
            <w:r>
              <w:rPr>
                <w:rFonts w:ascii="宋体" w:hAnsi="宋体" w:cs="宋体" w:eastAsia="宋体" w:hint="default"/>
                <w:sz w:val="14"/>
                <w:szCs w:val="14"/>
              </w:rPr>
              <w:t>上市公司核算的</w:t>
            </w:r>
            <w:r>
              <w:rPr>
                <w:rFonts w:ascii="宋体" w:hAnsi="宋体" w:cs="宋体" w:eastAsia="宋体" w:hint="default"/>
                <w:spacing w:val="-51"/>
                <w:sz w:val="14"/>
                <w:szCs w:val="14"/>
              </w:rPr>
              <w:t> </w:t>
            </w:r>
            <w:r>
              <w:rPr>
                <w:rFonts w:ascii="宋体" w:hAnsi="宋体" w:cs="宋体" w:eastAsia="宋体" w:hint="default"/>
                <w:spacing w:val="-51"/>
                <w:sz w:val="14"/>
                <w:szCs w:val="14"/>
              </w:rPr>
            </w:r>
            <w:r>
              <w:rPr>
                <w:rFonts w:ascii="宋体" w:hAnsi="宋体" w:cs="宋体" w:eastAsia="宋体" w:hint="default"/>
                <w:sz w:val="14"/>
                <w:szCs w:val="14"/>
              </w:rPr>
              <w:t>会计科目</w:t>
            </w:r>
          </w:p>
        </w:tc>
        <w:tc>
          <w:tcPr>
            <w:tcW w:w="1129" w:type="dxa"/>
            <w:tcBorders>
              <w:top w:val="single" w:sz="5" w:space="0" w:color="000000"/>
              <w:left w:val="single" w:sz="5" w:space="0" w:color="000000"/>
              <w:bottom w:val="single" w:sz="5" w:space="0" w:color="000000"/>
              <w:right w:val="single" w:sz="5" w:space="0" w:color="000000"/>
            </w:tcBorders>
          </w:tcPr>
          <w:p>
            <w:pPr>
              <w:pStyle w:val="TableParagraph"/>
              <w:spacing w:line="176" w:lineRule="exact" w:before="92"/>
              <w:ind w:left="18" w:right="92"/>
              <w:jc w:val="left"/>
              <w:rPr>
                <w:rFonts w:ascii="宋体" w:hAnsi="宋体" w:cs="宋体" w:eastAsia="宋体" w:hint="default"/>
                <w:sz w:val="14"/>
                <w:szCs w:val="14"/>
              </w:rPr>
            </w:pPr>
            <w:r>
              <w:rPr>
                <w:rFonts w:ascii="宋体" w:hAnsi="宋体" w:cs="宋体" w:eastAsia="宋体" w:hint="default"/>
                <w:sz w:val="14"/>
                <w:szCs w:val="14"/>
              </w:rPr>
              <w:t>2008年期初往来</w:t>
            </w:r>
            <w:r>
              <w:rPr>
                <w:rFonts w:ascii="宋体" w:hAnsi="宋体" w:cs="宋体" w:eastAsia="宋体" w:hint="default"/>
                <w:spacing w:val="-51"/>
                <w:sz w:val="14"/>
                <w:szCs w:val="14"/>
              </w:rPr>
              <w:t> </w:t>
            </w:r>
            <w:r>
              <w:rPr>
                <w:rFonts w:ascii="宋体" w:hAnsi="宋体" w:cs="宋体" w:eastAsia="宋体" w:hint="default"/>
                <w:spacing w:val="-51"/>
                <w:sz w:val="14"/>
                <w:szCs w:val="14"/>
              </w:rPr>
            </w:r>
            <w:r>
              <w:rPr>
                <w:rFonts w:ascii="宋体" w:hAnsi="宋体" w:cs="宋体" w:eastAsia="宋体" w:hint="default"/>
                <w:sz w:val="14"/>
                <w:szCs w:val="14"/>
              </w:rPr>
              <w:t>资金余额</w:t>
            </w:r>
          </w:p>
        </w:tc>
        <w:tc>
          <w:tcPr>
            <w:tcW w:w="1129" w:type="dxa"/>
            <w:tcBorders>
              <w:top w:val="single" w:sz="5" w:space="0" w:color="000000"/>
              <w:left w:val="single" w:sz="5" w:space="0" w:color="000000"/>
              <w:bottom w:val="single" w:sz="5" w:space="0" w:color="000000"/>
              <w:right w:val="single" w:sz="5" w:space="0" w:color="000000"/>
            </w:tcBorders>
          </w:tcPr>
          <w:p>
            <w:pPr>
              <w:pStyle w:val="TableParagraph"/>
              <w:spacing w:line="176" w:lineRule="exact" w:before="4"/>
              <w:ind w:left="18" w:right="92"/>
              <w:jc w:val="both"/>
              <w:rPr>
                <w:rFonts w:ascii="宋体" w:hAnsi="宋体" w:cs="宋体" w:eastAsia="宋体" w:hint="default"/>
                <w:sz w:val="14"/>
                <w:szCs w:val="14"/>
              </w:rPr>
            </w:pPr>
            <w:r>
              <w:rPr>
                <w:rFonts w:ascii="宋体" w:hAnsi="宋体" w:cs="宋体" w:eastAsia="宋体" w:hint="default"/>
                <w:sz w:val="14"/>
                <w:szCs w:val="14"/>
              </w:rPr>
              <w:t>2008年度往来累</w:t>
            </w:r>
            <w:r>
              <w:rPr>
                <w:rFonts w:ascii="宋体" w:hAnsi="宋体" w:cs="宋体" w:eastAsia="宋体" w:hint="default"/>
                <w:spacing w:val="-51"/>
                <w:sz w:val="14"/>
                <w:szCs w:val="14"/>
              </w:rPr>
              <w:t> </w:t>
            </w:r>
            <w:r>
              <w:rPr>
                <w:rFonts w:ascii="宋体" w:hAnsi="宋体" w:cs="宋体" w:eastAsia="宋体" w:hint="default"/>
                <w:spacing w:val="-51"/>
                <w:sz w:val="14"/>
                <w:szCs w:val="14"/>
              </w:rPr>
            </w:r>
            <w:r>
              <w:rPr>
                <w:rFonts w:ascii="宋体" w:hAnsi="宋体" w:cs="宋体" w:eastAsia="宋体" w:hint="default"/>
                <w:sz w:val="14"/>
                <w:szCs w:val="14"/>
              </w:rPr>
              <w:t>计发生金额（不</w:t>
            </w:r>
            <w:r>
              <w:rPr>
                <w:rFonts w:ascii="宋体" w:hAnsi="宋体" w:cs="宋体" w:eastAsia="宋体" w:hint="default"/>
                <w:spacing w:val="-51"/>
                <w:sz w:val="14"/>
                <w:szCs w:val="14"/>
              </w:rPr>
              <w:t> </w:t>
            </w:r>
            <w:r>
              <w:rPr>
                <w:rFonts w:ascii="宋体" w:hAnsi="宋体" w:cs="宋体" w:eastAsia="宋体" w:hint="default"/>
                <w:spacing w:val="-51"/>
                <w:sz w:val="14"/>
                <w:szCs w:val="14"/>
              </w:rPr>
            </w:r>
            <w:r>
              <w:rPr>
                <w:rFonts w:ascii="宋体" w:hAnsi="宋体" w:cs="宋体" w:eastAsia="宋体" w:hint="default"/>
                <w:sz w:val="14"/>
                <w:szCs w:val="14"/>
              </w:rPr>
              <w:t>含利息）</w:t>
            </w:r>
          </w:p>
        </w:tc>
        <w:tc>
          <w:tcPr>
            <w:tcW w:w="1370" w:type="dxa"/>
            <w:tcBorders>
              <w:top w:val="single" w:sz="5" w:space="0" w:color="000000"/>
              <w:left w:val="single" w:sz="5" w:space="0" w:color="000000"/>
              <w:bottom w:val="single" w:sz="5" w:space="0" w:color="000000"/>
              <w:right w:val="single" w:sz="5" w:space="0" w:color="000000"/>
            </w:tcBorders>
          </w:tcPr>
          <w:p>
            <w:pPr>
              <w:pStyle w:val="TableParagraph"/>
              <w:spacing w:line="176" w:lineRule="exact" w:before="92"/>
              <w:ind w:left="19" w:right="48"/>
              <w:jc w:val="left"/>
              <w:rPr>
                <w:rFonts w:ascii="宋体" w:hAnsi="宋体" w:cs="宋体" w:eastAsia="宋体" w:hint="default"/>
                <w:sz w:val="14"/>
                <w:szCs w:val="14"/>
              </w:rPr>
            </w:pPr>
            <w:r>
              <w:rPr>
                <w:rFonts w:ascii="宋体" w:hAnsi="宋体" w:cs="宋体" w:eastAsia="宋体" w:hint="default"/>
                <w:sz w:val="14"/>
                <w:szCs w:val="14"/>
              </w:rPr>
              <w:t>2008年度往来资金的</w:t>
            </w:r>
            <w:r>
              <w:rPr>
                <w:rFonts w:ascii="宋体" w:hAnsi="宋体" w:cs="宋体" w:eastAsia="宋体" w:hint="default"/>
                <w:spacing w:val="-47"/>
                <w:sz w:val="14"/>
                <w:szCs w:val="14"/>
              </w:rPr>
              <w:t> </w:t>
            </w:r>
            <w:r>
              <w:rPr>
                <w:rFonts w:ascii="宋体" w:hAnsi="宋体" w:cs="宋体" w:eastAsia="宋体" w:hint="default"/>
                <w:spacing w:val="-47"/>
                <w:sz w:val="14"/>
                <w:szCs w:val="14"/>
              </w:rPr>
            </w:r>
            <w:r>
              <w:rPr>
                <w:rFonts w:ascii="宋体" w:hAnsi="宋体" w:cs="宋体" w:eastAsia="宋体" w:hint="default"/>
                <w:sz w:val="14"/>
                <w:szCs w:val="14"/>
              </w:rPr>
              <w:t>利息（如有）</w:t>
            </w:r>
          </w:p>
        </w:tc>
        <w:tc>
          <w:tcPr>
            <w:tcW w:w="1129" w:type="dxa"/>
            <w:tcBorders>
              <w:top w:val="single" w:sz="5" w:space="0" w:color="000000"/>
              <w:left w:val="single" w:sz="5" w:space="0" w:color="000000"/>
              <w:bottom w:val="single" w:sz="5" w:space="0" w:color="000000"/>
              <w:right w:val="single" w:sz="5" w:space="0" w:color="000000"/>
            </w:tcBorders>
          </w:tcPr>
          <w:p>
            <w:pPr>
              <w:pStyle w:val="TableParagraph"/>
              <w:spacing w:line="176" w:lineRule="exact" w:before="92"/>
              <w:ind w:left="18" w:right="92"/>
              <w:jc w:val="left"/>
              <w:rPr>
                <w:rFonts w:ascii="宋体" w:hAnsi="宋体" w:cs="宋体" w:eastAsia="宋体" w:hint="default"/>
                <w:sz w:val="14"/>
                <w:szCs w:val="14"/>
              </w:rPr>
            </w:pPr>
            <w:r>
              <w:rPr>
                <w:rFonts w:ascii="宋体" w:hAnsi="宋体" w:cs="宋体" w:eastAsia="宋体" w:hint="default"/>
                <w:sz w:val="14"/>
                <w:szCs w:val="14"/>
              </w:rPr>
              <w:t>2008年度偿还累</w:t>
            </w:r>
            <w:r>
              <w:rPr>
                <w:rFonts w:ascii="宋体" w:hAnsi="宋体" w:cs="宋体" w:eastAsia="宋体" w:hint="default"/>
                <w:spacing w:val="-51"/>
                <w:sz w:val="14"/>
                <w:szCs w:val="14"/>
              </w:rPr>
              <w:t> </w:t>
            </w:r>
            <w:r>
              <w:rPr>
                <w:rFonts w:ascii="宋体" w:hAnsi="宋体" w:cs="宋体" w:eastAsia="宋体" w:hint="default"/>
                <w:spacing w:val="-51"/>
                <w:sz w:val="14"/>
                <w:szCs w:val="14"/>
              </w:rPr>
            </w:r>
            <w:r>
              <w:rPr>
                <w:rFonts w:ascii="宋体" w:hAnsi="宋体" w:cs="宋体" w:eastAsia="宋体" w:hint="default"/>
                <w:sz w:val="14"/>
                <w:szCs w:val="14"/>
              </w:rPr>
              <w:t>计发生金额</w:t>
            </w:r>
          </w:p>
        </w:tc>
        <w:tc>
          <w:tcPr>
            <w:tcW w:w="1129" w:type="dxa"/>
            <w:tcBorders>
              <w:top w:val="single" w:sz="5" w:space="0" w:color="000000"/>
              <w:left w:val="single" w:sz="5" w:space="0" w:color="000000"/>
              <w:bottom w:val="single" w:sz="5" w:space="0" w:color="000000"/>
              <w:right w:val="single" w:sz="5" w:space="0" w:color="000000"/>
            </w:tcBorders>
          </w:tcPr>
          <w:p>
            <w:pPr>
              <w:pStyle w:val="TableParagraph"/>
              <w:spacing w:line="176" w:lineRule="exact" w:before="92"/>
              <w:ind w:left="18" w:right="92"/>
              <w:jc w:val="left"/>
              <w:rPr>
                <w:rFonts w:ascii="宋体" w:hAnsi="宋体" w:cs="宋体" w:eastAsia="宋体" w:hint="default"/>
                <w:sz w:val="14"/>
                <w:szCs w:val="14"/>
              </w:rPr>
            </w:pPr>
            <w:r>
              <w:rPr>
                <w:rFonts w:ascii="宋体" w:hAnsi="宋体" w:cs="宋体" w:eastAsia="宋体" w:hint="default"/>
                <w:sz w:val="14"/>
                <w:szCs w:val="14"/>
              </w:rPr>
              <w:t>2008年期末往来</w:t>
            </w:r>
            <w:r>
              <w:rPr>
                <w:rFonts w:ascii="宋体" w:hAnsi="宋体" w:cs="宋体" w:eastAsia="宋体" w:hint="default"/>
                <w:spacing w:val="-51"/>
                <w:sz w:val="14"/>
                <w:szCs w:val="14"/>
              </w:rPr>
              <w:t> </w:t>
            </w:r>
            <w:r>
              <w:rPr>
                <w:rFonts w:ascii="宋体" w:hAnsi="宋体" w:cs="宋体" w:eastAsia="宋体" w:hint="default"/>
                <w:spacing w:val="-51"/>
                <w:sz w:val="14"/>
                <w:szCs w:val="14"/>
              </w:rPr>
            </w:r>
            <w:r>
              <w:rPr>
                <w:rFonts w:ascii="宋体" w:hAnsi="宋体" w:cs="宋体" w:eastAsia="宋体" w:hint="default"/>
                <w:sz w:val="14"/>
                <w:szCs w:val="14"/>
              </w:rPr>
              <w:t>资金余额</w:t>
            </w:r>
          </w:p>
        </w:tc>
        <w:tc>
          <w:tcPr>
            <w:tcW w:w="11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left="20" w:right="0"/>
              <w:jc w:val="left"/>
              <w:rPr>
                <w:rFonts w:ascii="宋体" w:hAnsi="宋体" w:cs="宋体" w:eastAsia="宋体" w:hint="default"/>
                <w:sz w:val="14"/>
                <w:szCs w:val="14"/>
              </w:rPr>
            </w:pPr>
            <w:r>
              <w:rPr>
                <w:rFonts w:ascii="宋体" w:hAnsi="宋体" w:cs="宋体" w:eastAsia="宋体" w:hint="default"/>
                <w:sz w:val="14"/>
                <w:szCs w:val="14"/>
              </w:rPr>
              <w:t>往来形成原因</w:t>
            </w:r>
          </w:p>
        </w:tc>
        <w:tc>
          <w:tcPr>
            <w:tcW w:w="1285" w:type="dxa"/>
            <w:tcBorders>
              <w:top w:val="single" w:sz="5" w:space="0" w:color="000000"/>
              <w:left w:val="single" w:sz="5" w:space="0" w:color="000000"/>
              <w:bottom w:val="single" w:sz="5" w:space="0" w:color="000000"/>
              <w:right w:val="single" w:sz="9"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334"/>
              <w:jc w:val="right"/>
              <w:rPr>
                <w:rFonts w:ascii="宋体" w:hAnsi="宋体" w:cs="宋体" w:eastAsia="宋体" w:hint="default"/>
                <w:sz w:val="14"/>
                <w:szCs w:val="14"/>
              </w:rPr>
            </w:pPr>
            <w:r>
              <w:rPr>
                <w:rFonts w:ascii="宋体" w:hAnsi="宋体" w:cs="宋体" w:eastAsia="宋体" w:hint="default"/>
                <w:spacing w:val="-1"/>
                <w:sz w:val="14"/>
                <w:szCs w:val="14"/>
              </w:rPr>
              <w:t>往来性质</w:t>
            </w:r>
          </w:p>
        </w:tc>
      </w:tr>
      <w:tr>
        <w:trPr>
          <w:trHeight w:val="442" w:hRule="exact"/>
        </w:trPr>
        <w:tc>
          <w:tcPr>
            <w:tcW w:w="2207" w:type="dxa"/>
            <w:vMerge w:val="restart"/>
            <w:tcBorders>
              <w:top w:val="single" w:sz="5" w:space="0" w:color="000000"/>
              <w:left w:val="single" w:sz="9" w:space="0" w:color="000000"/>
              <w:right w:val="single" w:sz="5"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448" w:right="0"/>
              <w:jc w:val="left"/>
              <w:rPr>
                <w:rFonts w:ascii="宋体" w:hAnsi="宋体" w:cs="宋体" w:eastAsia="宋体" w:hint="default"/>
                <w:sz w:val="14"/>
                <w:szCs w:val="14"/>
              </w:rPr>
            </w:pPr>
            <w:r>
              <w:rPr>
                <w:rFonts w:ascii="宋体" w:hAnsi="宋体" w:cs="宋体" w:eastAsia="宋体" w:hint="default"/>
                <w:sz w:val="14"/>
                <w:szCs w:val="14"/>
              </w:rPr>
              <w:t>大股东及其附属企业</w:t>
            </w:r>
          </w:p>
        </w:tc>
        <w:tc>
          <w:tcPr>
            <w:tcW w:w="1129" w:type="dxa"/>
            <w:tcBorders>
              <w:top w:val="single" w:sz="5" w:space="0" w:color="000000"/>
              <w:left w:val="single" w:sz="5" w:space="0" w:color="000000"/>
              <w:bottom w:val="single" w:sz="5" w:space="0" w:color="000000"/>
              <w:right w:val="single" w:sz="5" w:space="0" w:color="000000"/>
            </w:tcBorders>
          </w:tcPr>
          <w:p>
            <w:pPr>
              <w:pStyle w:val="TableParagraph"/>
              <w:spacing w:line="176" w:lineRule="exact" w:before="50"/>
              <w:ind w:left="18" w:right="92"/>
              <w:jc w:val="left"/>
              <w:rPr>
                <w:rFonts w:ascii="宋体" w:hAnsi="宋体" w:cs="宋体" w:eastAsia="宋体" w:hint="default"/>
                <w:sz w:val="14"/>
                <w:szCs w:val="14"/>
              </w:rPr>
            </w:pPr>
            <w:r>
              <w:rPr>
                <w:rFonts w:ascii="宋体" w:hAnsi="宋体" w:cs="宋体" w:eastAsia="宋体" w:hint="default"/>
                <w:sz w:val="14"/>
                <w:szCs w:val="14"/>
              </w:rPr>
              <w:t>广州无线电集团</w:t>
            </w:r>
            <w:r>
              <w:rPr>
                <w:rFonts w:ascii="宋体" w:hAnsi="宋体" w:cs="宋体" w:eastAsia="宋体" w:hint="default"/>
                <w:spacing w:val="-51"/>
                <w:sz w:val="14"/>
                <w:szCs w:val="14"/>
              </w:rPr>
              <w:t> </w:t>
            </w:r>
            <w:r>
              <w:rPr>
                <w:rFonts w:ascii="宋体" w:hAnsi="宋体" w:cs="宋体" w:eastAsia="宋体" w:hint="default"/>
                <w:spacing w:val="-51"/>
                <w:sz w:val="14"/>
                <w:szCs w:val="14"/>
              </w:rPr>
            </w:r>
            <w:r>
              <w:rPr>
                <w:rFonts w:ascii="宋体" w:hAnsi="宋体" w:cs="宋体" w:eastAsia="宋体" w:hint="default"/>
                <w:sz w:val="14"/>
                <w:szCs w:val="14"/>
              </w:rPr>
              <w:t>有限公司</w:t>
            </w:r>
          </w:p>
        </w:tc>
        <w:tc>
          <w:tcPr>
            <w:tcW w:w="11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5"/>
              <w:ind w:left="18" w:right="0"/>
              <w:jc w:val="left"/>
              <w:rPr>
                <w:rFonts w:ascii="宋体" w:hAnsi="宋体" w:cs="宋体" w:eastAsia="宋体" w:hint="default"/>
                <w:sz w:val="14"/>
                <w:szCs w:val="14"/>
              </w:rPr>
            </w:pPr>
            <w:r>
              <w:rPr>
                <w:rFonts w:ascii="宋体" w:hAnsi="宋体" w:cs="宋体" w:eastAsia="宋体" w:hint="default"/>
                <w:sz w:val="14"/>
                <w:szCs w:val="14"/>
              </w:rPr>
              <w:t>母公司</w:t>
            </w:r>
          </w:p>
        </w:tc>
        <w:tc>
          <w:tcPr>
            <w:tcW w:w="11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5"/>
              <w:ind w:left="18" w:right="0"/>
              <w:jc w:val="left"/>
              <w:rPr>
                <w:rFonts w:ascii="宋体" w:hAnsi="宋体" w:cs="宋体" w:eastAsia="宋体" w:hint="default"/>
                <w:sz w:val="14"/>
                <w:szCs w:val="14"/>
              </w:rPr>
            </w:pPr>
            <w:r>
              <w:rPr>
                <w:rFonts w:ascii="宋体" w:hAnsi="宋体" w:cs="宋体" w:eastAsia="宋体" w:hint="default"/>
                <w:sz w:val="14"/>
                <w:szCs w:val="14"/>
              </w:rPr>
              <w:t>其他应收款</w:t>
            </w:r>
          </w:p>
        </w:tc>
        <w:tc>
          <w:tcPr>
            <w:tcW w:w="11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5"/>
              <w:ind w:right="4"/>
              <w:jc w:val="right"/>
              <w:rPr>
                <w:rFonts w:ascii="宋体" w:hAnsi="宋体" w:cs="宋体" w:eastAsia="宋体" w:hint="default"/>
                <w:sz w:val="14"/>
                <w:szCs w:val="14"/>
              </w:rPr>
            </w:pPr>
            <w:r>
              <w:rPr>
                <w:rFonts w:ascii="宋体"/>
                <w:sz w:val="14"/>
              </w:rPr>
              <w:t>0.72</w:t>
            </w:r>
          </w:p>
        </w:tc>
        <w:tc>
          <w:tcPr>
            <w:tcW w:w="11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5"/>
              <w:ind w:right="4"/>
              <w:jc w:val="right"/>
              <w:rPr>
                <w:rFonts w:ascii="宋体" w:hAnsi="宋体" w:cs="宋体" w:eastAsia="宋体" w:hint="default"/>
                <w:sz w:val="14"/>
                <w:szCs w:val="14"/>
              </w:rPr>
            </w:pPr>
            <w:r>
              <w:rPr>
                <w:rFonts w:ascii="宋体"/>
                <w:sz w:val="14"/>
              </w:rPr>
              <w:t>1.22</w:t>
            </w:r>
          </w:p>
        </w:tc>
        <w:tc>
          <w:tcPr>
            <w:tcW w:w="1370"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5"/>
              <w:ind w:right="6"/>
              <w:jc w:val="right"/>
              <w:rPr>
                <w:rFonts w:ascii="宋体" w:hAnsi="宋体" w:cs="宋体" w:eastAsia="宋体" w:hint="default"/>
                <w:sz w:val="14"/>
                <w:szCs w:val="14"/>
              </w:rPr>
            </w:pPr>
            <w:r>
              <w:rPr>
                <w:rFonts w:ascii="宋体"/>
                <w:spacing w:val="-1"/>
                <w:sz w:val="14"/>
              </w:rPr>
              <w:t>0.58</w:t>
            </w:r>
          </w:p>
        </w:tc>
        <w:tc>
          <w:tcPr>
            <w:tcW w:w="11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5"/>
              <w:ind w:right="4"/>
              <w:jc w:val="right"/>
              <w:rPr>
                <w:rFonts w:ascii="宋体" w:hAnsi="宋体" w:cs="宋体" w:eastAsia="宋体" w:hint="default"/>
                <w:sz w:val="14"/>
                <w:szCs w:val="14"/>
              </w:rPr>
            </w:pPr>
            <w:r>
              <w:rPr>
                <w:rFonts w:ascii="宋体"/>
                <w:sz w:val="14"/>
              </w:rPr>
              <w:t>1.36</w:t>
            </w:r>
          </w:p>
        </w:tc>
        <w:tc>
          <w:tcPr>
            <w:tcW w:w="11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15"/>
              <w:ind w:left="19" w:right="0"/>
              <w:jc w:val="left"/>
              <w:rPr>
                <w:rFonts w:ascii="宋体" w:hAnsi="宋体" w:cs="宋体" w:eastAsia="宋体" w:hint="default"/>
                <w:sz w:val="14"/>
                <w:szCs w:val="14"/>
              </w:rPr>
            </w:pPr>
            <w:r>
              <w:rPr>
                <w:rFonts w:ascii="宋体" w:hAnsi="宋体" w:cs="宋体" w:eastAsia="宋体" w:hint="default"/>
                <w:sz w:val="14"/>
                <w:szCs w:val="14"/>
              </w:rPr>
              <w:t>押金</w:t>
            </w:r>
          </w:p>
        </w:tc>
        <w:tc>
          <w:tcPr>
            <w:tcW w:w="1285" w:type="dxa"/>
            <w:tcBorders>
              <w:top w:val="single" w:sz="5" w:space="0" w:color="000000"/>
              <w:left w:val="single" w:sz="5" w:space="0" w:color="000000"/>
              <w:bottom w:val="single" w:sz="5" w:space="0" w:color="000000"/>
              <w:right w:val="single" w:sz="9" w:space="0" w:color="000000"/>
            </w:tcBorders>
          </w:tcPr>
          <w:p>
            <w:pPr>
              <w:pStyle w:val="TableParagraph"/>
              <w:spacing w:line="240" w:lineRule="auto" w:before="115"/>
              <w:ind w:left="19" w:right="0"/>
              <w:jc w:val="left"/>
              <w:rPr>
                <w:rFonts w:ascii="宋体" w:hAnsi="宋体" w:cs="宋体" w:eastAsia="宋体" w:hint="default"/>
                <w:sz w:val="14"/>
                <w:szCs w:val="14"/>
              </w:rPr>
            </w:pPr>
            <w:r>
              <w:rPr>
                <w:rFonts w:ascii="宋体" w:hAnsi="宋体" w:cs="宋体" w:eastAsia="宋体" w:hint="default"/>
                <w:sz w:val="14"/>
                <w:szCs w:val="14"/>
              </w:rPr>
              <w:t>经营性往来</w:t>
            </w:r>
          </w:p>
        </w:tc>
      </w:tr>
      <w:tr>
        <w:trPr>
          <w:trHeight w:val="367" w:hRule="exact"/>
        </w:trPr>
        <w:tc>
          <w:tcPr>
            <w:tcW w:w="2207" w:type="dxa"/>
            <w:vMerge/>
            <w:tcBorders>
              <w:left w:val="single" w:sz="9"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Style w:val="TableParagraph"/>
              <w:spacing w:line="176" w:lineRule="exact" w:before="12"/>
              <w:ind w:left="18" w:right="92"/>
              <w:jc w:val="left"/>
              <w:rPr>
                <w:rFonts w:ascii="宋体" w:hAnsi="宋体" w:cs="宋体" w:eastAsia="宋体" w:hint="default"/>
                <w:sz w:val="14"/>
                <w:szCs w:val="14"/>
              </w:rPr>
            </w:pPr>
            <w:r>
              <w:rPr>
                <w:rFonts w:ascii="宋体" w:hAnsi="宋体" w:cs="宋体" w:eastAsia="宋体" w:hint="default"/>
                <w:sz w:val="14"/>
                <w:szCs w:val="14"/>
              </w:rPr>
              <w:t>广州鑫广电物业</w:t>
            </w:r>
            <w:r>
              <w:rPr>
                <w:rFonts w:ascii="宋体" w:hAnsi="宋体" w:cs="宋体" w:eastAsia="宋体" w:hint="default"/>
                <w:spacing w:val="-51"/>
                <w:sz w:val="14"/>
                <w:szCs w:val="14"/>
              </w:rPr>
              <w:t> </w:t>
            </w:r>
            <w:r>
              <w:rPr>
                <w:rFonts w:ascii="宋体" w:hAnsi="宋体" w:cs="宋体" w:eastAsia="宋体" w:hint="default"/>
                <w:spacing w:val="-51"/>
                <w:sz w:val="14"/>
                <w:szCs w:val="14"/>
              </w:rPr>
            </w:r>
            <w:r>
              <w:rPr>
                <w:rFonts w:ascii="宋体" w:hAnsi="宋体" w:cs="宋体" w:eastAsia="宋体" w:hint="default"/>
                <w:sz w:val="14"/>
                <w:szCs w:val="14"/>
              </w:rPr>
              <w:t>服务有限公司</w:t>
            </w:r>
          </w:p>
        </w:tc>
        <w:tc>
          <w:tcPr>
            <w:tcW w:w="11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7"/>
              <w:ind w:left="18" w:right="0"/>
              <w:jc w:val="left"/>
              <w:rPr>
                <w:rFonts w:ascii="宋体" w:hAnsi="宋体" w:cs="宋体" w:eastAsia="宋体" w:hint="default"/>
                <w:sz w:val="14"/>
                <w:szCs w:val="14"/>
              </w:rPr>
            </w:pPr>
            <w:r>
              <w:rPr>
                <w:rFonts w:ascii="宋体" w:hAnsi="宋体" w:cs="宋体" w:eastAsia="宋体" w:hint="default"/>
                <w:sz w:val="14"/>
                <w:szCs w:val="14"/>
              </w:rPr>
              <w:t>同一最终母公司</w:t>
            </w:r>
          </w:p>
        </w:tc>
        <w:tc>
          <w:tcPr>
            <w:tcW w:w="11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7"/>
              <w:ind w:left="18" w:right="0"/>
              <w:jc w:val="left"/>
              <w:rPr>
                <w:rFonts w:ascii="宋体" w:hAnsi="宋体" w:cs="宋体" w:eastAsia="宋体" w:hint="default"/>
                <w:sz w:val="14"/>
                <w:szCs w:val="14"/>
              </w:rPr>
            </w:pPr>
            <w:r>
              <w:rPr>
                <w:rFonts w:ascii="宋体" w:hAnsi="宋体" w:cs="宋体" w:eastAsia="宋体" w:hint="default"/>
                <w:sz w:val="14"/>
                <w:szCs w:val="14"/>
              </w:rPr>
              <w:t>其他应收款</w:t>
            </w:r>
          </w:p>
        </w:tc>
        <w:tc>
          <w:tcPr>
            <w:tcW w:w="11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7"/>
              <w:ind w:right="4"/>
              <w:jc w:val="right"/>
              <w:rPr>
                <w:rFonts w:ascii="宋体" w:hAnsi="宋体" w:cs="宋体" w:eastAsia="宋体" w:hint="default"/>
                <w:sz w:val="14"/>
                <w:szCs w:val="14"/>
              </w:rPr>
            </w:pPr>
            <w:r>
              <w:rPr>
                <w:rFonts w:ascii="宋体"/>
                <w:sz w:val="14"/>
              </w:rPr>
              <w:t>6.90</w:t>
            </w:r>
          </w:p>
        </w:tc>
        <w:tc>
          <w:tcPr>
            <w:tcW w:w="1129" w:type="dxa"/>
            <w:tcBorders>
              <w:top w:val="single" w:sz="5" w:space="0" w:color="000000"/>
              <w:left w:val="single" w:sz="5" w:space="0" w:color="000000"/>
              <w:bottom w:val="single" w:sz="5" w:space="0" w:color="000000"/>
              <w:right w:val="single" w:sz="5" w:space="0" w:color="000000"/>
            </w:tcBorders>
          </w:tcPr>
          <w:p>
            <w:pPr/>
          </w:p>
        </w:tc>
        <w:tc>
          <w:tcPr>
            <w:tcW w:w="1370"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7"/>
              <w:ind w:right="4"/>
              <w:jc w:val="right"/>
              <w:rPr>
                <w:rFonts w:ascii="宋体" w:hAnsi="宋体" w:cs="宋体" w:eastAsia="宋体" w:hint="default"/>
                <w:sz w:val="14"/>
                <w:szCs w:val="14"/>
              </w:rPr>
            </w:pPr>
            <w:r>
              <w:rPr>
                <w:rFonts w:ascii="宋体"/>
                <w:sz w:val="14"/>
              </w:rPr>
              <w:t>6.90</w:t>
            </w:r>
          </w:p>
        </w:tc>
        <w:tc>
          <w:tcPr>
            <w:tcW w:w="11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77"/>
              <w:ind w:left="20" w:right="0"/>
              <w:jc w:val="left"/>
              <w:rPr>
                <w:rFonts w:ascii="宋体" w:hAnsi="宋体" w:cs="宋体" w:eastAsia="宋体" w:hint="default"/>
                <w:sz w:val="14"/>
                <w:szCs w:val="14"/>
              </w:rPr>
            </w:pPr>
            <w:r>
              <w:rPr>
                <w:rFonts w:ascii="宋体" w:hAnsi="宋体" w:cs="宋体" w:eastAsia="宋体" w:hint="default"/>
                <w:sz w:val="14"/>
                <w:szCs w:val="14"/>
              </w:rPr>
              <w:t>押金</w:t>
            </w:r>
          </w:p>
        </w:tc>
        <w:tc>
          <w:tcPr>
            <w:tcW w:w="1285" w:type="dxa"/>
            <w:tcBorders>
              <w:top w:val="single" w:sz="5" w:space="0" w:color="000000"/>
              <w:left w:val="single" w:sz="5" w:space="0" w:color="000000"/>
              <w:bottom w:val="single" w:sz="5" w:space="0" w:color="000000"/>
              <w:right w:val="single" w:sz="9" w:space="0" w:color="000000"/>
            </w:tcBorders>
          </w:tcPr>
          <w:p>
            <w:pPr>
              <w:pStyle w:val="TableParagraph"/>
              <w:spacing w:line="240" w:lineRule="auto" w:before="77"/>
              <w:ind w:left="20" w:right="0"/>
              <w:jc w:val="left"/>
              <w:rPr>
                <w:rFonts w:ascii="宋体" w:hAnsi="宋体" w:cs="宋体" w:eastAsia="宋体" w:hint="default"/>
                <w:sz w:val="14"/>
                <w:szCs w:val="14"/>
              </w:rPr>
            </w:pPr>
            <w:r>
              <w:rPr>
                <w:rFonts w:ascii="宋体" w:hAnsi="宋体" w:cs="宋体" w:eastAsia="宋体" w:hint="default"/>
                <w:sz w:val="14"/>
                <w:szCs w:val="14"/>
              </w:rPr>
              <w:t>经营性往来</w:t>
            </w:r>
          </w:p>
        </w:tc>
      </w:tr>
      <w:tr>
        <w:trPr>
          <w:trHeight w:val="480" w:hRule="exact"/>
        </w:trPr>
        <w:tc>
          <w:tcPr>
            <w:tcW w:w="2207" w:type="dxa"/>
            <w:vMerge w:val="restart"/>
            <w:tcBorders>
              <w:top w:val="single" w:sz="5" w:space="0" w:color="000000"/>
              <w:left w:val="single" w:sz="9" w:space="0" w:color="000000"/>
              <w:right w:val="single" w:sz="5"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90" w:right="0"/>
              <w:jc w:val="left"/>
              <w:rPr>
                <w:rFonts w:ascii="宋体" w:hAnsi="宋体" w:cs="宋体" w:eastAsia="宋体" w:hint="default"/>
                <w:sz w:val="14"/>
                <w:szCs w:val="14"/>
              </w:rPr>
            </w:pPr>
            <w:r>
              <w:rPr>
                <w:rFonts w:ascii="宋体" w:hAnsi="宋体" w:cs="宋体" w:eastAsia="宋体" w:hint="default"/>
                <w:sz w:val="14"/>
                <w:szCs w:val="14"/>
              </w:rPr>
              <w:t>上市公司的子公司及其附属企业</w:t>
            </w:r>
          </w:p>
        </w:tc>
        <w:tc>
          <w:tcPr>
            <w:tcW w:w="1129" w:type="dxa"/>
            <w:tcBorders>
              <w:top w:val="single" w:sz="5" w:space="0" w:color="000000"/>
              <w:left w:val="single" w:sz="5" w:space="0" w:color="000000"/>
              <w:bottom w:val="single" w:sz="5" w:space="0" w:color="000000"/>
              <w:right w:val="single" w:sz="5" w:space="0" w:color="000000"/>
            </w:tcBorders>
          </w:tcPr>
          <w:p>
            <w:pPr>
              <w:pStyle w:val="TableParagraph"/>
              <w:spacing w:line="138" w:lineRule="exact"/>
              <w:ind w:left="18" w:right="0"/>
              <w:jc w:val="left"/>
              <w:rPr>
                <w:rFonts w:ascii="宋体" w:hAnsi="宋体" w:cs="宋体" w:eastAsia="宋体" w:hint="default"/>
                <w:sz w:val="14"/>
                <w:szCs w:val="14"/>
              </w:rPr>
            </w:pPr>
            <w:r>
              <w:rPr>
                <w:rFonts w:ascii="宋体" w:hAnsi="宋体" w:cs="宋体" w:eastAsia="宋体" w:hint="default"/>
                <w:sz w:val="14"/>
                <w:szCs w:val="14"/>
              </w:rPr>
              <w:t>深圳广电银通金</w:t>
            </w:r>
          </w:p>
          <w:p>
            <w:pPr>
              <w:pStyle w:val="TableParagraph"/>
              <w:spacing w:line="174" w:lineRule="exact" w:before="20"/>
              <w:ind w:left="18" w:right="92"/>
              <w:jc w:val="left"/>
              <w:rPr>
                <w:rFonts w:ascii="宋体" w:hAnsi="宋体" w:cs="宋体" w:eastAsia="宋体" w:hint="default"/>
                <w:sz w:val="14"/>
                <w:szCs w:val="14"/>
              </w:rPr>
            </w:pPr>
            <w:r>
              <w:rPr>
                <w:rFonts w:ascii="宋体" w:hAnsi="宋体" w:cs="宋体" w:eastAsia="宋体" w:hint="default"/>
                <w:sz w:val="14"/>
                <w:szCs w:val="14"/>
              </w:rPr>
              <w:t>融电子科技有限</w:t>
            </w:r>
            <w:r>
              <w:rPr>
                <w:rFonts w:ascii="宋体" w:hAnsi="宋体" w:cs="宋体" w:eastAsia="宋体" w:hint="default"/>
                <w:spacing w:val="-51"/>
                <w:sz w:val="14"/>
                <w:szCs w:val="14"/>
              </w:rPr>
              <w:t> </w:t>
            </w:r>
            <w:r>
              <w:rPr>
                <w:rFonts w:ascii="宋体" w:hAnsi="宋体" w:cs="宋体" w:eastAsia="宋体" w:hint="default"/>
                <w:spacing w:val="-51"/>
                <w:sz w:val="14"/>
                <w:szCs w:val="14"/>
              </w:rPr>
            </w:r>
            <w:r>
              <w:rPr>
                <w:rFonts w:ascii="宋体" w:hAnsi="宋体" w:cs="宋体" w:eastAsia="宋体" w:hint="default"/>
                <w:sz w:val="14"/>
                <w:szCs w:val="14"/>
              </w:rPr>
              <w:t>公司</w:t>
            </w:r>
          </w:p>
        </w:tc>
        <w:tc>
          <w:tcPr>
            <w:tcW w:w="11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18" w:right="0"/>
              <w:jc w:val="left"/>
              <w:rPr>
                <w:rFonts w:ascii="宋体" w:hAnsi="宋体" w:cs="宋体" w:eastAsia="宋体" w:hint="default"/>
                <w:sz w:val="14"/>
                <w:szCs w:val="14"/>
              </w:rPr>
            </w:pPr>
            <w:r>
              <w:rPr>
                <w:rFonts w:ascii="宋体" w:hAnsi="宋体" w:cs="宋体" w:eastAsia="宋体" w:hint="default"/>
                <w:sz w:val="14"/>
                <w:szCs w:val="14"/>
              </w:rPr>
              <w:t>子公司</w:t>
            </w:r>
          </w:p>
        </w:tc>
        <w:tc>
          <w:tcPr>
            <w:tcW w:w="11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17" w:right="0"/>
              <w:jc w:val="left"/>
              <w:rPr>
                <w:rFonts w:ascii="宋体" w:hAnsi="宋体" w:cs="宋体" w:eastAsia="宋体" w:hint="default"/>
                <w:sz w:val="14"/>
                <w:szCs w:val="14"/>
              </w:rPr>
            </w:pPr>
            <w:r>
              <w:rPr>
                <w:rFonts w:ascii="宋体" w:hAnsi="宋体" w:cs="宋体" w:eastAsia="宋体" w:hint="default"/>
                <w:sz w:val="14"/>
                <w:szCs w:val="14"/>
              </w:rPr>
              <w:t>应收账款</w:t>
            </w:r>
          </w:p>
        </w:tc>
        <w:tc>
          <w:tcPr>
            <w:tcW w:w="11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6"/>
              <w:jc w:val="right"/>
              <w:rPr>
                <w:rFonts w:ascii="宋体" w:hAnsi="宋体" w:cs="宋体" w:eastAsia="宋体" w:hint="default"/>
                <w:sz w:val="14"/>
                <w:szCs w:val="14"/>
              </w:rPr>
            </w:pPr>
            <w:r>
              <w:rPr>
                <w:rFonts w:ascii="宋体"/>
                <w:spacing w:val="-1"/>
                <w:sz w:val="14"/>
              </w:rPr>
              <w:t>2,027.75</w:t>
            </w:r>
          </w:p>
        </w:tc>
        <w:tc>
          <w:tcPr>
            <w:tcW w:w="11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5"/>
              <w:jc w:val="right"/>
              <w:rPr>
                <w:rFonts w:ascii="宋体" w:hAnsi="宋体" w:cs="宋体" w:eastAsia="宋体" w:hint="default"/>
                <w:sz w:val="14"/>
                <w:szCs w:val="14"/>
              </w:rPr>
            </w:pPr>
            <w:r>
              <w:rPr>
                <w:rFonts w:ascii="宋体"/>
                <w:spacing w:val="-1"/>
                <w:sz w:val="14"/>
              </w:rPr>
              <w:t>774.35</w:t>
            </w:r>
          </w:p>
        </w:tc>
        <w:tc>
          <w:tcPr>
            <w:tcW w:w="1370"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6"/>
              <w:jc w:val="right"/>
              <w:rPr>
                <w:rFonts w:ascii="宋体" w:hAnsi="宋体" w:cs="宋体" w:eastAsia="宋体" w:hint="default"/>
                <w:sz w:val="14"/>
                <w:szCs w:val="14"/>
              </w:rPr>
            </w:pPr>
            <w:r>
              <w:rPr>
                <w:rFonts w:ascii="宋体"/>
                <w:spacing w:val="-1"/>
                <w:sz w:val="14"/>
              </w:rPr>
              <w:t>2,802.10</w:t>
            </w:r>
          </w:p>
        </w:tc>
        <w:tc>
          <w:tcPr>
            <w:tcW w:w="11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5"/>
              <w:jc w:val="right"/>
              <w:rPr>
                <w:rFonts w:ascii="宋体" w:hAnsi="宋体" w:cs="宋体" w:eastAsia="宋体" w:hint="default"/>
                <w:sz w:val="14"/>
                <w:szCs w:val="14"/>
              </w:rPr>
            </w:pPr>
            <w:r>
              <w:rPr>
                <w:rFonts w:ascii="宋体"/>
                <w:sz w:val="14"/>
              </w:rPr>
              <w:t>0.00</w:t>
            </w:r>
          </w:p>
        </w:tc>
        <w:tc>
          <w:tcPr>
            <w:tcW w:w="112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19" w:right="0"/>
              <w:jc w:val="left"/>
              <w:rPr>
                <w:rFonts w:ascii="宋体" w:hAnsi="宋体" w:cs="宋体" w:eastAsia="宋体" w:hint="default"/>
                <w:sz w:val="14"/>
                <w:szCs w:val="14"/>
              </w:rPr>
            </w:pPr>
            <w:r>
              <w:rPr>
                <w:rFonts w:ascii="宋体" w:hAnsi="宋体" w:cs="宋体" w:eastAsia="宋体" w:hint="default"/>
                <w:sz w:val="14"/>
                <w:szCs w:val="14"/>
              </w:rPr>
              <w:t>销售</w:t>
            </w:r>
          </w:p>
        </w:tc>
        <w:tc>
          <w:tcPr>
            <w:tcW w:w="1285" w:type="dxa"/>
            <w:tcBorders>
              <w:top w:val="single" w:sz="5" w:space="0" w:color="000000"/>
              <w:left w:val="single" w:sz="5" w:space="0" w:color="000000"/>
              <w:bottom w:val="single" w:sz="5" w:space="0" w:color="000000"/>
              <w:right w:val="single" w:sz="9"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19" w:right="0"/>
              <w:jc w:val="left"/>
              <w:rPr>
                <w:rFonts w:ascii="宋体" w:hAnsi="宋体" w:cs="宋体" w:eastAsia="宋体" w:hint="default"/>
                <w:sz w:val="14"/>
                <w:szCs w:val="14"/>
              </w:rPr>
            </w:pPr>
            <w:r>
              <w:rPr>
                <w:rFonts w:ascii="宋体" w:hAnsi="宋体" w:cs="宋体" w:eastAsia="宋体" w:hint="default"/>
                <w:sz w:val="14"/>
                <w:szCs w:val="14"/>
              </w:rPr>
              <w:t>经营性往来</w:t>
            </w:r>
          </w:p>
        </w:tc>
      </w:tr>
      <w:tr>
        <w:trPr>
          <w:trHeight w:val="257" w:hRule="exact"/>
        </w:trPr>
        <w:tc>
          <w:tcPr>
            <w:tcW w:w="2207" w:type="dxa"/>
            <w:vMerge/>
            <w:tcBorders>
              <w:left w:val="single" w:sz="9"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370"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285" w:type="dxa"/>
            <w:tcBorders>
              <w:top w:val="single" w:sz="5" w:space="0" w:color="000000"/>
              <w:left w:val="single" w:sz="5" w:space="0" w:color="000000"/>
              <w:bottom w:val="single" w:sz="5" w:space="0" w:color="000000"/>
              <w:right w:val="single" w:sz="9" w:space="0" w:color="000000"/>
            </w:tcBorders>
          </w:tcPr>
          <w:p>
            <w:pPr>
              <w:pStyle w:val="TableParagraph"/>
              <w:spacing w:line="240" w:lineRule="auto" w:before="20"/>
              <w:ind w:left="19" w:right="0"/>
              <w:jc w:val="left"/>
              <w:rPr>
                <w:rFonts w:ascii="宋体" w:hAnsi="宋体" w:cs="宋体" w:eastAsia="宋体" w:hint="default"/>
                <w:sz w:val="14"/>
                <w:szCs w:val="14"/>
              </w:rPr>
            </w:pPr>
            <w:r>
              <w:rPr>
                <w:rFonts w:ascii="宋体" w:hAnsi="宋体" w:cs="宋体" w:eastAsia="宋体" w:hint="default"/>
                <w:sz w:val="14"/>
                <w:szCs w:val="14"/>
              </w:rPr>
              <w:t>非经营性往来</w:t>
            </w:r>
          </w:p>
        </w:tc>
      </w:tr>
      <w:tr>
        <w:trPr>
          <w:trHeight w:val="257" w:hRule="exact"/>
        </w:trPr>
        <w:tc>
          <w:tcPr>
            <w:tcW w:w="2207" w:type="dxa"/>
            <w:vMerge/>
            <w:tcBorders>
              <w:left w:val="single" w:sz="9"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370"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285" w:type="dxa"/>
            <w:tcBorders>
              <w:top w:val="single" w:sz="5" w:space="0" w:color="000000"/>
              <w:left w:val="single" w:sz="5" w:space="0" w:color="000000"/>
              <w:bottom w:val="single" w:sz="5" w:space="0" w:color="000000"/>
              <w:right w:val="single" w:sz="9" w:space="0" w:color="000000"/>
            </w:tcBorders>
          </w:tcPr>
          <w:p>
            <w:pPr>
              <w:pStyle w:val="TableParagraph"/>
              <w:spacing w:line="240" w:lineRule="auto" w:before="20"/>
              <w:ind w:left="19" w:right="0"/>
              <w:jc w:val="left"/>
              <w:rPr>
                <w:rFonts w:ascii="宋体" w:hAnsi="宋体" w:cs="宋体" w:eastAsia="宋体" w:hint="default"/>
                <w:sz w:val="14"/>
                <w:szCs w:val="14"/>
              </w:rPr>
            </w:pPr>
            <w:r>
              <w:rPr>
                <w:rFonts w:ascii="宋体" w:hAnsi="宋体" w:cs="宋体" w:eastAsia="宋体" w:hint="default"/>
                <w:sz w:val="14"/>
                <w:szCs w:val="14"/>
              </w:rPr>
              <w:t>非经营性往来</w:t>
            </w:r>
          </w:p>
        </w:tc>
      </w:tr>
      <w:tr>
        <w:trPr>
          <w:trHeight w:val="257" w:hRule="exact"/>
        </w:trPr>
        <w:tc>
          <w:tcPr>
            <w:tcW w:w="2207" w:type="dxa"/>
            <w:vMerge w:val="restart"/>
            <w:tcBorders>
              <w:top w:val="single" w:sz="5" w:space="0" w:color="000000"/>
              <w:left w:val="single" w:sz="9" w:space="0" w:color="000000"/>
              <w:right w:val="single" w:sz="5"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234" w:right="0"/>
              <w:jc w:val="left"/>
              <w:rPr>
                <w:rFonts w:ascii="宋体" w:hAnsi="宋体" w:cs="宋体" w:eastAsia="宋体" w:hint="default"/>
                <w:sz w:val="14"/>
                <w:szCs w:val="14"/>
              </w:rPr>
            </w:pPr>
            <w:r>
              <w:rPr>
                <w:rFonts w:ascii="宋体" w:hAnsi="宋体" w:cs="宋体" w:eastAsia="宋体" w:hint="default"/>
                <w:sz w:val="14"/>
                <w:szCs w:val="14"/>
              </w:rPr>
              <w:t>关联自然人及其控制的法人</w:t>
            </w: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370"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285" w:type="dxa"/>
            <w:tcBorders>
              <w:top w:val="single" w:sz="5" w:space="0" w:color="000000"/>
              <w:left w:val="single" w:sz="5" w:space="0" w:color="000000"/>
              <w:bottom w:val="single" w:sz="5" w:space="0" w:color="000000"/>
              <w:right w:val="single" w:sz="9" w:space="0" w:color="000000"/>
            </w:tcBorders>
          </w:tcPr>
          <w:p>
            <w:pPr>
              <w:pStyle w:val="TableParagraph"/>
              <w:spacing w:line="240" w:lineRule="auto" w:before="20"/>
              <w:ind w:left="19" w:right="0"/>
              <w:jc w:val="left"/>
              <w:rPr>
                <w:rFonts w:ascii="宋体" w:hAnsi="宋体" w:cs="宋体" w:eastAsia="宋体" w:hint="default"/>
                <w:sz w:val="14"/>
                <w:szCs w:val="14"/>
              </w:rPr>
            </w:pPr>
            <w:r>
              <w:rPr>
                <w:rFonts w:ascii="宋体" w:hAnsi="宋体" w:cs="宋体" w:eastAsia="宋体" w:hint="default"/>
                <w:sz w:val="14"/>
                <w:szCs w:val="14"/>
              </w:rPr>
              <w:t>非经营性往来</w:t>
            </w:r>
          </w:p>
        </w:tc>
      </w:tr>
      <w:tr>
        <w:trPr>
          <w:trHeight w:val="257" w:hRule="exact"/>
        </w:trPr>
        <w:tc>
          <w:tcPr>
            <w:tcW w:w="2207" w:type="dxa"/>
            <w:vMerge/>
            <w:tcBorders>
              <w:left w:val="single" w:sz="9"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370"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285" w:type="dxa"/>
            <w:tcBorders>
              <w:top w:val="single" w:sz="5" w:space="0" w:color="000000"/>
              <w:left w:val="single" w:sz="5" w:space="0" w:color="000000"/>
              <w:bottom w:val="single" w:sz="5" w:space="0" w:color="000000"/>
              <w:right w:val="single" w:sz="9" w:space="0" w:color="000000"/>
            </w:tcBorders>
          </w:tcPr>
          <w:p>
            <w:pPr>
              <w:pStyle w:val="TableParagraph"/>
              <w:spacing w:line="240" w:lineRule="auto" w:before="20"/>
              <w:ind w:left="19" w:right="0"/>
              <w:jc w:val="left"/>
              <w:rPr>
                <w:rFonts w:ascii="宋体" w:hAnsi="宋体" w:cs="宋体" w:eastAsia="宋体" w:hint="default"/>
                <w:sz w:val="14"/>
                <w:szCs w:val="14"/>
              </w:rPr>
            </w:pPr>
            <w:r>
              <w:rPr>
                <w:rFonts w:ascii="宋体" w:hAnsi="宋体" w:cs="宋体" w:eastAsia="宋体" w:hint="default"/>
                <w:sz w:val="14"/>
                <w:szCs w:val="14"/>
              </w:rPr>
              <w:t>非经营性往来</w:t>
            </w:r>
          </w:p>
        </w:tc>
      </w:tr>
      <w:tr>
        <w:trPr>
          <w:trHeight w:val="257" w:hRule="exact"/>
        </w:trPr>
        <w:tc>
          <w:tcPr>
            <w:tcW w:w="2207" w:type="dxa"/>
            <w:vMerge w:val="restart"/>
            <w:tcBorders>
              <w:top w:val="single" w:sz="5" w:space="0" w:color="000000"/>
              <w:left w:val="single" w:sz="9" w:space="0" w:color="000000"/>
              <w:right w:val="single" w:sz="5"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306" w:right="0"/>
              <w:jc w:val="left"/>
              <w:rPr>
                <w:rFonts w:ascii="宋体" w:hAnsi="宋体" w:cs="宋体" w:eastAsia="宋体" w:hint="default"/>
                <w:sz w:val="14"/>
                <w:szCs w:val="14"/>
              </w:rPr>
            </w:pPr>
            <w:r>
              <w:rPr>
                <w:rFonts w:ascii="宋体" w:hAnsi="宋体" w:cs="宋体" w:eastAsia="宋体" w:hint="default"/>
                <w:sz w:val="14"/>
                <w:szCs w:val="14"/>
              </w:rPr>
              <w:t>其他关联人及其附属企业</w:t>
            </w: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370"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285" w:type="dxa"/>
            <w:tcBorders>
              <w:top w:val="single" w:sz="5" w:space="0" w:color="000000"/>
              <w:left w:val="single" w:sz="5" w:space="0" w:color="000000"/>
              <w:bottom w:val="single" w:sz="5" w:space="0" w:color="000000"/>
              <w:right w:val="single" w:sz="9" w:space="0" w:color="000000"/>
            </w:tcBorders>
          </w:tcPr>
          <w:p>
            <w:pPr>
              <w:pStyle w:val="TableParagraph"/>
              <w:spacing w:line="240" w:lineRule="auto" w:before="20"/>
              <w:ind w:left="19" w:right="0"/>
              <w:jc w:val="left"/>
              <w:rPr>
                <w:rFonts w:ascii="宋体" w:hAnsi="宋体" w:cs="宋体" w:eastAsia="宋体" w:hint="default"/>
                <w:sz w:val="14"/>
                <w:szCs w:val="14"/>
              </w:rPr>
            </w:pPr>
            <w:r>
              <w:rPr>
                <w:rFonts w:ascii="宋体" w:hAnsi="宋体" w:cs="宋体" w:eastAsia="宋体" w:hint="default"/>
                <w:sz w:val="14"/>
                <w:szCs w:val="14"/>
              </w:rPr>
              <w:t>非经营性往来</w:t>
            </w:r>
          </w:p>
        </w:tc>
      </w:tr>
      <w:tr>
        <w:trPr>
          <w:trHeight w:val="257" w:hRule="exact"/>
        </w:trPr>
        <w:tc>
          <w:tcPr>
            <w:tcW w:w="2207" w:type="dxa"/>
            <w:vMerge/>
            <w:tcBorders>
              <w:left w:val="single" w:sz="9"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370"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129" w:type="dxa"/>
            <w:tcBorders>
              <w:top w:val="single" w:sz="5" w:space="0" w:color="000000"/>
              <w:left w:val="single" w:sz="5" w:space="0" w:color="000000"/>
              <w:bottom w:val="single" w:sz="5" w:space="0" w:color="000000"/>
              <w:right w:val="single" w:sz="5" w:space="0" w:color="000000"/>
            </w:tcBorders>
          </w:tcPr>
          <w:p>
            <w:pPr/>
          </w:p>
        </w:tc>
        <w:tc>
          <w:tcPr>
            <w:tcW w:w="1285" w:type="dxa"/>
            <w:tcBorders>
              <w:top w:val="single" w:sz="5" w:space="0" w:color="000000"/>
              <w:left w:val="single" w:sz="5" w:space="0" w:color="000000"/>
              <w:bottom w:val="single" w:sz="5" w:space="0" w:color="000000"/>
              <w:right w:val="single" w:sz="9" w:space="0" w:color="000000"/>
            </w:tcBorders>
          </w:tcPr>
          <w:p>
            <w:pPr>
              <w:pStyle w:val="TableParagraph"/>
              <w:spacing w:line="240" w:lineRule="auto" w:before="20"/>
              <w:ind w:left="19" w:right="0"/>
              <w:jc w:val="left"/>
              <w:rPr>
                <w:rFonts w:ascii="宋体" w:hAnsi="宋体" w:cs="宋体" w:eastAsia="宋体" w:hint="default"/>
                <w:sz w:val="14"/>
                <w:szCs w:val="14"/>
              </w:rPr>
            </w:pPr>
            <w:r>
              <w:rPr>
                <w:rFonts w:ascii="宋体" w:hAnsi="宋体" w:cs="宋体" w:eastAsia="宋体" w:hint="default"/>
                <w:sz w:val="14"/>
                <w:szCs w:val="14"/>
              </w:rPr>
              <w:t>非经营性往来</w:t>
            </w:r>
          </w:p>
        </w:tc>
      </w:tr>
      <w:tr>
        <w:trPr>
          <w:trHeight w:val="258" w:hRule="exact"/>
        </w:trPr>
        <w:tc>
          <w:tcPr>
            <w:tcW w:w="2207" w:type="dxa"/>
            <w:tcBorders>
              <w:top w:val="single" w:sz="5" w:space="0" w:color="000000"/>
              <w:left w:val="single" w:sz="9" w:space="0" w:color="000000"/>
              <w:bottom w:val="single" w:sz="14" w:space="0" w:color="000000"/>
              <w:right w:val="single" w:sz="5" w:space="0" w:color="000000"/>
            </w:tcBorders>
          </w:tcPr>
          <w:p>
            <w:pPr>
              <w:pStyle w:val="TableParagraph"/>
              <w:spacing w:line="240" w:lineRule="auto" w:before="21"/>
              <w:ind w:left="1" w:right="0"/>
              <w:jc w:val="center"/>
              <w:rPr>
                <w:rFonts w:ascii="宋体" w:hAnsi="宋体" w:cs="宋体" w:eastAsia="宋体" w:hint="default"/>
                <w:sz w:val="14"/>
                <w:szCs w:val="14"/>
              </w:rPr>
            </w:pPr>
            <w:r>
              <w:rPr>
                <w:rFonts w:ascii="宋体" w:hAnsi="宋体" w:cs="宋体" w:eastAsia="宋体" w:hint="default"/>
                <w:sz w:val="14"/>
                <w:szCs w:val="14"/>
              </w:rPr>
              <w:t>总计</w:t>
            </w:r>
          </w:p>
        </w:tc>
        <w:tc>
          <w:tcPr>
            <w:tcW w:w="1129" w:type="dxa"/>
            <w:tcBorders>
              <w:top w:val="single" w:sz="5" w:space="0" w:color="000000"/>
              <w:left w:val="single" w:sz="5" w:space="0" w:color="000000"/>
              <w:bottom w:val="single" w:sz="14" w:space="0" w:color="000000"/>
              <w:right w:val="single" w:sz="5" w:space="0" w:color="000000"/>
            </w:tcBorders>
          </w:tcPr>
          <w:p>
            <w:pPr/>
          </w:p>
        </w:tc>
        <w:tc>
          <w:tcPr>
            <w:tcW w:w="1129" w:type="dxa"/>
            <w:tcBorders>
              <w:top w:val="single" w:sz="5" w:space="0" w:color="000000"/>
              <w:left w:val="single" w:sz="5" w:space="0" w:color="000000"/>
              <w:bottom w:val="single" w:sz="14" w:space="0" w:color="000000"/>
              <w:right w:val="single" w:sz="5" w:space="0" w:color="000000"/>
            </w:tcBorders>
          </w:tcPr>
          <w:p>
            <w:pPr/>
          </w:p>
        </w:tc>
        <w:tc>
          <w:tcPr>
            <w:tcW w:w="1129" w:type="dxa"/>
            <w:tcBorders>
              <w:top w:val="single" w:sz="5" w:space="0" w:color="000000"/>
              <w:left w:val="single" w:sz="5" w:space="0" w:color="000000"/>
              <w:bottom w:val="single" w:sz="14" w:space="0" w:color="000000"/>
              <w:right w:val="single" w:sz="5" w:space="0" w:color="000000"/>
            </w:tcBorders>
          </w:tcPr>
          <w:p>
            <w:pPr/>
          </w:p>
        </w:tc>
        <w:tc>
          <w:tcPr>
            <w:tcW w:w="1129" w:type="dxa"/>
            <w:tcBorders>
              <w:top w:val="single" w:sz="5" w:space="0" w:color="000000"/>
              <w:left w:val="single" w:sz="5" w:space="0" w:color="000000"/>
              <w:bottom w:val="single" w:sz="14" w:space="0" w:color="000000"/>
              <w:right w:val="single" w:sz="5" w:space="0" w:color="000000"/>
            </w:tcBorders>
          </w:tcPr>
          <w:p>
            <w:pPr>
              <w:pStyle w:val="TableParagraph"/>
              <w:spacing w:line="240" w:lineRule="auto" w:before="21"/>
              <w:ind w:right="87"/>
              <w:jc w:val="right"/>
              <w:rPr>
                <w:rFonts w:ascii="宋体" w:hAnsi="宋体" w:cs="宋体" w:eastAsia="宋体" w:hint="default"/>
                <w:sz w:val="14"/>
                <w:szCs w:val="14"/>
              </w:rPr>
            </w:pPr>
            <w:r>
              <w:rPr>
                <w:rFonts w:ascii="宋体"/>
                <w:spacing w:val="-1"/>
                <w:sz w:val="14"/>
              </w:rPr>
              <w:t>2,035.37</w:t>
            </w:r>
          </w:p>
        </w:tc>
        <w:tc>
          <w:tcPr>
            <w:tcW w:w="1129" w:type="dxa"/>
            <w:tcBorders>
              <w:top w:val="single" w:sz="5" w:space="0" w:color="000000"/>
              <w:left w:val="single" w:sz="5" w:space="0" w:color="000000"/>
              <w:bottom w:val="single" w:sz="14" w:space="0" w:color="000000"/>
              <w:right w:val="single" w:sz="5" w:space="0" w:color="000000"/>
            </w:tcBorders>
          </w:tcPr>
          <w:p>
            <w:pPr>
              <w:pStyle w:val="TableParagraph"/>
              <w:spacing w:line="240" w:lineRule="auto" w:before="21"/>
              <w:ind w:right="86"/>
              <w:jc w:val="right"/>
              <w:rPr>
                <w:rFonts w:ascii="宋体" w:hAnsi="宋体" w:cs="宋体" w:eastAsia="宋体" w:hint="default"/>
                <w:sz w:val="14"/>
                <w:szCs w:val="14"/>
              </w:rPr>
            </w:pPr>
            <w:r>
              <w:rPr>
                <w:rFonts w:ascii="宋体"/>
                <w:spacing w:val="-1"/>
                <w:sz w:val="14"/>
              </w:rPr>
              <w:t>775.57</w:t>
            </w:r>
          </w:p>
        </w:tc>
        <w:tc>
          <w:tcPr>
            <w:tcW w:w="1370" w:type="dxa"/>
            <w:tcBorders>
              <w:top w:val="single" w:sz="5" w:space="0" w:color="000000"/>
              <w:left w:val="single" w:sz="5" w:space="0" w:color="000000"/>
              <w:bottom w:val="single" w:sz="14" w:space="0" w:color="000000"/>
              <w:right w:val="single" w:sz="5" w:space="0" w:color="000000"/>
            </w:tcBorders>
          </w:tcPr>
          <w:p>
            <w:pPr/>
          </w:p>
        </w:tc>
        <w:tc>
          <w:tcPr>
            <w:tcW w:w="1129" w:type="dxa"/>
            <w:tcBorders>
              <w:top w:val="single" w:sz="5" w:space="0" w:color="000000"/>
              <w:left w:val="single" w:sz="5" w:space="0" w:color="000000"/>
              <w:bottom w:val="single" w:sz="14" w:space="0" w:color="000000"/>
              <w:right w:val="single" w:sz="5" w:space="0" w:color="000000"/>
            </w:tcBorders>
          </w:tcPr>
          <w:p>
            <w:pPr>
              <w:pStyle w:val="TableParagraph"/>
              <w:spacing w:line="240" w:lineRule="auto" w:before="21"/>
              <w:ind w:right="87"/>
              <w:jc w:val="right"/>
              <w:rPr>
                <w:rFonts w:ascii="宋体" w:hAnsi="宋体" w:cs="宋体" w:eastAsia="宋体" w:hint="default"/>
                <w:sz w:val="14"/>
                <w:szCs w:val="14"/>
              </w:rPr>
            </w:pPr>
            <w:r>
              <w:rPr>
                <w:rFonts w:ascii="宋体"/>
                <w:spacing w:val="-1"/>
                <w:sz w:val="14"/>
              </w:rPr>
              <w:t>2,802.68</w:t>
            </w:r>
          </w:p>
        </w:tc>
        <w:tc>
          <w:tcPr>
            <w:tcW w:w="1129" w:type="dxa"/>
            <w:tcBorders>
              <w:top w:val="single" w:sz="5" w:space="0" w:color="000000"/>
              <w:left w:val="single" w:sz="5" w:space="0" w:color="000000"/>
              <w:bottom w:val="single" w:sz="14" w:space="0" w:color="000000"/>
              <w:right w:val="single" w:sz="5" w:space="0" w:color="000000"/>
            </w:tcBorders>
          </w:tcPr>
          <w:p>
            <w:pPr>
              <w:pStyle w:val="TableParagraph"/>
              <w:spacing w:line="240" w:lineRule="auto" w:before="21"/>
              <w:ind w:right="87"/>
              <w:jc w:val="right"/>
              <w:rPr>
                <w:rFonts w:ascii="宋体" w:hAnsi="宋体" w:cs="宋体" w:eastAsia="宋体" w:hint="default"/>
                <w:sz w:val="14"/>
                <w:szCs w:val="14"/>
              </w:rPr>
            </w:pPr>
            <w:r>
              <w:rPr>
                <w:rFonts w:ascii="宋体"/>
                <w:spacing w:val="-1"/>
                <w:sz w:val="14"/>
              </w:rPr>
              <w:t>8.26</w:t>
            </w:r>
          </w:p>
        </w:tc>
        <w:tc>
          <w:tcPr>
            <w:tcW w:w="1129" w:type="dxa"/>
            <w:tcBorders>
              <w:top w:val="single" w:sz="5" w:space="0" w:color="000000"/>
              <w:left w:val="single" w:sz="5" w:space="0" w:color="000000"/>
              <w:bottom w:val="single" w:sz="14" w:space="0" w:color="000000"/>
              <w:right w:val="single" w:sz="5" w:space="0" w:color="000000"/>
            </w:tcBorders>
          </w:tcPr>
          <w:p>
            <w:pPr/>
          </w:p>
        </w:tc>
        <w:tc>
          <w:tcPr>
            <w:tcW w:w="1285" w:type="dxa"/>
            <w:tcBorders>
              <w:top w:val="single" w:sz="5" w:space="0" w:color="000000"/>
              <w:left w:val="single" w:sz="5" w:space="0" w:color="000000"/>
              <w:bottom w:val="single" w:sz="14" w:space="0" w:color="000000"/>
              <w:right w:val="single" w:sz="9" w:space="0" w:color="000000"/>
            </w:tcBorders>
          </w:tcPr>
          <w:p>
            <w:pPr/>
          </w:p>
        </w:tc>
      </w:tr>
    </w:tbl>
    <w:p>
      <w:pPr>
        <w:spacing w:line="240" w:lineRule="auto" w:before="3"/>
        <w:rPr>
          <w:rFonts w:ascii="宋体" w:hAnsi="宋体" w:cs="宋体" w:eastAsia="宋体" w:hint="default"/>
          <w:sz w:val="21"/>
          <w:szCs w:val="21"/>
        </w:rPr>
      </w:pPr>
    </w:p>
    <w:p>
      <w:pPr>
        <w:tabs>
          <w:tab w:pos="5749" w:val="left" w:leader="none"/>
          <w:tab w:pos="10507" w:val="left" w:leader="none"/>
        </w:tabs>
        <w:spacing w:before="60"/>
        <w:ind w:left="149" w:right="369" w:firstLine="0"/>
        <w:jc w:val="left"/>
        <w:rPr>
          <w:rFonts w:ascii="宋体" w:hAnsi="宋体" w:cs="宋体" w:eastAsia="宋体" w:hint="default"/>
          <w:sz w:val="14"/>
          <w:szCs w:val="14"/>
        </w:rPr>
      </w:pPr>
      <w:r>
        <w:rPr>
          <w:rFonts w:ascii="宋体" w:hAnsi="宋体" w:cs="宋体" w:eastAsia="宋体" w:hint="default"/>
          <w:spacing w:val="-1"/>
          <w:sz w:val="14"/>
          <w:szCs w:val="14"/>
        </w:rPr>
        <w:t>法定代表人：</w:t>
        <w:tab/>
        <w:t>主管会计工作负责人：</w:t>
        <w:tab/>
        <w:t>会计机构负责人：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before="0"/>
        <w:ind w:left="6970" w:right="6970" w:firstLine="0"/>
        <w:jc w:val="center"/>
        <w:rPr>
          <w:rFonts w:ascii="Times New Roman" w:hAnsi="Times New Roman" w:cs="Times New Roman" w:eastAsia="Times New Roman" w:hint="default"/>
          <w:sz w:val="18"/>
          <w:szCs w:val="18"/>
        </w:rPr>
      </w:pPr>
      <w:r>
        <w:rPr>
          <w:rFonts w:ascii="Times New Roman"/>
          <w:sz w:val="18"/>
        </w:rPr>
        <w:t>55</w:t>
      </w:r>
    </w:p>
    <w:p>
      <w:pPr>
        <w:spacing w:after="0"/>
        <w:jc w:val="center"/>
        <w:rPr>
          <w:rFonts w:ascii="Times New Roman" w:hAnsi="Times New Roman" w:cs="Times New Roman" w:eastAsia="Times New Roman" w:hint="default"/>
          <w:sz w:val="18"/>
          <w:szCs w:val="18"/>
        </w:rPr>
        <w:sectPr>
          <w:headerReference w:type="default" r:id="rId18"/>
          <w:footerReference w:type="default" r:id="rId19"/>
          <w:pgSz w:w="16840" w:h="11910" w:orient="landscape"/>
          <w:pgMar w:header="0" w:footer="0" w:top="320" w:bottom="280" w:left="1340" w:right="1340"/>
        </w:sectPr>
      </w:pPr>
    </w:p>
    <w:p>
      <w:pPr>
        <w:spacing w:line="240" w:lineRule="auto" w:before="0"/>
        <w:rPr>
          <w:rFonts w:ascii="Times New Roman" w:hAnsi="Times New Roman" w:cs="Times New Roman" w:eastAsia="Times New Roman" w:hint="default"/>
          <w:sz w:val="20"/>
          <w:szCs w:val="20"/>
        </w:rPr>
      </w:pPr>
    </w:p>
    <w:p>
      <w:pPr>
        <w:pStyle w:val="BodyText"/>
        <w:spacing w:line="460" w:lineRule="exact" w:before="52"/>
        <w:ind w:left="560" w:right="205" w:hanging="420"/>
        <w:jc w:val="left"/>
      </w:pPr>
      <w:r>
        <w:rPr/>
        <w:t>（五）独立董事对公司关联方资金往来和对外担保情况的专项说明及独立意见 公司独立董事根据中国证监发（</w:t>
      </w:r>
      <w:r>
        <w:rPr>
          <w:rFonts w:ascii="Times New Roman" w:hAnsi="Times New Roman" w:cs="Times New Roman" w:eastAsia="Times New Roman" w:hint="default"/>
        </w:rPr>
        <w:t>2003</w:t>
      </w:r>
      <w:r>
        <w:rPr/>
        <w:t>）</w:t>
      </w:r>
      <w:r>
        <w:rPr>
          <w:rFonts w:ascii="Times New Roman" w:hAnsi="Times New Roman" w:cs="Times New Roman" w:eastAsia="Times New Roman" w:hint="default"/>
        </w:rPr>
        <w:t>56 </w:t>
      </w:r>
      <w:r>
        <w:rPr>
          <w:rFonts w:ascii="Times New Roman" w:hAnsi="Times New Roman" w:cs="Times New Roman" w:eastAsia="Times New Roman" w:hint="default"/>
          <w:spacing w:val="4"/>
        </w:rPr>
        <w:t> </w:t>
      </w:r>
      <w:r>
        <w:rPr/>
        <w:t>号《关于规范上市公司关联方资金往来及上</w:t>
      </w:r>
    </w:p>
    <w:p>
      <w:pPr>
        <w:pStyle w:val="BodyText"/>
        <w:spacing w:line="240" w:lineRule="auto" w:before="2"/>
        <w:ind w:left="560" w:right="102" w:hanging="420"/>
        <w:jc w:val="left"/>
      </w:pPr>
      <w:r>
        <w:rPr/>
        <w:t>市公司担保若干问题的通知</w:t>
      </w:r>
      <w:r>
        <w:rPr>
          <w:spacing w:val="-105"/>
        </w:rPr>
        <w:t>》</w:t>
      </w:r>
      <w:r>
        <w:rPr/>
        <w:t>，对</w:t>
      </w:r>
      <w:r>
        <w:rPr>
          <w:spacing w:val="-2"/>
        </w:rPr>
        <w:t>公</w:t>
      </w:r>
      <w:r>
        <w:rPr/>
        <w:t>司关联方资金往来和对外担保情况发表如下独立意见：</w:t>
      </w:r>
    </w:p>
    <w:p>
      <w:pPr>
        <w:spacing w:line="240" w:lineRule="auto" w:before="3"/>
        <w:rPr>
          <w:rFonts w:ascii="宋体" w:hAnsi="宋体" w:cs="宋体" w:eastAsia="宋体" w:hint="default"/>
          <w:sz w:val="14"/>
          <w:szCs w:val="14"/>
        </w:rPr>
      </w:pPr>
    </w:p>
    <w:p>
      <w:pPr>
        <w:pStyle w:val="BodyText"/>
        <w:spacing w:line="285" w:lineRule="auto" w:before="0"/>
        <w:ind w:right="215" w:firstLine="419"/>
        <w:jc w:val="both"/>
      </w:pPr>
      <w:r>
        <w:rPr/>
        <w:t>截止</w:t>
      </w:r>
      <w:r>
        <w:rPr>
          <w:spacing w:val="-50"/>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日，公司与关联方的资金往来能够严格遵守证监发</w:t>
      </w:r>
      <w:r>
        <w:rPr>
          <w:rFonts w:ascii="Times New Roman" w:hAnsi="Times New Roman" w:cs="Times New Roman" w:eastAsia="Times New Roman" w:hint="default"/>
        </w:rPr>
        <w:t>[2003]56</w:t>
      </w:r>
      <w:r>
        <w:rPr>
          <w:rFonts w:ascii="Times New Roman" w:hAnsi="Times New Roman" w:cs="Times New Roman" w:eastAsia="Times New Roman" w:hint="default"/>
          <w:spacing w:val="3"/>
        </w:rPr>
        <w:t> </w:t>
      </w:r>
      <w:r>
        <w:rPr/>
        <w:t>号文 </w:t>
      </w:r>
      <w:r>
        <w:rPr>
          <w:spacing w:val="-3"/>
        </w:rPr>
        <w:t>的规定，关联方之间发生的资金往来都属经营性往来，规模较小且价格公允，不存在与证监</w:t>
      </w:r>
      <w:r>
        <w:rPr>
          <w:spacing w:val="-81"/>
        </w:rPr>
        <w:t> </w:t>
      </w:r>
      <w:r>
        <w:rPr>
          <w:spacing w:val="-81"/>
        </w:rPr>
      </w:r>
      <w:r>
        <w:rPr/>
        <w:t>发</w:t>
      </w:r>
      <w:r>
        <w:rPr>
          <w:rFonts w:ascii="Times New Roman" w:hAnsi="Times New Roman" w:cs="Times New Roman" w:eastAsia="Times New Roman" w:hint="default"/>
        </w:rPr>
        <w:t>[2003]56</w:t>
      </w:r>
      <w:r>
        <w:rPr>
          <w:rFonts w:ascii="Times New Roman" w:hAnsi="Times New Roman" w:cs="Times New Roman" w:eastAsia="Times New Roman" w:hint="default"/>
          <w:spacing w:val="17"/>
        </w:rPr>
        <w:t> </w:t>
      </w:r>
      <w:r>
        <w:rPr>
          <w:spacing w:val="-3"/>
        </w:rPr>
        <w:t>号文规定相违背的情形。公司控股股东不存在占用公司资金的情况，也不存在以</w:t>
      </w:r>
      <w:r>
        <w:rPr>
          <w:spacing w:val="-100"/>
        </w:rPr>
        <w:t> </w:t>
      </w:r>
      <w:r>
        <w:rPr>
          <w:spacing w:val="-100"/>
        </w:rPr>
      </w:r>
      <w:r>
        <w:rPr/>
        <w:t>前年度发生并累计至</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日的违规关联方占用资金情况。</w:t>
      </w:r>
    </w:p>
    <w:p>
      <w:pPr>
        <w:pStyle w:val="BodyText"/>
        <w:spacing w:line="280" w:lineRule="auto" w:before="126"/>
        <w:ind w:right="216" w:firstLine="420"/>
        <w:jc w:val="both"/>
      </w:pPr>
      <w:r>
        <w:rPr/>
        <w:t>截止</w:t>
      </w:r>
      <w:r>
        <w:rPr>
          <w:spacing w:val="-5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日，公司没有为股东、实际控制人及其关联方、任何非法人单位 或个人以及公司控股子公司提供担保，没有发生与证监发</w:t>
      </w:r>
      <w:r>
        <w:rPr>
          <w:rFonts w:ascii="Times New Roman" w:hAnsi="Times New Roman" w:cs="Times New Roman" w:eastAsia="Times New Roman" w:hint="default"/>
        </w:rPr>
        <w:t>[2003]56</w:t>
      </w:r>
      <w:r>
        <w:rPr>
          <w:rFonts w:ascii="Times New Roman" w:hAnsi="Times New Roman" w:cs="Times New Roman" w:eastAsia="Times New Roman" w:hint="default"/>
          <w:spacing w:val="25"/>
        </w:rPr>
        <w:t> </w:t>
      </w:r>
      <w:r>
        <w:rPr/>
        <w:t>号文、证监发</w:t>
      </w:r>
      <w:r>
        <w:rPr>
          <w:rFonts w:ascii="Times New Roman" w:hAnsi="Times New Roman" w:cs="Times New Roman" w:eastAsia="Times New Roman" w:hint="default"/>
        </w:rPr>
        <w:t>[2005]120</w:t>
      </w:r>
      <w:r>
        <w:rPr>
          <w:rFonts w:ascii="Times New Roman" w:hAnsi="Times New Roman" w:cs="Times New Roman" w:eastAsia="Times New Roman" w:hint="default"/>
          <w:spacing w:val="-48"/>
        </w:rPr>
        <w:t> </w:t>
      </w:r>
      <w:r>
        <w:rPr>
          <w:rFonts w:ascii="Times New Roman" w:hAnsi="Times New Roman" w:cs="Times New Roman" w:eastAsia="Times New Roman" w:hint="default"/>
          <w:spacing w:val="-48"/>
        </w:rPr>
      </w:r>
      <w:r>
        <w:rPr/>
        <w:t>号文规定相违背的担保事项。</w:t>
      </w:r>
    </w:p>
    <w:p>
      <w:pPr>
        <w:spacing w:line="240" w:lineRule="auto" w:before="1"/>
        <w:rPr>
          <w:rFonts w:ascii="宋体" w:hAnsi="宋体" w:cs="宋体" w:eastAsia="宋体" w:hint="default"/>
          <w:sz w:val="29"/>
          <w:szCs w:val="29"/>
        </w:rPr>
      </w:pPr>
    </w:p>
    <w:p>
      <w:pPr>
        <w:pStyle w:val="Heading2"/>
        <w:spacing w:line="240" w:lineRule="auto"/>
        <w:ind w:right="102"/>
        <w:jc w:val="left"/>
        <w:rPr>
          <w:b w:val="0"/>
          <w:bCs w:val="0"/>
        </w:rPr>
      </w:pPr>
      <w:r>
        <w:rPr/>
        <w:t>七、报告期内重大合同及其履行情况</w:t>
      </w:r>
      <w:r>
        <w:rPr>
          <w:b w:val="0"/>
          <w:bCs w:val="0"/>
        </w:rPr>
      </w:r>
    </w:p>
    <w:p>
      <w:pPr>
        <w:pStyle w:val="BodyText"/>
        <w:spacing w:line="240" w:lineRule="auto" w:before="128"/>
        <w:ind w:right="102"/>
        <w:jc w:val="left"/>
      </w:pPr>
      <w:r>
        <w:rPr/>
        <w:t>（一）本报告期公司无重大托管、承包、租赁情况。</w:t>
      </w:r>
    </w:p>
    <w:p>
      <w:pPr>
        <w:spacing w:line="240" w:lineRule="auto" w:before="2"/>
        <w:rPr>
          <w:rFonts w:ascii="宋体" w:hAnsi="宋体" w:cs="宋体" w:eastAsia="宋体" w:hint="default"/>
          <w:sz w:val="14"/>
          <w:szCs w:val="14"/>
        </w:rPr>
      </w:pPr>
    </w:p>
    <w:p>
      <w:pPr>
        <w:pStyle w:val="BodyText"/>
        <w:spacing w:line="240" w:lineRule="auto" w:before="0"/>
        <w:ind w:right="102"/>
        <w:jc w:val="left"/>
      </w:pPr>
      <w:r>
        <w:rPr/>
        <w:t>（二）本报告期内公司无担保事项。</w:t>
      </w:r>
    </w:p>
    <w:p>
      <w:pPr>
        <w:spacing w:line="240" w:lineRule="auto" w:before="3"/>
        <w:rPr>
          <w:rFonts w:ascii="宋体" w:hAnsi="宋体" w:cs="宋体" w:eastAsia="宋体" w:hint="default"/>
          <w:sz w:val="14"/>
          <w:szCs w:val="14"/>
        </w:rPr>
      </w:pPr>
    </w:p>
    <w:p>
      <w:pPr>
        <w:pStyle w:val="BodyText"/>
        <w:spacing w:line="240" w:lineRule="auto" w:before="0"/>
        <w:ind w:right="102"/>
        <w:jc w:val="left"/>
      </w:pPr>
      <w:r>
        <w:rPr/>
        <w:t>（三）本报告期内公司无委托他人进行现金资产管理事项。</w:t>
      </w:r>
    </w:p>
    <w:p>
      <w:pPr>
        <w:pStyle w:val="BodyText"/>
        <w:spacing w:line="460" w:lineRule="atLeast" w:before="0"/>
        <w:ind w:left="560" w:right="102" w:hanging="420"/>
        <w:jc w:val="left"/>
      </w:pPr>
      <w:r>
        <w:rPr/>
        <w:t>（四）关于重大销售合同履行情况的说明。 </w:t>
      </w:r>
      <w:r>
        <w:rPr>
          <w:spacing w:val="-3"/>
        </w:rPr>
        <w:t>本报告期，公司公告了在中国农业银行的《中标通知公告》和与中国银行股份有限公司</w:t>
      </w:r>
    </w:p>
    <w:p>
      <w:pPr>
        <w:pStyle w:val="BodyText"/>
        <w:spacing w:line="240" w:lineRule="auto" w:before="64"/>
        <w:ind w:right="102"/>
        <w:jc w:val="left"/>
      </w:pPr>
      <w:r>
        <w:rPr/>
        <w:t>签订的销售合同（详见公司</w:t>
      </w:r>
      <w:r>
        <w:rPr>
          <w:spacing w:val="-50"/>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日刊登的第</w:t>
      </w:r>
      <w:r>
        <w:rPr>
          <w:spacing w:val="-50"/>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0</w:t>
      </w:r>
      <w:r>
        <w:rPr>
          <w:rFonts w:ascii="Times New Roman" w:hAnsi="Times New Roman" w:cs="Times New Roman" w:eastAsia="Times New Roman" w:hint="default"/>
        </w:rPr>
        <w:t>8-0</w:t>
      </w:r>
      <w:r>
        <w:rPr>
          <w:rFonts w:ascii="Times New Roman" w:hAnsi="Times New Roman" w:cs="Times New Roman" w:eastAsia="Times New Roman" w:hint="default"/>
          <w:spacing w:val="-1"/>
        </w:rPr>
        <w:t>3</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08-</w:t>
      </w:r>
      <w:r>
        <w:rPr>
          <w:rFonts w:ascii="Times New Roman" w:hAnsi="Times New Roman" w:cs="Times New Roman" w:eastAsia="Times New Roman" w:hint="default"/>
          <w:spacing w:val="-1"/>
        </w:rPr>
        <w:t>0</w:t>
      </w:r>
      <w:r>
        <w:rPr>
          <w:rFonts w:ascii="Times New Roman" w:hAnsi="Times New Roman" w:cs="Times New Roman" w:eastAsia="Times New Roman" w:hint="default"/>
        </w:rPr>
        <w:t>33</w:t>
      </w:r>
      <w:r>
        <w:rPr>
          <w:rFonts w:ascii="Times New Roman" w:hAnsi="Times New Roman" w:cs="Times New Roman" w:eastAsia="Times New Roman" w:hint="default"/>
          <w:spacing w:val="3"/>
        </w:rPr>
        <w:t> </w:t>
      </w:r>
      <w:r>
        <w:rPr/>
        <w:t>号公告</w:t>
      </w:r>
      <w:r>
        <w:rPr>
          <w:spacing w:val="-105"/>
        </w:rPr>
        <w:t>）</w:t>
      </w:r>
      <w:r>
        <w:rPr>
          <w:spacing w:val="-2"/>
        </w:rPr>
        <w:t>，以</w:t>
      </w:r>
      <w:r>
        <w:rPr/>
      </w:r>
    </w:p>
    <w:p>
      <w:pPr>
        <w:pStyle w:val="BodyText"/>
        <w:spacing w:line="240" w:lineRule="auto"/>
        <w:ind w:right="102"/>
        <w:jc w:val="left"/>
      </w:pPr>
      <w:r>
        <w:rPr/>
        <w:t>上合同金额总计</w:t>
      </w:r>
      <w:r>
        <w:rPr>
          <w:spacing w:val="-46"/>
        </w:rPr>
        <w:t> </w:t>
      </w:r>
      <w:r>
        <w:rPr>
          <w:rFonts w:ascii="Times New Roman" w:hAnsi="Times New Roman" w:cs="Times New Roman" w:eastAsia="Times New Roman" w:hint="default"/>
        </w:rPr>
        <w:t>9.2</w:t>
      </w:r>
      <w:r>
        <w:rPr>
          <w:rFonts w:ascii="Times New Roman" w:hAnsi="Times New Roman" w:cs="Times New Roman" w:eastAsia="Times New Roman" w:hint="default"/>
          <w:spacing w:val="7"/>
        </w:rPr>
        <w:t> </w:t>
      </w:r>
      <w:r>
        <w:rPr/>
        <w:t>亿元，均按合同要求履行。截至</w:t>
      </w:r>
      <w:r>
        <w:rPr>
          <w:spacing w:val="-4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日，根据公司的会计</w:t>
      </w:r>
    </w:p>
    <w:p>
      <w:pPr>
        <w:pStyle w:val="BodyText"/>
        <w:spacing w:line="280" w:lineRule="auto"/>
        <w:ind w:right="200"/>
        <w:jc w:val="left"/>
      </w:pPr>
      <w:r>
        <w:rPr/>
        <w:t>收入确认原则，尚有部分合同额未确认为</w:t>
      </w:r>
      <w:r>
        <w:rPr>
          <w:spacing w:val="-4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年的营业收入，将在以后相应的会计期间确 认。</w:t>
      </w:r>
    </w:p>
    <w:p>
      <w:pPr>
        <w:spacing w:line="240" w:lineRule="auto" w:before="0"/>
        <w:rPr>
          <w:rFonts w:ascii="宋体" w:hAnsi="宋体" w:cs="宋体" w:eastAsia="宋体" w:hint="default"/>
          <w:sz w:val="20"/>
          <w:szCs w:val="20"/>
        </w:rPr>
      </w:pPr>
    </w:p>
    <w:p>
      <w:pPr>
        <w:pStyle w:val="Heading2"/>
        <w:spacing w:line="360" w:lineRule="exact" w:before="165"/>
        <w:ind w:right="209"/>
        <w:jc w:val="left"/>
        <w:rPr>
          <w:b w:val="0"/>
          <w:bCs w:val="0"/>
        </w:rPr>
      </w:pPr>
      <w:r>
        <w:rPr>
          <w:spacing w:val="-8"/>
        </w:rPr>
        <w:t>八、公司或持股</w:t>
      </w:r>
      <w:r>
        <w:rPr>
          <w:spacing w:val="-81"/>
        </w:rPr>
        <w:t> </w:t>
      </w:r>
      <w:r>
        <w:rPr>
          <w:rFonts w:ascii="Times New Roman" w:hAnsi="Times New Roman" w:cs="Times New Roman" w:eastAsia="Times New Roman" w:hint="default"/>
        </w:rPr>
        <w:t>5%</w:t>
      </w:r>
      <w:r>
        <w:rPr/>
        <w:t>以上股东在报告期内或持续到报告期内的承诺事</w:t>
      </w:r>
      <w:r>
        <w:rPr>
          <w:spacing w:val="1"/>
          <w:w w:val="99"/>
        </w:rPr>
        <w:t> </w:t>
      </w:r>
      <w:r>
        <w:rPr/>
        <w:t>项</w:t>
      </w:r>
      <w:r>
        <w:rPr>
          <w:b w:val="0"/>
          <w:bCs w:val="0"/>
        </w:rPr>
      </w:r>
    </w:p>
    <w:p>
      <w:pPr>
        <w:pStyle w:val="BodyText"/>
        <w:spacing w:line="240" w:lineRule="auto" w:before="84"/>
        <w:ind w:left="560" w:right="102"/>
        <w:jc w:val="left"/>
      </w:pPr>
      <w:r>
        <w:rPr>
          <w:rFonts w:ascii="Times New Roman" w:hAnsi="Times New Roman" w:cs="Times New Roman" w:eastAsia="Times New Roman" w:hint="default"/>
        </w:rPr>
        <w:t>1</w:t>
      </w:r>
      <w:r>
        <w:rPr/>
        <w:t>、股份限售的承诺</w:t>
      </w:r>
    </w:p>
    <w:p>
      <w:pPr>
        <w:pStyle w:val="BodyText"/>
        <w:spacing w:line="280" w:lineRule="auto" w:before="170"/>
        <w:ind w:right="97" w:firstLine="420"/>
        <w:jc w:val="left"/>
      </w:pPr>
      <w:r>
        <w:rPr/>
        <w:t>（</w:t>
      </w:r>
      <w:r>
        <w:rPr>
          <w:rFonts w:ascii="Times New Roman" w:hAnsi="Times New Roman" w:cs="Times New Roman" w:eastAsia="Times New Roman" w:hint="default"/>
        </w:rPr>
        <w:t>1</w:t>
      </w:r>
      <w:r>
        <w:rPr/>
        <w:t>）公司控股股东广州无线电集团有限公司承诺自公司首次公开发行股票并上市之日 起</w:t>
      </w:r>
      <w:r>
        <w:rPr>
          <w:spacing w:val="-45"/>
        </w:rPr>
        <w:t> </w:t>
      </w:r>
      <w:r>
        <w:rPr>
          <w:rFonts w:ascii="Times New Roman" w:hAnsi="Times New Roman" w:cs="Times New Roman" w:eastAsia="Times New Roman" w:hint="default"/>
        </w:rPr>
        <w:t>36</w:t>
      </w:r>
      <w:r>
        <w:rPr>
          <w:rFonts w:ascii="Times New Roman" w:hAnsi="Times New Roman" w:cs="Times New Roman" w:eastAsia="Times New Roman" w:hint="default"/>
          <w:spacing w:val="8"/>
        </w:rPr>
        <w:t> </w:t>
      </w:r>
      <w:r>
        <w:rPr>
          <w:spacing w:val="-3"/>
        </w:rPr>
        <w:t>个月内，不转让或者委托他人管理其所持有的公司股份，也不由公司回购该部分股份。</w:t>
      </w:r>
    </w:p>
    <w:p>
      <w:pPr>
        <w:pStyle w:val="BodyText"/>
        <w:spacing w:line="295" w:lineRule="auto" w:before="129"/>
        <w:ind w:left="139" w:right="105" w:firstLine="420"/>
        <w:jc w:val="left"/>
      </w:pPr>
      <w:r>
        <w:rPr/>
        <w:t>（</w:t>
      </w:r>
      <w:r>
        <w:rPr>
          <w:rFonts w:ascii="Times New Roman" w:hAnsi="Times New Roman" w:cs="Times New Roman" w:eastAsia="Times New Roman" w:hint="default"/>
        </w:rPr>
        <w:t>2</w:t>
      </w:r>
      <w:r>
        <w:rPr/>
        <w:t>）公司其他发起人股东梅州敬基金属制品有限公司、盈富泰克创业投资有限公司、 </w:t>
      </w:r>
      <w:r>
        <w:rPr>
          <w:spacing w:val="-3"/>
        </w:rPr>
        <w:t>广州藤川科技有限公司和赵友永、张招兴、黄秀华、杨海洲、杨国华、张柏龙、王俊、陈巾</w:t>
      </w:r>
      <w:r>
        <w:rPr>
          <w:spacing w:val="-83"/>
        </w:rPr>
        <w:t> </w:t>
      </w:r>
      <w:r>
        <w:rPr>
          <w:spacing w:val="-83"/>
        </w:rPr>
      </w:r>
      <w:r>
        <w:rPr>
          <w:spacing w:val="-6"/>
        </w:rPr>
        <w:t>巾、汤诚忱、吕晖、祝立新、谭卫东、李伟南、王金忠、叶子瑜、冯丰穗、蒋春晨、邝建洲、</w:t>
      </w:r>
      <w:r>
        <w:rPr>
          <w:spacing w:val="-65"/>
        </w:rPr>
        <w:t> </w:t>
      </w:r>
      <w:r>
        <w:rPr>
          <w:spacing w:val="-65"/>
        </w:rPr>
      </w:r>
      <w:r>
        <w:rPr>
          <w:spacing w:val="-3"/>
        </w:rPr>
        <w:t>罗年锋、康丰、陈建良、张业青、丘全鉴、肖大海、易大满、韩莹、卢丹、吴玮、肖政、薛</w:t>
      </w:r>
      <w:r>
        <w:rPr>
          <w:spacing w:val="-84"/>
        </w:rPr>
        <w:t> </w:t>
      </w:r>
      <w:r>
        <w:rPr>
          <w:spacing w:val="-84"/>
        </w:rPr>
      </w:r>
      <w:r>
        <w:rPr/>
        <w:t>海峰、詹敏、张文忠、陈振光、曾文、杨启豪、吴田成、商学铭、李宇珊、李煌辉、束萌、 熊浩、惠小绒、朱征宇、李叶东、张波、容可安、丘百根、李俭桥共</w:t>
      </w:r>
      <w:r>
        <w:rPr>
          <w:spacing w:val="-48"/>
        </w:rPr>
        <w:t> </w:t>
      </w:r>
      <w:r>
        <w:rPr>
          <w:rFonts w:ascii="Times New Roman" w:hAnsi="Times New Roman" w:cs="Times New Roman" w:eastAsia="Times New Roman" w:hint="default"/>
        </w:rPr>
        <w:t>48</w:t>
      </w:r>
      <w:r>
        <w:rPr>
          <w:rFonts w:ascii="Times New Roman" w:hAnsi="Times New Roman" w:cs="Times New Roman" w:eastAsia="Times New Roman" w:hint="default"/>
          <w:spacing w:val="5"/>
        </w:rPr>
        <w:t> </w:t>
      </w:r>
      <w:r>
        <w:rPr/>
        <w:t>名自然人股东承诺</w:t>
      </w:r>
    </w:p>
    <w:p>
      <w:pPr>
        <w:pStyle w:val="BodyText"/>
        <w:spacing w:line="280" w:lineRule="auto" w:before="0"/>
        <w:ind w:left="139" w:right="200"/>
        <w:jc w:val="left"/>
      </w:pPr>
      <w:r>
        <w:rPr/>
        <w:t>自公司首次公开发行股票并上市之日起</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个月内，不转让或者委托他人管理其所持有的公 司股份，也不由公司回购该部分股份。</w:t>
      </w:r>
    </w:p>
    <w:p>
      <w:pPr>
        <w:pStyle w:val="BodyText"/>
        <w:spacing w:line="240" w:lineRule="auto" w:before="150"/>
        <w:ind w:left="559" w:right="0"/>
        <w:jc w:val="left"/>
      </w:pPr>
      <w:r>
        <w:rPr>
          <w:spacing w:val="-3"/>
        </w:rPr>
        <w:t>（</w:t>
      </w:r>
      <w:r>
        <w:rPr>
          <w:rFonts w:ascii="Times New Roman" w:hAnsi="Times New Roman" w:cs="Times New Roman" w:eastAsia="Times New Roman" w:hint="default"/>
          <w:spacing w:val="-3"/>
        </w:rPr>
        <w:t>3</w:t>
      </w:r>
      <w:r>
        <w:rPr>
          <w:spacing w:val="-3"/>
        </w:rPr>
        <w:t>）担任公司董事、监事及高级管理人员的赵友永、张招兴、王俊、叶子瑜、祝立新、</w:t>
      </w:r>
    </w:p>
    <w:p>
      <w:pPr>
        <w:spacing w:after="0" w:line="240" w:lineRule="auto"/>
        <w:jc w:val="left"/>
        <w:sectPr>
          <w:footerReference w:type="default" r:id="rId20"/>
          <w:pgSz w:w="11910" w:h="16840"/>
          <w:pgMar w:footer="982" w:header="0" w:top="1100" w:bottom="1180" w:left="1660" w:right="1580"/>
          <w:pgNumType w:start="56"/>
        </w:sectPr>
      </w:pPr>
    </w:p>
    <w:p>
      <w:pPr>
        <w:spacing w:line="240" w:lineRule="auto" w:before="1"/>
        <w:rPr>
          <w:rFonts w:ascii="宋体" w:hAnsi="宋体" w:cs="宋体" w:eastAsia="宋体" w:hint="default"/>
          <w:sz w:val="19"/>
          <w:szCs w:val="19"/>
        </w:rPr>
      </w:pPr>
    </w:p>
    <w:p>
      <w:pPr>
        <w:pStyle w:val="BodyText"/>
        <w:spacing w:line="288" w:lineRule="auto" w:before="35"/>
        <w:ind w:right="215"/>
        <w:jc w:val="both"/>
      </w:pPr>
      <w:r>
        <w:rPr>
          <w:spacing w:val="-3"/>
        </w:rPr>
        <w:t>冯丰穗、陈振光、曾文、束萌、蒋春晨、陈建良和李叶东还承诺除前述锁定期外，在其任职</w:t>
      </w:r>
      <w:r>
        <w:rPr>
          <w:spacing w:val="-81"/>
        </w:rPr>
        <w:t> </w:t>
      </w:r>
      <w:r>
        <w:rPr>
          <w:spacing w:val="-81"/>
        </w:rPr>
      </w:r>
      <w:r>
        <w:rPr/>
        <w:t>期间每年转让的股份不超过其所持有本公司股份总数的 </w:t>
      </w:r>
      <w:r>
        <w:rPr>
          <w:rFonts w:ascii="Times New Roman" w:hAnsi="Times New Roman" w:cs="Times New Roman" w:eastAsia="Times New Roman" w:hint="default"/>
        </w:rPr>
        <w:t>25%</w:t>
      </w:r>
      <w:r>
        <w:rPr/>
        <w:t>，离职后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个月内，不转让其 所持有的本公司股份。</w:t>
      </w:r>
    </w:p>
    <w:p>
      <w:pPr>
        <w:pStyle w:val="BodyText"/>
        <w:spacing w:line="379" w:lineRule="auto" w:before="144"/>
        <w:ind w:left="560" w:right="102"/>
        <w:jc w:val="left"/>
      </w:pPr>
      <w:r>
        <w:rPr>
          <w:rFonts w:ascii="Times New Roman" w:hAnsi="Times New Roman" w:cs="Times New Roman" w:eastAsia="Times New Roman" w:hint="default"/>
        </w:rPr>
        <w:t>2</w:t>
      </w:r>
      <w:r>
        <w:rPr/>
        <w:t>、避免同业竞争的承诺 </w:t>
      </w:r>
      <w:r>
        <w:rPr>
          <w:spacing w:val="-3"/>
        </w:rPr>
        <w:t>为避免在以后的经营中产生同业竞争，公司控股股东广电集团和其他三名主要股东梅州</w:t>
      </w:r>
    </w:p>
    <w:p>
      <w:pPr>
        <w:pStyle w:val="BodyText"/>
        <w:spacing w:line="218" w:lineRule="exact" w:before="0"/>
        <w:ind w:right="0"/>
        <w:jc w:val="both"/>
      </w:pPr>
      <w:r>
        <w:rPr>
          <w:spacing w:val="-3"/>
        </w:rPr>
        <w:t>敬基金属制品有限公司、盈富泰克创业投资有限公司、广州藤川科技有限公司向公司出具了</w:t>
      </w:r>
    </w:p>
    <w:p>
      <w:pPr>
        <w:pStyle w:val="BodyText"/>
        <w:spacing w:line="297" w:lineRule="auto" w:before="66"/>
        <w:ind w:right="218"/>
        <w:jc w:val="both"/>
      </w:pPr>
      <w:r>
        <w:rPr>
          <w:spacing w:val="-3"/>
        </w:rPr>
        <w:t>《关于避免与广州广电运通金融电子股份有限公司同业竞争的承诺函》，承诺其以后不从事</w:t>
      </w:r>
      <w:r>
        <w:rPr>
          <w:spacing w:val="-83"/>
        </w:rPr>
        <w:t> </w:t>
      </w:r>
      <w:r>
        <w:rPr>
          <w:spacing w:val="-83"/>
        </w:rPr>
      </w:r>
      <w:r>
        <w:rPr/>
        <w:t>与本公司业务相同或相近的业务。</w:t>
      </w:r>
    </w:p>
    <w:p>
      <w:pPr>
        <w:pStyle w:val="BodyText"/>
        <w:spacing w:line="240" w:lineRule="auto" w:before="135"/>
        <w:ind w:left="560" w:right="102"/>
        <w:jc w:val="left"/>
      </w:pPr>
      <w:r>
        <w:rPr/>
        <w:t>报告期内，公司股东及高级管理人员均遵守了其所做的承诺。公司在深交所于</w:t>
      </w:r>
      <w:r>
        <w:rPr>
          <w:spacing w:val="-4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p>
    <w:p>
      <w:pPr>
        <w:pStyle w:val="BodyText"/>
        <w:spacing w:line="240" w:lineRule="auto" w:before="49"/>
        <w:ind w:right="0"/>
        <w:jc w:val="both"/>
      </w:pP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日上市后的</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spacing w:val="-6"/>
        </w:rPr>
        <w:t>个月，即</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日前，公司股东及高级管理人员没转让或者</w:t>
      </w:r>
    </w:p>
    <w:p>
      <w:pPr>
        <w:pStyle w:val="BodyText"/>
        <w:spacing w:line="288" w:lineRule="auto"/>
        <w:ind w:right="216"/>
        <w:jc w:val="both"/>
      </w:pPr>
      <w:r>
        <w:rPr>
          <w:spacing w:val="-4"/>
        </w:rPr>
        <w:t>委托他人管理其所持有的公司股份，公司也未回购该部分股份。自</w:t>
      </w:r>
      <w:r>
        <w:rPr>
          <w:spacing w:val="-5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日公司限 </w:t>
      </w:r>
      <w:r>
        <w:rPr>
          <w:spacing w:val="-3"/>
        </w:rPr>
        <w:t>售股解禁后，公司控股股东广电集团继续履行限售承诺；在任的董事、监事和高级管理人员</w:t>
      </w:r>
      <w:r>
        <w:rPr>
          <w:spacing w:val="-81"/>
        </w:rPr>
        <w:t> </w:t>
      </w:r>
      <w:r>
        <w:rPr>
          <w:spacing w:val="-81"/>
        </w:rPr>
      </w:r>
      <w:r>
        <w:rPr/>
        <w:t>于</w:t>
      </w:r>
      <w:r>
        <w:rPr>
          <w:spacing w:val="-4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年转让的股份未超过其所持有本公司股份总数的</w:t>
      </w:r>
      <w:r>
        <w:rPr>
          <w:spacing w:val="-49"/>
        </w:rPr>
        <w:t> </w:t>
      </w:r>
      <w:r>
        <w:rPr>
          <w:rFonts w:ascii="Times New Roman" w:hAnsi="Times New Roman" w:cs="Times New Roman" w:eastAsia="Times New Roman" w:hint="default"/>
        </w:rPr>
        <w:t>25%</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日离任的张</w:t>
      </w:r>
    </w:p>
    <w:p>
      <w:pPr>
        <w:pStyle w:val="BodyText"/>
        <w:spacing w:line="240" w:lineRule="auto" w:before="3"/>
        <w:ind w:right="0"/>
        <w:jc w:val="both"/>
        <w:rPr>
          <w:rFonts w:ascii="Times New Roman" w:hAnsi="Times New Roman" w:cs="Times New Roman" w:eastAsia="Times New Roman" w:hint="default"/>
        </w:rPr>
      </w:pPr>
      <w:r>
        <w:rPr/>
        <w:t>招兴董事履行“离职后</w:t>
      </w:r>
      <w:r>
        <w:rPr>
          <w:spacing w:val="-42"/>
        </w:rPr>
        <w:t> </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t>个月内，不转让其所持有的本公司股份”的承诺，截止</w:t>
      </w:r>
      <w:r>
        <w:rPr>
          <w:spacing w:val="-4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rPr>
        <w:t>1</w:t>
      </w:r>
    </w:p>
    <w:p>
      <w:pPr>
        <w:pStyle w:val="BodyText"/>
        <w:spacing w:line="240" w:lineRule="auto"/>
        <w:ind w:right="0"/>
        <w:jc w:val="both"/>
      </w:pPr>
      <w:r>
        <w:rPr/>
        <w:t>月</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日未转让其所持公司的股份。</w:t>
      </w:r>
    </w:p>
    <w:p>
      <w:pPr>
        <w:spacing w:line="240" w:lineRule="auto" w:before="8"/>
        <w:rPr>
          <w:rFonts w:ascii="宋体" w:hAnsi="宋体" w:cs="宋体" w:eastAsia="宋体" w:hint="default"/>
          <w:sz w:val="30"/>
          <w:szCs w:val="30"/>
        </w:rPr>
      </w:pPr>
    </w:p>
    <w:p>
      <w:pPr>
        <w:pStyle w:val="Heading2"/>
        <w:spacing w:line="240" w:lineRule="auto"/>
        <w:ind w:right="0"/>
        <w:jc w:val="both"/>
        <w:rPr>
          <w:b w:val="0"/>
          <w:bCs w:val="0"/>
        </w:rPr>
      </w:pPr>
      <w:r>
        <w:rPr/>
        <w:t>九、公司聘任会计师事务所情况</w:t>
      </w:r>
      <w:r>
        <w:rPr>
          <w:b w:val="0"/>
          <w:bCs w:val="0"/>
        </w:rPr>
      </w:r>
    </w:p>
    <w:p>
      <w:pPr>
        <w:pStyle w:val="BodyText"/>
        <w:spacing w:line="297" w:lineRule="auto" w:before="127"/>
        <w:ind w:right="214" w:firstLine="420"/>
        <w:jc w:val="both"/>
      </w:pPr>
      <w:r>
        <w:rPr>
          <w:spacing w:val="-8"/>
        </w:rPr>
        <w:t>报告期内，公司聘任的会计师事务所没有发生变更，立信羊城会计师事务所有限公司（原</w:t>
      </w:r>
      <w:r>
        <w:rPr/>
        <w:t> </w:t>
      </w:r>
      <w:r>
        <w:rPr>
          <w:spacing w:val="-3"/>
        </w:rPr>
        <w:t>广东羊城会计师事务所有限公司）为公司审计机构以及公开发行股票并上市的申报审计事务</w:t>
      </w:r>
      <w:r>
        <w:rPr>
          <w:spacing w:val="-79"/>
        </w:rPr>
        <w:t> </w:t>
      </w:r>
      <w:r>
        <w:rPr>
          <w:spacing w:val="-79"/>
        </w:rPr>
      </w:r>
      <w:r>
        <w:rPr/>
        <w:t>所，该所已连续为公司提供审计服务</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年。公司需支付该会计师事务所的</w:t>
      </w:r>
      <w:r>
        <w:rPr>
          <w:spacing w:val="-5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年度审计费</w:t>
      </w:r>
    </w:p>
    <w:p>
      <w:pPr>
        <w:pStyle w:val="BodyText"/>
        <w:spacing w:line="280" w:lineRule="auto" w:before="0"/>
        <w:ind w:right="215"/>
        <w:jc w:val="both"/>
      </w:pPr>
      <w:r>
        <w:rPr/>
        <w:t>用为</w:t>
      </w:r>
      <w:r>
        <w:rPr>
          <w:spacing w:val="-48"/>
        </w:rPr>
        <w:t> </w:t>
      </w:r>
      <w:r>
        <w:rPr>
          <w:rFonts w:ascii="Times New Roman" w:hAnsi="Times New Roman" w:cs="Times New Roman" w:eastAsia="Times New Roman" w:hint="default"/>
        </w:rPr>
        <w:t>25</w:t>
      </w:r>
      <w:r>
        <w:rPr>
          <w:rFonts w:ascii="Times New Roman" w:hAnsi="Times New Roman" w:cs="Times New Roman" w:eastAsia="Times New Roman" w:hint="default"/>
          <w:spacing w:val="5"/>
        </w:rPr>
        <w:t> </w:t>
      </w:r>
      <w:r>
        <w:rPr/>
        <w:t>万元。为公司审计业务签字的注册会计师符合《证券期货审计业务签字注册会计师 定期轮换规定》的文件要求。</w:t>
      </w:r>
    </w:p>
    <w:p>
      <w:pPr>
        <w:spacing w:line="240" w:lineRule="auto" w:before="1"/>
        <w:rPr>
          <w:rFonts w:ascii="宋体" w:hAnsi="宋体" w:cs="宋体" w:eastAsia="宋体" w:hint="default"/>
          <w:sz w:val="29"/>
          <w:szCs w:val="29"/>
        </w:rPr>
      </w:pPr>
    </w:p>
    <w:p>
      <w:pPr>
        <w:pStyle w:val="Heading2"/>
        <w:spacing w:line="240" w:lineRule="auto"/>
        <w:ind w:right="0"/>
        <w:jc w:val="both"/>
        <w:rPr>
          <w:b w:val="0"/>
          <w:bCs w:val="0"/>
        </w:rPr>
      </w:pPr>
      <w:r>
        <w:rPr/>
        <w:t>十、受监管部门处罚、通报批评、公开谴责及巡检整改情况</w:t>
      </w:r>
      <w:r>
        <w:rPr>
          <w:b w:val="0"/>
          <w:bCs w:val="0"/>
        </w:rPr>
      </w:r>
    </w:p>
    <w:p>
      <w:pPr>
        <w:pStyle w:val="BodyText"/>
        <w:spacing w:line="297" w:lineRule="auto" w:before="128"/>
        <w:ind w:right="104" w:firstLine="420"/>
        <w:jc w:val="left"/>
      </w:pPr>
      <w:r>
        <w:rPr>
          <w:spacing w:val="-3"/>
        </w:rPr>
        <w:t>报告期内，公司、公司董事、监事、高级管理人员未受到有权机关调查、司法纪检部门</w:t>
      </w:r>
      <w:r>
        <w:rPr/>
        <w:t> 采取强制措施、被移送司法机关或追究刑事责任、中国证监会稽查、中国证监会行政处罚、 证券市场禁入、认定为不适当人选被其他行政管理部门处罚及证券交易所公开谴责的情形。</w:t>
      </w:r>
    </w:p>
    <w:p>
      <w:pPr>
        <w:pStyle w:val="BodyText"/>
        <w:spacing w:line="240" w:lineRule="auto" w:before="135"/>
        <w:ind w:left="560" w:right="102"/>
        <w:jc w:val="left"/>
      </w:pP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13-14 </w:t>
      </w:r>
      <w:r>
        <w:rPr/>
        <w:t>日，广东证监局对公司的治理专项活动情况进行了现场验收，</w:t>
      </w:r>
      <w:r>
        <w:rPr>
          <w:rFonts w:ascii="Times New Roman" w:hAnsi="Times New Roman" w:cs="Times New Roman" w:eastAsia="Times New Roman" w:hint="default"/>
        </w:rPr>
        <w:t>6</w:t>
      </w:r>
      <w:r>
        <w:rPr>
          <w:rFonts w:ascii="Times New Roman" w:hAnsi="Times New Roman" w:cs="Times New Roman" w:eastAsia="Times New Roman" w:hint="default"/>
          <w:spacing w:val="40"/>
        </w:rPr>
        <w:t> </w:t>
      </w:r>
      <w:r>
        <w:rPr/>
        <w:t>月</w:t>
      </w:r>
    </w:p>
    <w:p>
      <w:pPr>
        <w:pStyle w:val="BodyText"/>
        <w:spacing w:line="290" w:lineRule="auto" w:before="49"/>
        <w:ind w:left="139" w:right="216"/>
        <w:jc w:val="both"/>
      </w:pP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spacing w:val="-4"/>
        </w:rPr>
        <w:t>日出具了《中国证券监督管理委员会广东证监局现场检查结果告知书》。针对告知书中提</w:t>
      </w:r>
      <w:r>
        <w:rPr/>
        <w:t> </w:t>
      </w:r>
      <w:r>
        <w:rPr>
          <w:spacing w:val="-3"/>
        </w:rPr>
        <w:t>出的问题，公司立即进行了整改和落实，《关于加强公司治理专项活动整改报告公告》见刊</w:t>
      </w:r>
      <w:r>
        <w:rPr>
          <w:spacing w:val="-84"/>
        </w:rPr>
        <w:t> </w:t>
      </w:r>
      <w:r>
        <w:rPr>
          <w:spacing w:val="-84"/>
        </w:rPr>
      </w:r>
      <w:r>
        <w:rPr/>
        <w:t>登于</w:t>
      </w:r>
      <w:r>
        <w:rPr>
          <w:spacing w:val="-5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日的《证券时报》和巨潮资讯网</w:t>
      </w:r>
      <w:r>
        <w:rPr>
          <w:spacing w:val="-57"/>
        </w:rPr>
        <w:t> </w:t>
      </w:r>
      <w:hyperlink r:id="rId10">
        <w:r>
          <w:rPr>
            <w:rFonts w:ascii="Times New Roman" w:hAnsi="Times New Roman" w:cs="Times New Roman" w:eastAsia="Times New Roman" w:hint="default"/>
          </w:rPr>
          <w:t>http://www.cninfo.com.cn</w:t>
        </w:r>
      </w:hyperlink>
      <w:r>
        <w:rPr/>
        <w:t>。</w:t>
      </w:r>
    </w:p>
    <w:p>
      <w:pPr>
        <w:spacing w:line="240" w:lineRule="auto" w:before="11"/>
        <w:rPr>
          <w:rFonts w:ascii="宋体" w:hAnsi="宋体" w:cs="宋体" w:eastAsia="宋体" w:hint="default"/>
          <w:sz w:val="26"/>
          <w:szCs w:val="26"/>
        </w:rPr>
      </w:pPr>
    </w:p>
    <w:p>
      <w:pPr>
        <w:pStyle w:val="Heading2"/>
        <w:spacing w:line="240" w:lineRule="auto"/>
        <w:ind w:right="0"/>
        <w:jc w:val="both"/>
        <w:rPr>
          <w:b w:val="0"/>
          <w:bCs w:val="0"/>
        </w:rPr>
      </w:pPr>
      <w:r>
        <w:rPr/>
        <w:t>十一、公司股东及高级管理人员违规买卖公司股票情况</w:t>
      </w:r>
      <w:r>
        <w:rPr>
          <w:b w:val="0"/>
          <w:bCs w:val="0"/>
        </w:rPr>
      </w:r>
    </w:p>
    <w:p>
      <w:pPr>
        <w:pStyle w:val="BodyText"/>
        <w:spacing w:line="240" w:lineRule="auto" w:before="127"/>
        <w:ind w:left="560" w:right="102"/>
        <w:jc w:val="left"/>
      </w:pPr>
      <w:r>
        <w:rPr/>
        <w:t>报告期内，公司高级管理人员未出现违规买卖公司股票的情况。</w:t>
      </w:r>
    </w:p>
    <w:p>
      <w:pPr>
        <w:spacing w:line="240" w:lineRule="auto" w:before="3"/>
        <w:rPr>
          <w:rFonts w:ascii="宋体" w:hAnsi="宋体" w:cs="宋体" w:eastAsia="宋体" w:hint="default"/>
          <w:sz w:val="14"/>
          <w:szCs w:val="14"/>
        </w:rPr>
      </w:pPr>
    </w:p>
    <w:p>
      <w:pPr>
        <w:pStyle w:val="BodyText"/>
        <w:spacing w:line="240" w:lineRule="auto" w:before="0"/>
        <w:ind w:left="560" w:right="102"/>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spacing w:val="-4"/>
        </w:rPr>
        <w:t>日，梅州敬基分</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次先后卖出其持有的本公司股票共计</w:t>
      </w:r>
      <w:r>
        <w:rPr>
          <w:spacing w:val="-54"/>
        </w:rPr>
        <w:t> </w:t>
      </w:r>
      <w:r>
        <w:rPr>
          <w:rFonts w:ascii="Times New Roman" w:hAnsi="Times New Roman" w:cs="Times New Roman" w:eastAsia="Times New Roman" w:hint="default"/>
        </w:rPr>
        <w:t>123,900  </w:t>
      </w:r>
      <w:r>
        <w:rPr>
          <w:spacing w:val="-8"/>
        </w:rPr>
        <w:t>股，交</w:t>
      </w:r>
    </w:p>
    <w:p>
      <w:pPr>
        <w:pStyle w:val="BodyText"/>
        <w:spacing w:line="280" w:lineRule="auto"/>
        <w:ind w:right="103"/>
        <w:jc w:val="left"/>
      </w:pPr>
      <w:r>
        <w:rPr/>
        <w:t>易金额共计</w:t>
      </w:r>
      <w:r>
        <w:rPr>
          <w:spacing w:val="-58"/>
        </w:rPr>
        <w:t> </w:t>
      </w:r>
      <w:r>
        <w:rPr>
          <w:rFonts w:ascii="Times New Roman" w:hAnsi="Times New Roman" w:cs="Times New Roman" w:eastAsia="Times New Roman" w:hint="default"/>
        </w:rPr>
        <w:t>3,531,236.34</w:t>
      </w:r>
      <w:r>
        <w:rPr>
          <w:rFonts w:ascii="Times New Roman" w:hAnsi="Times New Roman" w:cs="Times New Roman" w:eastAsia="Times New Roman" w:hint="default"/>
          <w:spacing w:val="43"/>
        </w:rPr>
        <w:t> </w:t>
      </w:r>
      <w:r>
        <w:rPr>
          <w:spacing w:val="-3"/>
        </w:rPr>
        <w:t>元，平均交易价格为</w:t>
      </w:r>
      <w:r>
        <w:rPr>
          <w:spacing w:val="-58"/>
        </w:rPr>
        <w:t> </w:t>
      </w:r>
      <w:r>
        <w:rPr>
          <w:rFonts w:ascii="Times New Roman" w:hAnsi="Times New Roman" w:cs="Times New Roman" w:eastAsia="Times New Roman" w:hint="default"/>
        </w:rPr>
        <w:t>28.50</w:t>
      </w:r>
      <w:r>
        <w:rPr>
          <w:rFonts w:ascii="Times New Roman" w:hAnsi="Times New Roman" w:cs="Times New Roman" w:eastAsia="Times New Roman" w:hint="default"/>
          <w:spacing w:val="43"/>
        </w:rPr>
        <w:t> </w:t>
      </w:r>
      <w:r>
        <w:rPr/>
        <w:t>元</w:t>
      </w:r>
      <w:r>
        <w:rPr>
          <w:rFonts w:ascii="Times New Roman" w:hAnsi="Times New Roman" w:cs="Times New Roman" w:eastAsia="Times New Roman" w:hint="default"/>
        </w:rPr>
        <w:t>/</w:t>
      </w:r>
      <w:r>
        <w:rPr/>
        <w:t>股。但在其出售公司股票的过程中， </w:t>
      </w:r>
      <w:r>
        <w:rPr>
          <w:spacing w:val="-6"/>
        </w:rPr>
        <w:t>梅州敬基因操作失误，将本应“卖出”“广电运通”</w:t>
      </w:r>
      <w:r>
        <w:rPr>
          <w:rFonts w:ascii="Times New Roman" w:hAnsi="Times New Roman" w:cs="Times New Roman" w:eastAsia="Times New Roman" w:hint="default"/>
          <w:spacing w:val="-6"/>
        </w:rPr>
        <w:t>50,000</w:t>
      </w:r>
      <w:r>
        <w:rPr>
          <w:rFonts w:ascii="Times New Roman" w:hAnsi="Times New Roman" w:cs="Times New Roman" w:eastAsia="Times New Roman" w:hint="default"/>
        </w:rPr>
        <w:t>  </w:t>
      </w:r>
      <w:r>
        <w:rPr>
          <w:spacing w:val="-3"/>
        </w:rPr>
        <w:t>股操作成“买入”</w:t>
      </w:r>
      <w:r>
        <w:rPr>
          <w:rFonts w:ascii="Times New Roman" w:hAnsi="Times New Roman" w:cs="Times New Roman" w:eastAsia="Times New Roman" w:hint="default"/>
          <w:spacing w:val="-3"/>
        </w:rPr>
        <w:t>50,000</w:t>
      </w:r>
      <w:r>
        <w:rPr>
          <w:rFonts w:ascii="Times New Roman" w:hAnsi="Times New Roman" w:cs="Times New Roman" w:eastAsia="Times New Roman" w:hint="default"/>
        </w:rPr>
        <w:t> </w:t>
      </w:r>
      <w:r>
        <w:rPr>
          <w:rFonts w:ascii="Times New Roman" w:hAnsi="Times New Roman" w:cs="Times New Roman" w:eastAsia="Times New Roman" w:hint="default"/>
          <w:spacing w:val="21"/>
        </w:rPr>
        <w:t> </w:t>
      </w:r>
      <w:r>
        <w:rPr>
          <w:spacing w:val="-5"/>
        </w:rPr>
        <w:t>股，待</w:t>
      </w:r>
    </w:p>
    <w:p>
      <w:pPr>
        <w:spacing w:after="0" w:line="280" w:lineRule="auto"/>
        <w:jc w:val="left"/>
        <w:sectPr>
          <w:pgSz w:w="11910" w:h="16840"/>
          <w:pgMar w:header="0" w:footer="982" w:top="1100" w:bottom="1180" w:left="1660" w:right="1580"/>
        </w:sectPr>
      </w:pPr>
    </w:p>
    <w:p>
      <w:pPr>
        <w:spacing w:line="240" w:lineRule="auto" w:before="1"/>
        <w:rPr>
          <w:rFonts w:ascii="宋体" w:hAnsi="宋体" w:cs="宋体" w:eastAsia="宋体" w:hint="default"/>
          <w:sz w:val="19"/>
          <w:szCs w:val="19"/>
        </w:rPr>
      </w:pPr>
    </w:p>
    <w:p>
      <w:pPr>
        <w:pStyle w:val="BodyText"/>
        <w:spacing w:line="240" w:lineRule="auto" w:before="35"/>
        <w:ind w:left="340" w:right="136"/>
        <w:jc w:val="left"/>
      </w:pPr>
      <w:r>
        <w:rPr/>
        <w:t>发现操作失误后立即撤销，但已成交</w:t>
      </w:r>
      <w:r>
        <w:rPr>
          <w:spacing w:val="-59"/>
        </w:rPr>
        <w:t> </w:t>
      </w:r>
      <w:r>
        <w:rPr>
          <w:rFonts w:ascii="Times New Roman" w:hAnsi="Times New Roman" w:cs="Times New Roman" w:eastAsia="Times New Roman" w:hint="default"/>
        </w:rPr>
        <w:t>22,010</w:t>
      </w:r>
      <w:r>
        <w:rPr>
          <w:rFonts w:ascii="Times New Roman" w:hAnsi="Times New Roman" w:cs="Times New Roman" w:eastAsia="Times New Roman" w:hint="default"/>
          <w:spacing w:val="41"/>
        </w:rPr>
        <w:t> </w:t>
      </w:r>
      <w:r>
        <w:rPr>
          <w:spacing w:val="-9"/>
        </w:rPr>
        <w:t>股，剩余</w:t>
      </w:r>
      <w:r>
        <w:rPr>
          <w:spacing w:val="-59"/>
        </w:rPr>
        <w:t> </w:t>
      </w:r>
      <w:r>
        <w:rPr>
          <w:rFonts w:ascii="Times New Roman" w:hAnsi="Times New Roman" w:cs="Times New Roman" w:eastAsia="Times New Roman" w:hint="default"/>
        </w:rPr>
        <w:t>27,990</w:t>
      </w:r>
      <w:r>
        <w:rPr>
          <w:rFonts w:ascii="Times New Roman" w:hAnsi="Times New Roman" w:cs="Times New Roman" w:eastAsia="Times New Roman" w:hint="default"/>
          <w:spacing w:val="43"/>
        </w:rPr>
        <w:t> </w:t>
      </w:r>
      <w:r>
        <w:rPr>
          <w:spacing w:val="-3"/>
        </w:rPr>
        <w:t>股全部被撤销。该笔交易价格</w:t>
      </w:r>
    </w:p>
    <w:p>
      <w:pPr>
        <w:pStyle w:val="BodyText"/>
        <w:spacing w:line="240" w:lineRule="auto"/>
        <w:ind w:left="339" w:right="136"/>
        <w:jc w:val="left"/>
      </w:pPr>
      <w:r>
        <w:rPr/>
        <w:t>为</w:t>
      </w:r>
      <w:r>
        <w:rPr>
          <w:spacing w:val="-51"/>
        </w:rPr>
        <w:t> </w:t>
      </w:r>
      <w:r>
        <w:rPr>
          <w:rFonts w:ascii="Times New Roman" w:hAnsi="Times New Roman" w:cs="Times New Roman" w:eastAsia="Times New Roman" w:hint="default"/>
        </w:rPr>
        <w:t>29.59 </w:t>
      </w:r>
      <w:r>
        <w:rPr>
          <w:rFonts w:ascii="Times New Roman" w:hAnsi="Times New Roman" w:cs="Times New Roman" w:eastAsia="Times New Roman" w:hint="default"/>
          <w:spacing w:val="4"/>
        </w:rPr>
        <w:t> </w:t>
      </w:r>
      <w:r>
        <w:rPr>
          <w:spacing w:val="-6"/>
        </w:rPr>
        <w:t>元</w:t>
      </w:r>
      <w:r>
        <w:rPr>
          <w:rFonts w:ascii="Times New Roman" w:hAnsi="Times New Roman" w:cs="Times New Roman" w:eastAsia="Times New Roman" w:hint="default"/>
          <w:spacing w:val="-6"/>
        </w:rPr>
        <w:t>/</w:t>
      </w:r>
      <w:r>
        <w:rPr>
          <w:spacing w:val="-6"/>
        </w:rPr>
        <w:t>股，交易金额为</w:t>
      </w:r>
      <w:r>
        <w:rPr>
          <w:spacing w:val="-51"/>
        </w:rPr>
        <w:t> </w:t>
      </w:r>
      <w:r>
        <w:rPr>
          <w:rFonts w:ascii="Times New Roman" w:hAnsi="Times New Roman" w:cs="Times New Roman" w:eastAsia="Times New Roman" w:hint="default"/>
        </w:rPr>
        <w:t>651,053.60 </w:t>
      </w:r>
      <w:r>
        <w:rPr>
          <w:rFonts w:ascii="Times New Roman" w:hAnsi="Times New Roman" w:cs="Times New Roman" w:eastAsia="Times New Roman" w:hint="default"/>
          <w:spacing w:val="4"/>
        </w:rPr>
        <w:t> </w:t>
      </w:r>
      <w:r>
        <w:rPr>
          <w:spacing w:val="-3"/>
        </w:rPr>
        <w:t>元。梅州敬基上述短线交易行为的违法收益为负数，</w:t>
      </w:r>
    </w:p>
    <w:p>
      <w:pPr>
        <w:pStyle w:val="BodyText"/>
        <w:spacing w:line="240" w:lineRule="auto" w:before="49"/>
        <w:ind w:left="339" w:right="136"/>
        <w:jc w:val="left"/>
      </w:pPr>
      <w:r>
        <w:rPr/>
        <w:t>根据《证券法》第 </w:t>
      </w:r>
      <w:r>
        <w:rPr>
          <w:rFonts w:ascii="Times New Roman" w:hAnsi="Times New Roman" w:cs="Times New Roman" w:eastAsia="Times New Roman" w:hint="default"/>
        </w:rPr>
        <w:t>47</w:t>
      </w:r>
      <w:r>
        <w:rPr>
          <w:rFonts w:ascii="Times New Roman" w:hAnsi="Times New Roman" w:cs="Times New Roman" w:eastAsia="Times New Roman" w:hint="default"/>
          <w:spacing w:val="-3"/>
        </w:rPr>
        <w:t> </w:t>
      </w:r>
      <w:r>
        <w:rPr/>
        <w:t>条规定，不构成向公司上缴违法收益的情况。</w:t>
      </w:r>
    </w:p>
    <w:p>
      <w:pPr>
        <w:spacing w:line="240" w:lineRule="auto" w:before="8"/>
        <w:rPr>
          <w:rFonts w:ascii="宋体" w:hAnsi="宋体" w:cs="宋体" w:eastAsia="宋体" w:hint="default"/>
          <w:sz w:val="30"/>
          <w:szCs w:val="30"/>
        </w:rPr>
      </w:pPr>
    </w:p>
    <w:p>
      <w:pPr>
        <w:pStyle w:val="Heading2"/>
        <w:spacing w:line="240" w:lineRule="auto"/>
        <w:ind w:left="340" w:right="136"/>
        <w:jc w:val="left"/>
        <w:rPr>
          <w:b w:val="0"/>
          <w:bCs w:val="0"/>
        </w:rPr>
      </w:pPr>
      <w:r>
        <w:rPr/>
        <w:t>十二、公司信息披露索引</w:t>
      </w:r>
      <w:r>
        <w:rPr>
          <w:b w:val="0"/>
          <w:bCs w:val="0"/>
        </w:rPr>
      </w:r>
    </w:p>
    <w:p>
      <w:pPr>
        <w:pStyle w:val="BodyText"/>
        <w:spacing w:line="280" w:lineRule="auto" w:before="128"/>
        <w:ind w:left="340" w:right="336" w:firstLine="420"/>
        <w:jc w:val="left"/>
      </w:pPr>
      <w:r>
        <w:rPr>
          <w:spacing w:val="-3"/>
          <w:w w:val="99"/>
        </w:rPr>
        <w:t>根据《公司章程》规定，《证券时报》和巨潮资讯网（</w:t>
      </w:r>
      <w:hyperlink r:id="rId10">
        <w:r>
          <w:rPr>
            <w:rFonts w:ascii="Times New Roman" w:hAnsi="Times New Roman" w:cs="Times New Roman" w:eastAsia="Times New Roman" w:hint="default"/>
            <w:spacing w:val="-3"/>
            <w:w w:val="99"/>
          </w:rPr>
          <w:t>www.cninfo.com.cn</w:t>
        </w:r>
      </w:hyperlink>
      <w:r>
        <w:rPr>
          <w:spacing w:val="-3"/>
          <w:w w:val="99"/>
        </w:rPr>
        <w:t>）为刊登公司</w:t>
      </w:r>
      <w:r>
        <w:rPr>
          <w:w w:val="99"/>
        </w:rPr>
        <w:t> </w:t>
      </w:r>
      <w:r>
        <w:rPr/>
        <w:t>公告和其他需要披露信息的指定媒体。</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年公司公告情况如下：</w:t>
      </w:r>
    </w:p>
    <w:p>
      <w:pPr>
        <w:spacing w:line="240" w:lineRule="auto" w:before="12"/>
        <w:rPr>
          <w:rFonts w:ascii="宋体" w:hAnsi="宋体" w:cs="宋体" w:eastAsia="宋体" w:hint="default"/>
          <w:sz w:val="21"/>
          <w:szCs w:val="21"/>
        </w:rPr>
      </w:pPr>
    </w:p>
    <w:tbl>
      <w:tblPr>
        <w:tblW w:w="0" w:type="auto"/>
        <w:jc w:val="left"/>
        <w:tblInd w:w="108" w:type="dxa"/>
        <w:tblLayout w:type="fixed"/>
        <w:tblCellMar>
          <w:top w:w="0" w:type="dxa"/>
          <w:left w:w="0" w:type="dxa"/>
          <w:bottom w:w="0" w:type="dxa"/>
          <w:right w:w="0" w:type="dxa"/>
        </w:tblCellMar>
        <w:tblLook w:val="01E0"/>
      </w:tblPr>
      <w:tblGrid>
        <w:gridCol w:w="638"/>
        <w:gridCol w:w="1450"/>
        <w:gridCol w:w="5231"/>
        <w:gridCol w:w="1440"/>
      </w:tblGrid>
      <w:tr>
        <w:trPr>
          <w:trHeight w:val="281" w:hRule="exact"/>
        </w:trPr>
        <w:tc>
          <w:tcPr>
            <w:tcW w:w="63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45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公告编号</w:t>
            </w:r>
            <w:r>
              <w:rPr>
                <w:rFonts w:ascii="宋体" w:hAnsi="宋体" w:cs="宋体" w:eastAsia="宋体" w:hint="default"/>
                <w:sz w:val="21"/>
                <w:szCs w:val="21"/>
              </w:rPr>
            </w:r>
          </w:p>
        </w:tc>
        <w:tc>
          <w:tcPr>
            <w:tcW w:w="523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公告名称</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公告日期</w:t>
            </w:r>
            <w:r>
              <w:rPr>
                <w:rFonts w:ascii="宋体" w:hAnsi="宋体" w:cs="宋体" w:eastAsia="宋体" w:hint="default"/>
                <w:sz w:val="21"/>
                <w:szCs w:val="21"/>
              </w:rPr>
            </w:r>
          </w:p>
        </w:tc>
      </w:tr>
      <w:tr>
        <w:trPr>
          <w:trHeight w:val="283"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001</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《有关部分募集资金投资项目进展情况的公告》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2008-1-22</w:t>
            </w:r>
          </w:p>
        </w:tc>
      </w:tr>
      <w:tr>
        <w:trPr>
          <w:trHeight w:val="28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002</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年度业绩预告的修正公告》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2008-1-30</w:t>
            </w:r>
          </w:p>
        </w:tc>
      </w:tr>
      <w:tr>
        <w:trPr>
          <w:trHeight w:val="283"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003</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《第一届董事会第十四次（临时）会议决议公告》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2008-2-2</w:t>
            </w:r>
          </w:p>
        </w:tc>
      </w:tr>
      <w:tr>
        <w:trPr>
          <w:trHeight w:val="554"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004</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《关于“加强上市公司治理专项活动”自查报告和整改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计划的公告》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sz w:val="21"/>
              </w:rPr>
              <w:t>2008-2-2</w:t>
            </w:r>
          </w:p>
        </w:tc>
      </w:tr>
      <w:tr>
        <w:trPr>
          <w:trHeight w:val="28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005</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年度业绩快报》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2008-2-23</w:t>
            </w:r>
          </w:p>
        </w:tc>
      </w:tr>
      <w:tr>
        <w:trPr>
          <w:trHeight w:val="28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006</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《关于独立董事病逝的公告》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2008-3-7</w:t>
            </w:r>
          </w:p>
        </w:tc>
      </w:tr>
      <w:tr>
        <w:trPr>
          <w:trHeight w:val="283"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007</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《第一届董事会第十五次会议决议公告》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2008-3-29</w:t>
            </w:r>
          </w:p>
        </w:tc>
      </w:tr>
      <w:tr>
        <w:trPr>
          <w:trHeight w:val="28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008</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年度股东大会的通知》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2008-3-29</w:t>
            </w:r>
          </w:p>
        </w:tc>
      </w:tr>
      <w:tr>
        <w:trPr>
          <w:trHeight w:val="28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009</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《第一届监事会第十一次会议决议公告》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2008-3-29</w:t>
            </w:r>
          </w:p>
        </w:tc>
      </w:tr>
      <w:tr>
        <w:trPr>
          <w:trHeight w:val="283"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010</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《关于举行</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年年度报告网上说明会的公告》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2008-3-29</w:t>
            </w:r>
          </w:p>
        </w:tc>
      </w:tr>
      <w:tr>
        <w:trPr>
          <w:trHeight w:val="28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7"/>
              <w:jc w:val="center"/>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定</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200704</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年年度报告摘要》</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2008-3-29</w:t>
            </w:r>
          </w:p>
        </w:tc>
      </w:tr>
      <w:tr>
        <w:trPr>
          <w:trHeight w:val="28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011</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年度募集资金使用情况专项报告》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2008-3-29</w:t>
            </w:r>
          </w:p>
        </w:tc>
      </w:tr>
      <w:tr>
        <w:trPr>
          <w:trHeight w:val="28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012</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《关于房屋租赁合同签订的关联交易公告》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2008-3-29</w:t>
            </w:r>
          </w:p>
        </w:tc>
      </w:tr>
      <w:tr>
        <w:trPr>
          <w:trHeight w:val="283"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013</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年度股东大会决议公告》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2008-4-19</w:t>
            </w:r>
          </w:p>
        </w:tc>
      </w:tr>
      <w:tr>
        <w:trPr>
          <w:trHeight w:val="28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014</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《第一届董事会第十六次（临时）会议决议公告》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2008-4-19</w:t>
            </w:r>
          </w:p>
        </w:tc>
      </w:tr>
      <w:tr>
        <w:trPr>
          <w:trHeight w:val="28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015</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《对外投资公告》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2008-4-19</w:t>
            </w:r>
          </w:p>
        </w:tc>
      </w:tr>
      <w:tr>
        <w:trPr>
          <w:trHeight w:val="283"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定</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200801</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年第一季度报告》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2008-4-25</w:t>
            </w:r>
          </w:p>
        </w:tc>
      </w:tr>
      <w:tr>
        <w:trPr>
          <w:trHeight w:val="28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016</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年度利润分配及资本公积金转增股本实施公告》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2008-4-25</w:t>
            </w:r>
          </w:p>
        </w:tc>
      </w:tr>
      <w:tr>
        <w:trPr>
          <w:trHeight w:val="28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017</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《关于自动柜员机通过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3C</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认证的公告》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2008-5-20</w:t>
            </w:r>
          </w:p>
        </w:tc>
      </w:tr>
      <w:tr>
        <w:trPr>
          <w:trHeight w:val="28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018</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《关于以流动资金归还募集资金的公告》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2008-6-14</w:t>
            </w:r>
          </w:p>
        </w:tc>
      </w:tr>
      <w:tr>
        <w:trPr>
          <w:trHeight w:val="283"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019</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《关于在越南投资及业务开展情况的公告》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2008-6-14</w:t>
            </w:r>
          </w:p>
        </w:tc>
      </w:tr>
      <w:tr>
        <w:trPr>
          <w:trHeight w:val="28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020</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《关于向四川地震灾区捐建中学的公告》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2008-7-1</w:t>
            </w:r>
          </w:p>
        </w:tc>
      </w:tr>
      <w:tr>
        <w:trPr>
          <w:trHeight w:val="28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021</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《关于加强公司治理专项活动整改报告公告》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2008-7-5</w:t>
            </w:r>
          </w:p>
        </w:tc>
      </w:tr>
      <w:tr>
        <w:trPr>
          <w:trHeight w:val="283"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022</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年第一次临时股东大会的通知公告》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2008-7-5</w:t>
            </w:r>
          </w:p>
        </w:tc>
      </w:tr>
      <w:tr>
        <w:trPr>
          <w:trHeight w:val="28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023</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《第一届董事会第十八次（临时）会议决议公告》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2008-7-5</w:t>
            </w:r>
          </w:p>
        </w:tc>
      </w:tr>
      <w:tr>
        <w:trPr>
          <w:trHeight w:val="28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024</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《澄清公告》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2008-7-5</w:t>
            </w:r>
          </w:p>
        </w:tc>
      </w:tr>
      <w:tr>
        <w:trPr>
          <w:trHeight w:val="283"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025</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《关于董事辞职公告》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2008-7-10</w:t>
            </w:r>
          </w:p>
        </w:tc>
      </w:tr>
      <w:tr>
        <w:trPr>
          <w:trHeight w:val="28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026</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3"/>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年第一次临时股东大会的提示性公告》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2008-7-17</w:t>
            </w:r>
          </w:p>
        </w:tc>
      </w:tr>
      <w:tr>
        <w:trPr>
          <w:trHeight w:val="28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027</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年第一次临时股东大会决议公告》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2008-7-23</w:t>
            </w:r>
          </w:p>
        </w:tc>
      </w:tr>
      <w:tr>
        <w:trPr>
          <w:trHeight w:val="554"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30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028</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《关于首次公开发行前已发行股份上市流通提示性公</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2008-8-</w:t>
            </w:r>
            <w:r>
              <w:rPr>
                <w:rFonts w:ascii="Times New Roman"/>
                <w:spacing w:val="-2"/>
                <w:sz w:val="21"/>
              </w:rPr>
              <w:t> </w:t>
            </w:r>
            <w:r>
              <w:rPr>
                <w:rFonts w:ascii="Times New Roman"/>
                <w:sz w:val="21"/>
              </w:rPr>
              <w:t>8</w:t>
            </w:r>
          </w:p>
        </w:tc>
      </w:tr>
      <w:tr>
        <w:trPr>
          <w:trHeight w:val="283"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31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029</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《第一届董事会第十九次会议决议公告》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2008-8-9</w:t>
            </w:r>
          </w:p>
        </w:tc>
      </w:tr>
      <w:tr>
        <w:trPr>
          <w:trHeight w:val="28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32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定</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200802</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年半年度报告摘要》</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2008-8-9</w:t>
            </w:r>
          </w:p>
        </w:tc>
      </w:tr>
      <w:tr>
        <w:trPr>
          <w:trHeight w:val="554"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33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030</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《关于控股股东及关联方占用公司资金情况的自查报</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告公告》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sz w:val="21"/>
              </w:rPr>
              <w:t>2008-8-9</w:t>
            </w:r>
          </w:p>
        </w:tc>
      </w:tr>
      <w:tr>
        <w:trPr>
          <w:trHeight w:val="28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34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031</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《第一届监事会第十三次会议决议公告》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2008-8-9</w:t>
            </w:r>
          </w:p>
        </w:tc>
      </w:tr>
      <w:tr>
        <w:trPr>
          <w:trHeight w:val="283"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35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032</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《中标通知公告》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2008-9-2</w:t>
            </w:r>
          </w:p>
        </w:tc>
      </w:tr>
    </w:tbl>
    <w:p>
      <w:pPr>
        <w:spacing w:after="0" w:line="240" w:lineRule="auto"/>
        <w:jc w:val="center"/>
        <w:rPr>
          <w:rFonts w:ascii="Times New Roman" w:hAnsi="Times New Roman" w:cs="Times New Roman" w:eastAsia="Times New Roman" w:hint="default"/>
          <w:sz w:val="21"/>
          <w:szCs w:val="21"/>
        </w:rPr>
        <w:sectPr>
          <w:pgSz w:w="11910" w:h="16840"/>
          <w:pgMar w:header="0" w:footer="982" w:top="1100" w:bottom="1180" w:left="1460" w:right="1460"/>
        </w:sectPr>
      </w:pPr>
    </w:p>
    <w:p>
      <w:pPr>
        <w:spacing w:line="240" w:lineRule="auto" w:before="6"/>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638"/>
        <w:gridCol w:w="1450"/>
        <w:gridCol w:w="5231"/>
        <w:gridCol w:w="1440"/>
      </w:tblGrid>
      <w:tr>
        <w:trPr>
          <w:trHeight w:val="282" w:hRule="exact"/>
        </w:trPr>
        <w:tc>
          <w:tcPr>
            <w:tcW w:w="63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right="0"/>
              <w:jc w:val="center"/>
              <w:rPr>
                <w:rFonts w:ascii="宋体" w:hAnsi="宋体" w:cs="宋体" w:eastAsia="宋体" w:hint="default"/>
                <w:sz w:val="21"/>
                <w:szCs w:val="21"/>
              </w:rPr>
            </w:pPr>
            <w:bookmarkStart w:name="_bookmark9" w:id="10"/>
            <w:bookmarkEnd w:id="10"/>
            <w:r>
              <w:rPr/>
            </w:r>
            <w:r>
              <w:rPr>
                <w:rFonts w:ascii="宋体" w:hAnsi="宋体" w:cs="宋体" w:eastAsia="宋体" w:hint="default"/>
                <w:b/>
                <w:bCs/>
                <w:sz w:val="21"/>
                <w:szCs w:val="21"/>
              </w:rPr>
              <w:t>序号</w:t>
            </w:r>
            <w:r>
              <w:rPr>
                <w:rFonts w:ascii="宋体" w:hAnsi="宋体" w:cs="宋体" w:eastAsia="宋体" w:hint="default"/>
                <w:sz w:val="21"/>
                <w:szCs w:val="21"/>
              </w:rPr>
            </w:r>
          </w:p>
        </w:tc>
        <w:tc>
          <w:tcPr>
            <w:tcW w:w="145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公告编号</w:t>
            </w:r>
            <w:r>
              <w:rPr>
                <w:rFonts w:ascii="宋体" w:hAnsi="宋体" w:cs="宋体" w:eastAsia="宋体" w:hint="default"/>
                <w:sz w:val="21"/>
                <w:szCs w:val="21"/>
              </w:rPr>
            </w:r>
          </w:p>
        </w:tc>
        <w:tc>
          <w:tcPr>
            <w:tcW w:w="523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公告名称</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公告日期</w:t>
            </w:r>
            <w:r>
              <w:rPr>
                <w:rFonts w:ascii="宋体" w:hAnsi="宋体" w:cs="宋体" w:eastAsia="宋体" w:hint="default"/>
                <w:sz w:val="21"/>
                <w:szCs w:val="21"/>
              </w:rPr>
            </w:r>
          </w:p>
        </w:tc>
      </w:tr>
      <w:tr>
        <w:trPr>
          <w:trHeight w:val="283"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36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033</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《重大合同公告》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2008-9-2</w:t>
            </w:r>
          </w:p>
        </w:tc>
      </w:tr>
      <w:tr>
        <w:trPr>
          <w:trHeight w:val="554"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37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034</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《关于股东梅州敬基金属制品有限公司违规买卖股票</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情况的公告》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2008-9-25</w:t>
            </w:r>
          </w:p>
        </w:tc>
      </w:tr>
      <w:tr>
        <w:trPr>
          <w:trHeight w:val="28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38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035</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3"/>
              <w:jc w:val="left"/>
              <w:rPr>
                <w:rFonts w:ascii="宋体" w:hAnsi="宋体" w:cs="宋体" w:eastAsia="宋体" w:hint="default"/>
                <w:sz w:val="21"/>
                <w:szCs w:val="21"/>
              </w:rPr>
            </w:pPr>
            <w:r>
              <w:rPr>
                <w:rFonts w:ascii="宋体" w:hAnsi="宋体" w:cs="宋体" w:eastAsia="宋体" w:hint="default"/>
                <w:sz w:val="21"/>
                <w:szCs w:val="21"/>
              </w:rPr>
              <w:t>《关于被认定为</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年度广州市重点软件企业的公告》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2008-10-9</w:t>
            </w:r>
          </w:p>
        </w:tc>
      </w:tr>
      <w:tr>
        <w:trPr>
          <w:trHeight w:val="28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39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定</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200803</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年第三季度报告》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2008-10-25</w:t>
            </w:r>
          </w:p>
        </w:tc>
      </w:tr>
      <w:tr>
        <w:trPr>
          <w:trHeight w:val="283"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40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036</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《第一届董事会第二十次（临时）会议决议公告》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2008-10-25</w:t>
            </w:r>
          </w:p>
        </w:tc>
      </w:tr>
      <w:tr>
        <w:trPr>
          <w:trHeight w:val="28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41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037</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《对外投资公告》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2008-10-25</w:t>
            </w:r>
          </w:p>
        </w:tc>
      </w:tr>
      <w:tr>
        <w:trPr>
          <w:trHeight w:val="28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42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038</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《关于部分募投项目竣工投产的公告》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2008-12-17</w:t>
            </w:r>
          </w:p>
        </w:tc>
      </w:tr>
      <w:tr>
        <w:trPr>
          <w:trHeight w:val="283"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43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039</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《第一届董事会第二十一次（临时）会议决议公告》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2008-12-20</w:t>
            </w:r>
          </w:p>
        </w:tc>
      </w:tr>
      <w:tr>
        <w:trPr>
          <w:trHeight w:val="28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44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040</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《第一届监事会第十五次（临时）会议决议公告》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2008-12-20</w:t>
            </w:r>
          </w:p>
        </w:tc>
      </w:tr>
      <w:tr>
        <w:trPr>
          <w:trHeight w:val="28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45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041</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《关于变更部分募集资金投向的公告》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2008-12-20</w:t>
            </w:r>
          </w:p>
        </w:tc>
      </w:tr>
      <w:tr>
        <w:trPr>
          <w:trHeight w:val="28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46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042</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《关于房屋租赁和物业管理合同续约的关联交易公告》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2008-12</w:t>
            </w:r>
            <w:r>
              <w:rPr>
                <w:rFonts w:ascii="Times New Roman"/>
                <w:spacing w:val="-3"/>
                <w:sz w:val="21"/>
              </w:rPr>
              <w:t> </w:t>
            </w:r>
            <w:r>
              <w:rPr>
                <w:rFonts w:ascii="Times New Roman"/>
                <w:sz w:val="21"/>
              </w:rPr>
              <w:t>-20</w:t>
            </w:r>
          </w:p>
        </w:tc>
      </w:tr>
      <w:tr>
        <w:trPr>
          <w:trHeight w:val="283"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47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043</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年第一次临时股东大会的通知公告》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2008-12-20</w:t>
            </w:r>
          </w:p>
        </w:tc>
      </w:tr>
      <w:tr>
        <w:trPr>
          <w:trHeight w:val="28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48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044</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《关于控股子公司完成注册的公告》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2009-1-5</w:t>
            </w:r>
          </w:p>
        </w:tc>
      </w:tr>
      <w:tr>
        <w:trPr>
          <w:trHeight w:val="283"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49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045</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《关于选举职工代表监事的公告》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2009-1-5</w:t>
            </w:r>
          </w:p>
        </w:tc>
      </w:tr>
    </w:tbl>
    <w:p>
      <w:pPr>
        <w:spacing w:line="240" w:lineRule="auto" w:before="0"/>
        <w:rPr>
          <w:rFonts w:ascii="宋体" w:hAnsi="宋体" w:cs="宋体" w:eastAsia="宋体" w:hint="default"/>
          <w:sz w:val="20"/>
          <w:szCs w:val="20"/>
        </w:rPr>
      </w:pPr>
    </w:p>
    <w:p>
      <w:pPr>
        <w:pStyle w:val="Heading2"/>
        <w:spacing w:line="240" w:lineRule="auto" w:before="174"/>
        <w:ind w:left="340" w:right="136"/>
        <w:jc w:val="left"/>
        <w:rPr>
          <w:b w:val="0"/>
          <w:bCs w:val="0"/>
        </w:rPr>
      </w:pPr>
      <w:r>
        <w:rPr/>
        <w:t>十三、报告期内，公司无其他重要事项。</w:t>
      </w:r>
      <w:r>
        <w:rPr>
          <w:b w:val="0"/>
          <w:bCs w:val="0"/>
        </w:rPr>
      </w:r>
    </w:p>
    <w:p>
      <w:pPr>
        <w:spacing w:line="240" w:lineRule="auto" w:before="0"/>
        <w:rPr>
          <w:rFonts w:ascii="宋体" w:hAnsi="宋体" w:cs="宋体" w:eastAsia="宋体" w:hint="default"/>
          <w:b/>
          <w:bCs/>
          <w:sz w:val="28"/>
          <w:szCs w:val="28"/>
        </w:rPr>
      </w:pPr>
    </w:p>
    <w:p>
      <w:pPr>
        <w:spacing w:line="240" w:lineRule="auto" w:before="9"/>
        <w:rPr>
          <w:rFonts w:ascii="宋体" w:hAnsi="宋体" w:cs="宋体" w:eastAsia="宋体" w:hint="default"/>
          <w:b/>
          <w:bCs/>
          <w:sz w:val="35"/>
          <w:szCs w:val="35"/>
        </w:rPr>
      </w:pPr>
    </w:p>
    <w:p>
      <w:pPr>
        <w:pStyle w:val="Heading1"/>
        <w:spacing w:line="240" w:lineRule="auto" w:before="0"/>
        <w:ind w:left="3270" w:right="3269"/>
        <w:jc w:val="center"/>
        <w:rPr>
          <w:b w:val="0"/>
          <w:bCs w:val="0"/>
        </w:rPr>
      </w:pPr>
      <w:r>
        <w:rPr/>
        <w:t>第十节</w:t>
      </w:r>
      <w:r>
        <w:rPr>
          <w:spacing w:val="-5"/>
        </w:rPr>
        <w:t> </w:t>
      </w:r>
      <w:r>
        <w:rPr/>
        <w:t>财务报告</w:t>
      </w:r>
      <w:r>
        <w:rPr>
          <w:b w:val="0"/>
          <w:bCs w:val="0"/>
        </w:rPr>
      </w:r>
    </w:p>
    <w:p>
      <w:pPr>
        <w:spacing w:line="240" w:lineRule="auto" w:before="7"/>
        <w:rPr>
          <w:rFonts w:ascii="宋体" w:hAnsi="宋体" w:cs="宋体" w:eastAsia="宋体" w:hint="default"/>
          <w:b/>
          <w:bCs/>
          <w:sz w:val="38"/>
          <w:szCs w:val="38"/>
        </w:rPr>
      </w:pPr>
    </w:p>
    <w:p>
      <w:pPr>
        <w:pStyle w:val="Heading2"/>
        <w:spacing w:line="240" w:lineRule="auto"/>
        <w:ind w:left="340" w:right="136"/>
        <w:jc w:val="left"/>
        <w:rPr>
          <w:b w:val="0"/>
          <w:bCs w:val="0"/>
        </w:rPr>
      </w:pPr>
      <w:r>
        <w:rPr/>
        <w:t>一、审计报告（全文附后）</w:t>
      </w:r>
      <w:r>
        <w:rPr>
          <w:b w:val="0"/>
          <w:bCs w:val="0"/>
        </w:rPr>
      </w:r>
    </w:p>
    <w:p>
      <w:pPr>
        <w:pStyle w:val="BodyText"/>
        <w:spacing w:line="240" w:lineRule="auto" w:before="127"/>
        <w:ind w:left="760" w:right="136"/>
        <w:jc w:val="left"/>
      </w:pPr>
      <w:r>
        <w:rPr/>
        <w:t>立信羊城会计师事务所有限公司对公司</w:t>
      </w:r>
      <w:r>
        <w:rPr>
          <w:spacing w:val="-4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年年度财务报告出具了标准无保留意见的</w:t>
      </w:r>
    </w:p>
    <w:p>
      <w:pPr>
        <w:pStyle w:val="BodyText"/>
        <w:spacing w:line="240" w:lineRule="auto"/>
        <w:ind w:left="340" w:right="136"/>
        <w:jc w:val="left"/>
      </w:pPr>
      <w:r>
        <w:rPr/>
        <w:t>审计报告</w:t>
      </w:r>
      <w:r>
        <w:rPr>
          <w:spacing w:val="-105"/>
        </w:rPr>
        <w:t>。</w:t>
      </w:r>
      <w:r>
        <w:rPr>
          <w:spacing w:val="-106"/>
        </w:rPr>
        <w:t>（</w:t>
      </w:r>
      <w:r>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9</w:t>
      </w:r>
      <w:r>
        <w:rPr/>
        <w:t>】羊</w:t>
      </w:r>
      <w:r>
        <w:rPr>
          <w:spacing w:val="-2"/>
        </w:rPr>
        <w:t>查</w:t>
      </w:r>
      <w:r>
        <w:rPr/>
        <w:t>字第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5</w:t>
      </w:r>
      <w:r>
        <w:rPr>
          <w:rFonts w:ascii="Times New Roman" w:hAnsi="Times New Roman" w:cs="Times New Roman" w:eastAsia="Times New Roman" w:hint="default"/>
        </w:rPr>
        <w:t>7</w:t>
      </w:r>
      <w:r>
        <w:rPr>
          <w:rFonts w:ascii="Times New Roman" w:hAnsi="Times New Roman" w:cs="Times New Roman" w:eastAsia="Times New Roman" w:hint="default"/>
          <w:spacing w:val="-1"/>
        </w:rPr>
        <w:t>6</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spacing w:val="-105"/>
        </w:rPr>
        <w:t>）</w:t>
      </w:r>
      <w:r>
        <w:rPr/>
        <w:t>。</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7"/>
          <w:szCs w:val="17"/>
        </w:rPr>
      </w:pPr>
    </w:p>
    <w:p>
      <w:pPr>
        <w:pStyle w:val="Heading2"/>
        <w:spacing w:line="240" w:lineRule="auto"/>
        <w:ind w:left="340" w:right="136"/>
        <w:jc w:val="left"/>
        <w:rPr>
          <w:b w:val="0"/>
          <w:bCs w:val="0"/>
        </w:rPr>
      </w:pPr>
      <w:r>
        <w:rPr/>
        <w:t>二、经审计的会计报表及其附注（全文附后）</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0" w:footer="982" w:top="1100" w:bottom="1180" w:left="1460" w:right="1460"/>
        </w:sectPr>
      </w:pPr>
    </w:p>
    <w:p>
      <w:pPr>
        <w:pStyle w:val="Heading2"/>
        <w:spacing w:line="240" w:lineRule="auto" w:before="13"/>
        <w:ind w:left="0" w:right="0"/>
        <w:jc w:val="right"/>
        <w:rPr>
          <w:b w:val="0"/>
          <w:bCs w:val="0"/>
        </w:rPr>
      </w:pPr>
      <w:r>
        <w:rPr>
          <w:w w:val="95"/>
        </w:rPr>
        <w:t>审计报告</w:t>
      </w:r>
      <w:r>
        <w:rPr>
          <w:b w:val="0"/>
          <w:bCs w:val="0"/>
        </w:rPr>
      </w:r>
    </w:p>
    <w:p>
      <w:pPr>
        <w:spacing w:line="240" w:lineRule="auto" w:before="8"/>
        <w:rPr>
          <w:rFonts w:ascii="宋体" w:hAnsi="宋体" w:cs="宋体" w:eastAsia="宋体" w:hint="default"/>
          <w:b/>
          <w:bCs/>
          <w:sz w:val="29"/>
          <w:szCs w:val="29"/>
        </w:rPr>
      </w:pPr>
      <w:r>
        <w:rPr/>
        <w:br w:type="column"/>
      </w:r>
      <w:r>
        <w:rPr>
          <w:rFonts w:ascii="宋体"/>
          <w:b/>
          <w:sz w:val="29"/>
        </w:rPr>
      </w:r>
    </w:p>
    <w:p>
      <w:pPr>
        <w:pStyle w:val="BodyText"/>
        <w:spacing w:line="240" w:lineRule="auto" w:before="0"/>
        <w:ind w:left="1030" w:right="0"/>
        <w:jc w:val="left"/>
      </w:pPr>
      <w:r>
        <w:rPr/>
        <w:t>【</w:t>
      </w:r>
      <w:r>
        <w:rPr>
          <w:rFonts w:ascii="Times New Roman" w:hAnsi="Times New Roman" w:cs="Times New Roman" w:eastAsia="Times New Roman" w:hint="default"/>
        </w:rPr>
        <w:t>2009</w:t>
      </w:r>
      <w:r>
        <w:rPr/>
        <w:t>】羊查字第</w:t>
      </w:r>
      <w:r>
        <w:rPr>
          <w:spacing w:val="-56"/>
        </w:rPr>
        <w:t> </w:t>
      </w:r>
      <w:r>
        <w:rPr>
          <w:rFonts w:ascii="Times New Roman" w:hAnsi="Times New Roman" w:cs="Times New Roman" w:eastAsia="Times New Roman" w:hint="default"/>
        </w:rPr>
        <w:t>15765</w:t>
      </w:r>
      <w:r>
        <w:rPr>
          <w:rFonts w:ascii="Times New Roman" w:hAnsi="Times New Roman" w:cs="Times New Roman" w:eastAsia="Times New Roman" w:hint="default"/>
          <w:spacing w:val="-3"/>
        </w:rPr>
        <w:t> </w:t>
      </w:r>
      <w:r>
        <w:rPr/>
        <w:t>号</w:t>
      </w:r>
    </w:p>
    <w:p>
      <w:pPr>
        <w:spacing w:after="0" w:line="240" w:lineRule="auto"/>
        <w:jc w:val="left"/>
        <w:sectPr>
          <w:type w:val="continuous"/>
          <w:pgSz w:w="11910" w:h="16840"/>
          <w:pgMar w:top="1600" w:bottom="280" w:left="1460" w:right="1460"/>
          <w:cols w:num="2" w:equalWidth="0">
            <w:col w:w="5055" w:space="40"/>
            <w:col w:w="3895"/>
          </w:cols>
        </w:sectPr>
      </w:pPr>
    </w:p>
    <w:p>
      <w:pPr>
        <w:spacing w:line="240" w:lineRule="auto" w:before="12"/>
        <w:rPr>
          <w:rFonts w:ascii="宋体" w:hAnsi="宋体" w:cs="宋体" w:eastAsia="宋体" w:hint="default"/>
          <w:sz w:val="18"/>
          <w:szCs w:val="18"/>
        </w:rPr>
      </w:pPr>
    </w:p>
    <w:p>
      <w:pPr>
        <w:spacing w:line="326" w:lineRule="auto" w:before="35"/>
        <w:ind w:left="760" w:right="224" w:hanging="420"/>
        <w:jc w:val="left"/>
        <w:rPr>
          <w:rFonts w:ascii="宋体" w:hAnsi="宋体" w:cs="宋体" w:eastAsia="宋体" w:hint="default"/>
          <w:sz w:val="21"/>
          <w:szCs w:val="21"/>
        </w:rPr>
      </w:pPr>
      <w:r>
        <w:rPr>
          <w:rFonts w:ascii="宋体" w:hAnsi="宋体" w:cs="宋体" w:eastAsia="宋体" w:hint="default"/>
          <w:b/>
          <w:bCs/>
          <w:sz w:val="21"/>
          <w:szCs w:val="21"/>
        </w:rPr>
        <w:t>广州广电运通金融电子股份有限公司全体股东：</w:t>
      </w:r>
      <w:r>
        <w:rPr>
          <w:rFonts w:ascii="宋体" w:hAnsi="宋体" w:cs="宋体" w:eastAsia="宋体" w:hint="default"/>
          <w:b/>
          <w:bCs/>
          <w:w w:val="99"/>
          <w:sz w:val="21"/>
          <w:szCs w:val="21"/>
        </w:rPr>
        <w:t> </w:t>
      </w:r>
      <w:r>
        <w:rPr>
          <w:rFonts w:ascii="宋体" w:hAnsi="宋体" w:cs="宋体" w:eastAsia="宋体" w:hint="default"/>
          <w:sz w:val="21"/>
          <w:szCs w:val="21"/>
        </w:rPr>
        <w:t>我们审计了后附的广州广电运通金融电子股份有限公司（以下简称贵公司）财务报表，</w:t>
      </w:r>
    </w:p>
    <w:p>
      <w:pPr>
        <w:pStyle w:val="BodyText"/>
        <w:spacing w:line="253" w:lineRule="exact" w:before="0"/>
        <w:ind w:left="340" w:right="136"/>
        <w:jc w:val="left"/>
      </w:pPr>
      <w:r>
        <w:rPr/>
        <w:t>包括</w:t>
      </w:r>
      <w:r>
        <w:rPr>
          <w:spacing w:val="-6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日的合并及母公司资产负债表，</w:t>
      </w: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年度的合并及母公司利润表、合</w:t>
      </w:r>
    </w:p>
    <w:p>
      <w:pPr>
        <w:pStyle w:val="BodyText"/>
        <w:spacing w:line="240" w:lineRule="auto" w:before="22"/>
        <w:ind w:left="339" w:right="136"/>
        <w:jc w:val="left"/>
      </w:pPr>
      <w:r>
        <w:rPr/>
        <w:t>并及母公司现金流量表、合并及母公司股东权益变动表以及财务报表附注。</w:t>
      </w:r>
    </w:p>
    <w:p>
      <w:pPr>
        <w:spacing w:line="240" w:lineRule="auto" w:before="0"/>
        <w:rPr>
          <w:rFonts w:ascii="宋体" w:hAnsi="宋体" w:cs="宋体" w:eastAsia="宋体" w:hint="default"/>
          <w:sz w:val="20"/>
          <w:szCs w:val="20"/>
        </w:rPr>
      </w:pPr>
    </w:p>
    <w:p>
      <w:pPr>
        <w:spacing w:line="326" w:lineRule="auto" w:before="138"/>
        <w:ind w:left="759" w:right="354"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spacing w:val="1"/>
          <w:w w:val="99"/>
          <w:sz w:val="21"/>
          <w:szCs w:val="21"/>
        </w:rPr>
        <w:t> </w:t>
      </w:r>
      <w:r>
        <w:rPr>
          <w:rFonts w:ascii="宋体" w:hAnsi="宋体" w:cs="宋体" w:eastAsia="宋体" w:hint="default"/>
          <w:spacing w:val="-6"/>
          <w:sz w:val="21"/>
          <w:szCs w:val="21"/>
        </w:rPr>
        <w:t>按照企业会计准则的规定编制财务报表是贵公司管理层的责任。这种责任包括：（</w:t>
      </w: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）设</w:t>
      </w:r>
      <w:r>
        <w:rPr>
          <w:rFonts w:ascii="宋体" w:hAnsi="宋体" w:cs="宋体" w:eastAsia="宋体" w:hint="default"/>
          <w:sz w:val="21"/>
          <w:szCs w:val="21"/>
        </w:rPr>
      </w:r>
    </w:p>
    <w:p>
      <w:pPr>
        <w:pStyle w:val="BodyText"/>
        <w:spacing w:line="213" w:lineRule="exact" w:before="0"/>
        <w:ind w:left="339" w:right="136"/>
        <w:jc w:val="left"/>
      </w:pPr>
      <w:r>
        <w:rPr>
          <w:spacing w:val="-3"/>
        </w:rPr>
        <w:t>计、实施和维护与财务报表编制相关的内部控制，以使财务报表不存在由于舞弊或错误而导</w:t>
      </w:r>
    </w:p>
    <w:p>
      <w:pPr>
        <w:pStyle w:val="BodyText"/>
        <w:spacing w:line="240" w:lineRule="auto" w:before="38"/>
        <w:ind w:left="339" w:right="136"/>
        <w:jc w:val="left"/>
      </w:pPr>
      <w:r>
        <w:rPr/>
        <w:t>致的重大错报</w:t>
      </w:r>
      <w:r>
        <w:rPr>
          <w:spacing w:val="-105"/>
        </w:rPr>
        <w:t>；</w:t>
      </w:r>
      <w:r>
        <w:rPr/>
        <w:t>（</w:t>
      </w:r>
      <w:r>
        <w:rPr>
          <w:rFonts w:ascii="Times New Roman" w:hAnsi="Times New Roman" w:cs="Times New Roman" w:eastAsia="Times New Roman" w:hint="default"/>
        </w:rPr>
        <w:t>2</w:t>
      </w:r>
      <w:r>
        <w:rPr/>
        <w:t>）</w:t>
      </w:r>
      <w:r>
        <w:rPr>
          <w:spacing w:val="-2"/>
        </w:rPr>
        <w:t>选</w:t>
      </w:r>
      <w:r>
        <w:rPr/>
        <w:t>择和运用恰当的会计政策</w:t>
      </w:r>
      <w:r>
        <w:rPr>
          <w:spacing w:val="-105"/>
        </w:rPr>
        <w:t>；</w:t>
      </w:r>
      <w:r>
        <w:rPr/>
        <w:t>（</w:t>
      </w:r>
      <w:r>
        <w:rPr>
          <w:rFonts w:ascii="Times New Roman" w:hAnsi="Times New Roman" w:cs="Times New Roman" w:eastAsia="Times New Roman" w:hint="default"/>
        </w:rPr>
        <w:t>3</w:t>
      </w:r>
      <w:r>
        <w:rPr/>
        <w:t>）</w:t>
      </w:r>
      <w:r>
        <w:rPr>
          <w:spacing w:val="-2"/>
        </w:rPr>
        <w:t>作</w:t>
      </w:r>
      <w:r>
        <w:rPr/>
        <w:t>出合理的会计估计。</w:t>
      </w:r>
    </w:p>
    <w:p>
      <w:pPr>
        <w:spacing w:after="0" w:line="240" w:lineRule="auto"/>
        <w:jc w:val="left"/>
        <w:sectPr>
          <w:type w:val="continuous"/>
          <w:pgSz w:w="11910" w:h="16840"/>
          <w:pgMar w:top="1600" w:bottom="280" w:left="1460" w:right="1460"/>
        </w:sectPr>
      </w:pPr>
    </w:p>
    <w:p>
      <w:pPr>
        <w:spacing w:line="240" w:lineRule="auto" w:before="1"/>
        <w:rPr>
          <w:rFonts w:ascii="宋体" w:hAnsi="宋体" w:cs="宋体" w:eastAsia="宋体" w:hint="default"/>
          <w:sz w:val="19"/>
          <w:szCs w:val="19"/>
        </w:rPr>
      </w:pPr>
    </w:p>
    <w:p>
      <w:pPr>
        <w:spacing w:line="326" w:lineRule="auto" w:before="35"/>
        <w:ind w:left="560" w:right="102" w:firstLine="2"/>
        <w:jc w:val="left"/>
        <w:rPr>
          <w:rFonts w:ascii="宋体" w:hAnsi="宋体" w:cs="宋体" w:eastAsia="宋体" w:hint="default"/>
          <w:sz w:val="21"/>
          <w:szCs w:val="21"/>
        </w:rPr>
      </w:pPr>
      <w:r>
        <w:rPr>
          <w:rFonts w:ascii="宋体" w:hAnsi="宋体" w:cs="宋体" w:eastAsia="宋体" w:hint="default"/>
          <w:b/>
          <w:bCs/>
          <w:sz w:val="21"/>
          <w:szCs w:val="21"/>
        </w:rPr>
        <w:t>二、注册会计师的责任</w:t>
      </w:r>
      <w:r>
        <w:rPr>
          <w:rFonts w:ascii="宋体" w:hAnsi="宋体" w:cs="宋体" w:eastAsia="宋体" w:hint="default"/>
          <w:b/>
          <w:bCs/>
          <w:w w:val="99"/>
          <w:sz w:val="21"/>
          <w:szCs w:val="21"/>
        </w:rPr>
        <w:t> </w:t>
      </w:r>
      <w:r>
        <w:rPr>
          <w:rFonts w:ascii="宋体" w:hAnsi="宋体" w:cs="宋体" w:eastAsia="宋体" w:hint="default"/>
          <w:spacing w:val="-3"/>
          <w:sz w:val="21"/>
          <w:szCs w:val="21"/>
        </w:rPr>
        <w:t>我们的责任是在实施审计工作的基础上对财务报表发表审计意见。我们按照中国注册会</w:t>
      </w:r>
    </w:p>
    <w:p>
      <w:pPr>
        <w:pStyle w:val="BodyText"/>
        <w:spacing w:line="238" w:lineRule="exact" w:before="0"/>
        <w:ind w:right="102"/>
        <w:jc w:val="left"/>
      </w:pPr>
      <w:r>
        <w:rPr>
          <w:spacing w:val="2"/>
        </w:rPr>
        <w:t>计师审计准则的规定执行了审计工作。中国注册会计师审计准则要求我们遵守职业道德规</w:t>
      </w:r>
    </w:p>
    <w:p>
      <w:pPr>
        <w:pStyle w:val="BodyText"/>
        <w:spacing w:line="326" w:lineRule="auto" w:before="38"/>
        <w:ind w:left="560" w:right="102" w:hanging="420"/>
        <w:jc w:val="left"/>
      </w:pPr>
      <w:r>
        <w:rPr/>
        <w:t>范，计划和实施审计工作以对财务报表是否不存在重大错报获取合理保证。 </w:t>
      </w:r>
      <w:r>
        <w:rPr>
          <w:spacing w:val="-3"/>
        </w:rPr>
        <w:t>审计工作涉及实施审计程序，以获取有关财务报表金额和披露的审计证据。选择的审计</w:t>
      </w:r>
    </w:p>
    <w:p>
      <w:pPr>
        <w:pStyle w:val="BodyText"/>
        <w:spacing w:line="238" w:lineRule="exact" w:before="0"/>
        <w:ind w:right="102"/>
        <w:jc w:val="left"/>
      </w:pPr>
      <w:r>
        <w:rPr>
          <w:spacing w:val="2"/>
        </w:rPr>
        <w:t>程序取决于注册会计师的判断，包括对由于舞弊或错误导致的财务报表重大错报风险的评</w:t>
      </w:r>
    </w:p>
    <w:p>
      <w:pPr>
        <w:pStyle w:val="BodyText"/>
        <w:spacing w:line="273" w:lineRule="auto" w:before="38"/>
        <w:ind w:right="100" w:hanging="1"/>
        <w:jc w:val="left"/>
      </w:pPr>
      <w:r>
        <w:rPr>
          <w:spacing w:val="-5"/>
        </w:rPr>
        <w:t>估。在进行风险评估时，我们考虑与财务报表编制相关的内部控制，以设计恰当的审计程序，</w:t>
      </w:r>
      <w:r>
        <w:rPr>
          <w:spacing w:val="-98"/>
        </w:rPr>
        <w:t> </w:t>
      </w:r>
      <w:r>
        <w:rPr>
          <w:spacing w:val="-98"/>
        </w:rPr>
      </w:r>
      <w:r>
        <w:rPr>
          <w:spacing w:val="-3"/>
        </w:rPr>
        <w:t>但目的并非对内部控制的有效性发表意见。审计工作还包括评价管理层选用会计政策的恰当</w:t>
      </w:r>
      <w:r>
        <w:rPr>
          <w:spacing w:val="-80"/>
        </w:rPr>
        <w:t> </w:t>
      </w:r>
      <w:r>
        <w:rPr>
          <w:spacing w:val="-80"/>
        </w:rPr>
      </w:r>
      <w:r>
        <w:rPr/>
        <w:t>性和作出会计估计的合理性，以及评价财务报表的总体列报。</w:t>
      </w:r>
    </w:p>
    <w:p>
      <w:pPr>
        <w:pStyle w:val="BodyText"/>
        <w:spacing w:line="240" w:lineRule="auto" w:before="69"/>
        <w:ind w:left="560" w:right="102"/>
        <w:jc w:val="left"/>
      </w:pPr>
      <w:r>
        <w:rPr/>
        <w:t>我们相信，我们获取的审计证据是充分、适当的，为发表审计意见提供了基础。</w:t>
      </w:r>
    </w:p>
    <w:p>
      <w:pPr>
        <w:spacing w:line="240" w:lineRule="auto" w:before="0"/>
        <w:rPr>
          <w:rFonts w:ascii="宋体" w:hAnsi="宋体" w:cs="宋体" w:eastAsia="宋体" w:hint="default"/>
          <w:sz w:val="20"/>
          <w:szCs w:val="20"/>
        </w:rPr>
      </w:pPr>
    </w:p>
    <w:p>
      <w:pPr>
        <w:pStyle w:val="BodyText"/>
        <w:spacing w:line="326" w:lineRule="auto" w:before="138"/>
        <w:ind w:left="560" w:right="102" w:firstLine="2"/>
        <w:jc w:val="left"/>
      </w:pPr>
      <w:r>
        <w:rPr>
          <w:rFonts w:ascii="宋体" w:hAnsi="宋体" w:cs="宋体" w:eastAsia="宋体" w:hint="default"/>
          <w:b/>
          <w:bCs/>
        </w:rPr>
        <w:t>三、审计意见</w:t>
      </w:r>
      <w:r>
        <w:rPr>
          <w:rFonts w:ascii="宋体" w:hAnsi="宋体" w:cs="宋体" w:eastAsia="宋体" w:hint="default"/>
          <w:b/>
          <w:bCs/>
          <w:w w:val="99"/>
        </w:rPr>
        <w:t> </w:t>
      </w:r>
      <w:r>
        <w:rPr>
          <w:spacing w:val="-3"/>
        </w:rPr>
        <w:t>我们认为，贵公司财务报表已经按照企业会计准则的规定编制，在所有重大方面公允反</w:t>
      </w:r>
    </w:p>
    <w:p>
      <w:pPr>
        <w:pStyle w:val="BodyText"/>
        <w:spacing w:line="253" w:lineRule="exact" w:before="0"/>
        <w:ind w:left="562" w:right="102" w:hanging="423"/>
        <w:jc w:val="left"/>
      </w:pPr>
      <w:r>
        <w:rPr/>
        <w:t>映了贵公司</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日的财务状况以及</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年度的经营成果和现金流量。</w:t>
      </w:r>
    </w:p>
    <w:p>
      <w:pPr>
        <w:spacing w:line="240" w:lineRule="auto" w:before="2"/>
        <w:rPr>
          <w:rFonts w:ascii="宋体" w:hAnsi="宋体" w:cs="宋体" w:eastAsia="宋体" w:hint="default"/>
          <w:sz w:val="32"/>
          <w:szCs w:val="32"/>
        </w:rPr>
      </w:pPr>
    </w:p>
    <w:p>
      <w:pPr>
        <w:pStyle w:val="Heading4"/>
        <w:tabs>
          <w:tab w:pos="4869" w:val="left" w:leader="none"/>
        </w:tabs>
        <w:spacing w:line="326" w:lineRule="auto"/>
        <w:ind w:left="4883" w:right="1462" w:hanging="4321"/>
        <w:jc w:val="left"/>
        <w:rPr>
          <w:b w:val="0"/>
          <w:bCs w:val="0"/>
        </w:rPr>
      </w:pPr>
      <w:r>
        <w:rPr>
          <w:w w:val="95"/>
        </w:rPr>
        <w:t>立信羊城会计师事务所有限公司</w:t>
        <w:tab/>
      </w:r>
      <w:r>
        <w:rPr/>
        <w:t>中国注册会计师：陈雄溢</w:t>
      </w:r>
      <w:r>
        <w:rPr>
          <w:w w:val="99"/>
        </w:rPr>
        <w:t> </w:t>
      </w:r>
      <w:r>
        <w:rPr/>
        <w:t>中国注册会计师：王建民</w:t>
      </w:r>
      <w:r>
        <w:rPr>
          <w:b w:val="0"/>
          <w:bCs w:val="0"/>
        </w:rPr>
      </w:r>
    </w:p>
    <w:p>
      <w:pPr>
        <w:spacing w:line="240" w:lineRule="auto" w:before="2"/>
        <w:rPr>
          <w:rFonts w:ascii="宋体" w:hAnsi="宋体" w:cs="宋体" w:eastAsia="宋体" w:hint="default"/>
          <w:b/>
          <w:bCs/>
          <w:sz w:val="20"/>
          <w:szCs w:val="20"/>
        </w:rPr>
      </w:pPr>
    </w:p>
    <w:p>
      <w:pPr>
        <w:pStyle w:val="BodyText"/>
        <w:tabs>
          <w:tab w:pos="1679" w:val="left" w:leader="none"/>
        </w:tabs>
        <w:spacing w:line="240" w:lineRule="auto" w:before="0"/>
        <w:ind w:left="0" w:right="77"/>
        <w:jc w:val="center"/>
      </w:pPr>
      <w:r>
        <w:rPr/>
        <w:t>中 国 • 广</w:t>
      </w:r>
      <w:r>
        <w:rPr>
          <w:spacing w:val="-2"/>
        </w:rPr>
        <w:t> </w:t>
      </w:r>
      <w:r>
        <w:rPr/>
        <w:t>州</w:t>
        <w:tab/>
        <w:t>二○○九年三月二十六日</w:t>
      </w:r>
    </w:p>
    <w:p>
      <w:pPr>
        <w:spacing w:after="0" w:line="240" w:lineRule="auto"/>
        <w:jc w:val="center"/>
        <w:sectPr>
          <w:pgSz w:w="11910" w:h="16840"/>
          <w:pgMar w:header="0" w:footer="982" w:top="1100" w:bottom="1180" w:left="1660" w:right="1580"/>
        </w:sectPr>
      </w:pPr>
    </w:p>
    <w:p>
      <w:pPr>
        <w:spacing w:line="240" w:lineRule="auto" w:before="7"/>
        <w:rPr>
          <w:rFonts w:ascii="宋体" w:hAnsi="宋体" w:cs="宋体" w:eastAsia="宋体" w:hint="default"/>
          <w:sz w:val="19"/>
          <w:szCs w:val="19"/>
        </w:rPr>
      </w:pPr>
    </w:p>
    <w:p>
      <w:pPr>
        <w:pStyle w:val="Heading3"/>
        <w:tabs>
          <w:tab w:pos="481" w:val="left" w:leader="none"/>
          <w:tab w:pos="963" w:val="left" w:leader="none"/>
          <w:tab w:pos="1445" w:val="left" w:leader="none"/>
          <w:tab w:pos="1926" w:val="left" w:leader="none"/>
        </w:tabs>
        <w:spacing w:line="240" w:lineRule="auto"/>
        <w:ind w:right="0"/>
        <w:jc w:val="center"/>
        <w:rPr>
          <w:b w:val="0"/>
          <w:bCs w:val="0"/>
        </w:rPr>
      </w:pPr>
      <w:r>
        <w:rPr>
          <w:w w:val="95"/>
        </w:rPr>
        <w:t>资</w:t>
        <w:tab/>
        <w:t>产</w:t>
        <w:tab/>
        <w:t>负</w:t>
        <w:tab/>
        <w:t>债</w:t>
        <w:tab/>
      </w:r>
      <w:r>
        <w:rPr/>
        <w:t>表</w:t>
      </w:r>
      <w:r>
        <w:rPr>
          <w:b w:val="0"/>
          <w:bCs w:val="0"/>
        </w:rPr>
      </w:r>
    </w:p>
    <w:p>
      <w:pPr>
        <w:spacing w:before="5"/>
        <w:ind w:left="0" w:right="0"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8"/>
        <w:rPr>
          <w:rFonts w:ascii="宋体" w:hAnsi="宋体" w:cs="宋体" w:eastAsia="宋体" w:hint="default"/>
          <w:sz w:val="14"/>
          <w:szCs w:val="14"/>
        </w:rPr>
      </w:pPr>
    </w:p>
    <w:p>
      <w:pPr>
        <w:tabs>
          <w:tab w:pos="7562" w:val="left" w:leader="none"/>
        </w:tabs>
        <w:spacing w:before="0"/>
        <w:ind w:left="2" w:right="0" w:firstLine="0"/>
        <w:jc w:val="center"/>
        <w:rPr>
          <w:rFonts w:ascii="宋体" w:hAnsi="宋体" w:cs="宋体" w:eastAsia="宋体" w:hint="default"/>
          <w:sz w:val="18"/>
          <w:szCs w:val="18"/>
        </w:rPr>
      </w:pPr>
      <w:r>
        <w:rPr>
          <w:rFonts w:ascii="宋体" w:hAnsi="宋体" w:cs="宋体" w:eastAsia="宋体" w:hint="default"/>
          <w:sz w:val="18"/>
          <w:szCs w:val="18"/>
        </w:rPr>
        <w:t>编制单位：广州广电运通金融电子股份有限公司</w:t>
        <w:tab/>
        <w:t>单位：元</w:t>
      </w:r>
    </w:p>
    <w:p>
      <w:pPr>
        <w:spacing w:line="240" w:lineRule="auto" w:before="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556"/>
        <w:gridCol w:w="1662"/>
        <w:gridCol w:w="1660"/>
        <w:gridCol w:w="1660"/>
        <w:gridCol w:w="1661"/>
      </w:tblGrid>
      <w:tr>
        <w:trPr>
          <w:trHeight w:val="454" w:hRule="exact"/>
        </w:trPr>
        <w:tc>
          <w:tcPr>
            <w:tcW w:w="2556" w:type="dxa"/>
            <w:vMerge w:val="restart"/>
            <w:tcBorders>
              <w:top w:val="single" w:sz="2" w:space="0" w:color="000000"/>
              <w:left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tabs>
                <w:tab w:pos="1772" w:val="left" w:leader="none"/>
              </w:tabs>
              <w:spacing w:line="240" w:lineRule="auto"/>
              <w:ind w:left="597" w:right="0"/>
              <w:jc w:val="left"/>
              <w:rPr>
                <w:rFonts w:ascii="宋体" w:hAnsi="宋体" w:cs="宋体" w:eastAsia="宋体" w:hint="default"/>
                <w:sz w:val="18"/>
                <w:szCs w:val="18"/>
              </w:rPr>
            </w:pPr>
            <w:r>
              <w:rPr>
                <w:rFonts w:ascii="宋体" w:hAnsi="宋体" w:cs="宋体" w:eastAsia="宋体" w:hint="default"/>
                <w:b/>
                <w:bCs/>
                <w:w w:val="95"/>
                <w:sz w:val="18"/>
                <w:szCs w:val="18"/>
              </w:rPr>
              <w:t>资</w:t>
              <w:tab/>
            </w:r>
            <w:r>
              <w:rPr>
                <w:rFonts w:ascii="宋体" w:hAnsi="宋体" w:cs="宋体" w:eastAsia="宋体" w:hint="default"/>
                <w:b/>
                <w:bCs/>
                <w:sz w:val="18"/>
                <w:szCs w:val="18"/>
              </w:rPr>
              <w:t>产</w:t>
            </w:r>
            <w:r>
              <w:rPr>
                <w:rFonts w:ascii="宋体" w:hAnsi="宋体" w:cs="宋体" w:eastAsia="宋体" w:hint="default"/>
                <w:sz w:val="18"/>
                <w:szCs w:val="18"/>
              </w:rPr>
            </w:r>
          </w:p>
        </w:tc>
        <w:tc>
          <w:tcPr>
            <w:tcW w:w="332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32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55" w:hRule="exact"/>
        </w:trPr>
        <w:tc>
          <w:tcPr>
            <w:tcW w:w="2556" w:type="dxa"/>
            <w:vMerge/>
            <w:tcBorders>
              <w:left w:val="single" w:sz="2" w:space="0" w:color="000000"/>
              <w:bottom w:val="single" w:sz="2" w:space="0" w:color="000000"/>
              <w:right w:val="single" w:sz="2" w:space="0" w:color="000000"/>
            </w:tcBorders>
          </w:tcPr>
          <w:p>
            <w:pP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1662"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974,066,748.35</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893,504,579.18</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784,458,913.83</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pacing w:val="-1"/>
                <w:sz w:val="18"/>
              </w:rPr>
              <w:t>724,648,460.34</w:t>
            </w:r>
          </w:p>
        </w:tc>
      </w:tr>
      <w:tr>
        <w:trPr>
          <w:trHeight w:val="341"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5,220,000.00</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5,220,000.00</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347,503,796.12</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334,724,523.58</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284,237,231.31</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pacing w:val="-1"/>
                <w:sz w:val="18"/>
              </w:rPr>
              <w:t>298,698,508.97</w:t>
            </w:r>
          </w:p>
        </w:tc>
      </w:tr>
      <w:tr>
        <w:trPr>
          <w:trHeight w:val="341"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8,312,749.71</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7,627,448.30</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6,123,312.56</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6,123,312.56</w:t>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r>
      <w:tr>
        <w:trPr>
          <w:trHeight w:val="341"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15,997,330.10</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10,719,834.40</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15,132,613.36</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pacing w:val="-1"/>
                <w:sz w:val="18"/>
              </w:rPr>
              <w:t>11,087,241.89</w:t>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512,615,378.68</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507,830,716.98</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412,073,714.05</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pacing w:val="-1"/>
                <w:sz w:val="18"/>
              </w:rPr>
              <w:t>403,554,525.54</w:t>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r>
      <w:tr>
        <w:trPr>
          <w:trHeight w:val="341"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242,972.67</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733"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1,863,716,002.96</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1,759,627,102.44</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1,502,268,757.78</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1,444,112,049.30</w:t>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1662"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
        </w:tc>
      </w:tr>
      <w:tr>
        <w:trPr>
          <w:trHeight w:val="341"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r>
      <w:tr>
        <w:trPr>
          <w:trHeight w:val="341"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123,209,422.74</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95,532,442.74</w:t>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161,928,453.54</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101,175,165.44</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67,934,560.18</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pacing w:val="-1"/>
                <w:sz w:val="18"/>
              </w:rPr>
              <w:t>10,031,999.50</w:t>
            </w:r>
          </w:p>
        </w:tc>
      </w:tr>
      <w:tr>
        <w:trPr>
          <w:trHeight w:val="341"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29,089,247.50</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29,089,247.50</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24,780,092.60</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pacing w:val="-1"/>
                <w:sz w:val="18"/>
              </w:rPr>
              <w:t>24,780,092.60</w:t>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r>
      <w:tr>
        <w:trPr>
          <w:trHeight w:val="341"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14,307,096.26</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14,283,762.97</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9,372,344.18</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pacing w:val="-1"/>
                <w:sz w:val="18"/>
              </w:rPr>
              <w:t>9,339,210.85</w:t>
            </w:r>
          </w:p>
        </w:tc>
      </w:tr>
      <w:tr>
        <w:trPr>
          <w:trHeight w:val="341"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946,852.52</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946,852.52</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946,852.52</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946,852.52</w:t>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长摊待摊费用</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691,187.16</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691,187.16</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981,398.59</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981,398.59</w:t>
            </w:r>
          </w:p>
        </w:tc>
      </w:tr>
      <w:tr>
        <w:trPr>
          <w:trHeight w:val="341"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7,297,950.89</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6,073,178.40</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7,247,065.97</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pacing w:val="-1"/>
                <w:sz w:val="18"/>
              </w:rPr>
              <w:t>6,459,366.15</w:t>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r>
      <w:tr>
        <w:trPr>
          <w:trHeight w:val="340"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643"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214,260,787.87</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275,468,816.73</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111,262,314.04</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148,071,362.95</w:t>
            </w:r>
          </w:p>
        </w:tc>
      </w:tr>
      <w:tr>
        <w:trPr>
          <w:trHeight w:val="341" w:hRule="exact"/>
        </w:trPr>
        <w:tc>
          <w:tcPr>
            <w:tcW w:w="25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2,077,976,790.83</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2,035,095,919.17</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1,613,531,071.82</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1,592,183,412.25</w:t>
            </w:r>
          </w:p>
        </w:tc>
      </w:tr>
    </w:tbl>
    <w:p>
      <w:pPr>
        <w:spacing w:line="240" w:lineRule="auto" w:before="1"/>
        <w:rPr>
          <w:rFonts w:ascii="宋体" w:hAnsi="宋体" w:cs="宋体" w:eastAsia="宋体" w:hint="default"/>
          <w:sz w:val="12"/>
          <w:szCs w:val="12"/>
        </w:rPr>
      </w:pPr>
    </w:p>
    <w:p>
      <w:pPr>
        <w:tabs>
          <w:tab w:pos="3259" w:val="left" w:leader="none"/>
          <w:tab w:pos="6679" w:val="left" w:leader="none"/>
        </w:tabs>
        <w:spacing w:before="44"/>
        <w:ind w:left="560" w:right="0" w:firstLine="0"/>
        <w:jc w:val="left"/>
        <w:rPr>
          <w:rFonts w:ascii="宋体" w:hAnsi="宋体" w:cs="宋体" w:eastAsia="宋体" w:hint="default"/>
          <w:sz w:val="18"/>
          <w:szCs w:val="18"/>
        </w:rPr>
      </w:pPr>
      <w:r>
        <w:rPr>
          <w:rFonts w:ascii="宋体" w:hAnsi="宋体" w:cs="宋体" w:eastAsia="宋体" w:hint="default"/>
          <w:sz w:val="18"/>
          <w:szCs w:val="18"/>
        </w:rPr>
        <w:t>法定代表人：赵友永</w:t>
        <w:tab/>
        <w:t>主管会计工作负责人：蒋春晨</w:t>
        <w:tab/>
        <w:t>会计机构负责人：符  昀</w:t>
      </w:r>
    </w:p>
    <w:p>
      <w:pPr>
        <w:spacing w:after="0"/>
        <w:jc w:val="left"/>
        <w:rPr>
          <w:rFonts w:ascii="宋体" w:hAnsi="宋体" w:cs="宋体" w:eastAsia="宋体" w:hint="default"/>
          <w:sz w:val="18"/>
          <w:szCs w:val="18"/>
        </w:rPr>
        <w:sectPr>
          <w:pgSz w:w="11910" w:h="16840"/>
          <w:pgMar w:header="0" w:footer="982" w:top="1100" w:bottom="1180" w:left="1240" w:right="1240"/>
        </w:sectPr>
      </w:pPr>
    </w:p>
    <w:p>
      <w:pPr>
        <w:spacing w:line="240" w:lineRule="auto" w:before="7"/>
        <w:rPr>
          <w:rFonts w:ascii="宋体" w:hAnsi="宋体" w:cs="宋体" w:eastAsia="宋体" w:hint="default"/>
          <w:sz w:val="19"/>
          <w:szCs w:val="19"/>
        </w:rPr>
      </w:pPr>
    </w:p>
    <w:p>
      <w:pPr>
        <w:pStyle w:val="Heading3"/>
        <w:tabs>
          <w:tab w:pos="483" w:val="left" w:leader="none"/>
          <w:tab w:pos="964" w:val="left" w:leader="none"/>
          <w:tab w:pos="1446" w:val="left" w:leader="none"/>
          <w:tab w:pos="1927" w:val="left" w:leader="none"/>
        </w:tabs>
        <w:spacing w:line="240" w:lineRule="auto"/>
        <w:ind w:left="2" w:right="0"/>
        <w:jc w:val="center"/>
        <w:rPr>
          <w:b w:val="0"/>
          <w:bCs w:val="0"/>
        </w:rPr>
      </w:pPr>
      <w:r>
        <w:rPr>
          <w:w w:val="95"/>
        </w:rPr>
        <w:t>资</w:t>
        <w:tab/>
        <w:t>产</w:t>
        <w:tab/>
        <w:t>负</w:t>
        <w:tab/>
        <w:t>债</w:t>
        <w:tab/>
      </w:r>
      <w:r>
        <w:rPr/>
        <w:t>表（续）</w:t>
      </w:r>
      <w:r>
        <w:rPr>
          <w:b w:val="0"/>
          <w:bCs w:val="0"/>
        </w:rPr>
      </w:r>
    </w:p>
    <w:p>
      <w:pPr>
        <w:spacing w:before="5"/>
        <w:ind w:left="0" w:right="0"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8"/>
        <w:rPr>
          <w:rFonts w:ascii="宋体" w:hAnsi="宋体" w:cs="宋体" w:eastAsia="宋体" w:hint="default"/>
          <w:sz w:val="14"/>
          <w:szCs w:val="14"/>
        </w:rPr>
      </w:pPr>
    </w:p>
    <w:p>
      <w:pPr>
        <w:tabs>
          <w:tab w:pos="7618" w:val="left" w:leader="none"/>
        </w:tabs>
        <w:spacing w:before="0"/>
        <w:ind w:left="1" w:right="0" w:firstLine="0"/>
        <w:jc w:val="center"/>
        <w:rPr>
          <w:rFonts w:ascii="宋体" w:hAnsi="宋体" w:cs="宋体" w:eastAsia="宋体" w:hint="default"/>
          <w:sz w:val="18"/>
          <w:szCs w:val="18"/>
        </w:rPr>
      </w:pPr>
      <w:r>
        <w:rPr>
          <w:rFonts w:ascii="宋体" w:hAnsi="宋体" w:cs="宋体" w:eastAsia="宋体" w:hint="default"/>
          <w:spacing w:val="-2"/>
          <w:sz w:val="18"/>
          <w:szCs w:val="18"/>
        </w:rPr>
        <w:t>编制单位：广州广电运通金融电子股份有限公司</w:t>
        <w:tab/>
      </w:r>
      <w:r>
        <w:rPr>
          <w:rFonts w:ascii="宋体" w:hAnsi="宋体" w:cs="宋体" w:eastAsia="宋体" w:hint="default"/>
          <w:spacing w:val="-9"/>
          <w:sz w:val="18"/>
          <w:szCs w:val="18"/>
        </w:rPr>
        <w:t>单位：元</w:t>
      </w:r>
    </w:p>
    <w:p>
      <w:pPr>
        <w:spacing w:line="240" w:lineRule="auto" w:before="2"/>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323"/>
        <w:gridCol w:w="1662"/>
        <w:gridCol w:w="1660"/>
        <w:gridCol w:w="1660"/>
        <w:gridCol w:w="1661"/>
      </w:tblGrid>
      <w:tr>
        <w:trPr>
          <w:trHeight w:val="454" w:hRule="exact"/>
        </w:trPr>
        <w:tc>
          <w:tcPr>
            <w:tcW w:w="3323" w:type="dxa"/>
            <w:vMerge w:val="restart"/>
            <w:tcBorders>
              <w:top w:val="single" w:sz="2" w:space="0" w:color="000000"/>
              <w:left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935" w:right="0"/>
              <w:jc w:val="left"/>
              <w:rPr>
                <w:rFonts w:ascii="宋体" w:hAnsi="宋体" w:cs="宋体" w:eastAsia="宋体" w:hint="default"/>
                <w:sz w:val="18"/>
                <w:szCs w:val="18"/>
              </w:rPr>
            </w:pPr>
            <w:r>
              <w:rPr>
                <w:rFonts w:ascii="宋体" w:hAnsi="宋体" w:cs="宋体" w:eastAsia="宋体" w:hint="default"/>
                <w:b/>
                <w:bCs/>
                <w:sz w:val="18"/>
                <w:szCs w:val="18"/>
              </w:rPr>
              <w:t>负债和所有者权益</w:t>
            </w:r>
            <w:r>
              <w:rPr>
                <w:rFonts w:ascii="宋体" w:hAnsi="宋体" w:cs="宋体" w:eastAsia="宋体" w:hint="default"/>
                <w:sz w:val="18"/>
                <w:szCs w:val="18"/>
              </w:rPr>
            </w:r>
          </w:p>
        </w:tc>
        <w:tc>
          <w:tcPr>
            <w:tcW w:w="332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32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55" w:hRule="exact"/>
        </w:trPr>
        <w:tc>
          <w:tcPr>
            <w:tcW w:w="3323" w:type="dxa"/>
            <w:vMerge/>
            <w:tcBorders>
              <w:left w:val="single" w:sz="2" w:space="0" w:color="000000"/>
              <w:bottom w:val="single" w:sz="2" w:space="0" w:color="000000"/>
              <w:right w:val="single" w:sz="2" w:space="0" w:color="000000"/>
            </w:tcBorders>
          </w:tcPr>
          <w:p>
            <w:pP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1662"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91,405,501.23</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91,405,501.23</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62,269,592.17</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62,269,592.17</w:t>
            </w: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5"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w:t>
            </w: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126,754,221.93</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126,754,221.93</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26,100,000.00</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26,100,000.00</w:t>
            </w: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162,485,574.59</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175,964,332.09</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266,161,441.15</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pacing w:val="-1"/>
                <w:sz w:val="18"/>
              </w:rPr>
              <w:t>266,154,111.15</w:t>
            </w: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247,453,092.19</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245,885,523.79</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136,460,686.83</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pacing w:val="-1"/>
                <w:sz w:val="18"/>
              </w:rPr>
              <w:t>135,072,193.70</w:t>
            </w: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29,480,794.78</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25,212,906.77</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32,705,166.39</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30,144,132.43</w:t>
            </w: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51,282,284.07</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47,354,079.70</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46,946,781.69</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45,571,164.39</w:t>
            </w: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5"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w:t>
            </w: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5"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w:t>
            </w: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13,000,026.98</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12,667,306.72</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4,744,671.98</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4,384,018.90</w:t>
            </w: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5"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w:t>
            </w: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w:t>
            </w: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721,861,495.77</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725,243,872.23</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575,388,340.21</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569,695,212.74</w:t>
            </w: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1662"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w:t>
            </w: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w:t>
            </w: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w:t>
            </w: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5"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w:t>
            </w: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w:t>
            </w: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w:t>
            </w: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5"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11,409,918.82</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11,409,918.82</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11,094,152.55</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11,094,152.55</w:t>
            </w: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1025"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11,409,918.82</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11,409,918.82</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11,094,152.55</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11,094,152.55</w:t>
            </w: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733,271,414.59</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736,653,791.05</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586,482,492.76</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580,789,365.29</w:t>
            </w: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b/>
                <w:bCs/>
                <w:spacing w:val="1"/>
                <w:w w:val="99"/>
                <w:sz w:val="18"/>
                <w:szCs w:val="18"/>
              </w:rPr>
              <w:t>所有</w:t>
            </w:r>
            <w:r>
              <w:rPr>
                <w:rFonts w:ascii="宋体" w:hAnsi="宋体" w:cs="宋体" w:eastAsia="宋体" w:hint="default"/>
                <w:b/>
                <w:bCs/>
                <w:spacing w:val="-1"/>
                <w:w w:val="99"/>
                <w:sz w:val="18"/>
                <w:szCs w:val="18"/>
              </w:rPr>
              <w:t>者</w:t>
            </w:r>
            <w:r>
              <w:rPr>
                <w:rFonts w:ascii="宋体" w:hAnsi="宋体" w:cs="宋体" w:eastAsia="宋体" w:hint="default"/>
                <w:b/>
                <w:bCs/>
                <w:spacing w:val="1"/>
                <w:w w:val="99"/>
                <w:sz w:val="18"/>
                <w:szCs w:val="18"/>
              </w:rPr>
              <w:t>权</w:t>
            </w:r>
            <w:r>
              <w:rPr>
                <w:rFonts w:ascii="宋体" w:hAnsi="宋体" w:cs="宋体" w:eastAsia="宋体" w:hint="default"/>
                <w:b/>
                <w:bCs/>
                <w:spacing w:val="-1"/>
                <w:w w:val="99"/>
                <w:sz w:val="18"/>
                <w:szCs w:val="18"/>
              </w:rPr>
              <w:t>益（</w:t>
            </w:r>
            <w:r>
              <w:rPr>
                <w:rFonts w:ascii="宋体" w:hAnsi="宋体" w:cs="宋体" w:eastAsia="宋体" w:hint="default"/>
                <w:b/>
                <w:bCs/>
                <w:spacing w:val="1"/>
                <w:w w:val="99"/>
                <w:sz w:val="18"/>
                <w:szCs w:val="18"/>
              </w:rPr>
              <w:t>或股</w:t>
            </w:r>
            <w:r>
              <w:rPr>
                <w:rFonts w:ascii="宋体" w:hAnsi="宋体" w:cs="宋体" w:eastAsia="宋体" w:hint="default"/>
                <w:b/>
                <w:bCs/>
                <w:spacing w:val="-1"/>
                <w:w w:val="99"/>
                <w:sz w:val="18"/>
                <w:szCs w:val="18"/>
              </w:rPr>
              <w:t>东</w:t>
            </w:r>
            <w:r>
              <w:rPr>
                <w:rFonts w:ascii="宋体" w:hAnsi="宋体" w:cs="宋体" w:eastAsia="宋体" w:hint="default"/>
                <w:b/>
                <w:bCs/>
                <w:spacing w:val="1"/>
                <w:w w:val="99"/>
                <w:sz w:val="18"/>
                <w:szCs w:val="18"/>
              </w:rPr>
              <w:t>权</w:t>
            </w:r>
            <w:r>
              <w:rPr>
                <w:rFonts w:ascii="宋体" w:hAnsi="宋体" w:cs="宋体" w:eastAsia="宋体" w:hint="default"/>
                <w:b/>
                <w:bCs/>
                <w:spacing w:val="-1"/>
                <w:w w:val="99"/>
                <w:sz w:val="18"/>
                <w:szCs w:val="18"/>
              </w:rPr>
              <w:t>益</w:t>
            </w:r>
            <w:r>
              <w:rPr>
                <w:rFonts w:ascii="宋体" w:hAnsi="宋体" w:cs="宋体" w:eastAsia="宋体" w:hint="default"/>
                <w:b/>
                <w:bCs/>
                <w:spacing w:val="-89"/>
                <w:w w:val="99"/>
                <w:sz w:val="18"/>
                <w:szCs w:val="18"/>
              </w:rPr>
              <w:t>）</w:t>
            </w:r>
            <w:r>
              <w:rPr>
                <w:rFonts w:ascii="宋体" w:hAnsi="宋体" w:cs="宋体" w:eastAsia="宋体" w:hint="default"/>
                <w:b/>
                <w:bCs/>
                <w:w w:val="99"/>
                <w:sz w:val="18"/>
                <w:szCs w:val="18"/>
              </w:rPr>
              <w:t>：</w:t>
            </w:r>
            <w:r>
              <w:rPr>
                <w:rFonts w:ascii="宋体" w:hAnsi="宋体" w:cs="宋体" w:eastAsia="宋体" w:hint="default"/>
                <w:sz w:val="18"/>
                <w:szCs w:val="18"/>
              </w:rPr>
            </w:r>
          </w:p>
        </w:tc>
        <w:tc>
          <w:tcPr>
            <w:tcW w:w="1662"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5"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285,118,020.00</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285,118,020.00</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142,559,010.00</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pacing w:val="-1"/>
                <w:sz w:val="18"/>
              </w:rPr>
              <w:t>142,559,010.00</w:t>
            </w: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415,635,447.56</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415,635,447.56</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558,194,457.56</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pacing w:val="-1"/>
                <w:sz w:val="18"/>
              </w:rPr>
              <w:t>558,194,457.56</w:t>
            </w: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w:t>
            </w: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67,743,819.53</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67,743,819.53</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36,187,831.21</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36,187,831.21</w:t>
            </w: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561,588,291.31</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529,944,841.03</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290,107,280.29</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pacing w:val="-1"/>
                <w:sz w:val="18"/>
              </w:rPr>
              <w:t>274,452,748.19</w:t>
            </w:r>
          </w:p>
        </w:tc>
      </w:tr>
      <w:tr>
        <w:trPr>
          <w:trHeight w:val="312"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285"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-80,202.16</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z w:val="18"/>
              </w:rPr>
              <w:t>-</w:t>
            </w:r>
          </w:p>
        </w:tc>
      </w:tr>
      <w:tr>
        <w:trPr>
          <w:trHeight w:val="571"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44"/>
              <w:ind w:left="105" w:right="12"/>
              <w:jc w:val="left"/>
              <w:rPr>
                <w:rFonts w:ascii="宋体" w:hAnsi="宋体" w:cs="宋体" w:eastAsia="宋体" w:hint="default"/>
                <w:sz w:val="18"/>
                <w:szCs w:val="18"/>
              </w:rPr>
            </w:pPr>
            <w:r>
              <w:rPr>
                <w:rFonts w:ascii="宋体" w:hAnsi="宋体" w:cs="宋体" w:eastAsia="宋体" w:hint="default"/>
                <w:b/>
                <w:bCs/>
                <w:spacing w:val="-3"/>
                <w:sz w:val="18"/>
                <w:szCs w:val="18"/>
              </w:rPr>
              <w:t>归属于母公司所有者权益（或股东权益）</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合计</w:t>
            </w:r>
            <w:r>
              <w:rPr>
                <w:rFonts w:ascii="宋体" w:hAnsi="宋体" w:cs="宋体" w:eastAsia="宋体" w:hint="default"/>
                <w:sz w:val="18"/>
                <w:szCs w:val="18"/>
              </w:rPr>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4"/>
              <w:jc w:val="right"/>
              <w:rPr>
                <w:rFonts w:ascii="宋体" w:hAnsi="宋体" w:cs="宋体" w:eastAsia="宋体" w:hint="default"/>
                <w:sz w:val="18"/>
                <w:szCs w:val="18"/>
              </w:rPr>
            </w:pPr>
            <w:r>
              <w:rPr>
                <w:rFonts w:ascii="宋体"/>
                <w:sz w:val="18"/>
              </w:rPr>
              <w:t>1,330,005,376.24</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3"/>
              <w:jc w:val="right"/>
              <w:rPr>
                <w:rFonts w:ascii="宋体" w:hAnsi="宋体" w:cs="宋体" w:eastAsia="宋体" w:hint="default"/>
                <w:sz w:val="18"/>
                <w:szCs w:val="18"/>
              </w:rPr>
            </w:pPr>
            <w:r>
              <w:rPr>
                <w:rFonts w:ascii="宋体"/>
                <w:sz w:val="18"/>
              </w:rPr>
              <w:t>1,298,442,128.12</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3"/>
              <w:jc w:val="right"/>
              <w:rPr>
                <w:rFonts w:ascii="宋体" w:hAnsi="宋体" w:cs="宋体" w:eastAsia="宋体" w:hint="default"/>
                <w:sz w:val="18"/>
                <w:szCs w:val="18"/>
              </w:rPr>
            </w:pPr>
            <w:r>
              <w:rPr>
                <w:rFonts w:ascii="宋体"/>
                <w:sz w:val="18"/>
              </w:rPr>
              <w:t>1,027,048,579.06</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4"/>
              <w:jc w:val="right"/>
              <w:rPr>
                <w:rFonts w:ascii="宋体" w:hAnsi="宋体" w:cs="宋体" w:eastAsia="宋体" w:hint="default"/>
                <w:sz w:val="18"/>
                <w:szCs w:val="18"/>
              </w:rPr>
            </w:pPr>
            <w:r>
              <w:rPr>
                <w:rFonts w:ascii="宋体"/>
                <w:sz w:val="18"/>
              </w:rPr>
              <w:t>1,011,394,046.96</w:t>
            </w:r>
          </w:p>
        </w:tc>
      </w:tr>
      <w:tr>
        <w:trPr>
          <w:trHeight w:val="341"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14,700,000.00</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w:t>
            </w:r>
          </w:p>
        </w:tc>
      </w:tr>
      <w:tr>
        <w:trPr>
          <w:trHeight w:val="340"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b/>
                <w:bCs/>
                <w:sz w:val="18"/>
                <w:szCs w:val="18"/>
              </w:rPr>
              <w:t>所有者权益（或股东权益）合计</w:t>
            </w:r>
            <w:r>
              <w:rPr>
                <w:rFonts w:ascii="宋体" w:hAnsi="宋体" w:cs="宋体" w:eastAsia="宋体" w:hint="default"/>
                <w:sz w:val="18"/>
                <w:szCs w:val="18"/>
              </w:rPr>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1,344,705,376.24</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1,298,442,128.12</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1,027,048,579.06</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1,011,394,046.96</w:t>
            </w:r>
          </w:p>
        </w:tc>
      </w:tr>
      <w:tr>
        <w:trPr>
          <w:trHeight w:val="340" w:hRule="exact"/>
        </w:trPr>
        <w:tc>
          <w:tcPr>
            <w:tcW w:w="33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b/>
                <w:bCs/>
                <w:sz w:val="18"/>
                <w:szCs w:val="18"/>
              </w:rPr>
              <w:t>负债和所有者（或股东权益）合计</w:t>
            </w:r>
            <w:r>
              <w:rPr>
                <w:rFonts w:ascii="宋体" w:hAnsi="宋体" w:cs="宋体" w:eastAsia="宋体" w:hint="default"/>
                <w:sz w:val="18"/>
                <w:szCs w:val="18"/>
              </w:rPr>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2,077,976,790.83</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2,035,095,919.17</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18"/>
                <w:szCs w:val="18"/>
              </w:rPr>
            </w:pPr>
            <w:r>
              <w:rPr>
                <w:rFonts w:ascii="宋体"/>
                <w:sz w:val="18"/>
              </w:rPr>
              <w:t>1,613,531,071.82</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18"/>
                <w:szCs w:val="18"/>
              </w:rPr>
            </w:pPr>
            <w:r>
              <w:rPr>
                <w:rFonts w:ascii="宋体"/>
                <w:sz w:val="18"/>
              </w:rPr>
              <w:t>1,592,183,412.25</w:t>
            </w:r>
          </w:p>
        </w:tc>
      </w:tr>
    </w:tbl>
    <w:p>
      <w:pPr>
        <w:spacing w:line="240" w:lineRule="auto" w:before="2"/>
        <w:rPr>
          <w:rFonts w:ascii="宋体" w:hAnsi="宋体" w:cs="宋体" w:eastAsia="宋体" w:hint="default"/>
          <w:sz w:val="12"/>
          <w:szCs w:val="12"/>
        </w:rPr>
      </w:pPr>
    </w:p>
    <w:p>
      <w:pPr>
        <w:tabs>
          <w:tab w:pos="3743" w:val="left" w:leader="none"/>
          <w:tab w:pos="7163" w:val="left" w:leader="none"/>
        </w:tabs>
        <w:spacing w:before="44"/>
        <w:ind w:left="1043" w:right="0" w:firstLine="0"/>
        <w:jc w:val="left"/>
        <w:rPr>
          <w:rFonts w:ascii="宋体" w:hAnsi="宋体" w:cs="宋体" w:eastAsia="宋体" w:hint="default"/>
          <w:sz w:val="18"/>
          <w:szCs w:val="18"/>
        </w:rPr>
      </w:pPr>
      <w:r>
        <w:rPr>
          <w:rFonts w:ascii="宋体" w:hAnsi="宋体" w:cs="宋体" w:eastAsia="宋体" w:hint="default"/>
          <w:sz w:val="18"/>
          <w:szCs w:val="18"/>
        </w:rPr>
        <w:t>法定代表人：赵友永</w:t>
        <w:tab/>
        <w:t>主管会计工作负责人：蒋春晨</w:t>
        <w:tab/>
        <w:t>会计机构负责人：符  昀</w:t>
      </w:r>
    </w:p>
    <w:p>
      <w:pPr>
        <w:spacing w:after="0"/>
        <w:jc w:val="left"/>
        <w:rPr>
          <w:rFonts w:ascii="宋体" w:hAnsi="宋体" w:cs="宋体" w:eastAsia="宋体" w:hint="default"/>
          <w:sz w:val="18"/>
          <w:szCs w:val="18"/>
        </w:rPr>
        <w:sectPr>
          <w:pgSz w:w="11910" w:h="16840"/>
          <w:pgMar w:header="0" w:footer="982" w:top="1100" w:bottom="1180" w:left="860" w:right="860"/>
        </w:sectPr>
      </w:pPr>
    </w:p>
    <w:p>
      <w:pPr>
        <w:spacing w:line="240" w:lineRule="auto" w:before="7"/>
        <w:rPr>
          <w:rFonts w:ascii="宋体" w:hAnsi="宋体" w:cs="宋体" w:eastAsia="宋体" w:hint="default"/>
          <w:sz w:val="19"/>
          <w:szCs w:val="19"/>
        </w:rPr>
      </w:pPr>
    </w:p>
    <w:p>
      <w:pPr>
        <w:pStyle w:val="Heading3"/>
        <w:tabs>
          <w:tab w:pos="481" w:val="left" w:leader="none"/>
          <w:tab w:pos="962" w:val="left" w:leader="none"/>
        </w:tabs>
        <w:spacing w:line="240" w:lineRule="auto"/>
        <w:ind w:right="0"/>
        <w:jc w:val="center"/>
        <w:rPr>
          <w:b w:val="0"/>
          <w:bCs w:val="0"/>
        </w:rPr>
      </w:pPr>
      <w:r>
        <w:rPr>
          <w:w w:val="95"/>
        </w:rPr>
        <w:t>利</w:t>
        <w:tab/>
        <w:t>润</w:t>
        <w:tab/>
      </w:r>
      <w:r>
        <w:rPr/>
        <w:t>表</w:t>
      </w:r>
      <w:r>
        <w:rPr>
          <w:b w:val="0"/>
          <w:bCs w:val="0"/>
        </w:rPr>
      </w:r>
    </w:p>
    <w:p>
      <w:pPr>
        <w:spacing w:before="5"/>
        <w:ind w:left="0" w:right="0"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spacing w:line="240" w:lineRule="auto" w:before="8"/>
        <w:rPr>
          <w:rFonts w:ascii="宋体" w:hAnsi="宋体" w:cs="宋体" w:eastAsia="宋体" w:hint="default"/>
          <w:sz w:val="14"/>
          <w:szCs w:val="14"/>
        </w:rPr>
      </w:pPr>
    </w:p>
    <w:p>
      <w:pPr>
        <w:tabs>
          <w:tab w:pos="7618" w:val="left" w:leader="none"/>
        </w:tabs>
        <w:spacing w:before="0"/>
        <w:ind w:left="1" w:right="0" w:firstLine="0"/>
        <w:jc w:val="center"/>
        <w:rPr>
          <w:rFonts w:ascii="宋体" w:hAnsi="宋体" w:cs="宋体" w:eastAsia="宋体" w:hint="default"/>
          <w:sz w:val="18"/>
          <w:szCs w:val="18"/>
        </w:rPr>
      </w:pPr>
      <w:r>
        <w:rPr>
          <w:rFonts w:ascii="宋体" w:hAnsi="宋体" w:cs="宋体" w:eastAsia="宋体" w:hint="default"/>
          <w:spacing w:val="-2"/>
          <w:sz w:val="18"/>
          <w:szCs w:val="18"/>
        </w:rPr>
        <w:t>编制单位：广州广电运通金融电子股份有限公司</w:t>
        <w:tab/>
      </w:r>
      <w:r>
        <w:rPr>
          <w:rFonts w:ascii="宋体" w:hAnsi="宋体" w:cs="宋体" w:eastAsia="宋体" w:hint="default"/>
          <w:spacing w:val="-9"/>
          <w:sz w:val="18"/>
          <w:szCs w:val="18"/>
        </w:rPr>
        <w:t>单位：元</w:t>
      </w:r>
    </w:p>
    <w:p>
      <w:pPr>
        <w:spacing w:line="240" w:lineRule="auto" w:before="2"/>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424"/>
        <w:gridCol w:w="1726"/>
        <w:gridCol w:w="1714"/>
        <w:gridCol w:w="1526"/>
        <w:gridCol w:w="1576"/>
      </w:tblGrid>
      <w:tr>
        <w:trPr>
          <w:trHeight w:val="510" w:hRule="exact"/>
        </w:trPr>
        <w:tc>
          <w:tcPr>
            <w:tcW w:w="3424" w:type="dxa"/>
            <w:vMerge w:val="restart"/>
            <w:tcBorders>
              <w:top w:val="single" w:sz="2" w:space="0" w:color="000000"/>
              <w:left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tabs>
                <w:tab w:pos="813" w:val="left" w:leader="none"/>
              </w:tabs>
              <w:spacing w:line="240" w:lineRule="auto"/>
              <w:ind w:right="1"/>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43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10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54" w:hRule="exact"/>
        </w:trPr>
        <w:tc>
          <w:tcPr>
            <w:tcW w:w="3424" w:type="dxa"/>
            <w:vMerge/>
            <w:tcBorders>
              <w:left w:val="single" w:sz="2" w:space="0" w:color="000000"/>
              <w:bottom w:val="single" w:sz="2" w:space="0" w:color="000000"/>
              <w:right w:val="single" w:sz="2" w:space="0" w:color="000000"/>
            </w:tcBorders>
          </w:tcPr>
          <w:p>
            <w:pP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c>
          <w:tcPr>
            <w:tcW w:w="15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5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6"/>
              <w:ind w:left="512"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left="105" w:right="0"/>
              <w:jc w:val="left"/>
              <w:rPr>
                <w:rFonts w:ascii="宋体" w:hAnsi="宋体" w:cs="宋体" w:eastAsia="宋体" w:hint="default"/>
                <w:sz w:val="18"/>
                <w:szCs w:val="18"/>
              </w:rPr>
            </w:pPr>
            <w:r>
              <w:rPr>
                <w:rFonts w:ascii="宋体" w:hAnsi="宋体" w:cs="宋体" w:eastAsia="宋体" w:hint="default"/>
                <w:b/>
                <w:bCs/>
                <w:sz w:val="18"/>
                <w:szCs w:val="18"/>
              </w:rPr>
              <w:t>一、营业收入</w:t>
            </w:r>
            <w:r>
              <w:rPr>
                <w:rFonts w:ascii="宋体" w:hAnsi="宋体" w:cs="宋体" w:eastAsia="宋体" w:hint="default"/>
                <w:sz w:val="18"/>
                <w:szCs w:val="18"/>
              </w:rPr>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1,199,979,552.72</w:t>
            </w:r>
          </w:p>
        </w:tc>
        <w:tc>
          <w:tcPr>
            <w:tcW w:w="1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1,137,925,592.54</w:t>
            </w:r>
          </w:p>
        </w:tc>
        <w:tc>
          <w:tcPr>
            <w:tcW w:w="15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2"/>
              <w:jc w:val="right"/>
              <w:rPr>
                <w:rFonts w:ascii="宋体" w:hAnsi="宋体" w:cs="宋体" w:eastAsia="宋体" w:hint="default"/>
                <w:sz w:val="18"/>
                <w:szCs w:val="18"/>
              </w:rPr>
            </w:pPr>
            <w:r>
              <w:rPr>
                <w:rFonts w:ascii="宋体"/>
                <w:sz w:val="18"/>
              </w:rPr>
              <w:t>780,896,518.60</w:t>
            </w:r>
          </w:p>
        </w:tc>
        <w:tc>
          <w:tcPr>
            <w:tcW w:w="15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4"/>
              <w:jc w:val="right"/>
              <w:rPr>
                <w:rFonts w:ascii="宋体" w:hAnsi="宋体" w:cs="宋体" w:eastAsia="宋体" w:hint="default"/>
                <w:sz w:val="18"/>
                <w:szCs w:val="18"/>
              </w:rPr>
            </w:pPr>
            <w:r>
              <w:rPr>
                <w:rFonts w:ascii="宋体"/>
                <w:sz w:val="18"/>
              </w:rPr>
              <w:t>761,340,196.98</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left="285"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655,069,931.15</w:t>
            </w:r>
          </w:p>
        </w:tc>
        <w:tc>
          <w:tcPr>
            <w:tcW w:w="1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630,899,453.60</w:t>
            </w:r>
          </w:p>
        </w:tc>
        <w:tc>
          <w:tcPr>
            <w:tcW w:w="15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2"/>
              <w:jc w:val="right"/>
              <w:rPr>
                <w:rFonts w:ascii="宋体" w:hAnsi="宋体" w:cs="宋体" w:eastAsia="宋体" w:hint="default"/>
                <w:sz w:val="18"/>
                <w:szCs w:val="18"/>
              </w:rPr>
            </w:pPr>
            <w:r>
              <w:rPr>
                <w:rFonts w:ascii="宋体"/>
                <w:sz w:val="18"/>
              </w:rPr>
              <w:t>412,477,648.47</w:t>
            </w:r>
          </w:p>
        </w:tc>
        <w:tc>
          <w:tcPr>
            <w:tcW w:w="15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4"/>
              <w:jc w:val="right"/>
              <w:rPr>
                <w:rFonts w:ascii="宋体" w:hAnsi="宋体" w:cs="宋体" w:eastAsia="宋体" w:hint="default"/>
                <w:sz w:val="18"/>
                <w:szCs w:val="18"/>
              </w:rPr>
            </w:pPr>
            <w:r>
              <w:rPr>
                <w:rFonts w:ascii="宋体"/>
                <w:spacing w:val="-1"/>
                <w:sz w:val="18"/>
              </w:rPr>
              <w:t>414,360,524.37</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left="645"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16,007,345.86</w:t>
            </w:r>
          </w:p>
        </w:tc>
        <w:tc>
          <w:tcPr>
            <w:tcW w:w="1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10,698,081.90</w:t>
            </w:r>
          </w:p>
        </w:tc>
        <w:tc>
          <w:tcPr>
            <w:tcW w:w="15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2"/>
              <w:jc w:val="right"/>
              <w:rPr>
                <w:rFonts w:ascii="宋体" w:hAnsi="宋体" w:cs="宋体" w:eastAsia="宋体" w:hint="default"/>
                <w:sz w:val="18"/>
                <w:szCs w:val="18"/>
              </w:rPr>
            </w:pPr>
            <w:r>
              <w:rPr>
                <w:rFonts w:ascii="宋体"/>
                <w:sz w:val="18"/>
              </w:rPr>
              <w:t>8,458,232.95</w:t>
            </w:r>
          </w:p>
        </w:tc>
        <w:tc>
          <w:tcPr>
            <w:tcW w:w="15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4"/>
              <w:jc w:val="right"/>
              <w:rPr>
                <w:rFonts w:ascii="宋体" w:hAnsi="宋体" w:cs="宋体" w:eastAsia="宋体" w:hint="default"/>
                <w:sz w:val="18"/>
                <w:szCs w:val="18"/>
              </w:rPr>
            </w:pPr>
            <w:r>
              <w:rPr>
                <w:rFonts w:ascii="宋体"/>
                <w:sz w:val="18"/>
              </w:rPr>
              <w:t>5,454,752.44</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left="64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124,592,381.76</w:t>
            </w:r>
          </w:p>
        </w:tc>
        <w:tc>
          <w:tcPr>
            <w:tcW w:w="1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121,488,867.61</w:t>
            </w:r>
          </w:p>
        </w:tc>
        <w:tc>
          <w:tcPr>
            <w:tcW w:w="15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2"/>
              <w:jc w:val="right"/>
              <w:rPr>
                <w:rFonts w:ascii="宋体" w:hAnsi="宋体" w:cs="宋体" w:eastAsia="宋体" w:hint="default"/>
                <w:sz w:val="18"/>
                <w:szCs w:val="18"/>
              </w:rPr>
            </w:pPr>
            <w:r>
              <w:rPr>
                <w:rFonts w:ascii="宋体"/>
                <w:sz w:val="18"/>
              </w:rPr>
              <w:t>82,481,607.63</w:t>
            </w:r>
          </w:p>
        </w:tc>
        <w:tc>
          <w:tcPr>
            <w:tcW w:w="15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4"/>
              <w:jc w:val="right"/>
              <w:rPr>
                <w:rFonts w:ascii="宋体" w:hAnsi="宋体" w:cs="宋体" w:eastAsia="宋体" w:hint="default"/>
                <w:sz w:val="18"/>
                <w:szCs w:val="18"/>
              </w:rPr>
            </w:pPr>
            <w:r>
              <w:rPr>
                <w:rFonts w:ascii="宋体"/>
                <w:sz w:val="18"/>
              </w:rPr>
              <w:t>81,258,180.20</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left="64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115,927,290.20</w:t>
            </w:r>
          </w:p>
        </w:tc>
        <w:tc>
          <w:tcPr>
            <w:tcW w:w="1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105,941,379.62</w:t>
            </w:r>
          </w:p>
        </w:tc>
        <w:tc>
          <w:tcPr>
            <w:tcW w:w="15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2"/>
              <w:jc w:val="right"/>
              <w:rPr>
                <w:rFonts w:ascii="宋体" w:hAnsi="宋体" w:cs="宋体" w:eastAsia="宋体" w:hint="default"/>
                <w:sz w:val="18"/>
                <w:szCs w:val="18"/>
              </w:rPr>
            </w:pPr>
            <w:r>
              <w:rPr>
                <w:rFonts w:ascii="宋体"/>
                <w:sz w:val="18"/>
              </w:rPr>
              <w:t>83,136,537.38</w:t>
            </w:r>
          </w:p>
        </w:tc>
        <w:tc>
          <w:tcPr>
            <w:tcW w:w="15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4"/>
              <w:jc w:val="right"/>
              <w:rPr>
                <w:rFonts w:ascii="宋体" w:hAnsi="宋体" w:cs="宋体" w:eastAsia="宋体" w:hint="default"/>
                <w:sz w:val="18"/>
                <w:szCs w:val="18"/>
              </w:rPr>
            </w:pPr>
            <w:r>
              <w:rPr>
                <w:rFonts w:ascii="宋体"/>
                <w:sz w:val="18"/>
              </w:rPr>
              <w:t>77,517,437.41</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left="64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-9,012,471.34</w:t>
            </w:r>
          </w:p>
        </w:tc>
        <w:tc>
          <w:tcPr>
            <w:tcW w:w="1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-8,648,637.65</w:t>
            </w:r>
          </w:p>
        </w:tc>
        <w:tc>
          <w:tcPr>
            <w:tcW w:w="15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2"/>
              <w:jc w:val="right"/>
              <w:rPr>
                <w:rFonts w:ascii="宋体" w:hAnsi="宋体" w:cs="宋体" w:eastAsia="宋体" w:hint="default"/>
                <w:sz w:val="18"/>
                <w:szCs w:val="18"/>
              </w:rPr>
            </w:pPr>
            <w:r>
              <w:rPr>
                <w:rFonts w:ascii="宋体"/>
                <w:sz w:val="18"/>
              </w:rPr>
              <w:t>-2,230,314.33</w:t>
            </w:r>
          </w:p>
        </w:tc>
        <w:tc>
          <w:tcPr>
            <w:tcW w:w="15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4"/>
              <w:jc w:val="right"/>
              <w:rPr>
                <w:rFonts w:ascii="宋体" w:hAnsi="宋体" w:cs="宋体" w:eastAsia="宋体" w:hint="default"/>
                <w:sz w:val="18"/>
                <w:szCs w:val="18"/>
              </w:rPr>
            </w:pPr>
            <w:r>
              <w:rPr>
                <w:rFonts w:ascii="宋体"/>
                <w:sz w:val="18"/>
              </w:rPr>
              <w:t>-2,206,661.57</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left="64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1,045,083.14</w:t>
            </w:r>
          </w:p>
        </w:tc>
        <w:tc>
          <w:tcPr>
            <w:tcW w:w="1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977,646.28</w:t>
            </w:r>
          </w:p>
        </w:tc>
        <w:tc>
          <w:tcPr>
            <w:tcW w:w="15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2"/>
              <w:jc w:val="right"/>
              <w:rPr>
                <w:rFonts w:ascii="宋体" w:hAnsi="宋体" w:cs="宋体" w:eastAsia="宋体" w:hint="default"/>
                <w:sz w:val="18"/>
                <w:szCs w:val="18"/>
              </w:rPr>
            </w:pPr>
            <w:r>
              <w:rPr>
                <w:rFonts w:ascii="宋体"/>
                <w:sz w:val="18"/>
              </w:rPr>
              <w:t>-13,898.19</w:t>
            </w:r>
          </w:p>
        </w:tc>
        <w:tc>
          <w:tcPr>
            <w:tcW w:w="15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4"/>
              <w:jc w:val="right"/>
              <w:rPr>
                <w:rFonts w:ascii="宋体" w:hAnsi="宋体" w:cs="宋体" w:eastAsia="宋体" w:hint="default"/>
                <w:sz w:val="18"/>
                <w:szCs w:val="18"/>
              </w:rPr>
            </w:pPr>
            <w:r>
              <w:rPr>
                <w:rFonts w:ascii="宋体"/>
                <w:sz w:val="18"/>
              </w:rPr>
              <w:t>-64,701.10</w:t>
            </w:r>
          </w:p>
        </w:tc>
      </w:tr>
      <w:tr>
        <w:trPr>
          <w:trHeight w:val="756"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left="105" w:right="105"/>
              <w:jc w:val="left"/>
              <w:rPr>
                <w:rFonts w:ascii="宋体" w:hAnsi="宋体" w:cs="宋体" w:eastAsia="宋体" w:hint="default"/>
                <w:sz w:val="18"/>
                <w:szCs w:val="18"/>
              </w:rPr>
            </w:pPr>
            <w:r>
              <w:rPr>
                <w:rFonts w:ascii="宋体" w:hAnsi="宋体" w:cs="宋体" w:eastAsia="宋体" w:hint="default"/>
                <w:spacing w:val="-2"/>
                <w:sz w:val="18"/>
                <w:szCs w:val="18"/>
              </w:rPr>
              <w:t>加：公允价值变动收益（损失以“－”号</w:t>
            </w:r>
            <w:r>
              <w:rPr>
                <w:rFonts w:ascii="宋体" w:hAnsi="宋体" w:cs="宋体" w:eastAsia="宋体" w:hint="default"/>
                <w:sz w:val="18"/>
                <w:szCs w:val="18"/>
              </w:rPr>
              <w:t> 填列）</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z w:val="18"/>
              </w:rPr>
              <w:t>-</w:t>
            </w:r>
          </w:p>
        </w:tc>
        <w:tc>
          <w:tcPr>
            <w:tcW w:w="1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z w:val="18"/>
              </w:rPr>
              <w:t>-</w:t>
            </w:r>
          </w:p>
        </w:tc>
        <w:tc>
          <w:tcPr>
            <w:tcW w:w="15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5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left="465"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w:t>
            </w:r>
          </w:p>
        </w:tc>
        <w:tc>
          <w:tcPr>
            <w:tcW w:w="1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w:t>
            </w:r>
          </w:p>
        </w:tc>
        <w:tc>
          <w:tcPr>
            <w:tcW w:w="15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2"/>
              <w:jc w:val="right"/>
              <w:rPr>
                <w:rFonts w:ascii="宋体" w:hAnsi="宋体" w:cs="宋体" w:eastAsia="宋体" w:hint="default"/>
                <w:sz w:val="18"/>
                <w:szCs w:val="18"/>
              </w:rPr>
            </w:pPr>
            <w:r>
              <w:rPr>
                <w:rFonts w:ascii="宋体"/>
                <w:sz w:val="18"/>
              </w:rPr>
              <w:t>-</w:t>
            </w:r>
          </w:p>
        </w:tc>
        <w:tc>
          <w:tcPr>
            <w:tcW w:w="15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4"/>
              <w:jc w:val="right"/>
              <w:rPr>
                <w:rFonts w:ascii="宋体" w:hAnsi="宋体" w:cs="宋体" w:eastAsia="宋体" w:hint="default"/>
                <w:sz w:val="18"/>
                <w:szCs w:val="18"/>
              </w:rPr>
            </w:pPr>
            <w:r>
              <w:rPr>
                <w:rFonts w:ascii="宋体"/>
                <w:sz w:val="18"/>
              </w:rPr>
              <w:t>-</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left="105"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w:t>
            </w:r>
          </w:p>
        </w:tc>
        <w:tc>
          <w:tcPr>
            <w:tcW w:w="1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w:t>
            </w:r>
          </w:p>
        </w:tc>
        <w:tc>
          <w:tcPr>
            <w:tcW w:w="15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2"/>
              <w:jc w:val="right"/>
              <w:rPr>
                <w:rFonts w:ascii="宋体" w:hAnsi="宋体" w:cs="宋体" w:eastAsia="宋体" w:hint="default"/>
                <w:sz w:val="18"/>
                <w:szCs w:val="18"/>
              </w:rPr>
            </w:pPr>
            <w:r>
              <w:rPr>
                <w:rFonts w:ascii="宋体"/>
                <w:sz w:val="18"/>
              </w:rPr>
              <w:t>-</w:t>
            </w:r>
          </w:p>
        </w:tc>
        <w:tc>
          <w:tcPr>
            <w:tcW w:w="15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4"/>
              <w:jc w:val="right"/>
              <w:rPr>
                <w:rFonts w:ascii="宋体" w:hAnsi="宋体" w:cs="宋体" w:eastAsia="宋体" w:hint="default"/>
                <w:sz w:val="18"/>
                <w:szCs w:val="18"/>
              </w:rPr>
            </w:pPr>
            <w:r>
              <w:rPr>
                <w:rFonts w:ascii="宋体"/>
                <w:sz w:val="18"/>
              </w:rPr>
              <w:t>-</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left="105" w:right="0"/>
              <w:jc w:val="left"/>
              <w:rPr>
                <w:rFonts w:ascii="宋体" w:hAnsi="宋体" w:cs="宋体" w:eastAsia="宋体" w:hint="default"/>
                <w:sz w:val="18"/>
                <w:szCs w:val="18"/>
              </w:rPr>
            </w:pPr>
            <w:r>
              <w:rPr>
                <w:rFonts w:ascii="宋体" w:hAnsi="宋体" w:cs="宋体" w:eastAsia="宋体" w:hint="default"/>
                <w:b/>
                <w:bCs/>
                <w:sz w:val="18"/>
                <w:szCs w:val="18"/>
              </w:rPr>
              <w:t>二、营业利润（亏损以“－”号填列）</w:t>
            </w:r>
            <w:r>
              <w:rPr>
                <w:rFonts w:ascii="宋体" w:hAnsi="宋体" w:cs="宋体" w:eastAsia="宋体" w:hint="default"/>
                <w:sz w:val="18"/>
                <w:szCs w:val="18"/>
              </w:rPr>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296,349,991.95</w:t>
            </w:r>
          </w:p>
        </w:tc>
        <w:tc>
          <w:tcPr>
            <w:tcW w:w="1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276,568,801.18</w:t>
            </w:r>
          </w:p>
        </w:tc>
        <w:tc>
          <w:tcPr>
            <w:tcW w:w="15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2"/>
              <w:jc w:val="right"/>
              <w:rPr>
                <w:rFonts w:ascii="宋体" w:hAnsi="宋体" w:cs="宋体" w:eastAsia="宋体" w:hint="default"/>
                <w:sz w:val="18"/>
                <w:szCs w:val="18"/>
              </w:rPr>
            </w:pPr>
            <w:r>
              <w:rPr>
                <w:rFonts w:ascii="宋体"/>
                <w:sz w:val="18"/>
              </w:rPr>
              <w:t>196,586,704.69</w:t>
            </w:r>
          </w:p>
        </w:tc>
        <w:tc>
          <w:tcPr>
            <w:tcW w:w="15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4"/>
              <w:jc w:val="right"/>
              <w:rPr>
                <w:rFonts w:ascii="宋体" w:hAnsi="宋体" w:cs="宋体" w:eastAsia="宋体" w:hint="default"/>
                <w:sz w:val="18"/>
                <w:szCs w:val="18"/>
              </w:rPr>
            </w:pPr>
            <w:r>
              <w:rPr>
                <w:rFonts w:ascii="宋体"/>
                <w:sz w:val="18"/>
              </w:rPr>
              <w:t>185,020,665.23</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left="285"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67,741,935.85</w:t>
            </w:r>
          </w:p>
        </w:tc>
        <w:tc>
          <w:tcPr>
            <w:tcW w:w="1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67,607,515.08</w:t>
            </w:r>
          </w:p>
        </w:tc>
        <w:tc>
          <w:tcPr>
            <w:tcW w:w="15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2"/>
              <w:jc w:val="right"/>
              <w:rPr>
                <w:rFonts w:ascii="宋体" w:hAnsi="宋体" w:cs="宋体" w:eastAsia="宋体" w:hint="default"/>
                <w:sz w:val="18"/>
                <w:szCs w:val="18"/>
              </w:rPr>
            </w:pPr>
            <w:r>
              <w:rPr>
                <w:rFonts w:ascii="宋体"/>
                <w:sz w:val="18"/>
              </w:rPr>
              <w:t>61,862,767.10</w:t>
            </w:r>
          </w:p>
        </w:tc>
        <w:tc>
          <w:tcPr>
            <w:tcW w:w="15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4"/>
              <w:jc w:val="right"/>
              <w:rPr>
                <w:rFonts w:ascii="宋体" w:hAnsi="宋体" w:cs="宋体" w:eastAsia="宋体" w:hint="default"/>
                <w:sz w:val="18"/>
                <w:szCs w:val="18"/>
              </w:rPr>
            </w:pPr>
            <w:r>
              <w:rPr>
                <w:rFonts w:ascii="宋体"/>
                <w:spacing w:val="-1"/>
                <w:sz w:val="18"/>
              </w:rPr>
              <w:t>61,788,457.85</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left="285"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998,654.11</w:t>
            </w:r>
          </w:p>
        </w:tc>
        <w:tc>
          <w:tcPr>
            <w:tcW w:w="1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537,922.41</w:t>
            </w:r>
          </w:p>
        </w:tc>
        <w:tc>
          <w:tcPr>
            <w:tcW w:w="15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2"/>
              <w:jc w:val="right"/>
              <w:rPr>
                <w:rFonts w:ascii="宋体" w:hAnsi="宋体" w:cs="宋体" w:eastAsia="宋体" w:hint="default"/>
                <w:sz w:val="18"/>
                <w:szCs w:val="18"/>
              </w:rPr>
            </w:pPr>
            <w:r>
              <w:rPr>
                <w:rFonts w:ascii="宋体"/>
                <w:sz w:val="18"/>
              </w:rPr>
              <w:t>102,969.76</w:t>
            </w:r>
          </w:p>
        </w:tc>
        <w:tc>
          <w:tcPr>
            <w:tcW w:w="15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4"/>
              <w:jc w:val="right"/>
              <w:rPr>
                <w:rFonts w:ascii="宋体" w:hAnsi="宋体" w:cs="宋体" w:eastAsia="宋体" w:hint="default"/>
                <w:sz w:val="18"/>
                <w:szCs w:val="18"/>
              </w:rPr>
            </w:pPr>
            <w:r>
              <w:rPr>
                <w:rFonts w:ascii="宋体"/>
                <w:sz w:val="18"/>
              </w:rPr>
              <w:t>79,887.88</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left="645"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335,264.27</w:t>
            </w:r>
          </w:p>
        </w:tc>
        <w:tc>
          <w:tcPr>
            <w:tcW w:w="1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37,648.43</w:t>
            </w:r>
          </w:p>
        </w:tc>
        <w:tc>
          <w:tcPr>
            <w:tcW w:w="15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2"/>
              <w:jc w:val="right"/>
              <w:rPr>
                <w:rFonts w:ascii="宋体" w:hAnsi="宋体" w:cs="宋体" w:eastAsia="宋体" w:hint="default"/>
                <w:sz w:val="18"/>
                <w:szCs w:val="18"/>
              </w:rPr>
            </w:pPr>
            <w:r>
              <w:rPr>
                <w:rFonts w:ascii="宋体"/>
                <w:sz w:val="18"/>
              </w:rPr>
              <w:t>81,796.13</w:t>
            </w:r>
          </w:p>
        </w:tc>
        <w:tc>
          <w:tcPr>
            <w:tcW w:w="15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4"/>
              <w:jc w:val="right"/>
              <w:rPr>
                <w:rFonts w:ascii="宋体" w:hAnsi="宋体" w:cs="宋体" w:eastAsia="宋体" w:hint="default"/>
                <w:sz w:val="18"/>
                <w:szCs w:val="18"/>
              </w:rPr>
            </w:pPr>
            <w:r>
              <w:rPr>
                <w:rFonts w:ascii="宋体"/>
                <w:sz w:val="18"/>
              </w:rPr>
              <w:t>79,214.25</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left="105" w:right="0"/>
              <w:jc w:val="left"/>
              <w:rPr>
                <w:rFonts w:ascii="宋体" w:hAnsi="宋体" w:cs="宋体" w:eastAsia="宋体" w:hint="default"/>
                <w:sz w:val="18"/>
                <w:szCs w:val="18"/>
              </w:rPr>
            </w:pPr>
            <w:r>
              <w:rPr>
                <w:rFonts w:ascii="宋体" w:hAnsi="宋体" w:cs="宋体" w:eastAsia="宋体" w:hint="default"/>
                <w:b/>
                <w:bCs/>
                <w:spacing w:val="-8"/>
                <w:sz w:val="18"/>
                <w:szCs w:val="18"/>
              </w:rPr>
              <w:t>三、利润总额（亏损总额以“－”号填列）</w:t>
            </w:r>
            <w:r>
              <w:rPr>
                <w:rFonts w:ascii="宋体" w:hAnsi="宋体" w:cs="宋体" w:eastAsia="宋体" w:hint="default"/>
                <w:spacing w:val="-8"/>
                <w:sz w:val="18"/>
                <w:szCs w:val="18"/>
              </w:rPr>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363,093,273.69</w:t>
            </w:r>
          </w:p>
        </w:tc>
        <w:tc>
          <w:tcPr>
            <w:tcW w:w="1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343,638,393.85</w:t>
            </w:r>
          </w:p>
        </w:tc>
        <w:tc>
          <w:tcPr>
            <w:tcW w:w="15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2"/>
              <w:jc w:val="right"/>
              <w:rPr>
                <w:rFonts w:ascii="宋体" w:hAnsi="宋体" w:cs="宋体" w:eastAsia="宋体" w:hint="default"/>
                <w:sz w:val="18"/>
                <w:szCs w:val="18"/>
              </w:rPr>
            </w:pPr>
            <w:r>
              <w:rPr>
                <w:rFonts w:ascii="宋体"/>
                <w:sz w:val="18"/>
              </w:rPr>
              <w:t>258,346,502.03</w:t>
            </w:r>
          </w:p>
        </w:tc>
        <w:tc>
          <w:tcPr>
            <w:tcW w:w="15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4"/>
              <w:jc w:val="right"/>
              <w:rPr>
                <w:rFonts w:ascii="宋体" w:hAnsi="宋体" w:cs="宋体" w:eastAsia="宋体" w:hint="default"/>
                <w:sz w:val="18"/>
                <w:szCs w:val="18"/>
              </w:rPr>
            </w:pPr>
            <w:r>
              <w:rPr>
                <w:rFonts w:ascii="宋体"/>
                <w:sz w:val="18"/>
              </w:rPr>
              <w:t>246,729,235.20</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left="285"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31,544,472.35</w:t>
            </w:r>
          </w:p>
        </w:tc>
        <w:tc>
          <w:tcPr>
            <w:tcW w:w="1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28,078,510.69</w:t>
            </w:r>
          </w:p>
        </w:tc>
        <w:tc>
          <w:tcPr>
            <w:tcW w:w="15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2"/>
              <w:jc w:val="right"/>
              <w:rPr>
                <w:rFonts w:ascii="宋体" w:hAnsi="宋体" w:cs="宋体" w:eastAsia="宋体" w:hint="default"/>
                <w:sz w:val="18"/>
                <w:szCs w:val="18"/>
              </w:rPr>
            </w:pPr>
            <w:r>
              <w:rPr>
                <w:rFonts w:ascii="宋体"/>
                <w:sz w:val="18"/>
              </w:rPr>
              <w:t>26,776,701.02</w:t>
            </w:r>
          </w:p>
        </w:tc>
        <w:tc>
          <w:tcPr>
            <w:tcW w:w="15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4"/>
              <w:jc w:val="right"/>
              <w:rPr>
                <w:rFonts w:ascii="宋体" w:hAnsi="宋体" w:cs="宋体" w:eastAsia="宋体" w:hint="default"/>
                <w:sz w:val="18"/>
                <w:szCs w:val="18"/>
              </w:rPr>
            </w:pPr>
            <w:r>
              <w:rPr>
                <w:rFonts w:ascii="宋体"/>
                <w:spacing w:val="-1"/>
                <w:sz w:val="18"/>
              </w:rPr>
              <w:t>25,386,858.95</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left="105" w:right="0"/>
              <w:jc w:val="left"/>
              <w:rPr>
                <w:rFonts w:ascii="宋体" w:hAnsi="宋体" w:cs="宋体" w:eastAsia="宋体" w:hint="default"/>
                <w:sz w:val="18"/>
                <w:szCs w:val="18"/>
              </w:rPr>
            </w:pPr>
            <w:r>
              <w:rPr>
                <w:rFonts w:ascii="宋体" w:hAnsi="宋体" w:cs="宋体" w:eastAsia="宋体" w:hint="default"/>
                <w:b/>
                <w:bCs/>
                <w:sz w:val="18"/>
                <w:szCs w:val="18"/>
              </w:rPr>
              <w:t>四、净利润（净亏损以“－”号填列）</w:t>
            </w:r>
            <w:r>
              <w:rPr>
                <w:rFonts w:ascii="宋体" w:hAnsi="宋体" w:cs="宋体" w:eastAsia="宋体" w:hint="default"/>
                <w:sz w:val="18"/>
                <w:szCs w:val="18"/>
              </w:rPr>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331,548,801.34</w:t>
            </w:r>
          </w:p>
        </w:tc>
        <w:tc>
          <w:tcPr>
            <w:tcW w:w="1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315,559,883.16</w:t>
            </w:r>
          </w:p>
        </w:tc>
        <w:tc>
          <w:tcPr>
            <w:tcW w:w="15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2"/>
              <w:jc w:val="right"/>
              <w:rPr>
                <w:rFonts w:ascii="宋体" w:hAnsi="宋体" w:cs="宋体" w:eastAsia="宋体" w:hint="default"/>
                <w:sz w:val="18"/>
                <w:szCs w:val="18"/>
              </w:rPr>
            </w:pPr>
            <w:r>
              <w:rPr>
                <w:rFonts w:ascii="宋体"/>
                <w:sz w:val="18"/>
              </w:rPr>
              <w:t>231,569,801.01</w:t>
            </w:r>
          </w:p>
        </w:tc>
        <w:tc>
          <w:tcPr>
            <w:tcW w:w="15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4"/>
              <w:jc w:val="right"/>
              <w:rPr>
                <w:rFonts w:ascii="宋体" w:hAnsi="宋体" w:cs="宋体" w:eastAsia="宋体" w:hint="default"/>
                <w:sz w:val="18"/>
                <w:szCs w:val="18"/>
              </w:rPr>
            </w:pPr>
            <w:r>
              <w:rPr>
                <w:rFonts w:ascii="宋体"/>
                <w:sz w:val="18"/>
              </w:rPr>
              <w:t>221,342,376.25</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left="285"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331,548,801.34</w:t>
            </w:r>
          </w:p>
        </w:tc>
        <w:tc>
          <w:tcPr>
            <w:tcW w:w="1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315,559,883.16</w:t>
            </w:r>
          </w:p>
        </w:tc>
        <w:tc>
          <w:tcPr>
            <w:tcW w:w="15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2"/>
              <w:jc w:val="right"/>
              <w:rPr>
                <w:rFonts w:ascii="宋体" w:hAnsi="宋体" w:cs="宋体" w:eastAsia="宋体" w:hint="default"/>
                <w:sz w:val="18"/>
                <w:szCs w:val="18"/>
              </w:rPr>
            </w:pPr>
            <w:r>
              <w:rPr>
                <w:rFonts w:ascii="宋体"/>
                <w:sz w:val="18"/>
              </w:rPr>
              <w:t>231,569,801.01</w:t>
            </w:r>
          </w:p>
        </w:tc>
        <w:tc>
          <w:tcPr>
            <w:tcW w:w="15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4"/>
              <w:jc w:val="right"/>
              <w:rPr>
                <w:rFonts w:ascii="宋体" w:hAnsi="宋体" w:cs="宋体" w:eastAsia="宋体" w:hint="default"/>
                <w:sz w:val="18"/>
                <w:szCs w:val="18"/>
              </w:rPr>
            </w:pPr>
            <w:r>
              <w:rPr>
                <w:rFonts w:ascii="宋体"/>
                <w:spacing w:val="-1"/>
                <w:sz w:val="18"/>
              </w:rPr>
              <w:t>221,342,376.25</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left="285"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w:t>
            </w:r>
          </w:p>
        </w:tc>
        <w:tc>
          <w:tcPr>
            <w:tcW w:w="1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w:t>
            </w:r>
          </w:p>
        </w:tc>
        <w:tc>
          <w:tcPr>
            <w:tcW w:w="15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2"/>
              <w:jc w:val="right"/>
              <w:rPr>
                <w:rFonts w:ascii="宋体" w:hAnsi="宋体" w:cs="宋体" w:eastAsia="宋体" w:hint="default"/>
                <w:sz w:val="18"/>
                <w:szCs w:val="18"/>
              </w:rPr>
            </w:pPr>
            <w:r>
              <w:rPr>
                <w:rFonts w:ascii="宋体"/>
                <w:sz w:val="18"/>
              </w:rPr>
              <w:t>-</w:t>
            </w:r>
          </w:p>
        </w:tc>
        <w:tc>
          <w:tcPr>
            <w:tcW w:w="15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4"/>
              <w:jc w:val="right"/>
              <w:rPr>
                <w:rFonts w:ascii="宋体" w:hAnsi="宋体" w:cs="宋体" w:eastAsia="宋体" w:hint="default"/>
                <w:sz w:val="18"/>
                <w:szCs w:val="18"/>
              </w:rPr>
            </w:pPr>
            <w:r>
              <w:rPr>
                <w:rFonts w:ascii="宋体"/>
                <w:sz w:val="18"/>
              </w:rPr>
              <w:t>-</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left="105" w:right="0"/>
              <w:jc w:val="left"/>
              <w:rPr>
                <w:rFonts w:ascii="宋体" w:hAnsi="宋体" w:cs="宋体" w:eastAsia="宋体" w:hint="default"/>
                <w:sz w:val="18"/>
                <w:szCs w:val="18"/>
              </w:rPr>
            </w:pPr>
            <w:r>
              <w:rPr>
                <w:rFonts w:ascii="宋体" w:hAnsi="宋体" w:cs="宋体" w:eastAsia="宋体" w:hint="default"/>
                <w:b/>
                <w:bCs/>
                <w:sz w:val="18"/>
                <w:szCs w:val="18"/>
              </w:rPr>
              <w:t>五、每股收益：</w:t>
            </w:r>
            <w:r>
              <w:rPr>
                <w:rFonts w:ascii="宋体" w:hAnsi="宋体" w:cs="宋体" w:eastAsia="宋体" w:hint="default"/>
                <w:sz w:val="18"/>
                <w:szCs w:val="18"/>
              </w:rPr>
            </w:r>
          </w:p>
        </w:tc>
        <w:tc>
          <w:tcPr>
            <w:tcW w:w="1726" w:type="dxa"/>
            <w:tcBorders>
              <w:top w:val="single" w:sz="2" w:space="0" w:color="000000"/>
              <w:left w:val="single" w:sz="2" w:space="0" w:color="000000"/>
              <w:bottom w:val="single" w:sz="2" w:space="0" w:color="000000"/>
              <w:right w:val="single" w:sz="2" w:space="0" w:color="000000"/>
            </w:tcBorders>
          </w:tcPr>
          <w:p>
            <w:pPr/>
          </w:p>
        </w:tc>
        <w:tc>
          <w:tcPr>
            <w:tcW w:w="1714" w:type="dxa"/>
            <w:tcBorders>
              <w:top w:val="single" w:sz="2" w:space="0" w:color="000000"/>
              <w:left w:val="single" w:sz="2" w:space="0" w:color="000000"/>
              <w:bottom w:val="single" w:sz="2" w:space="0" w:color="000000"/>
              <w:right w:val="single" w:sz="2" w:space="0" w:color="000000"/>
            </w:tcBorders>
          </w:tcPr>
          <w:p>
            <w:pPr/>
          </w:p>
        </w:tc>
        <w:tc>
          <w:tcPr>
            <w:tcW w:w="1526" w:type="dxa"/>
            <w:tcBorders>
              <w:top w:val="single" w:sz="2" w:space="0" w:color="000000"/>
              <w:left w:val="single" w:sz="2" w:space="0" w:color="000000"/>
              <w:bottom w:val="single" w:sz="2" w:space="0" w:color="000000"/>
              <w:right w:val="single" w:sz="2" w:space="0" w:color="000000"/>
            </w:tcBorders>
          </w:tcPr>
          <w:p>
            <w:pPr/>
          </w:p>
        </w:tc>
        <w:tc>
          <w:tcPr>
            <w:tcW w:w="1576" w:type="dxa"/>
            <w:tcBorders>
              <w:top w:val="single" w:sz="2" w:space="0" w:color="000000"/>
              <w:left w:val="single" w:sz="2" w:space="0" w:color="000000"/>
              <w:bottom w:val="single" w:sz="2" w:space="0" w:color="000000"/>
              <w:right w:val="single" w:sz="2" w:space="0" w:color="000000"/>
            </w:tcBorders>
          </w:tcPr>
          <w:p>
            <w:pP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left="285"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1.16</w:t>
            </w:r>
          </w:p>
        </w:tc>
        <w:tc>
          <w:tcPr>
            <w:tcW w:w="1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1.11</w:t>
            </w:r>
          </w:p>
        </w:tc>
        <w:tc>
          <w:tcPr>
            <w:tcW w:w="15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2"/>
              <w:jc w:val="right"/>
              <w:rPr>
                <w:rFonts w:ascii="宋体" w:hAnsi="宋体" w:cs="宋体" w:eastAsia="宋体" w:hint="default"/>
                <w:sz w:val="18"/>
                <w:szCs w:val="18"/>
              </w:rPr>
            </w:pPr>
            <w:r>
              <w:rPr>
                <w:rFonts w:ascii="宋体"/>
                <w:sz w:val="18"/>
              </w:rPr>
              <w:t>0.98</w:t>
            </w:r>
          </w:p>
        </w:tc>
        <w:tc>
          <w:tcPr>
            <w:tcW w:w="15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4"/>
              <w:jc w:val="right"/>
              <w:rPr>
                <w:rFonts w:ascii="宋体" w:hAnsi="宋体" w:cs="宋体" w:eastAsia="宋体" w:hint="default"/>
                <w:sz w:val="18"/>
                <w:szCs w:val="18"/>
              </w:rPr>
            </w:pPr>
            <w:r>
              <w:rPr>
                <w:rFonts w:ascii="宋体"/>
                <w:sz w:val="18"/>
              </w:rPr>
              <w:t>0.93</w:t>
            </w:r>
          </w:p>
        </w:tc>
      </w:tr>
      <w:tr>
        <w:trPr>
          <w:trHeight w:val="510" w:hRule="exact"/>
        </w:trPr>
        <w:tc>
          <w:tcPr>
            <w:tcW w:w="3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left="285"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7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1.16</w:t>
            </w:r>
          </w:p>
        </w:tc>
        <w:tc>
          <w:tcPr>
            <w:tcW w:w="1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3"/>
              <w:jc w:val="right"/>
              <w:rPr>
                <w:rFonts w:ascii="宋体" w:hAnsi="宋体" w:cs="宋体" w:eastAsia="宋体" w:hint="default"/>
                <w:sz w:val="18"/>
                <w:szCs w:val="18"/>
              </w:rPr>
            </w:pPr>
            <w:r>
              <w:rPr>
                <w:rFonts w:ascii="宋体"/>
                <w:sz w:val="18"/>
              </w:rPr>
              <w:t>1.11</w:t>
            </w:r>
          </w:p>
        </w:tc>
        <w:tc>
          <w:tcPr>
            <w:tcW w:w="15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2"/>
              <w:jc w:val="right"/>
              <w:rPr>
                <w:rFonts w:ascii="宋体" w:hAnsi="宋体" w:cs="宋体" w:eastAsia="宋体" w:hint="default"/>
                <w:sz w:val="18"/>
                <w:szCs w:val="18"/>
              </w:rPr>
            </w:pPr>
            <w:r>
              <w:rPr>
                <w:rFonts w:ascii="宋体"/>
                <w:sz w:val="18"/>
              </w:rPr>
              <w:t>0.98</w:t>
            </w:r>
          </w:p>
        </w:tc>
        <w:tc>
          <w:tcPr>
            <w:tcW w:w="15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104"/>
              <w:jc w:val="right"/>
              <w:rPr>
                <w:rFonts w:ascii="宋体" w:hAnsi="宋体" w:cs="宋体" w:eastAsia="宋体" w:hint="default"/>
                <w:sz w:val="18"/>
                <w:szCs w:val="18"/>
              </w:rPr>
            </w:pPr>
            <w:r>
              <w:rPr>
                <w:rFonts w:ascii="宋体"/>
                <w:sz w:val="18"/>
              </w:rPr>
              <w:t>0.93</w:t>
            </w:r>
          </w:p>
        </w:tc>
      </w:tr>
    </w:tbl>
    <w:p>
      <w:pPr>
        <w:spacing w:after="0" w:line="240" w:lineRule="auto"/>
        <w:jc w:val="right"/>
        <w:rPr>
          <w:rFonts w:ascii="宋体" w:hAnsi="宋体" w:cs="宋体" w:eastAsia="宋体" w:hint="default"/>
          <w:sz w:val="18"/>
          <w:szCs w:val="18"/>
        </w:rPr>
        <w:sectPr>
          <w:footerReference w:type="default" r:id="rId21"/>
          <w:pgSz w:w="11910" w:h="16840"/>
          <w:pgMar w:footer="1560" w:header="0" w:top="1100" w:bottom="1740" w:left="860" w:right="860"/>
          <w:pgNumType w:start="63"/>
        </w:sectPr>
      </w:pPr>
    </w:p>
    <w:p>
      <w:pPr>
        <w:spacing w:line="240" w:lineRule="auto" w:before="7"/>
        <w:rPr>
          <w:rFonts w:ascii="宋体" w:hAnsi="宋体" w:cs="宋体" w:eastAsia="宋体" w:hint="default"/>
          <w:sz w:val="19"/>
          <w:szCs w:val="19"/>
        </w:rPr>
      </w:pPr>
    </w:p>
    <w:p>
      <w:pPr>
        <w:pStyle w:val="Heading3"/>
        <w:spacing w:line="240" w:lineRule="auto"/>
        <w:ind w:right="14"/>
        <w:jc w:val="center"/>
        <w:rPr>
          <w:b w:val="0"/>
          <w:bCs w:val="0"/>
        </w:rPr>
      </w:pPr>
      <w:r>
        <w:rPr/>
        <w:t>现金流量表</w:t>
      </w:r>
      <w:r>
        <w:rPr>
          <w:b w:val="0"/>
          <w:bCs w:val="0"/>
        </w:rPr>
      </w:r>
    </w:p>
    <w:p>
      <w:pPr>
        <w:spacing w:before="5"/>
        <w:ind w:left="0" w:right="17"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spacing w:line="240" w:lineRule="auto" w:before="8"/>
        <w:rPr>
          <w:rFonts w:ascii="宋体" w:hAnsi="宋体" w:cs="宋体" w:eastAsia="宋体" w:hint="default"/>
          <w:sz w:val="14"/>
          <w:szCs w:val="14"/>
        </w:rPr>
      </w:pPr>
    </w:p>
    <w:p>
      <w:pPr>
        <w:tabs>
          <w:tab w:pos="7617" w:val="left" w:leader="none"/>
        </w:tabs>
        <w:spacing w:before="0"/>
        <w:ind w:left="0" w:right="16" w:firstLine="0"/>
        <w:jc w:val="center"/>
        <w:rPr>
          <w:rFonts w:ascii="宋体" w:hAnsi="宋体" w:cs="宋体" w:eastAsia="宋体" w:hint="default"/>
          <w:sz w:val="18"/>
          <w:szCs w:val="18"/>
        </w:rPr>
      </w:pPr>
      <w:r>
        <w:rPr>
          <w:rFonts w:ascii="宋体" w:hAnsi="宋体" w:cs="宋体" w:eastAsia="宋体" w:hint="default"/>
          <w:spacing w:val="-2"/>
          <w:sz w:val="18"/>
          <w:szCs w:val="18"/>
        </w:rPr>
        <w:t>编制单位：广州广电运通金融电子股份有限公司</w:t>
        <w:tab/>
      </w:r>
      <w:r>
        <w:rPr>
          <w:rFonts w:ascii="宋体" w:hAnsi="宋体" w:cs="宋体" w:eastAsia="宋体" w:hint="default"/>
          <w:spacing w:val="-9"/>
          <w:sz w:val="18"/>
          <w:szCs w:val="18"/>
        </w:rPr>
        <w:t>单位：元</w:t>
      </w:r>
    </w:p>
    <w:p>
      <w:pPr>
        <w:spacing w:line="240" w:lineRule="auto" w:before="2"/>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552"/>
        <w:gridCol w:w="1661"/>
        <w:gridCol w:w="1660"/>
        <w:gridCol w:w="1744"/>
        <w:gridCol w:w="1722"/>
      </w:tblGrid>
      <w:tr>
        <w:trPr>
          <w:trHeight w:val="340" w:hRule="exact"/>
        </w:trPr>
        <w:tc>
          <w:tcPr>
            <w:tcW w:w="3552" w:type="dxa"/>
            <w:vMerge w:val="restart"/>
            <w:tcBorders>
              <w:top w:val="single" w:sz="2" w:space="0" w:color="000000"/>
              <w:left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tabs>
                <w:tab w:pos="813" w:val="left" w:leader="none"/>
              </w:tabs>
              <w:spacing w:line="240" w:lineRule="auto"/>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32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46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58" w:hRule="exact"/>
        </w:trPr>
        <w:tc>
          <w:tcPr>
            <w:tcW w:w="3552" w:type="dxa"/>
            <w:vMerge/>
            <w:tcBorders>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r>
      <w:tr>
        <w:trPr>
          <w:trHeight w:val="283"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744" w:type="dxa"/>
            <w:tcBorders>
              <w:top w:val="single" w:sz="2" w:space="0" w:color="000000"/>
              <w:left w:val="single" w:sz="2" w:space="0" w:color="000000"/>
              <w:bottom w:val="single" w:sz="2" w:space="0" w:color="000000"/>
              <w:right w:val="single" w:sz="2" w:space="0" w:color="000000"/>
            </w:tcBorders>
          </w:tcPr>
          <w:p>
            <w:pPr/>
          </w:p>
        </w:tc>
        <w:tc>
          <w:tcPr>
            <w:tcW w:w="1722" w:type="dxa"/>
            <w:tcBorders>
              <w:top w:val="single" w:sz="2" w:space="0" w:color="000000"/>
              <w:left w:val="single" w:sz="2" w:space="0" w:color="000000"/>
              <w:bottom w:val="single" w:sz="2" w:space="0" w:color="000000"/>
              <w:right w:val="single" w:sz="2" w:space="0" w:color="000000"/>
            </w:tcBorders>
          </w:tcPr>
          <w:p>
            <w:pP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1,441,860,428.84</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1,378,642,924.35</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996,910,176.84</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956,992,905.47</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75,975,247.20</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75,975,247.20</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42,429,759.79</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42,429,759.79</w:t>
            </w:r>
          </w:p>
        </w:tc>
      </w:tr>
      <w:tr>
        <w:trPr>
          <w:trHeight w:val="283"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28,044,972.98</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26,364,275.74</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24,564,006.58</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24,503,006.58</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869" w:right="0"/>
              <w:jc w:val="left"/>
              <w:rPr>
                <w:rFonts w:ascii="宋体" w:hAnsi="宋体" w:cs="宋体" w:eastAsia="宋体" w:hint="default"/>
                <w:sz w:val="18"/>
                <w:szCs w:val="18"/>
              </w:rPr>
            </w:pPr>
            <w:r>
              <w:rPr>
                <w:rFonts w:ascii="宋体" w:hAnsi="宋体" w:cs="宋体" w:eastAsia="宋体" w:hint="default"/>
                <w:b/>
                <w:bCs/>
                <w:sz w:val="18"/>
                <w:szCs w:val="18"/>
              </w:rPr>
              <w:t>经营活动现金流入小计</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1,545,880,649.02</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1,480,982,447.29</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1,063,903,943.21</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pacing w:val="-1"/>
                <w:sz w:val="18"/>
              </w:rPr>
              <w:t>1,023,925,671.84</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843,367,742.35</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843,367,742.35</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559,432,073.97</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581,080,215.74</w:t>
            </w:r>
          </w:p>
        </w:tc>
      </w:tr>
      <w:tr>
        <w:trPr>
          <w:trHeight w:val="283"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119,616,716.96</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88,569,683.59</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69,190,155.20</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57,907,276.20</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152,594,263.75</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144,970,785.31</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110,601,257.91</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105,016,608.44</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123,713,837.51</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84,612,140.51</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82,812,977.04</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56,290,779.67</w:t>
            </w:r>
          </w:p>
        </w:tc>
      </w:tr>
      <w:tr>
        <w:trPr>
          <w:trHeight w:val="283"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869" w:right="0"/>
              <w:jc w:val="left"/>
              <w:rPr>
                <w:rFonts w:ascii="宋体" w:hAnsi="宋体" w:cs="宋体" w:eastAsia="宋体" w:hint="default"/>
                <w:sz w:val="18"/>
                <w:szCs w:val="18"/>
              </w:rPr>
            </w:pPr>
            <w:r>
              <w:rPr>
                <w:rFonts w:ascii="宋体" w:hAnsi="宋体" w:cs="宋体" w:eastAsia="宋体" w:hint="default"/>
                <w:b/>
                <w:bCs/>
                <w:sz w:val="18"/>
                <w:szCs w:val="18"/>
              </w:rPr>
              <w:t>经营活动现金流出小计</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1,239,292,560.57</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1,161,520,351.76</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822,036,464.12</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800,294,880.05</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598"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306,588,088.45</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319,462,095.53</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241,867,479.09</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223,630,791.79</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744" w:type="dxa"/>
            <w:tcBorders>
              <w:top w:val="single" w:sz="2" w:space="0" w:color="000000"/>
              <w:left w:val="single" w:sz="2" w:space="0" w:color="000000"/>
              <w:bottom w:val="single" w:sz="2" w:space="0" w:color="000000"/>
              <w:right w:val="single" w:sz="2" w:space="0" w:color="000000"/>
            </w:tcBorders>
          </w:tcPr>
          <w:p>
            <w:pPr/>
          </w:p>
        </w:tc>
        <w:tc>
          <w:tcPr>
            <w:tcW w:w="1722" w:type="dxa"/>
            <w:tcBorders>
              <w:top w:val="single" w:sz="2" w:space="0" w:color="000000"/>
              <w:left w:val="single" w:sz="2" w:space="0" w:color="000000"/>
              <w:bottom w:val="single" w:sz="2" w:space="0" w:color="000000"/>
              <w:right w:val="single" w:sz="2" w:space="0" w:color="000000"/>
            </w:tcBorders>
          </w:tcPr>
          <w:p>
            <w:pPr/>
          </w:p>
        </w:tc>
      </w:tr>
      <w:tr>
        <w:trPr>
          <w:trHeight w:val="283"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w:t>
            </w:r>
          </w:p>
        </w:tc>
      </w:tr>
      <w:tr>
        <w:trPr>
          <w:trHeight w:val="586"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82"/>
              <w:ind w:left="286" w:right="103"/>
              <w:jc w:val="left"/>
              <w:rPr>
                <w:rFonts w:ascii="宋体" w:hAnsi="宋体" w:cs="宋体" w:eastAsia="宋体" w:hint="default"/>
                <w:sz w:val="18"/>
                <w:szCs w:val="18"/>
              </w:rPr>
            </w:pPr>
            <w:r>
              <w:rPr>
                <w:rFonts w:ascii="宋体" w:hAnsi="宋体" w:cs="宋体" w:eastAsia="宋体" w:hint="default"/>
                <w:spacing w:val="-5"/>
                <w:sz w:val="18"/>
                <w:szCs w:val="18"/>
              </w:rPr>
              <w:t>处置固定资产、无形资产和其他长期资产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收回的现金净额</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04"/>
              <w:jc w:val="right"/>
              <w:rPr>
                <w:rFonts w:ascii="宋体" w:hAnsi="宋体" w:cs="宋体" w:eastAsia="宋体" w:hint="default"/>
                <w:sz w:val="18"/>
                <w:szCs w:val="18"/>
              </w:rPr>
            </w:pPr>
            <w:r>
              <w:rPr>
                <w:rFonts w:ascii="宋体"/>
                <w:sz w:val="18"/>
              </w:rPr>
              <w:t>42,696.00</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03"/>
              <w:jc w:val="right"/>
              <w:rPr>
                <w:rFonts w:ascii="宋体" w:hAnsi="宋体" w:cs="宋体" w:eastAsia="宋体" w:hint="default"/>
                <w:sz w:val="18"/>
                <w:szCs w:val="18"/>
              </w:rPr>
            </w:pPr>
            <w:r>
              <w:rPr>
                <w:rFonts w:ascii="宋体"/>
                <w:sz w:val="18"/>
              </w:rPr>
              <w:t>42,696.00</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03"/>
              <w:jc w:val="right"/>
              <w:rPr>
                <w:rFonts w:ascii="宋体" w:hAnsi="宋体" w:cs="宋体" w:eastAsia="宋体" w:hint="default"/>
                <w:sz w:val="18"/>
                <w:szCs w:val="18"/>
              </w:rPr>
            </w:pPr>
            <w:r>
              <w:rPr>
                <w:rFonts w:ascii="宋体"/>
                <w:sz w:val="18"/>
              </w:rPr>
              <w:t>63,250.00</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03"/>
              <w:jc w:val="right"/>
              <w:rPr>
                <w:rFonts w:ascii="宋体" w:hAnsi="宋体" w:cs="宋体" w:eastAsia="宋体" w:hint="default"/>
                <w:sz w:val="18"/>
                <w:szCs w:val="18"/>
              </w:rPr>
            </w:pPr>
            <w:r>
              <w:rPr>
                <w:rFonts w:ascii="宋体"/>
                <w:sz w:val="18"/>
              </w:rPr>
              <w:t>63,250.00</w:t>
            </w:r>
          </w:p>
        </w:tc>
      </w:tr>
      <w:tr>
        <w:trPr>
          <w:trHeight w:val="623"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118"/>
              <w:ind w:left="286" w:right="96"/>
              <w:jc w:val="left"/>
              <w:rPr>
                <w:rFonts w:ascii="宋体" w:hAnsi="宋体" w:cs="宋体" w:eastAsia="宋体" w:hint="default"/>
                <w:sz w:val="18"/>
                <w:szCs w:val="18"/>
              </w:rPr>
            </w:pPr>
            <w:r>
              <w:rPr>
                <w:rFonts w:ascii="宋体" w:hAnsi="宋体" w:cs="宋体" w:eastAsia="宋体" w:hint="default"/>
                <w:spacing w:val="6"/>
                <w:sz w:val="18"/>
                <w:szCs w:val="18"/>
              </w:rPr>
              <w:t>处置子公司及其他营业单位收到的现金 </w:t>
            </w:r>
            <w:r>
              <w:rPr>
                <w:rFonts w:ascii="宋体" w:hAnsi="宋体" w:cs="宋体" w:eastAsia="宋体" w:hint="default"/>
                <w:sz w:val="18"/>
                <w:szCs w:val="18"/>
              </w:rPr>
              <w:t>净额</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0"/>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0"/>
              <w:ind w:right="103"/>
              <w:jc w:val="right"/>
              <w:rPr>
                <w:rFonts w:ascii="宋体" w:hAnsi="宋体" w:cs="宋体" w:eastAsia="宋体" w:hint="default"/>
                <w:sz w:val="18"/>
                <w:szCs w:val="18"/>
              </w:rPr>
            </w:pPr>
            <w:r>
              <w:rPr>
                <w:rFonts w:ascii="宋体"/>
                <w:sz w:val="18"/>
              </w:rPr>
              <w:t>-</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0"/>
              <w:ind w:right="103"/>
              <w:jc w:val="right"/>
              <w:rPr>
                <w:rFonts w:ascii="宋体" w:hAnsi="宋体" w:cs="宋体" w:eastAsia="宋体" w:hint="default"/>
                <w:sz w:val="18"/>
                <w:szCs w:val="18"/>
              </w:rPr>
            </w:pPr>
            <w:r>
              <w:rPr>
                <w:rFonts w:ascii="宋体"/>
                <w:sz w:val="18"/>
              </w:rPr>
              <w:t>-</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0"/>
              <w:ind w:right="103"/>
              <w:jc w:val="right"/>
              <w:rPr>
                <w:rFonts w:ascii="宋体" w:hAnsi="宋体" w:cs="宋体" w:eastAsia="宋体" w:hint="default"/>
                <w:sz w:val="18"/>
                <w:szCs w:val="18"/>
              </w:rPr>
            </w:pPr>
            <w:r>
              <w:rPr>
                <w:rFonts w:ascii="宋体"/>
                <w:sz w:val="18"/>
              </w:rPr>
              <w:t>-</w:t>
            </w:r>
          </w:p>
        </w:tc>
      </w:tr>
      <w:tr>
        <w:trPr>
          <w:trHeight w:val="283"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869" w:right="0"/>
              <w:jc w:val="left"/>
              <w:rPr>
                <w:rFonts w:ascii="宋体" w:hAnsi="宋体" w:cs="宋体" w:eastAsia="宋体" w:hint="default"/>
                <w:sz w:val="18"/>
                <w:szCs w:val="18"/>
              </w:rPr>
            </w:pPr>
            <w:r>
              <w:rPr>
                <w:rFonts w:ascii="宋体" w:hAnsi="宋体" w:cs="宋体" w:eastAsia="宋体" w:hint="default"/>
                <w:b/>
                <w:bCs/>
                <w:sz w:val="18"/>
                <w:szCs w:val="18"/>
              </w:rPr>
              <w:t>投资活动现金流入小计</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42,696.00</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42,696.00</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63,250.00</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63,250.00</w:t>
            </w:r>
          </w:p>
        </w:tc>
      </w:tr>
      <w:tr>
        <w:trPr>
          <w:trHeight w:val="547"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44"/>
              <w:ind w:left="286" w:right="103"/>
              <w:jc w:val="left"/>
              <w:rPr>
                <w:rFonts w:ascii="宋体" w:hAnsi="宋体" w:cs="宋体" w:eastAsia="宋体" w:hint="default"/>
                <w:sz w:val="18"/>
                <w:szCs w:val="18"/>
              </w:rPr>
            </w:pPr>
            <w:r>
              <w:rPr>
                <w:rFonts w:ascii="宋体" w:hAnsi="宋体" w:cs="宋体" w:eastAsia="宋体" w:hint="default"/>
                <w:spacing w:val="-5"/>
                <w:sz w:val="18"/>
                <w:szCs w:val="18"/>
              </w:rPr>
              <w:t>购建固定资产、无形资产和其他长期资产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支付的现金</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104"/>
              <w:jc w:val="right"/>
              <w:rPr>
                <w:rFonts w:ascii="宋体" w:hAnsi="宋体" w:cs="宋体" w:eastAsia="宋体" w:hint="default"/>
                <w:sz w:val="18"/>
                <w:szCs w:val="18"/>
              </w:rPr>
            </w:pPr>
            <w:r>
              <w:rPr>
                <w:rFonts w:ascii="宋体"/>
                <w:sz w:val="18"/>
              </w:rPr>
              <w:t>97,983,046.01</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103"/>
              <w:jc w:val="right"/>
              <w:rPr>
                <w:rFonts w:ascii="宋体" w:hAnsi="宋体" w:cs="宋体" w:eastAsia="宋体" w:hint="default"/>
                <w:sz w:val="18"/>
                <w:szCs w:val="18"/>
              </w:rPr>
            </w:pPr>
            <w:r>
              <w:rPr>
                <w:rFonts w:ascii="宋体"/>
                <w:sz w:val="18"/>
              </w:rPr>
              <w:t>89,306,666.24</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103"/>
              <w:jc w:val="right"/>
              <w:rPr>
                <w:rFonts w:ascii="宋体" w:hAnsi="宋体" w:cs="宋体" w:eastAsia="宋体" w:hint="default"/>
                <w:sz w:val="18"/>
                <w:szCs w:val="18"/>
              </w:rPr>
            </w:pPr>
            <w:r>
              <w:rPr>
                <w:rFonts w:ascii="宋体"/>
                <w:sz w:val="18"/>
              </w:rPr>
              <w:t>60,130,516.85</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103"/>
              <w:jc w:val="right"/>
              <w:rPr>
                <w:rFonts w:ascii="宋体" w:hAnsi="宋体" w:cs="宋体" w:eastAsia="宋体" w:hint="default"/>
                <w:sz w:val="18"/>
                <w:szCs w:val="18"/>
              </w:rPr>
            </w:pPr>
            <w:r>
              <w:rPr>
                <w:rFonts w:ascii="宋体"/>
                <w:sz w:val="18"/>
              </w:rPr>
              <w:t>38,810,643.08</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27,676,980.00</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55,271,400.00</w:t>
            </w:r>
          </w:p>
        </w:tc>
      </w:tr>
      <w:tr>
        <w:trPr>
          <w:trHeight w:val="283"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86" w:right="0"/>
              <w:jc w:val="left"/>
              <w:rPr>
                <w:rFonts w:ascii="宋体" w:hAnsi="宋体" w:cs="宋体" w:eastAsia="宋体" w:hint="default"/>
                <w:sz w:val="18"/>
                <w:szCs w:val="18"/>
              </w:rPr>
            </w:pPr>
            <w:r>
              <w:rPr>
                <w:rFonts w:ascii="宋体" w:hAnsi="宋体" w:cs="宋体" w:eastAsia="宋体" w:hint="default"/>
                <w:spacing w:val="6"/>
                <w:sz w:val="18"/>
                <w:szCs w:val="18"/>
              </w:rPr>
              <w:t>取得子公司及其他营业单位支付的现金</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869" w:right="0"/>
              <w:jc w:val="left"/>
              <w:rPr>
                <w:rFonts w:ascii="宋体" w:hAnsi="宋体" w:cs="宋体" w:eastAsia="宋体" w:hint="default"/>
                <w:sz w:val="18"/>
                <w:szCs w:val="18"/>
              </w:rPr>
            </w:pPr>
            <w:r>
              <w:rPr>
                <w:rFonts w:ascii="宋体" w:hAnsi="宋体" w:cs="宋体" w:eastAsia="宋体" w:hint="default"/>
                <w:b/>
                <w:bCs/>
                <w:sz w:val="18"/>
                <w:szCs w:val="18"/>
              </w:rPr>
              <w:t>投资活动现金流出小计</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97,983,046.01</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116,983,646.24</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60,130,516.85</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94,082,043.08</w:t>
            </w:r>
          </w:p>
        </w:tc>
      </w:tr>
      <w:tr>
        <w:trPr>
          <w:trHeight w:val="283"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598"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-97,940,350.01</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-116,940,950.24</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-60,067,266.85</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-94,018,793.08</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single" w:sz="2" w:space="0" w:color="000000"/>
            </w:tcBorders>
          </w:tcPr>
          <w:p>
            <w:pPr/>
          </w:p>
        </w:tc>
        <w:tc>
          <w:tcPr>
            <w:tcW w:w="1744" w:type="dxa"/>
            <w:tcBorders>
              <w:top w:val="single" w:sz="2" w:space="0" w:color="000000"/>
              <w:left w:val="single" w:sz="2" w:space="0" w:color="000000"/>
              <w:bottom w:val="single" w:sz="2" w:space="0" w:color="000000"/>
              <w:right w:val="single" w:sz="2" w:space="0" w:color="000000"/>
            </w:tcBorders>
          </w:tcPr>
          <w:p>
            <w:pPr/>
          </w:p>
        </w:tc>
        <w:tc>
          <w:tcPr>
            <w:tcW w:w="1722" w:type="dxa"/>
            <w:tcBorders>
              <w:top w:val="single" w:sz="2" w:space="0" w:color="000000"/>
              <w:left w:val="single" w:sz="2" w:space="0" w:color="000000"/>
              <w:bottom w:val="single" w:sz="2" w:space="0" w:color="000000"/>
              <w:right w:val="single" w:sz="2" w:space="0" w:color="000000"/>
            </w:tcBorders>
          </w:tcPr>
          <w:p>
            <w:pP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14,700,000.00</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589,488,000.00</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589,488,000.00</w:t>
            </w:r>
          </w:p>
        </w:tc>
      </w:tr>
      <w:tr>
        <w:trPr>
          <w:trHeight w:val="283"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70,000,000.00</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70,000,000.00</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869" w:right="0"/>
              <w:jc w:val="left"/>
              <w:rPr>
                <w:rFonts w:ascii="宋体" w:hAnsi="宋体" w:cs="宋体" w:eastAsia="宋体" w:hint="default"/>
                <w:sz w:val="18"/>
                <w:szCs w:val="18"/>
              </w:rPr>
            </w:pPr>
            <w:r>
              <w:rPr>
                <w:rFonts w:ascii="宋体" w:hAnsi="宋体" w:cs="宋体" w:eastAsia="宋体" w:hint="default"/>
                <w:b/>
                <w:bCs/>
                <w:sz w:val="18"/>
                <w:szCs w:val="18"/>
              </w:rPr>
              <w:t>筹资活动现金流入小计</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14,700,000.00</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659,488,000.00</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659,488,000.00</w:t>
            </w:r>
          </w:p>
        </w:tc>
      </w:tr>
      <w:tr>
        <w:trPr>
          <w:trHeight w:val="283"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160,000,000.00</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160,000,000.00</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30,936,576.19</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30,936,576.19</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38,015,872.70</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38,015,872.70</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3,428,646.73</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3,428,646.73</w:t>
            </w:r>
          </w:p>
        </w:tc>
      </w:tr>
      <w:tr>
        <w:trPr>
          <w:trHeight w:val="283"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869" w:right="0"/>
              <w:jc w:val="left"/>
              <w:rPr>
                <w:rFonts w:ascii="宋体" w:hAnsi="宋体" w:cs="宋体" w:eastAsia="宋体" w:hint="default"/>
                <w:sz w:val="18"/>
                <w:szCs w:val="18"/>
              </w:rPr>
            </w:pPr>
            <w:r>
              <w:rPr>
                <w:rFonts w:ascii="宋体" w:hAnsi="宋体" w:cs="宋体" w:eastAsia="宋体" w:hint="default"/>
                <w:b/>
                <w:bCs/>
                <w:sz w:val="18"/>
                <w:szCs w:val="18"/>
              </w:rPr>
              <w:t>筹资活动现金流出小计</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30,936,576.19</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30,936,576.19</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201,444,519.43</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201,444,519.43</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598"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-16,236,576.19</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-30,936,576.19</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458,043,480.57</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458,043,480.57</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-2,803,327.73</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-2,728,450.26</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-418,718.17</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-418,718.17</w:t>
            </w:r>
          </w:p>
        </w:tc>
      </w:tr>
      <w:tr>
        <w:trPr>
          <w:trHeight w:val="283"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189,607,834.52</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168,856,118.84</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639,424,974.64</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587,236,761.11</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465"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784,458,913.83</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724,648,460.34</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145,033,939.19</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137,411,699.23</w:t>
            </w:r>
          </w:p>
        </w:tc>
      </w:tr>
      <w:tr>
        <w:trPr>
          <w:trHeight w:val="284" w:hRule="exact"/>
        </w:trPr>
        <w:tc>
          <w:tcPr>
            <w:tcW w:w="35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4"/>
              <w:jc w:val="right"/>
              <w:rPr>
                <w:rFonts w:ascii="宋体" w:hAnsi="宋体" w:cs="宋体" w:eastAsia="宋体" w:hint="default"/>
                <w:sz w:val="18"/>
                <w:szCs w:val="18"/>
              </w:rPr>
            </w:pPr>
            <w:r>
              <w:rPr>
                <w:rFonts w:ascii="宋体"/>
                <w:sz w:val="18"/>
              </w:rPr>
              <w:t>974,066,748.35</w:t>
            </w:r>
          </w:p>
        </w:tc>
        <w:tc>
          <w:tcPr>
            <w:tcW w:w="1660"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893,504,579.18</w:t>
            </w:r>
          </w:p>
        </w:tc>
        <w:tc>
          <w:tcPr>
            <w:tcW w:w="174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784,458,913.83</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103"/>
              <w:jc w:val="right"/>
              <w:rPr>
                <w:rFonts w:ascii="宋体" w:hAnsi="宋体" w:cs="宋体" w:eastAsia="宋体" w:hint="default"/>
                <w:sz w:val="18"/>
                <w:szCs w:val="18"/>
              </w:rPr>
            </w:pPr>
            <w:r>
              <w:rPr>
                <w:rFonts w:ascii="宋体"/>
                <w:sz w:val="18"/>
              </w:rPr>
              <w:t>724,648,460.34</w:t>
            </w:r>
          </w:p>
        </w:tc>
      </w:tr>
    </w:tbl>
    <w:p>
      <w:pPr>
        <w:spacing w:after="0" w:line="228" w:lineRule="exact"/>
        <w:jc w:val="right"/>
        <w:rPr>
          <w:rFonts w:ascii="宋体" w:hAnsi="宋体" w:cs="宋体" w:eastAsia="宋体" w:hint="default"/>
          <w:sz w:val="18"/>
          <w:szCs w:val="18"/>
        </w:rPr>
        <w:sectPr>
          <w:pgSz w:w="11910" w:h="16840"/>
          <w:pgMar w:header="0" w:footer="1560" w:top="1100" w:bottom="1740" w:left="680" w:right="660"/>
        </w:sectPr>
      </w:pPr>
    </w:p>
    <w:p>
      <w:pPr>
        <w:spacing w:line="240" w:lineRule="auto" w:before="7"/>
        <w:rPr>
          <w:rFonts w:ascii="宋体" w:hAnsi="宋体" w:cs="宋体" w:eastAsia="宋体" w:hint="default"/>
          <w:sz w:val="19"/>
          <w:szCs w:val="19"/>
        </w:rPr>
      </w:pPr>
    </w:p>
    <w:p>
      <w:pPr>
        <w:pStyle w:val="Heading3"/>
        <w:spacing w:line="240" w:lineRule="auto"/>
        <w:ind w:left="3867" w:right="3867"/>
        <w:jc w:val="center"/>
        <w:rPr>
          <w:b w:val="0"/>
          <w:bCs w:val="0"/>
        </w:rPr>
      </w:pPr>
      <w:r>
        <w:rPr/>
        <w:t>现金流量表（补充资料）</w:t>
      </w:r>
      <w:r>
        <w:rPr>
          <w:b w:val="0"/>
          <w:bCs w:val="0"/>
        </w:rPr>
      </w:r>
    </w:p>
    <w:p>
      <w:pPr>
        <w:spacing w:line="240" w:lineRule="auto" w:before="8"/>
        <w:rPr>
          <w:rFonts w:ascii="宋体" w:hAnsi="宋体" w:cs="宋体" w:eastAsia="宋体" w:hint="default"/>
          <w:b/>
          <w:bCs/>
          <w:sz w:val="18"/>
          <w:szCs w:val="18"/>
        </w:rPr>
      </w:pPr>
    </w:p>
    <w:p>
      <w:pPr>
        <w:pStyle w:val="BodyText"/>
        <w:tabs>
          <w:tab w:pos="8571" w:val="left" w:leader="none"/>
        </w:tabs>
        <w:spacing w:line="396" w:lineRule="auto" w:before="0"/>
        <w:ind w:left="1060" w:right="1057" w:firstLine="3705"/>
        <w:jc w:val="left"/>
      </w:pPr>
      <w:r>
        <w:rPr>
          <w:rFonts w:ascii="Times New Roman" w:hAnsi="Times New Roman" w:cs="Times New Roman" w:eastAsia="Times New Roman" w:hint="default"/>
        </w:rPr>
        <w:t>2008 </w:t>
      </w:r>
      <w:r>
        <w:rPr/>
        <w:t>年度 </w:t>
      </w:r>
      <w:r>
        <w:rPr>
          <w:spacing w:val="-3"/>
        </w:rPr>
        <w:t>编制单位：广州广电运通金融电子股份有限公司</w:t>
        <w:tab/>
      </w:r>
      <w:r>
        <w:rPr>
          <w:spacing w:val="-12"/>
        </w:rPr>
        <w:t>单位：元</w:t>
      </w:r>
    </w:p>
    <w:p>
      <w:pPr>
        <w:spacing w:line="240" w:lineRule="auto" w:before="7"/>
        <w:rPr>
          <w:rFonts w:ascii="宋体" w:hAnsi="宋体" w:cs="宋体" w:eastAsia="宋体"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3734"/>
        <w:gridCol w:w="1615"/>
        <w:gridCol w:w="1616"/>
        <w:gridCol w:w="1615"/>
        <w:gridCol w:w="1615"/>
      </w:tblGrid>
      <w:tr>
        <w:trPr>
          <w:trHeight w:val="341" w:hRule="exact"/>
        </w:trPr>
        <w:tc>
          <w:tcPr>
            <w:tcW w:w="3734" w:type="dxa"/>
            <w:vMerge w:val="restart"/>
            <w:tcBorders>
              <w:top w:val="single" w:sz="2" w:space="0" w:color="000000"/>
              <w:left w:val="single" w:sz="2" w:space="0" w:color="000000"/>
              <w:right w:val="single" w:sz="2" w:space="0" w:color="000000"/>
            </w:tcBorders>
          </w:tcPr>
          <w:p>
            <w:pPr>
              <w:pStyle w:val="TableParagraph"/>
              <w:tabs>
                <w:tab w:pos="951" w:val="left" w:leader="none"/>
              </w:tabs>
              <w:spacing w:line="240" w:lineRule="auto" w:before="172"/>
              <w:ind w:left="1" w:right="0"/>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3232" w:type="dxa"/>
            <w:gridSpan w:val="2"/>
            <w:tcBorders>
              <w:top w:val="single" w:sz="2" w:space="0" w:color="000000"/>
              <w:left w:val="single" w:sz="2" w:space="0" w:color="000000"/>
              <w:bottom w:val="single" w:sz="2" w:space="0" w:color="000000"/>
              <w:right w:val="single" w:sz="2"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3230" w:type="dxa"/>
            <w:gridSpan w:val="2"/>
            <w:tcBorders>
              <w:top w:val="single" w:sz="2" w:space="0" w:color="000000"/>
              <w:left w:val="single" w:sz="2" w:space="0" w:color="000000"/>
              <w:bottom w:val="single" w:sz="2" w:space="0" w:color="000000"/>
              <w:right w:val="single" w:sz="2"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56" w:hRule="exact"/>
        </w:trPr>
        <w:tc>
          <w:tcPr>
            <w:tcW w:w="3734" w:type="dxa"/>
            <w:vMerge/>
            <w:tcBorders>
              <w:left w:val="single" w:sz="2" w:space="0" w:color="000000"/>
              <w:bottom w:val="single" w:sz="2" w:space="0" w:color="000000"/>
              <w:right w:val="single" w:sz="2" w:space="0" w:color="000000"/>
            </w:tcBorders>
          </w:tcPr>
          <w:p>
            <w:pP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b/>
                <w:bCs/>
                <w:sz w:val="21"/>
                <w:szCs w:val="21"/>
              </w:rPr>
              <w:t>合并</w:t>
            </w:r>
            <w:r>
              <w:rPr>
                <w:rFonts w:ascii="宋体" w:hAnsi="宋体" w:cs="宋体" w:eastAsia="宋体" w:hint="default"/>
                <w:sz w:val="21"/>
                <w:szCs w:val="21"/>
              </w:rPr>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left="488" w:right="0"/>
              <w:jc w:val="left"/>
              <w:rPr>
                <w:rFonts w:ascii="宋体" w:hAnsi="宋体" w:cs="宋体" w:eastAsia="宋体" w:hint="default"/>
                <w:sz w:val="21"/>
                <w:szCs w:val="21"/>
              </w:rPr>
            </w:pPr>
            <w:r>
              <w:rPr>
                <w:rFonts w:ascii="宋体" w:hAnsi="宋体" w:cs="宋体" w:eastAsia="宋体" w:hint="default"/>
                <w:b/>
                <w:bCs/>
                <w:sz w:val="21"/>
                <w:szCs w:val="21"/>
              </w:rPr>
              <w:t>母公司</w:t>
            </w:r>
            <w:r>
              <w:rPr>
                <w:rFonts w:ascii="宋体" w:hAnsi="宋体" w:cs="宋体" w:eastAsia="宋体" w:hint="default"/>
                <w:sz w:val="21"/>
                <w:szCs w:val="21"/>
              </w:rPr>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b/>
                <w:bCs/>
                <w:sz w:val="21"/>
                <w:szCs w:val="21"/>
              </w:rPr>
              <w:t>合并</w:t>
            </w:r>
            <w:r>
              <w:rPr>
                <w:rFonts w:ascii="宋体" w:hAnsi="宋体" w:cs="宋体" w:eastAsia="宋体" w:hint="default"/>
                <w:sz w:val="21"/>
                <w:szCs w:val="21"/>
              </w:rPr>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left="488" w:right="0"/>
              <w:jc w:val="left"/>
              <w:rPr>
                <w:rFonts w:ascii="宋体" w:hAnsi="宋体" w:cs="宋体" w:eastAsia="宋体" w:hint="default"/>
                <w:sz w:val="21"/>
                <w:szCs w:val="21"/>
              </w:rPr>
            </w:pPr>
            <w:r>
              <w:rPr>
                <w:rFonts w:ascii="宋体" w:hAnsi="宋体" w:cs="宋体" w:eastAsia="宋体" w:hint="default"/>
                <w:b/>
                <w:bCs/>
                <w:sz w:val="21"/>
                <w:szCs w:val="21"/>
              </w:rPr>
              <w:t>母公司</w:t>
            </w:r>
            <w:r>
              <w:rPr>
                <w:rFonts w:ascii="宋体" w:hAnsi="宋体" w:cs="宋体" w:eastAsia="宋体" w:hint="default"/>
                <w:sz w:val="21"/>
                <w:szCs w:val="21"/>
              </w:rPr>
            </w:r>
          </w:p>
        </w:tc>
      </w:tr>
      <w:tr>
        <w:trPr>
          <w:trHeight w:val="289" w:hRule="exact"/>
        </w:trPr>
        <w:tc>
          <w:tcPr>
            <w:tcW w:w="3734"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将净利润调节为经营活动现金流量：</w:t>
            </w:r>
          </w:p>
        </w:tc>
        <w:tc>
          <w:tcPr>
            <w:tcW w:w="1615" w:type="dxa"/>
            <w:tcBorders>
              <w:top w:val="single" w:sz="2" w:space="0" w:color="000000"/>
              <w:left w:val="single" w:sz="2" w:space="0" w:color="000000"/>
              <w:bottom w:val="single" w:sz="2" w:space="0" w:color="000000"/>
              <w:right w:val="single" w:sz="2" w:space="0" w:color="000000"/>
            </w:tcBorders>
          </w:tcPr>
          <w:p>
            <w:pPr/>
          </w:p>
        </w:tc>
        <w:tc>
          <w:tcPr>
            <w:tcW w:w="1616" w:type="dxa"/>
            <w:tcBorders>
              <w:top w:val="single" w:sz="2" w:space="0" w:color="000000"/>
              <w:left w:val="single" w:sz="2" w:space="0" w:color="000000"/>
              <w:bottom w:val="single" w:sz="2" w:space="0" w:color="000000"/>
              <w:right w:val="single" w:sz="2" w:space="0" w:color="000000"/>
            </w:tcBorders>
          </w:tcPr>
          <w:p>
            <w:pPr/>
          </w:p>
        </w:tc>
        <w:tc>
          <w:tcPr>
            <w:tcW w:w="1615" w:type="dxa"/>
            <w:tcBorders>
              <w:top w:val="single" w:sz="2" w:space="0" w:color="000000"/>
              <w:left w:val="single" w:sz="2" w:space="0" w:color="000000"/>
              <w:bottom w:val="single" w:sz="2" w:space="0" w:color="000000"/>
              <w:right w:val="single" w:sz="2" w:space="0" w:color="000000"/>
            </w:tcBorders>
          </w:tcPr>
          <w:p>
            <w:pPr/>
          </w:p>
        </w:tc>
        <w:tc>
          <w:tcPr>
            <w:tcW w:w="1615" w:type="dxa"/>
            <w:tcBorders>
              <w:top w:val="single" w:sz="2" w:space="0" w:color="000000"/>
              <w:left w:val="single" w:sz="2" w:space="0" w:color="000000"/>
              <w:bottom w:val="single" w:sz="2" w:space="0" w:color="000000"/>
              <w:right w:val="single" w:sz="2" w:space="0" w:color="000000"/>
            </w:tcBorders>
          </w:tcPr>
          <w:p>
            <w:pPr/>
          </w:p>
        </w:tc>
      </w:tr>
      <w:tr>
        <w:trPr>
          <w:trHeight w:val="289" w:hRule="exact"/>
        </w:trPr>
        <w:tc>
          <w:tcPr>
            <w:tcW w:w="3734"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316" w:right="0"/>
              <w:jc w:val="left"/>
              <w:rPr>
                <w:rFonts w:ascii="宋体" w:hAnsi="宋体" w:cs="宋体" w:eastAsia="宋体" w:hint="default"/>
                <w:sz w:val="21"/>
                <w:szCs w:val="21"/>
              </w:rPr>
            </w:pPr>
            <w:r>
              <w:rPr>
                <w:rFonts w:ascii="宋体" w:hAnsi="宋体" w:cs="宋体" w:eastAsia="宋体" w:hint="default"/>
                <w:b/>
                <w:bCs/>
                <w:sz w:val="21"/>
                <w:szCs w:val="21"/>
              </w:rPr>
              <w:t>净利润</w:t>
            </w:r>
            <w:r>
              <w:rPr>
                <w:rFonts w:ascii="宋体" w:hAnsi="宋体" w:cs="宋体" w:eastAsia="宋体" w:hint="default"/>
                <w:sz w:val="21"/>
                <w:szCs w:val="21"/>
              </w:rPr>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Times New Roman" w:hAnsi="Times New Roman" w:cs="Times New Roman" w:eastAsia="Times New Roman" w:hint="default"/>
                <w:sz w:val="21"/>
                <w:szCs w:val="21"/>
              </w:rPr>
            </w:pPr>
            <w:r>
              <w:rPr>
                <w:rFonts w:ascii="Times New Roman"/>
                <w:spacing w:val="-1"/>
                <w:sz w:val="21"/>
              </w:rPr>
              <w:t>331,548,801.34</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Times New Roman" w:hAnsi="Times New Roman" w:cs="Times New Roman" w:eastAsia="Times New Roman" w:hint="default"/>
                <w:sz w:val="21"/>
                <w:szCs w:val="21"/>
              </w:rPr>
            </w:pPr>
            <w:r>
              <w:rPr>
                <w:rFonts w:ascii="Times New Roman"/>
                <w:spacing w:val="-1"/>
                <w:sz w:val="21"/>
              </w:rPr>
              <w:t>315,559,883.16</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pacing w:val="-1"/>
                <w:sz w:val="21"/>
              </w:rPr>
              <w:t>231,569,801.01</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Times New Roman" w:hAnsi="Times New Roman" w:cs="Times New Roman" w:eastAsia="Times New Roman" w:hint="default"/>
                <w:sz w:val="21"/>
                <w:szCs w:val="21"/>
              </w:rPr>
            </w:pPr>
            <w:r>
              <w:rPr>
                <w:rFonts w:ascii="Times New Roman"/>
                <w:spacing w:val="-1"/>
                <w:sz w:val="21"/>
              </w:rPr>
              <w:t>221,342,376.25</w:t>
            </w:r>
          </w:p>
        </w:tc>
      </w:tr>
      <w:tr>
        <w:trPr>
          <w:trHeight w:val="289" w:hRule="exact"/>
        </w:trPr>
        <w:tc>
          <w:tcPr>
            <w:tcW w:w="3734"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315"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1,045,083.14</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pacing w:val="-1"/>
                <w:sz w:val="21"/>
              </w:rPr>
              <w:t>977,646.28</w:t>
            </w:r>
            <w:r>
              <w:rPr>
                <w:rFonts w:ascii="Times New Roman"/>
                <w:sz w:val="21"/>
              </w:rPr>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pacing w:val="-1"/>
                <w:sz w:val="21"/>
              </w:rPr>
              <w:t>-13,898.19</w:t>
            </w:r>
            <w:r>
              <w:rPr>
                <w:rFonts w:ascii="Times New Roman"/>
                <w:sz w:val="21"/>
              </w:rPr>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Times New Roman" w:hAnsi="Times New Roman" w:cs="Times New Roman" w:eastAsia="Times New Roman" w:hint="default"/>
                <w:sz w:val="21"/>
                <w:szCs w:val="21"/>
              </w:rPr>
            </w:pPr>
            <w:r>
              <w:rPr>
                <w:rFonts w:ascii="Times New Roman"/>
                <w:spacing w:val="-1"/>
                <w:sz w:val="21"/>
              </w:rPr>
              <w:t>-64,701.10</w:t>
            </w:r>
            <w:r>
              <w:rPr>
                <w:rFonts w:ascii="Times New Roman"/>
                <w:sz w:val="21"/>
              </w:rPr>
            </w:r>
          </w:p>
        </w:tc>
      </w:tr>
      <w:tr>
        <w:trPr>
          <w:trHeight w:val="550" w:hRule="exact"/>
        </w:trPr>
        <w:tc>
          <w:tcPr>
            <w:tcW w:w="3734"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left="315"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Times New Roman" w:hAnsi="Times New Roman" w:cs="Times New Roman" w:eastAsia="Times New Roman" w:hint="default"/>
                <w:sz w:val="21"/>
                <w:szCs w:val="21"/>
              </w:rPr>
            </w:pPr>
            <w:r>
              <w:rPr>
                <w:rFonts w:ascii="Times New Roman"/>
                <w:spacing w:val="-1"/>
                <w:sz w:val="21"/>
              </w:rPr>
              <w:t>15,038,467.27</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2"/>
              <w:jc w:val="right"/>
              <w:rPr>
                <w:rFonts w:ascii="Times New Roman" w:hAnsi="Times New Roman" w:cs="Times New Roman" w:eastAsia="Times New Roman" w:hint="default"/>
                <w:sz w:val="21"/>
                <w:szCs w:val="21"/>
              </w:rPr>
            </w:pPr>
            <w:r>
              <w:rPr>
                <w:rFonts w:ascii="Times New Roman"/>
                <w:spacing w:val="-1"/>
                <w:sz w:val="21"/>
              </w:rPr>
              <w:t>2,662,191.06</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Times New Roman" w:hAnsi="Times New Roman" w:cs="Times New Roman" w:eastAsia="Times New Roman" w:hint="default"/>
                <w:sz w:val="21"/>
                <w:szCs w:val="21"/>
              </w:rPr>
            </w:pPr>
            <w:r>
              <w:rPr>
                <w:rFonts w:ascii="Times New Roman"/>
                <w:spacing w:val="-1"/>
                <w:sz w:val="21"/>
              </w:rPr>
              <w:t>10,278,539.96</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pacing w:val="-1"/>
                <w:sz w:val="21"/>
              </w:rPr>
              <w:t>1,840,197.73</w:t>
            </w:r>
          </w:p>
        </w:tc>
      </w:tr>
      <w:tr>
        <w:trPr>
          <w:trHeight w:val="288" w:hRule="exact"/>
        </w:trPr>
        <w:tc>
          <w:tcPr>
            <w:tcW w:w="3734"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315"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pacing w:val="-1"/>
                <w:sz w:val="21"/>
              </w:rPr>
              <w:t>555,147.92</w:t>
            </w:r>
            <w:r>
              <w:rPr>
                <w:rFonts w:ascii="Times New Roman"/>
                <w:sz w:val="21"/>
              </w:rPr>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pacing w:val="-1"/>
                <w:sz w:val="21"/>
              </w:rPr>
              <w:t>545,347.88</w:t>
            </w:r>
            <w:r>
              <w:rPr>
                <w:rFonts w:ascii="Times New Roman"/>
                <w:sz w:val="21"/>
              </w:rPr>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pacing w:val="-1"/>
                <w:sz w:val="21"/>
              </w:rPr>
              <w:t>458,062.37</w:t>
            </w:r>
            <w:r>
              <w:rPr>
                <w:rFonts w:ascii="Times New Roman"/>
                <w:sz w:val="21"/>
              </w:rPr>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pacing w:val="-1"/>
                <w:sz w:val="21"/>
              </w:rPr>
              <w:t>453,395.70</w:t>
            </w:r>
            <w:r>
              <w:rPr>
                <w:rFonts w:ascii="Times New Roman"/>
                <w:sz w:val="21"/>
              </w:rPr>
            </w:r>
          </w:p>
        </w:tc>
      </w:tr>
      <w:tr>
        <w:trPr>
          <w:trHeight w:val="289" w:hRule="exact"/>
        </w:trPr>
        <w:tc>
          <w:tcPr>
            <w:tcW w:w="3734"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315"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pacing w:val="-1"/>
                <w:sz w:val="21"/>
              </w:rPr>
              <w:t>355,660.43</w:t>
            </w:r>
            <w:r>
              <w:rPr>
                <w:rFonts w:ascii="Times New Roman"/>
                <w:sz w:val="21"/>
              </w:rPr>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pacing w:val="-1"/>
                <w:sz w:val="21"/>
              </w:rPr>
              <w:t>355,660.43</w:t>
            </w:r>
            <w:r>
              <w:rPr>
                <w:rFonts w:ascii="Times New Roman"/>
                <w:sz w:val="21"/>
              </w:rPr>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pacing w:val="-1"/>
                <w:sz w:val="21"/>
              </w:rPr>
              <w:t>543,849.26</w:t>
            </w:r>
            <w:r>
              <w:rPr>
                <w:rFonts w:ascii="Times New Roman"/>
                <w:sz w:val="21"/>
              </w:rPr>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pacing w:val="-1"/>
                <w:sz w:val="21"/>
              </w:rPr>
              <w:t>543,849.26</w:t>
            </w:r>
            <w:r>
              <w:rPr>
                <w:rFonts w:ascii="Times New Roman"/>
                <w:sz w:val="21"/>
              </w:rPr>
            </w:r>
          </w:p>
        </w:tc>
      </w:tr>
      <w:tr>
        <w:trPr>
          <w:trHeight w:val="550" w:hRule="exact"/>
        </w:trPr>
        <w:tc>
          <w:tcPr>
            <w:tcW w:w="3734"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left="315"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资产的损失（收益以“－”号填列）</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5"/>
              <w:jc w:val="right"/>
              <w:rPr>
                <w:rFonts w:ascii="Times New Roman" w:hAnsi="Times New Roman" w:cs="Times New Roman" w:eastAsia="Times New Roman" w:hint="default"/>
                <w:sz w:val="21"/>
                <w:szCs w:val="21"/>
              </w:rPr>
            </w:pPr>
            <w:r>
              <w:rPr>
                <w:rFonts w:ascii="Times New Roman"/>
                <w:spacing w:val="-1"/>
                <w:sz w:val="21"/>
              </w:rPr>
              <w:t>287,223.72</w:t>
            </w:r>
            <w:r>
              <w:rPr>
                <w:rFonts w:ascii="Times New Roman"/>
                <w:sz w:val="21"/>
              </w:rPr>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2"/>
              <w:jc w:val="right"/>
              <w:rPr>
                <w:rFonts w:ascii="Times New Roman" w:hAnsi="Times New Roman" w:cs="Times New Roman" w:eastAsia="Times New Roman" w:hint="default"/>
                <w:sz w:val="21"/>
                <w:szCs w:val="21"/>
              </w:rPr>
            </w:pPr>
            <w:r>
              <w:rPr>
                <w:rFonts w:ascii="Times New Roman"/>
                <w:spacing w:val="-1"/>
                <w:sz w:val="21"/>
              </w:rPr>
              <w:t>28,724.08</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2"/>
              <w:jc w:val="right"/>
              <w:rPr>
                <w:rFonts w:ascii="Times New Roman" w:hAnsi="Times New Roman" w:cs="Times New Roman" w:eastAsia="Times New Roman" w:hint="default"/>
                <w:sz w:val="21"/>
                <w:szCs w:val="21"/>
              </w:rPr>
            </w:pPr>
            <w:r>
              <w:rPr>
                <w:rFonts w:ascii="Times New Roman"/>
                <w:spacing w:val="-1"/>
                <w:sz w:val="21"/>
              </w:rPr>
              <w:t>78,129.03</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2"/>
              <w:jc w:val="right"/>
              <w:rPr>
                <w:rFonts w:ascii="Times New Roman" w:hAnsi="Times New Roman" w:cs="Times New Roman" w:eastAsia="Times New Roman" w:hint="default"/>
                <w:sz w:val="21"/>
                <w:szCs w:val="21"/>
              </w:rPr>
            </w:pPr>
            <w:r>
              <w:rPr>
                <w:rFonts w:ascii="Times New Roman"/>
                <w:spacing w:val="-1"/>
                <w:sz w:val="21"/>
              </w:rPr>
              <w:t>75,547.15</w:t>
            </w:r>
          </w:p>
        </w:tc>
      </w:tr>
      <w:tr>
        <w:trPr>
          <w:trHeight w:val="550" w:hRule="exact"/>
        </w:trPr>
        <w:tc>
          <w:tcPr>
            <w:tcW w:w="3734"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left="315" w:right="0"/>
              <w:jc w:val="left"/>
              <w:rPr>
                <w:rFonts w:ascii="宋体" w:hAnsi="宋体" w:cs="宋体" w:eastAsia="宋体" w:hint="default"/>
                <w:sz w:val="21"/>
                <w:szCs w:val="21"/>
              </w:rPr>
            </w:pPr>
            <w:r>
              <w:rPr>
                <w:rFonts w:ascii="宋体" w:hAnsi="宋体" w:cs="宋体" w:eastAsia="宋体" w:hint="default"/>
                <w:spacing w:val="-4"/>
                <w:sz w:val="21"/>
                <w:szCs w:val="21"/>
              </w:rPr>
              <w:t>固定资产报废损失（收益以“－”号</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4"/>
              <w:jc w:val="right"/>
              <w:rPr>
                <w:rFonts w:ascii="Times New Roman" w:hAnsi="Times New Roman" w:cs="Times New Roman" w:eastAsia="Times New Roman" w:hint="default"/>
                <w:sz w:val="21"/>
                <w:szCs w:val="21"/>
              </w:rPr>
            </w:pPr>
            <w:r>
              <w:rPr>
                <w:rFonts w:ascii="Times New Roman"/>
                <w:spacing w:val="-2"/>
                <w:sz w:val="21"/>
              </w:rPr>
              <w:t>39,011.13</w:t>
            </w:r>
            <w:r>
              <w:rPr>
                <w:rFonts w:ascii="Times New Roman"/>
                <w:sz w:val="21"/>
              </w:rPr>
            </w:r>
          </w:p>
        </w:tc>
        <w:tc>
          <w:tcPr>
            <w:tcW w:w="1616" w:type="dxa"/>
            <w:tcBorders>
              <w:top w:val="single" w:sz="2" w:space="0" w:color="000000"/>
              <w:left w:val="single" w:sz="2" w:space="0" w:color="000000"/>
              <w:bottom w:val="single" w:sz="2" w:space="0" w:color="000000"/>
              <w:right w:val="single" w:sz="2" w:space="0" w:color="000000"/>
            </w:tcBorders>
          </w:tcPr>
          <w:p>
            <w:pP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15" w:type="dxa"/>
            <w:tcBorders>
              <w:top w:val="single" w:sz="2" w:space="0" w:color="000000"/>
              <w:left w:val="single" w:sz="2" w:space="0" w:color="000000"/>
              <w:bottom w:val="single" w:sz="2" w:space="0" w:color="000000"/>
              <w:right w:val="single" w:sz="2" w:space="0" w:color="000000"/>
            </w:tcBorders>
          </w:tcPr>
          <w:p>
            <w:pPr/>
          </w:p>
        </w:tc>
      </w:tr>
      <w:tr>
        <w:trPr>
          <w:trHeight w:val="551" w:hRule="exact"/>
        </w:trPr>
        <w:tc>
          <w:tcPr>
            <w:tcW w:w="3734"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left="315" w:right="0"/>
              <w:jc w:val="left"/>
              <w:rPr>
                <w:rFonts w:ascii="宋体" w:hAnsi="宋体" w:cs="宋体" w:eastAsia="宋体" w:hint="default"/>
                <w:sz w:val="21"/>
                <w:szCs w:val="21"/>
              </w:rPr>
            </w:pPr>
            <w:r>
              <w:rPr>
                <w:rFonts w:ascii="宋体" w:hAnsi="宋体" w:cs="宋体" w:eastAsia="宋体" w:hint="default"/>
                <w:spacing w:val="-4"/>
                <w:sz w:val="21"/>
                <w:szCs w:val="21"/>
              </w:rPr>
              <w:t>公允价值变动损失（收益以“－”号</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16" w:type="dxa"/>
            <w:tcBorders>
              <w:top w:val="single" w:sz="2" w:space="0" w:color="000000"/>
              <w:left w:val="single" w:sz="2" w:space="0" w:color="000000"/>
              <w:bottom w:val="single" w:sz="2" w:space="0" w:color="000000"/>
              <w:right w:val="single" w:sz="2" w:space="0" w:color="000000"/>
            </w:tcBorders>
          </w:tcPr>
          <w:p>
            <w:pP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15" w:type="dxa"/>
            <w:tcBorders>
              <w:top w:val="single" w:sz="2" w:space="0" w:color="000000"/>
              <w:left w:val="single" w:sz="2" w:space="0" w:color="000000"/>
              <w:bottom w:val="single" w:sz="2" w:space="0" w:color="000000"/>
              <w:right w:val="single" w:sz="2" w:space="0" w:color="000000"/>
            </w:tcBorders>
          </w:tcPr>
          <w:p>
            <w:pPr/>
          </w:p>
        </w:tc>
      </w:tr>
      <w:tr>
        <w:trPr>
          <w:trHeight w:val="288" w:hRule="exact"/>
        </w:trPr>
        <w:tc>
          <w:tcPr>
            <w:tcW w:w="3734"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315"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5,147,899.76</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5,153,224.45</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6,048,169.70</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6,048,169.70</w:t>
            </w:r>
          </w:p>
        </w:tc>
      </w:tr>
      <w:tr>
        <w:trPr>
          <w:trHeight w:val="289" w:hRule="exact"/>
        </w:trPr>
        <w:tc>
          <w:tcPr>
            <w:tcW w:w="3734"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315"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16" w:type="dxa"/>
            <w:tcBorders>
              <w:top w:val="single" w:sz="2" w:space="0" w:color="000000"/>
              <w:left w:val="single" w:sz="2" w:space="0" w:color="000000"/>
              <w:bottom w:val="single" w:sz="2" w:space="0" w:color="000000"/>
              <w:right w:val="single" w:sz="2" w:space="0" w:color="000000"/>
            </w:tcBorders>
          </w:tcPr>
          <w:p>
            <w:pP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50" w:hRule="exact"/>
        </w:trPr>
        <w:tc>
          <w:tcPr>
            <w:tcW w:w="3734"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left="315"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5"/>
              <w:jc w:val="right"/>
              <w:rPr>
                <w:rFonts w:ascii="Times New Roman" w:hAnsi="Times New Roman" w:cs="Times New Roman" w:eastAsia="Times New Roman" w:hint="default"/>
                <w:sz w:val="21"/>
                <w:szCs w:val="21"/>
              </w:rPr>
            </w:pPr>
            <w:r>
              <w:rPr>
                <w:rFonts w:ascii="Times New Roman"/>
                <w:spacing w:val="-1"/>
                <w:sz w:val="21"/>
              </w:rPr>
              <w:t>-50,884.92</w:t>
            </w:r>
            <w:r>
              <w:rPr>
                <w:rFonts w:ascii="Times New Roman"/>
                <w:sz w:val="21"/>
              </w:rPr>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5"/>
              <w:jc w:val="right"/>
              <w:rPr>
                <w:rFonts w:ascii="Times New Roman" w:hAnsi="Times New Roman" w:cs="Times New Roman" w:eastAsia="Times New Roman" w:hint="default"/>
                <w:sz w:val="21"/>
                <w:szCs w:val="21"/>
              </w:rPr>
            </w:pPr>
            <w:r>
              <w:rPr>
                <w:rFonts w:ascii="Times New Roman"/>
                <w:spacing w:val="-1"/>
                <w:sz w:val="21"/>
              </w:rPr>
              <w:t>386,187.75</w:t>
            </w:r>
            <w:r>
              <w:rPr>
                <w:rFonts w:ascii="Times New Roman"/>
                <w:sz w:val="21"/>
              </w:rPr>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Times New Roman" w:hAnsi="Times New Roman" w:cs="Times New Roman" w:eastAsia="Times New Roman" w:hint="default"/>
                <w:sz w:val="21"/>
                <w:szCs w:val="21"/>
              </w:rPr>
            </w:pPr>
            <w:r>
              <w:rPr>
                <w:rFonts w:ascii="Times New Roman"/>
                <w:spacing w:val="-1"/>
                <w:sz w:val="21"/>
              </w:rPr>
              <w:t>-4,645,997.78</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2"/>
              <w:jc w:val="right"/>
              <w:rPr>
                <w:rFonts w:ascii="Times New Roman" w:hAnsi="Times New Roman" w:cs="Times New Roman" w:eastAsia="Times New Roman" w:hint="default"/>
                <w:sz w:val="21"/>
                <w:szCs w:val="21"/>
              </w:rPr>
            </w:pPr>
            <w:r>
              <w:rPr>
                <w:rFonts w:ascii="Times New Roman"/>
                <w:spacing w:val="-1"/>
                <w:sz w:val="21"/>
              </w:rPr>
              <w:t>-3,858,297.96</w:t>
            </w:r>
          </w:p>
        </w:tc>
      </w:tr>
      <w:tr>
        <w:trPr>
          <w:trHeight w:val="550" w:hRule="exact"/>
        </w:trPr>
        <w:tc>
          <w:tcPr>
            <w:tcW w:w="3734"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left="315"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16" w:type="dxa"/>
            <w:tcBorders>
              <w:top w:val="single" w:sz="2" w:space="0" w:color="000000"/>
              <w:left w:val="single" w:sz="2" w:space="0" w:color="000000"/>
              <w:bottom w:val="single" w:sz="2" w:space="0" w:color="000000"/>
              <w:right w:val="single" w:sz="2" w:space="0" w:color="000000"/>
            </w:tcBorders>
          </w:tcPr>
          <w:p>
            <w:pP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15" w:type="dxa"/>
            <w:tcBorders>
              <w:top w:val="single" w:sz="2" w:space="0" w:color="000000"/>
              <w:left w:val="single" w:sz="2" w:space="0" w:color="000000"/>
              <w:bottom w:val="single" w:sz="2" w:space="0" w:color="000000"/>
              <w:right w:val="single" w:sz="2" w:space="0" w:color="000000"/>
            </w:tcBorders>
          </w:tcPr>
          <w:p>
            <w:pPr/>
          </w:p>
        </w:tc>
      </w:tr>
      <w:tr>
        <w:trPr>
          <w:trHeight w:val="289" w:hRule="exact"/>
        </w:trPr>
        <w:tc>
          <w:tcPr>
            <w:tcW w:w="3734"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315"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-100,541,664.63</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-104,276,191.44</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-272,249,592.90</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-270,592,501.58</w:t>
            </w:r>
          </w:p>
        </w:tc>
      </w:tr>
      <w:tr>
        <w:trPr>
          <w:trHeight w:val="550" w:hRule="exact"/>
        </w:trPr>
        <w:tc>
          <w:tcPr>
            <w:tcW w:w="3734"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left="315" w:right="-1"/>
              <w:jc w:val="left"/>
              <w:rPr>
                <w:rFonts w:ascii="宋体" w:hAnsi="宋体" w:cs="宋体" w:eastAsia="宋体" w:hint="default"/>
                <w:sz w:val="21"/>
                <w:szCs w:val="21"/>
              </w:rPr>
            </w:pPr>
            <w:r>
              <w:rPr>
                <w:rFonts w:ascii="宋体" w:hAnsi="宋体" w:cs="宋体" w:eastAsia="宋体" w:hint="default"/>
                <w:spacing w:val="-10"/>
                <w:sz w:val="21"/>
                <w:szCs w:val="21"/>
              </w:rPr>
              <w:t>经营性应收项目的减少（增加以“－”</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5"/>
              <w:jc w:val="right"/>
              <w:rPr>
                <w:rFonts w:ascii="Times New Roman" w:hAnsi="Times New Roman" w:cs="Times New Roman" w:eastAsia="Times New Roman" w:hint="default"/>
                <w:sz w:val="21"/>
                <w:szCs w:val="21"/>
              </w:rPr>
            </w:pPr>
            <w:r>
              <w:rPr>
                <w:rFonts w:ascii="Times New Roman"/>
                <w:spacing w:val="-1"/>
                <w:sz w:val="21"/>
              </w:rPr>
              <w:t>-69,259,190.25</w:t>
            </w:r>
            <w:r>
              <w:rPr>
                <w:rFonts w:ascii="Times New Roman"/>
                <w:sz w:val="21"/>
              </w:rPr>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5"/>
              <w:jc w:val="right"/>
              <w:rPr>
                <w:rFonts w:ascii="Times New Roman" w:hAnsi="Times New Roman" w:cs="Times New Roman" w:eastAsia="Times New Roman" w:hint="default"/>
                <w:sz w:val="21"/>
                <w:szCs w:val="21"/>
              </w:rPr>
            </w:pPr>
            <w:r>
              <w:rPr>
                <w:rFonts w:ascii="Times New Roman"/>
                <w:spacing w:val="-1"/>
                <w:sz w:val="21"/>
              </w:rPr>
              <w:t>-40,670,573.28</w:t>
            </w:r>
            <w:r>
              <w:rPr>
                <w:rFonts w:ascii="Times New Roman"/>
                <w:sz w:val="21"/>
              </w:rPr>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4"/>
              <w:jc w:val="right"/>
              <w:rPr>
                <w:rFonts w:ascii="Times New Roman" w:hAnsi="Times New Roman" w:cs="Times New Roman" w:eastAsia="Times New Roman" w:hint="default"/>
                <w:sz w:val="21"/>
                <w:szCs w:val="21"/>
              </w:rPr>
            </w:pPr>
            <w:r>
              <w:rPr>
                <w:rFonts w:ascii="Times New Roman"/>
                <w:spacing w:val="-1"/>
                <w:sz w:val="21"/>
              </w:rPr>
              <w:t>-39,912,518.56</w:t>
            </w:r>
            <w:r>
              <w:rPr>
                <w:rFonts w:ascii="Times New Roman"/>
                <w:sz w:val="21"/>
              </w:rPr>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4"/>
              <w:jc w:val="right"/>
              <w:rPr>
                <w:rFonts w:ascii="Times New Roman" w:hAnsi="Times New Roman" w:cs="Times New Roman" w:eastAsia="Times New Roman" w:hint="default"/>
                <w:sz w:val="21"/>
                <w:szCs w:val="21"/>
              </w:rPr>
            </w:pPr>
            <w:r>
              <w:rPr>
                <w:rFonts w:ascii="Times New Roman"/>
                <w:spacing w:val="-1"/>
                <w:sz w:val="21"/>
              </w:rPr>
              <w:t>-50,685,260.19</w:t>
            </w:r>
            <w:r>
              <w:rPr>
                <w:rFonts w:ascii="Times New Roman"/>
                <w:sz w:val="21"/>
              </w:rPr>
            </w:r>
          </w:p>
        </w:tc>
      </w:tr>
      <w:tr>
        <w:trPr>
          <w:trHeight w:val="550" w:hRule="exact"/>
        </w:trPr>
        <w:tc>
          <w:tcPr>
            <w:tcW w:w="3734"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left="315" w:right="-1"/>
              <w:jc w:val="left"/>
              <w:rPr>
                <w:rFonts w:ascii="宋体" w:hAnsi="宋体" w:cs="宋体" w:eastAsia="宋体" w:hint="default"/>
                <w:sz w:val="21"/>
                <w:szCs w:val="21"/>
              </w:rPr>
            </w:pPr>
            <w:r>
              <w:rPr>
                <w:rFonts w:ascii="宋体" w:hAnsi="宋体" w:cs="宋体" w:eastAsia="宋体" w:hint="default"/>
                <w:spacing w:val="-10"/>
                <w:sz w:val="21"/>
                <w:szCs w:val="21"/>
              </w:rPr>
              <w:t>经营性应付项目的增加（减少以“－”</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4"/>
              <w:jc w:val="right"/>
              <w:rPr>
                <w:rFonts w:ascii="Times New Roman" w:hAnsi="Times New Roman" w:cs="Times New Roman" w:eastAsia="Times New Roman" w:hint="default"/>
                <w:sz w:val="21"/>
                <w:szCs w:val="21"/>
              </w:rPr>
            </w:pPr>
            <w:r>
              <w:rPr>
                <w:rFonts w:ascii="Times New Roman"/>
                <w:spacing w:val="-1"/>
                <w:sz w:val="21"/>
              </w:rPr>
              <w:t>122,422,533.54</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4"/>
              <w:jc w:val="right"/>
              <w:rPr>
                <w:rFonts w:ascii="Times New Roman" w:hAnsi="Times New Roman" w:cs="Times New Roman" w:eastAsia="Times New Roman" w:hint="default"/>
                <w:sz w:val="21"/>
                <w:szCs w:val="21"/>
              </w:rPr>
            </w:pPr>
            <w:r>
              <w:rPr>
                <w:rFonts w:ascii="Times New Roman"/>
                <w:spacing w:val="-1"/>
                <w:sz w:val="21"/>
              </w:rPr>
              <w:t>138,739,995.16</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5"/>
              <w:jc w:val="right"/>
              <w:rPr>
                <w:rFonts w:ascii="Times New Roman" w:hAnsi="Times New Roman" w:cs="Times New Roman" w:eastAsia="Times New Roman" w:hint="default"/>
                <w:sz w:val="21"/>
                <w:szCs w:val="21"/>
              </w:rPr>
            </w:pPr>
            <w:r>
              <w:rPr>
                <w:rFonts w:ascii="Times New Roman"/>
                <w:spacing w:val="-1"/>
                <w:sz w:val="21"/>
              </w:rPr>
              <w:t>309,712,935.19</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4"/>
              <w:jc w:val="right"/>
              <w:rPr>
                <w:rFonts w:ascii="Times New Roman" w:hAnsi="Times New Roman" w:cs="Times New Roman" w:eastAsia="Times New Roman" w:hint="default"/>
                <w:sz w:val="21"/>
                <w:szCs w:val="21"/>
              </w:rPr>
            </w:pPr>
            <w:r>
              <w:rPr>
                <w:rFonts w:ascii="Times New Roman"/>
                <w:spacing w:val="-1"/>
                <w:sz w:val="21"/>
              </w:rPr>
              <w:t>318,528,016.83</w:t>
            </w:r>
          </w:p>
        </w:tc>
      </w:tr>
      <w:tr>
        <w:trPr>
          <w:trHeight w:val="289" w:hRule="exact"/>
        </w:trPr>
        <w:tc>
          <w:tcPr>
            <w:tcW w:w="3734"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31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16" w:type="dxa"/>
            <w:tcBorders>
              <w:top w:val="single" w:sz="2" w:space="0" w:color="000000"/>
              <w:left w:val="single" w:sz="2" w:space="0" w:color="000000"/>
              <w:bottom w:val="single" w:sz="2" w:space="0" w:color="000000"/>
              <w:right w:val="single" w:sz="2" w:space="0" w:color="000000"/>
            </w:tcBorders>
          </w:tcPr>
          <w:p>
            <w:pP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15" w:type="dxa"/>
            <w:tcBorders>
              <w:top w:val="single" w:sz="2" w:space="0" w:color="000000"/>
              <w:left w:val="single" w:sz="2" w:space="0" w:color="000000"/>
              <w:bottom w:val="single" w:sz="2" w:space="0" w:color="000000"/>
              <w:right w:val="single" w:sz="2" w:space="0" w:color="000000"/>
            </w:tcBorders>
          </w:tcPr>
          <w:p>
            <w:pPr/>
          </w:p>
        </w:tc>
      </w:tr>
      <w:tr>
        <w:trPr>
          <w:trHeight w:val="289" w:hRule="exact"/>
        </w:trPr>
        <w:tc>
          <w:tcPr>
            <w:tcW w:w="3734"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316" w:right="0"/>
              <w:jc w:val="left"/>
              <w:rPr>
                <w:rFonts w:ascii="宋体" w:hAnsi="宋体" w:cs="宋体" w:eastAsia="宋体" w:hint="default"/>
                <w:sz w:val="21"/>
                <w:szCs w:val="21"/>
              </w:rPr>
            </w:pPr>
            <w:r>
              <w:rPr>
                <w:rFonts w:ascii="宋体" w:hAnsi="宋体" w:cs="宋体" w:eastAsia="宋体" w:hint="default"/>
                <w:b/>
                <w:bCs/>
                <w:sz w:val="21"/>
                <w:szCs w:val="21"/>
              </w:rPr>
              <w:t>经营活动产生的现金流量净额</w:t>
            </w:r>
            <w:r>
              <w:rPr>
                <w:rFonts w:ascii="宋体" w:hAnsi="宋体" w:cs="宋体" w:eastAsia="宋体" w:hint="default"/>
                <w:sz w:val="21"/>
                <w:szCs w:val="21"/>
              </w:rPr>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Times New Roman" w:hAnsi="Times New Roman" w:cs="Times New Roman" w:eastAsia="Times New Roman" w:hint="default"/>
                <w:sz w:val="21"/>
                <w:szCs w:val="21"/>
              </w:rPr>
            </w:pPr>
            <w:r>
              <w:rPr>
                <w:rFonts w:ascii="Times New Roman"/>
                <w:spacing w:val="-1"/>
                <w:sz w:val="21"/>
              </w:rPr>
              <w:t>306,588,088.45</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Times New Roman" w:hAnsi="Times New Roman" w:cs="Times New Roman" w:eastAsia="Times New Roman" w:hint="default"/>
                <w:sz w:val="21"/>
                <w:szCs w:val="21"/>
              </w:rPr>
            </w:pPr>
            <w:r>
              <w:rPr>
                <w:rFonts w:ascii="Times New Roman"/>
                <w:spacing w:val="-1"/>
                <w:sz w:val="21"/>
              </w:rPr>
              <w:t>319,462,095.53</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pacing w:val="-1"/>
                <w:sz w:val="21"/>
              </w:rPr>
              <w:t>241,867,479.09</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Times New Roman" w:hAnsi="Times New Roman" w:cs="Times New Roman" w:eastAsia="Times New Roman" w:hint="default"/>
                <w:sz w:val="21"/>
                <w:szCs w:val="21"/>
              </w:rPr>
            </w:pPr>
            <w:r>
              <w:rPr>
                <w:rFonts w:ascii="Times New Roman"/>
                <w:spacing w:val="-1"/>
                <w:sz w:val="21"/>
              </w:rPr>
              <w:t>223,630,791.79</w:t>
            </w:r>
          </w:p>
        </w:tc>
      </w:tr>
      <w:tr>
        <w:trPr>
          <w:trHeight w:val="550" w:hRule="exact"/>
        </w:trPr>
        <w:tc>
          <w:tcPr>
            <w:tcW w:w="3734"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不涉及现金收支的重大投资和筹资活</w:t>
            </w:r>
          </w:p>
          <w:p>
            <w:pPr>
              <w:pStyle w:val="TableParagraph"/>
              <w:spacing w:line="266" w:lineRule="exact"/>
              <w:ind w:left="105" w:right="0"/>
              <w:jc w:val="left"/>
              <w:rPr>
                <w:rFonts w:ascii="宋体" w:hAnsi="宋体" w:cs="宋体" w:eastAsia="宋体" w:hint="default"/>
                <w:sz w:val="21"/>
                <w:szCs w:val="21"/>
              </w:rPr>
            </w:pPr>
            <w:r>
              <w:rPr>
                <w:rFonts w:ascii="宋体" w:hAnsi="宋体" w:cs="宋体" w:eastAsia="宋体" w:hint="default"/>
                <w:sz w:val="21"/>
                <w:szCs w:val="21"/>
              </w:rPr>
              <w:t>动：</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16" w:type="dxa"/>
            <w:tcBorders>
              <w:top w:val="single" w:sz="2" w:space="0" w:color="000000"/>
              <w:left w:val="single" w:sz="2" w:space="0" w:color="000000"/>
              <w:bottom w:val="single" w:sz="2" w:space="0" w:color="000000"/>
              <w:right w:val="single" w:sz="2" w:space="0" w:color="000000"/>
            </w:tcBorders>
          </w:tcPr>
          <w:p>
            <w:pP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15" w:type="dxa"/>
            <w:tcBorders>
              <w:top w:val="single" w:sz="2" w:space="0" w:color="000000"/>
              <w:left w:val="single" w:sz="2" w:space="0" w:color="000000"/>
              <w:bottom w:val="single" w:sz="2" w:space="0" w:color="000000"/>
              <w:right w:val="single" w:sz="2" w:space="0" w:color="000000"/>
            </w:tcBorders>
          </w:tcPr>
          <w:p>
            <w:pPr/>
          </w:p>
        </w:tc>
      </w:tr>
      <w:tr>
        <w:trPr>
          <w:trHeight w:val="289" w:hRule="exact"/>
        </w:trPr>
        <w:tc>
          <w:tcPr>
            <w:tcW w:w="3734"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315"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615" w:type="dxa"/>
            <w:tcBorders>
              <w:top w:val="single" w:sz="2" w:space="0" w:color="000000"/>
              <w:left w:val="single" w:sz="2" w:space="0" w:color="000000"/>
              <w:bottom w:val="single" w:sz="2" w:space="0" w:color="000000"/>
              <w:right w:val="single" w:sz="2" w:space="0" w:color="000000"/>
            </w:tcBorders>
          </w:tcPr>
          <w:p>
            <w:pPr/>
          </w:p>
        </w:tc>
        <w:tc>
          <w:tcPr>
            <w:tcW w:w="1616" w:type="dxa"/>
            <w:tcBorders>
              <w:top w:val="single" w:sz="2" w:space="0" w:color="000000"/>
              <w:left w:val="single" w:sz="2" w:space="0" w:color="000000"/>
              <w:bottom w:val="single" w:sz="2" w:space="0" w:color="000000"/>
              <w:right w:val="single" w:sz="2" w:space="0" w:color="000000"/>
            </w:tcBorders>
          </w:tcPr>
          <w:p>
            <w:pPr/>
          </w:p>
        </w:tc>
        <w:tc>
          <w:tcPr>
            <w:tcW w:w="1615" w:type="dxa"/>
            <w:tcBorders>
              <w:top w:val="single" w:sz="2" w:space="0" w:color="000000"/>
              <w:left w:val="single" w:sz="2" w:space="0" w:color="000000"/>
              <w:bottom w:val="single" w:sz="2" w:space="0" w:color="000000"/>
              <w:right w:val="single" w:sz="2" w:space="0" w:color="000000"/>
            </w:tcBorders>
          </w:tcPr>
          <w:p>
            <w:pPr/>
          </w:p>
        </w:tc>
        <w:tc>
          <w:tcPr>
            <w:tcW w:w="1615" w:type="dxa"/>
            <w:tcBorders>
              <w:top w:val="single" w:sz="2" w:space="0" w:color="000000"/>
              <w:left w:val="single" w:sz="2" w:space="0" w:color="000000"/>
              <w:bottom w:val="single" w:sz="2" w:space="0" w:color="000000"/>
              <w:right w:val="single" w:sz="2" w:space="0" w:color="000000"/>
            </w:tcBorders>
          </w:tcPr>
          <w:p>
            <w:pPr/>
          </w:p>
        </w:tc>
      </w:tr>
      <w:tr>
        <w:trPr>
          <w:trHeight w:val="289" w:hRule="exact"/>
        </w:trPr>
        <w:tc>
          <w:tcPr>
            <w:tcW w:w="3734"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315"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615" w:type="dxa"/>
            <w:tcBorders>
              <w:top w:val="single" w:sz="2" w:space="0" w:color="000000"/>
              <w:left w:val="single" w:sz="2" w:space="0" w:color="000000"/>
              <w:bottom w:val="single" w:sz="2" w:space="0" w:color="000000"/>
              <w:right w:val="single" w:sz="2" w:space="0" w:color="000000"/>
            </w:tcBorders>
          </w:tcPr>
          <w:p>
            <w:pPr/>
          </w:p>
        </w:tc>
        <w:tc>
          <w:tcPr>
            <w:tcW w:w="1616" w:type="dxa"/>
            <w:tcBorders>
              <w:top w:val="single" w:sz="2" w:space="0" w:color="000000"/>
              <w:left w:val="single" w:sz="2" w:space="0" w:color="000000"/>
              <w:bottom w:val="single" w:sz="2" w:space="0" w:color="000000"/>
              <w:right w:val="single" w:sz="2" w:space="0" w:color="000000"/>
            </w:tcBorders>
          </w:tcPr>
          <w:p>
            <w:pPr/>
          </w:p>
        </w:tc>
        <w:tc>
          <w:tcPr>
            <w:tcW w:w="1615" w:type="dxa"/>
            <w:tcBorders>
              <w:top w:val="single" w:sz="2" w:space="0" w:color="000000"/>
              <w:left w:val="single" w:sz="2" w:space="0" w:color="000000"/>
              <w:bottom w:val="single" w:sz="2" w:space="0" w:color="000000"/>
              <w:right w:val="single" w:sz="2" w:space="0" w:color="000000"/>
            </w:tcBorders>
          </w:tcPr>
          <w:p>
            <w:pPr/>
          </w:p>
        </w:tc>
        <w:tc>
          <w:tcPr>
            <w:tcW w:w="1615" w:type="dxa"/>
            <w:tcBorders>
              <w:top w:val="single" w:sz="2" w:space="0" w:color="000000"/>
              <w:left w:val="single" w:sz="2" w:space="0" w:color="000000"/>
              <w:bottom w:val="single" w:sz="2" w:space="0" w:color="000000"/>
              <w:right w:val="single" w:sz="2" w:space="0" w:color="000000"/>
            </w:tcBorders>
          </w:tcPr>
          <w:p>
            <w:pPr/>
          </w:p>
        </w:tc>
      </w:tr>
      <w:tr>
        <w:trPr>
          <w:trHeight w:val="289" w:hRule="exact"/>
        </w:trPr>
        <w:tc>
          <w:tcPr>
            <w:tcW w:w="3734"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315"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615" w:type="dxa"/>
            <w:tcBorders>
              <w:top w:val="single" w:sz="2" w:space="0" w:color="000000"/>
              <w:left w:val="single" w:sz="2" w:space="0" w:color="000000"/>
              <w:bottom w:val="single" w:sz="2" w:space="0" w:color="000000"/>
              <w:right w:val="single" w:sz="2" w:space="0" w:color="000000"/>
            </w:tcBorders>
          </w:tcPr>
          <w:p>
            <w:pPr/>
          </w:p>
        </w:tc>
        <w:tc>
          <w:tcPr>
            <w:tcW w:w="1616" w:type="dxa"/>
            <w:tcBorders>
              <w:top w:val="single" w:sz="2" w:space="0" w:color="000000"/>
              <w:left w:val="single" w:sz="2" w:space="0" w:color="000000"/>
              <w:bottom w:val="single" w:sz="2" w:space="0" w:color="000000"/>
              <w:right w:val="single" w:sz="2" w:space="0" w:color="000000"/>
            </w:tcBorders>
          </w:tcPr>
          <w:p>
            <w:pPr/>
          </w:p>
        </w:tc>
        <w:tc>
          <w:tcPr>
            <w:tcW w:w="1615" w:type="dxa"/>
            <w:tcBorders>
              <w:top w:val="single" w:sz="2" w:space="0" w:color="000000"/>
              <w:left w:val="single" w:sz="2" w:space="0" w:color="000000"/>
              <w:bottom w:val="single" w:sz="2" w:space="0" w:color="000000"/>
              <w:right w:val="single" w:sz="2" w:space="0" w:color="000000"/>
            </w:tcBorders>
          </w:tcPr>
          <w:p>
            <w:pPr/>
          </w:p>
        </w:tc>
        <w:tc>
          <w:tcPr>
            <w:tcW w:w="1615" w:type="dxa"/>
            <w:tcBorders>
              <w:top w:val="single" w:sz="2" w:space="0" w:color="000000"/>
              <w:left w:val="single" w:sz="2" w:space="0" w:color="000000"/>
              <w:bottom w:val="single" w:sz="2" w:space="0" w:color="000000"/>
              <w:right w:val="single" w:sz="2" w:space="0" w:color="000000"/>
            </w:tcBorders>
          </w:tcPr>
          <w:p>
            <w:pPr/>
          </w:p>
        </w:tc>
      </w:tr>
      <w:tr>
        <w:trPr>
          <w:trHeight w:val="288" w:hRule="exact"/>
        </w:trPr>
        <w:tc>
          <w:tcPr>
            <w:tcW w:w="3734"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现金及现金等价物净变动情况：</w:t>
            </w:r>
          </w:p>
        </w:tc>
        <w:tc>
          <w:tcPr>
            <w:tcW w:w="1615" w:type="dxa"/>
            <w:tcBorders>
              <w:top w:val="single" w:sz="2" w:space="0" w:color="000000"/>
              <w:left w:val="single" w:sz="2" w:space="0" w:color="000000"/>
              <w:bottom w:val="single" w:sz="2" w:space="0" w:color="000000"/>
              <w:right w:val="single" w:sz="2" w:space="0" w:color="000000"/>
            </w:tcBorders>
          </w:tcPr>
          <w:p>
            <w:pPr/>
          </w:p>
        </w:tc>
        <w:tc>
          <w:tcPr>
            <w:tcW w:w="1616" w:type="dxa"/>
            <w:tcBorders>
              <w:top w:val="single" w:sz="2" w:space="0" w:color="000000"/>
              <w:left w:val="single" w:sz="2" w:space="0" w:color="000000"/>
              <w:bottom w:val="single" w:sz="2" w:space="0" w:color="000000"/>
              <w:right w:val="single" w:sz="2" w:space="0" w:color="000000"/>
            </w:tcBorders>
          </w:tcPr>
          <w:p>
            <w:pPr/>
          </w:p>
        </w:tc>
        <w:tc>
          <w:tcPr>
            <w:tcW w:w="1615" w:type="dxa"/>
            <w:tcBorders>
              <w:top w:val="single" w:sz="2" w:space="0" w:color="000000"/>
              <w:left w:val="single" w:sz="2" w:space="0" w:color="000000"/>
              <w:bottom w:val="single" w:sz="2" w:space="0" w:color="000000"/>
              <w:right w:val="single" w:sz="2" w:space="0" w:color="000000"/>
            </w:tcBorders>
          </w:tcPr>
          <w:p>
            <w:pPr/>
          </w:p>
        </w:tc>
        <w:tc>
          <w:tcPr>
            <w:tcW w:w="1615" w:type="dxa"/>
            <w:tcBorders>
              <w:top w:val="single" w:sz="2" w:space="0" w:color="000000"/>
              <w:left w:val="single" w:sz="2" w:space="0" w:color="000000"/>
              <w:bottom w:val="single" w:sz="2" w:space="0" w:color="000000"/>
              <w:right w:val="single" w:sz="2" w:space="0" w:color="000000"/>
            </w:tcBorders>
          </w:tcPr>
          <w:p>
            <w:pPr/>
          </w:p>
        </w:tc>
      </w:tr>
      <w:tr>
        <w:trPr>
          <w:trHeight w:val="289" w:hRule="exact"/>
        </w:trPr>
        <w:tc>
          <w:tcPr>
            <w:tcW w:w="3734"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315"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Times New Roman" w:hAnsi="Times New Roman" w:cs="Times New Roman" w:eastAsia="Times New Roman" w:hint="default"/>
                <w:sz w:val="21"/>
                <w:szCs w:val="21"/>
              </w:rPr>
            </w:pPr>
            <w:r>
              <w:rPr>
                <w:rFonts w:ascii="Times New Roman"/>
                <w:spacing w:val="-1"/>
                <w:sz w:val="21"/>
              </w:rPr>
              <w:t>974,066,748.35</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Times New Roman" w:hAnsi="Times New Roman" w:cs="Times New Roman" w:eastAsia="Times New Roman" w:hint="default"/>
                <w:sz w:val="21"/>
                <w:szCs w:val="21"/>
              </w:rPr>
            </w:pPr>
            <w:r>
              <w:rPr>
                <w:rFonts w:ascii="Times New Roman"/>
                <w:spacing w:val="-1"/>
                <w:sz w:val="21"/>
              </w:rPr>
              <w:t>893,504,579.18</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pacing w:val="-1"/>
                <w:sz w:val="21"/>
              </w:rPr>
              <w:t>784,458,913.83</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Times New Roman" w:hAnsi="Times New Roman" w:cs="Times New Roman" w:eastAsia="Times New Roman" w:hint="default"/>
                <w:sz w:val="21"/>
                <w:szCs w:val="21"/>
              </w:rPr>
            </w:pPr>
            <w:r>
              <w:rPr>
                <w:rFonts w:ascii="Times New Roman"/>
                <w:spacing w:val="-1"/>
                <w:sz w:val="21"/>
              </w:rPr>
              <w:t>724,648,460.34</w:t>
            </w:r>
          </w:p>
        </w:tc>
      </w:tr>
      <w:tr>
        <w:trPr>
          <w:trHeight w:val="289" w:hRule="exact"/>
        </w:trPr>
        <w:tc>
          <w:tcPr>
            <w:tcW w:w="3734"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315"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Times New Roman" w:hAnsi="Times New Roman" w:cs="Times New Roman" w:eastAsia="Times New Roman" w:hint="default"/>
                <w:sz w:val="21"/>
                <w:szCs w:val="21"/>
              </w:rPr>
            </w:pPr>
            <w:r>
              <w:rPr>
                <w:rFonts w:ascii="Times New Roman"/>
                <w:spacing w:val="-1"/>
                <w:sz w:val="21"/>
              </w:rPr>
              <w:t>784,458,913.83</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Times New Roman" w:hAnsi="Times New Roman" w:cs="Times New Roman" w:eastAsia="Times New Roman" w:hint="default"/>
                <w:sz w:val="21"/>
                <w:szCs w:val="21"/>
              </w:rPr>
            </w:pPr>
            <w:r>
              <w:rPr>
                <w:rFonts w:ascii="Times New Roman"/>
                <w:spacing w:val="-1"/>
                <w:sz w:val="21"/>
              </w:rPr>
              <w:t>724,648,460.34</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pacing w:val="-1"/>
                <w:sz w:val="21"/>
              </w:rPr>
              <w:t>145,033,939.19</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Times New Roman" w:hAnsi="Times New Roman" w:cs="Times New Roman" w:eastAsia="Times New Roman" w:hint="default"/>
                <w:sz w:val="21"/>
                <w:szCs w:val="21"/>
              </w:rPr>
            </w:pPr>
            <w:r>
              <w:rPr>
                <w:rFonts w:ascii="Times New Roman"/>
                <w:spacing w:val="-1"/>
                <w:sz w:val="21"/>
              </w:rPr>
              <w:t>137,411,699.23</w:t>
            </w:r>
          </w:p>
        </w:tc>
      </w:tr>
      <w:tr>
        <w:trPr>
          <w:trHeight w:val="289" w:hRule="exact"/>
        </w:trPr>
        <w:tc>
          <w:tcPr>
            <w:tcW w:w="3734"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315"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615" w:type="dxa"/>
            <w:tcBorders>
              <w:top w:val="single" w:sz="2" w:space="0" w:color="000000"/>
              <w:left w:val="single" w:sz="2" w:space="0" w:color="000000"/>
              <w:bottom w:val="single" w:sz="2" w:space="0" w:color="000000"/>
              <w:right w:val="single" w:sz="2" w:space="0" w:color="000000"/>
            </w:tcBorders>
          </w:tcPr>
          <w:p>
            <w:pPr/>
          </w:p>
        </w:tc>
        <w:tc>
          <w:tcPr>
            <w:tcW w:w="1616" w:type="dxa"/>
            <w:tcBorders>
              <w:top w:val="single" w:sz="2" w:space="0" w:color="000000"/>
              <w:left w:val="single" w:sz="2" w:space="0" w:color="000000"/>
              <w:bottom w:val="single" w:sz="2" w:space="0" w:color="000000"/>
              <w:right w:val="single" w:sz="2" w:space="0" w:color="000000"/>
            </w:tcBorders>
          </w:tcPr>
          <w:p>
            <w:pPr/>
          </w:p>
        </w:tc>
        <w:tc>
          <w:tcPr>
            <w:tcW w:w="1615" w:type="dxa"/>
            <w:tcBorders>
              <w:top w:val="single" w:sz="2" w:space="0" w:color="000000"/>
              <w:left w:val="single" w:sz="2" w:space="0" w:color="000000"/>
              <w:bottom w:val="single" w:sz="2" w:space="0" w:color="000000"/>
              <w:right w:val="single" w:sz="2" w:space="0" w:color="000000"/>
            </w:tcBorders>
          </w:tcPr>
          <w:p>
            <w:pPr/>
          </w:p>
        </w:tc>
        <w:tc>
          <w:tcPr>
            <w:tcW w:w="1615" w:type="dxa"/>
            <w:tcBorders>
              <w:top w:val="single" w:sz="2" w:space="0" w:color="000000"/>
              <w:left w:val="single" w:sz="2" w:space="0" w:color="000000"/>
              <w:bottom w:val="single" w:sz="2" w:space="0" w:color="000000"/>
              <w:right w:val="single" w:sz="2" w:space="0" w:color="000000"/>
            </w:tcBorders>
          </w:tcPr>
          <w:p>
            <w:pPr/>
          </w:p>
        </w:tc>
      </w:tr>
      <w:tr>
        <w:trPr>
          <w:trHeight w:val="289" w:hRule="exact"/>
        </w:trPr>
        <w:tc>
          <w:tcPr>
            <w:tcW w:w="3734"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315"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1615" w:type="dxa"/>
            <w:tcBorders>
              <w:top w:val="single" w:sz="2" w:space="0" w:color="000000"/>
              <w:left w:val="single" w:sz="2" w:space="0" w:color="000000"/>
              <w:bottom w:val="single" w:sz="2" w:space="0" w:color="000000"/>
              <w:right w:val="single" w:sz="2" w:space="0" w:color="000000"/>
            </w:tcBorders>
          </w:tcPr>
          <w:p>
            <w:pPr/>
          </w:p>
        </w:tc>
        <w:tc>
          <w:tcPr>
            <w:tcW w:w="1616" w:type="dxa"/>
            <w:tcBorders>
              <w:top w:val="single" w:sz="2" w:space="0" w:color="000000"/>
              <w:left w:val="single" w:sz="2" w:space="0" w:color="000000"/>
              <w:bottom w:val="single" w:sz="2" w:space="0" w:color="000000"/>
              <w:right w:val="single" w:sz="2" w:space="0" w:color="000000"/>
            </w:tcBorders>
          </w:tcPr>
          <w:p>
            <w:pPr/>
          </w:p>
        </w:tc>
        <w:tc>
          <w:tcPr>
            <w:tcW w:w="1615" w:type="dxa"/>
            <w:tcBorders>
              <w:top w:val="single" w:sz="2" w:space="0" w:color="000000"/>
              <w:left w:val="single" w:sz="2" w:space="0" w:color="000000"/>
              <w:bottom w:val="single" w:sz="2" w:space="0" w:color="000000"/>
              <w:right w:val="single" w:sz="2" w:space="0" w:color="000000"/>
            </w:tcBorders>
          </w:tcPr>
          <w:p>
            <w:pPr/>
          </w:p>
        </w:tc>
        <w:tc>
          <w:tcPr>
            <w:tcW w:w="1615" w:type="dxa"/>
            <w:tcBorders>
              <w:top w:val="single" w:sz="2" w:space="0" w:color="000000"/>
              <w:left w:val="single" w:sz="2" w:space="0" w:color="000000"/>
              <w:bottom w:val="single" w:sz="2" w:space="0" w:color="000000"/>
              <w:right w:val="single" w:sz="2" w:space="0" w:color="000000"/>
            </w:tcBorders>
          </w:tcPr>
          <w:p>
            <w:pPr/>
          </w:p>
        </w:tc>
      </w:tr>
      <w:tr>
        <w:trPr>
          <w:trHeight w:val="289" w:hRule="exact"/>
        </w:trPr>
        <w:tc>
          <w:tcPr>
            <w:tcW w:w="3734"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316" w:right="0"/>
              <w:jc w:val="left"/>
              <w:rPr>
                <w:rFonts w:ascii="宋体" w:hAnsi="宋体" w:cs="宋体" w:eastAsia="宋体" w:hint="default"/>
                <w:sz w:val="21"/>
                <w:szCs w:val="21"/>
              </w:rPr>
            </w:pPr>
            <w:r>
              <w:rPr>
                <w:rFonts w:ascii="宋体" w:hAnsi="宋体" w:cs="宋体" w:eastAsia="宋体" w:hint="default"/>
                <w:b/>
                <w:bCs/>
                <w:sz w:val="21"/>
                <w:szCs w:val="21"/>
              </w:rPr>
              <w:t>现金及现金等价物净增加额</w:t>
            </w:r>
            <w:r>
              <w:rPr>
                <w:rFonts w:ascii="宋体" w:hAnsi="宋体" w:cs="宋体" w:eastAsia="宋体" w:hint="default"/>
                <w:sz w:val="21"/>
                <w:szCs w:val="21"/>
              </w:rPr>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Times New Roman" w:hAnsi="Times New Roman" w:cs="Times New Roman" w:eastAsia="Times New Roman" w:hint="default"/>
                <w:sz w:val="21"/>
                <w:szCs w:val="21"/>
              </w:rPr>
            </w:pPr>
            <w:r>
              <w:rPr>
                <w:rFonts w:ascii="Times New Roman"/>
                <w:spacing w:val="-1"/>
                <w:sz w:val="21"/>
              </w:rPr>
              <w:t>189,607,834.52</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pacing w:val="-1"/>
                <w:sz w:val="21"/>
              </w:rPr>
              <w:t>168,856,118.84</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pacing w:val="-1"/>
                <w:sz w:val="21"/>
              </w:rPr>
              <w:t>639,424,974.64</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pacing w:val="-1"/>
                <w:sz w:val="21"/>
              </w:rPr>
              <w:t>587,236,761.11</w:t>
            </w:r>
          </w:p>
        </w:tc>
      </w:tr>
    </w:tbl>
    <w:p>
      <w:pPr>
        <w:spacing w:line="240" w:lineRule="auto" w:before="5"/>
        <w:rPr>
          <w:rFonts w:ascii="宋体" w:hAnsi="宋体" w:cs="宋体" w:eastAsia="宋体" w:hint="default"/>
          <w:sz w:val="12"/>
          <w:szCs w:val="12"/>
        </w:rPr>
      </w:pPr>
    </w:p>
    <w:p>
      <w:pPr>
        <w:pStyle w:val="BodyText"/>
        <w:tabs>
          <w:tab w:pos="3689" w:val="left" w:leader="none"/>
          <w:tab w:pos="7157" w:val="left" w:leader="none"/>
          <w:tab w:pos="9154" w:val="left" w:leader="none"/>
        </w:tabs>
        <w:spacing w:line="240" w:lineRule="auto" w:before="35"/>
        <w:ind w:left="1060" w:right="0"/>
        <w:jc w:val="left"/>
      </w:pPr>
      <w:r>
        <w:rPr/>
        <w:t>法定代表人</w:t>
      </w:r>
      <w:r>
        <w:rPr>
          <w:spacing w:val="-101"/>
        </w:rPr>
        <w:t>：</w:t>
      </w:r>
      <w:r>
        <w:rPr/>
        <w:t>赵友永</w:t>
        <w:tab/>
        <w:t>主管会</w:t>
      </w:r>
      <w:r>
        <w:rPr>
          <w:spacing w:val="-2"/>
        </w:rPr>
        <w:t>计</w:t>
      </w:r>
      <w:r>
        <w:rPr/>
        <w:t>工作负责人</w:t>
      </w:r>
      <w:r>
        <w:rPr>
          <w:spacing w:val="-101"/>
        </w:rPr>
        <w:t>：</w:t>
      </w:r>
      <w:r>
        <w:rPr/>
        <w:t>蒋春晨</w:t>
        <w:tab/>
        <w:t>会计机</w:t>
      </w:r>
      <w:r>
        <w:rPr>
          <w:spacing w:val="-2"/>
        </w:rPr>
        <w:t>构</w:t>
      </w:r>
      <w:r>
        <w:rPr/>
        <w:t>负责人</w:t>
      </w:r>
      <w:r>
        <w:rPr>
          <w:spacing w:val="-101"/>
        </w:rPr>
        <w:t>：</w:t>
      </w:r>
      <w:r>
        <w:rPr/>
        <w:t>符</w:t>
        <w:tab/>
        <w:t>昀</w:t>
      </w:r>
    </w:p>
    <w:p>
      <w:pPr>
        <w:spacing w:after="0" w:line="240" w:lineRule="auto"/>
        <w:jc w:val="left"/>
        <w:sectPr>
          <w:footerReference w:type="default" r:id="rId22"/>
          <w:pgSz w:w="11910" w:h="16840"/>
          <w:pgMar w:footer="982" w:header="0" w:top="1100" w:bottom="1180" w:left="740" w:right="740"/>
        </w:sectPr>
      </w:pPr>
    </w:p>
    <w:p>
      <w:pPr>
        <w:spacing w:line="240" w:lineRule="auto" w:before="7"/>
        <w:rPr>
          <w:rFonts w:ascii="宋体" w:hAnsi="宋体" w:cs="宋体" w:eastAsia="宋体" w:hint="default"/>
          <w:sz w:val="19"/>
          <w:szCs w:val="19"/>
        </w:rPr>
      </w:pPr>
    </w:p>
    <w:p>
      <w:pPr>
        <w:pStyle w:val="Heading3"/>
        <w:spacing w:line="240" w:lineRule="auto"/>
        <w:ind w:right="0"/>
        <w:jc w:val="center"/>
        <w:rPr>
          <w:b w:val="0"/>
          <w:bCs w:val="0"/>
        </w:rPr>
      </w:pPr>
      <w:r>
        <w:rPr/>
        <w:t>合并所有者权益变动表</w:t>
      </w:r>
      <w:r>
        <w:rPr>
          <w:b w:val="0"/>
          <w:bCs w:val="0"/>
        </w:rPr>
      </w:r>
    </w:p>
    <w:p>
      <w:pPr>
        <w:tabs>
          <w:tab w:pos="6029" w:val="left" w:leader="none"/>
          <w:tab w:pos="12509" w:val="left" w:leader="none"/>
        </w:tabs>
        <w:spacing w:before="5"/>
        <w:ind w:left="0" w:right="8" w:firstLine="0"/>
        <w:jc w:val="center"/>
        <w:rPr>
          <w:rFonts w:ascii="宋体" w:hAnsi="宋体" w:cs="宋体" w:eastAsia="宋体" w:hint="default"/>
          <w:sz w:val="18"/>
          <w:szCs w:val="18"/>
        </w:rPr>
      </w:pPr>
      <w:r>
        <w:rPr>
          <w:rFonts w:ascii="宋体" w:hAnsi="宋体" w:cs="宋体" w:eastAsia="宋体" w:hint="default"/>
          <w:sz w:val="18"/>
          <w:szCs w:val="18"/>
        </w:rPr>
        <w:t>编制单位：广州广电运通金融电子股份有限公司</w:t>
        <w:tab/>
        <w:t>2008年12月31日</w:t>
        <w:tab/>
        <w:t>单位：元</w:t>
      </w:r>
    </w:p>
    <w:p>
      <w:pPr>
        <w:spacing w:line="240" w:lineRule="auto" w:before="3"/>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2976"/>
        <w:gridCol w:w="997"/>
        <w:gridCol w:w="1050"/>
        <w:gridCol w:w="239"/>
        <w:gridCol w:w="966"/>
        <w:gridCol w:w="1020"/>
        <w:gridCol w:w="780"/>
        <w:gridCol w:w="956"/>
        <w:gridCol w:w="1134"/>
        <w:gridCol w:w="1008"/>
        <w:gridCol w:w="1042"/>
        <w:gridCol w:w="233"/>
        <w:gridCol w:w="965"/>
        <w:gridCol w:w="1022"/>
        <w:gridCol w:w="1134"/>
      </w:tblGrid>
      <w:tr>
        <w:trPr>
          <w:trHeight w:val="210" w:hRule="exact"/>
        </w:trPr>
        <w:tc>
          <w:tcPr>
            <w:tcW w:w="29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tabs>
                <w:tab w:pos="542" w:val="left" w:leader="none"/>
              </w:tabs>
              <w:spacing w:line="240" w:lineRule="auto"/>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7142" w:type="dxa"/>
            <w:gridSpan w:val="8"/>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5404" w:type="dxa"/>
            <w:gridSpan w:val="6"/>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1010" w:hRule="exact"/>
        </w:trPr>
        <w:tc>
          <w:tcPr>
            <w:tcW w:w="2976" w:type="dxa"/>
            <w:vMerge/>
            <w:tcBorders>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18" w:lineRule="exact"/>
              <w:ind w:left="132" w:right="0"/>
              <w:jc w:val="left"/>
              <w:rPr>
                <w:rFonts w:ascii="宋体" w:hAnsi="宋体" w:cs="宋体" w:eastAsia="宋体" w:hint="default"/>
                <w:sz w:val="18"/>
                <w:szCs w:val="18"/>
              </w:rPr>
            </w:pPr>
            <w:r>
              <w:rPr>
                <w:rFonts w:ascii="宋体" w:hAnsi="宋体" w:cs="宋体" w:eastAsia="宋体" w:hint="default"/>
                <w:b/>
                <w:bCs/>
                <w:sz w:val="18"/>
                <w:szCs w:val="18"/>
              </w:rPr>
              <w:t>实收资本</w:t>
            </w:r>
            <w:r>
              <w:rPr>
                <w:rFonts w:ascii="宋体" w:hAnsi="宋体" w:cs="宋体" w:eastAsia="宋体" w:hint="default"/>
                <w:sz w:val="18"/>
                <w:szCs w:val="18"/>
              </w:rPr>
            </w:r>
          </w:p>
          <w:p>
            <w:pPr>
              <w:pStyle w:val="TableParagraph"/>
              <w:spacing w:line="218" w:lineRule="exact"/>
              <w:ind w:left="40" w:right="0"/>
              <w:jc w:val="left"/>
              <w:rPr>
                <w:rFonts w:ascii="宋体" w:hAnsi="宋体" w:cs="宋体" w:eastAsia="宋体" w:hint="default"/>
                <w:sz w:val="18"/>
                <w:szCs w:val="18"/>
              </w:rPr>
            </w:pPr>
            <w:r>
              <w:rPr>
                <w:rFonts w:ascii="宋体" w:hAnsi="宋体" w:cs="宋体" w:eastAsia="宋体" w:hint="default"/>
                <w:b/>
                <w:bCs/>
                <w:sz w:val="18"/>
                <w:szCs w:val="18"/>
              </w:rPr>
              <w:t>（或股本）</w:t>
            </w:r>
            <w:r>
              <w:rPr>
                <w:rFonts w:ascii="宋体" w:hAnsi="宋体" w:cs="宋体" w:eastAsia="宋体" w:hint="default"/>
                <w:sz w:val="18"/>
                <w:szCs w:val="18"/>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23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24" w:right="0"/>
              <w:jc w:val="both"/>
              <w:rPr>
                <w:rFonts w:ascii="宋体" w:hAnsi="宋体" w:cs="宋体" w:eastAsia="宋体" w:hint="default"/>
                <w:sz w:val="18"/>
                <w:szCs w:val="18"/>
              </w:rPr>
            </w:pPr>
            <w:r>
              <w:rPr>
                <w:rFonts w:ascii="宋体" w:hAnsi="宋体" w:cs="宋体" w:eastAsia="宋体" w:hint="default"/>
                <w:b/>
                <w:bCs/>
                <w:w w:val="99"/>
                <w:sz w:val="18"/>
                <w:szCs w:val="18"/>
              </w:rPr>
              <w:t>减</w:t>
            </w:r>
            <w:r>
              <w:rPr>
                <w:rFonts w:ascii="宋体" w:hAnsi="宋体" w:cs="宋体" w:eastAsia="宋体" w:hint="default"/>
                <w:sz w:val="18"/>
                <w:szCs w:val="18"/>
              </w:rPr>
            </w:r>
          </w:p>
          <w:p>
            <w:pPr>
              <w:pStyle w:val="TableParagraph"/>
              <w:spacing w:line="204" w:lineRule="auto" w:before="14"/>
              <w:ind w:left="24" w:right="22"/>
              <w:jc w:val="both"/>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b/>
                <w:bCs/>
                <w:sz w:val="18"/>
                <w:szCs w:val="18"/>
              </w:rPr>
              <w:t>库</w:t>
            </w:r>
            <w:r>
              <w:rPr>
                <w:rFonts w:ascii="宋体" w:hAnsi="宋体" w:cs="宋体" w:eastAsia="宋体" w:hint="default"/>
                <w:b/>
                <w:bCs/>
                <w:w w:val="99"/>
                <w:sz w:val="18"/>
                <w:szCs w:val="18"/>
              </w:rPr>
              <w:t> </w:t>
            </w:r>
            <w:r>
              <w:rPr>
                <w:rFonts w:ascii="宋体" w:hAnsi="宋体" w:cs="宋体" w:eastAsia="宋体" w:hint="default"/>
                <w:b/>
                <w:bCs/>
                <w:sz w:val="18"/>
                <w:szCs w:val="18"/>
              </w:rPr>
              <w:t>存</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00" w:lineRule="exact"/>
              <w:ind w:left="291" w:right="110" w:hanging="180"/>
              <w:jc w:val="left"/>
              <w:rPr>
                <w:rFonts w:ascii="宋体" w:hAnsi="宋体" w:cs="宋体" w:eastAsia="宋体" w:hint="default"/>
                <w:sz w:val="18"/>
                <w:szCs w:val="18"/>
              </w:rPr>
            </w:pPr>
            <w:r>
              <w:rPr>
                <w:rFonts w:ascii="宋体" w:hAnsi="宋体" w:cs="宋体" w:eastAsia="宋体" w:hint="default"/>
                <w:b/>
                <w:bCs/>
                <w:sz w:val="18"/>
                <w:szCs w:val="18"/>
              </w:rPr>
              <w:t>少数股东</w:t>
            </w:r>
            <w:r>
              <w:rPr>
                <w:rFonts w:ascii="宋体" w:hAnsi="宋体" w:cs="宋体" w:eastAsia="宋体" w:hint="default"/>
                <w:b/>
                <w:bCs/>
                <w:w w:val="99"/>
                <w:sz w:val="18"/>
                <w:szCs w:val="18"/>
              </w:rPr>
              <w:t> </w:t>
            </w:r>
            <w:r>
              <w:rPr>
                <w:rFonts w:ascii="宋体" w:hAnsi="宋体" w:cs="宋体" w:eastAsia="宋体" w:hint="default"/>
                <w:b/>
                <w:bCs/>
                <w:sz w:val="18"/>
                <w:szCs w:val="18"/>
              </w:rPr>
              <w:t>权益</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00" w:lineRule="exact"/>
              <w:ind w:left="380" w:right="108" w:hanging="272"/>
              <w:jc w:val="left"/>
              <w:rPr>
                <w:rFonts w:ascii="宋体" w:hAnsi="宋体" w:cs="宋体" w:eastAsia="宋体" w:hint="default"/>
                <w:sz w:val="18"/>
                <w:szCs w:val="18"/>
              </w:rPr>
            </w:pPr>
            <w:r>
              <w:rPr>
                <w:rFonts w:ascii="宋体" w:hAnsi="宋体" w:cs="宋体" w:eastAsia="宋体" w:hint="default"/>
                <w:b/>
                <w:bCs/>
                <w:sz w:val="18"/>
                <w:szCs w:val="18"/>
              </w:rPr>
              <w:t>所有者权益</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合计</w:t>
            </w:r>
            <w:r>
              <w:rPr>
                <w:rFonts w:ascii="宋体" w:hAnsi="宋体" w:cs="宋体" w:eastAsia="宋体" w:hint="default"/>
                <w:sz w:val="18"/>
                <w:szCs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18" w:lineRule="exact"/>
              <w:ind w:left="137" w:right="0"/>
              <w:jc w:val="left"/>
              <w:rPr>
                <w:rFonts w:ascii="宋体" w:hAnsi="宋体" w:cs="宋体" w:eastAsia="宋体" w:hint="default"/>
                <w:sz w:val="18"/>
                <w:szCs w:val="18"/>
              </w:rPr>
            </w:pPr>
            <w:r>
              <w:rPr>
                <w:rFonts w:ascii="宋体" w:hAnsi="宋体" w:cs="宋体" w:eastAsia="宋体" w:hint="default"/>
                <w:b/>
                <w:bCs/>
                <w:sz w:val="18"/>
                <w:szCs w:val="18"/>
              </w:rPr>
              <w:t>实收资本</w:t>
            </w:r>
            <w:r>
              <w:rPr>
                <w:rFonts w:ascii="宋体" w:hAnsi="宋体" w:cs="宋体" w:eastAsia="宋体" w:hint="default"/>
                <w:sz w:val="18"/>
                <w:szCs w:val="18"/>
              </w:rPr>
            </w:r>
          </w:p>
          <w:p>
            <w:pPr>
              <w:pStyle w:val="TableParagraph"/>
              <w:spacing w:line="218" w:lineRule="exact"/>
              <w:ind w:left="45" w:right="0"/>
              <w:jc w:val="left"/>
              <w:rPr>
                <w:rFonts w:ascii="宋体" w:hAnsi="宋体" w:cs="宋体" w:eastAsia="宋体" w:hint="default"/>
                <w:sz w:val="18"/>
                <w:szCs w:val="18"/>
              </w:rPr>
            </w:pPr>
            <w:r>
              <w:rPr>
                <w:rFonts w:ascii="宋体" w:hAnsi="宋体" w:cs="宋体" w:eastAsia="宋体" w:hint="default"/>
                <w:b/>
                <w:bCs/>
                <w:sz w:val="18"/>
                <w:szCs w:val="18"/>
              </w:rPr>
              <w:t>（或股本）</w:t>
            </w:r>
            <w:r>
              <w:rPr>
                <w:rFonts w:ascii="宋体" w:hAnsi="宋体" w:cs="宋体" w:eastAsia="宋体" w:hint="default"/>
                <w:sz w:val="18"/>
                <w:szCs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23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22" w:right="0"/>
              <w:jc w:val="both"/>
              <w:rPr>
                <w:rFonts w:ascii="宋体" w:hAnsi="宋体" w:cs="宋体" w:eastAsia="宋体" w:hint="default"/>
                <w:sz w:val="18"/>
                <w:szCs w:val="18"/>
              </w:rPr>
            </w:pPr>
            <w:r>
              <w:rPr>
                <w:rFonts w:ascii="宋体" w:hAnsi="宋体" w:cs="宋体" w:eastAsia="宋体" w:hint="default"/>
                <w:b/>
                <w:bCs/>
                <w:w w:val="99"/>
                <w:sz w:val="18"/>
                <w:szCs w:val="18"/>
              </w:rPr>
              <w:t>减</w:t>
            </w:r>
            <w:r>
              <w:rPr>
                <w:rFonts w:ascii="宋体" w:hAnsi="宋体" w:cs="宋体" w:eastAsia="宋体" w:hint="default"/>
                <w:sz w:val="18"/>
                <w:szCs w:val="18"/>
              </w:rPr>
            </w:r>
          </w:p>
          <w:p>
            <w:pPr>
              <w:pStyle w:val="TableParagraph"/>
              <w:spacing w:line="204" w:lineRule="auto" w:before="14"/>
              <w:ind w:left="22" w:right="18"/>
              <w:jc w:val="both"/>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b/>
                <w:bCs/>
                <w:sz w:val="18"/>
                <w:szCs w:val="18"/>
              </w:rPr>
              <w:t>库</w:t>
            </w:r>
            <w:r>
              <w:rPr>
                <w:rFonts w:ascii="宋体" w:hAnsi="宋体" w:cs="宋体" w:eastAsia="宋体" w:hint="default"/>
                <w:b/>
                <w:bCs/>
                <w:w w:val="99"/>
                <w:sz w:val="18"/>
                <w:szCs w:val="18"/>
              </w:rPr>
              <w:t> </w:t>
            </w:r>
            <w:r>
              <w:rPr>
                <w:rFonts w:ascii="宋体" w:hAnsi="宋体" w:cs="宋体" w:eastAsia="宋体" w:hint="default"/>
                <w:b/>
                <w:bCs/>
                <w:sz w:val="18"/>
                <w:szCs w:val="18"/>
              </w:rPr>
              <w:t>存</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b/>
                <w:bCs/>
                <w:w w:val="95"/>
                <w:sz w:val="18"/>
                <w:szCs w:val="18"/>
              </w:rPr>
              <w:t>未分配利润</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00" w:lineRule="exact"/>
              <w:ind w:left="380" w:right="108" w:hanging="272"/>
              <w:jc w:val="left"/>
              <w:rPr>
                <w:rFonts w:ascii="宋体" w:hAnsi="宋体" w:cs="宋体" w:eastAsia="宋体" w:hint="default"/>
                <w:sz w:val="18"/>
                <w:szCs w:val="18"/>
              </w:rPr>
            </w:pPr>
            <w:r>
              <w:rPr>
                <w:rFonts w:ascii="宋体" w:hAnsi="宋体" w:cs="宋体" w:eastAsia="宋体" w:hint="default"/>
                <w:b/>
                <w:bCs/>
                <w:sz w:val="18"/>
                <w:szCs w:val="18"/>
              </w:rPr>
              <w:t>所有者权益</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210"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115"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spacing w:val="-1"/>
                <w:sz w:val="15"/>
              </w:rPr>
              <w:t>142,559,010.00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5" w:right="0"/>
              <w:jc w:val="center"/>
              <w:rPr>
                <w:rFonts w:ascii="Times New Roman" w:hAnsi="Times New Roman" w:cs="Times New Roman" w:eastAsia="Times New Roman" w:hint="default"/>
                <w:sz w:val="15"/>
                <w:szCs w:val="15"/>
              </w:rPr>
            </w:pPr>
            <w:r>
              <w:rPr>
                <w:rFonts w:ascii="Times New Roman"/>
                <w:sz w:val="15"/>
              </w:rPr>
              <w:t>558,194,457.56</w:t>
            </w:r>
          </w:p>
        </w:tc>
        <w:tc>
          <w:tcPr>
            <w:tcW w:w="23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8" w:right="0"/>
              <w:jc w:val="left"/>
              <w:rPr>
                <w:rFonts w:ascii="Times New Roman" w:hAnsi="Times New Roman" w:cs="Times New Roman" w:eastAsia="Times New Roman" w:hint="default"/>
                <w:sz w:val="15"/>
                <w:szCs w:val="15"/>
              </w:rPr>
            </w:pPr>
            <w:r>
              <w:rPr>
                <w:rFonts w:ascii="Times New Roman"/>
                <w:sz w:val="15"/>
              </w:rPr>
              <w:t>36,187,831.21</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 w:right="0"/>
              <w:jc w:val="center"/>
              <w:rPr>
                <w:rFonts w:ascii="Times New Roman" w:hAnsi="Times New Roman" w:cs="Times New Roman" w:eastAsia="Times New Roman" w:hint="default"/>
                <w:sz w:val="15"/>
                <w:szCs w:val="15"/>
              </w:rPr>
            </w:pPr>
            <w:r>
              <w:rPr>
                <w:rFonts w:ascii="Times New Roman"/>
                <w:sz w:val="15"/>
              </w:rPr>
              <w:t>290,107,280.29</w:t>
            </w:r>
          </w:p>
        </w:tc>
        <w:tc>
          <w:tcPr>
            <w:tcW w:w="78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5"/>
                <w:szCs w:val="15"/>
              </w:rPr>
            </w:pPr>
            <w:r>
              <w:rPr>
                <w:rFonts w:ascii="Times New Roman"/>
                <w:spacing w:val="-1"/>
                <w:sz w:val="15"/>
              </w:rPr>
              <w:t>1,027,048,579.06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 w:right="0"/>
              <w:jc w:val="center"/>
              <w:rPr>
                <w:rFonts w:ascii="Times New Roman" w:hAnsi="Times New Roman" w:cs="Times New Roman" w:eastAsia="Times New Roman" w:hint="default"/>
                <w:sz w:val="15"/>
                <w:szCs w:val="15"/>
              </w:rPr>
            </w:pPr>
            <w:r>
              <w:rPr>
                <w:rFonts w:ascii="Times New Roman"/>
                <w:sz w:val="15"/>
              </w:rPr>
              <w:t>106,559,010.00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8,780,104.29</w:t>
            </w:r>
          </w:p>
        </w:tc>
        <w:tc>
          <w:tcPr>
            <w:tcW w:w="23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14,422,219.49</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109,600,767.98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239,362,101.76</w:t>
            </w:r>
          </w:p>
        </w:tc>
      </w:tr>
      <w:tr>
        <w:trPr>
          <w:trHeight w:val="210"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11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997"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23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-368,625.91</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3,038,651.93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2,670,026.02</w:t>
            </w:r>
          </w:p>
        </w:tc>
      </w:tr>
      <w:tr>
        <w:trPr>
          <w:trHeight w:val="210"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47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997"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23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10"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115"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spacing w:val="-1"/>
                <w:sz w:val="15"/>
              </w:rPr>
              <w:t>142,559,010.00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5" w:right="0"/>
              <w:jc w:val="center"/>
              <w:rPr>
                <w:rFonts w:ascii="Times New Roman" w:hAnsi="Times New Roman" w:cs="Times New Roman" w:eastAsia="Times New Roman" w:hint="default"/>
                <w:sz w:val="15"/>
                <w:szCs w:val="15"/>
              </w:rPr>
            </w:pPr>
            <w:r>
              <w:rPr>
                <w:rFonts w:ascii="Times New Roman"/>
                <w:sz w:val="15"/>
              </w:rPr>
              <w:t>558,194,457.56</w:t>
            </w:r>
          </w:p>
        </w:tc>
        <w:tc>
          <w:tcPr>
            <w:tcW w:w="23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8" w:right="0"/>
              <w:jc w:val="left"/>
              <w:rPr>
                <w:rFonts w:ascii="Times New Roman" w:hAnsi="Times New Roman" w:cs="Times New Roman" w:eastAsia="Times New Roman" w:hint="default"/>
                <w:sz w:val="15"/>
                <w:szCs w:val="15"/>
              </w:rPr>
            </w:pPr>
            <w:r>
              <w:rPr>
                <w:rFonts w:ascii="Times New Roman"/>
                <w:sz w:val="15"/>
              </w:rPr>
              <w:t>36,187,831.21</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 w:right="0"/>
              <w:jc w:val="center"/>
              <w:rPr>
                <w:rFonts w:ascii="Times New Roman" w:hAnsi="Times New Roman" w:cs="Times New Roman" w:eastAsia="Times New Roman" w:hint="default"/>
                <w:sz w:val="15"/>
                <w:szCs w:val="15"/>
              </w:rPr>
            </w:pPr>
            <w:r>
              <w:rPr>
                <w:rFonts w:ascii="Times New Roman"/>
                <w:sz w:val="15"/>
              </w:rPr>
              <w:t>290,107,280.29</w:t>
            </w:r>
          </w:p>
        </w:tc>
        <w:tc>
          <w:tcPr>
            <w:tcW w:w="78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5"/>
                <w:szCs w:val="15"/>
              </w:rPr>
            </w:pPr>
            <w:r>
              <w:rPr>
                <w:rFonts w:ascii="Times New Roman"/>
                <w:spacing w:val="-1"/>
                <w:sz w:val="15"/>
              </w:rPr>
              <w:t>1,027,048,579.06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 w:right="0"/>
              <w:jc w:val="center"/>
              <w:rPr>
                <w:rFonts w:ascii="Times New Roman" w:hAnsi="Times New Roman" w:cs="Times New Roman" w:eastAsia="Times New Roman" w:hint="default"/>
                <w:sz w:val="15"/>
                <w:szCs w:val="15"/>
              </w:rPr>
            </w:pPr>
            <w:r>
              <w:rPr>
                <w:rFonts w:ascii="Times New Roman"/>
                <w:sz w:val="15"/>
              </w:rPr>
              <w:t>106,559,010.00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8,780,104.29</w:t>
            </w:r>
          </w:p>
        </w:tc>
        <w:tc>
          <w:tcPr>
            <w:tcW w:w="23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14,053,593.58</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112,639,419.91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242,032,127.78</w:t>
            </w:r>
          </w:p>
        </w:tc>
      </w:tr>
      <w:tr>
        <w:trPr>
          <w:trHeight w:val="409"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ind w:left="24" w:right="109" w:firstLine="91"/>
              <w:jc w:val="left"/>
              <w:rPr>
                <w:rFonts w:ascii="宋体" w:hAnsi="宋体" w:cs="宋体" w:eastAsia="宋体" w:hint="default"/>
                <w:sz w:val="18"/>
                <w:szCs w:val="18"/>
              </w:rPr>
            </w:pPr>
            <w:r>
              <w:rPr>
                <w:rFonts w:ascii="宋体" w:hAnsi="宋体" w:cs="宋体" w:eastAsia="宋体" w:hint="default"/>
                <w:b/>
                <w:bCs/>
                <w:spacing w:val="-2"/>
                <w:sz w:val="18"/>
                <w:szCs w:val="18"/>
              </w:rPr>
              <w:t>三、本年增减变动金额（减少以“</w:t>
            </w:r>
            <w:r>
              <w:rPr>
                <w:rFonts w:ascii="Times New Roman" w:hAnsi="Times New Roman" w:cs="Times New Roman" w:eastAsia="Times New Roman" w:hint="default"/>
                <w:b/>
                <w:bCs/>
                <w:spacing w:val="-2"/>
                <w:sz w:val="18"/>
                <w:szCs w:val="18"/>
              </w:rPr>
              <w:t>-</w:t>
            </w:r>
            <w:r>
              <w:rPr>
                <w:rFonts w:ascii="Times New Roman" w:hAnsi="Times New Roman" w:cs="Times New Roman" w:eastAsia="Times New Roman" w:hint="default"/>
                <w:b/>
                <w:bCs/>
                <w:w w:val="99"/>
                <w:sz w:val="18"/>
                <w:szCs w:val="18"/>
              </w:rPr>
              <w:t> </w:t>
            </w:r>
            <w:r>
              <w:rPr>
                <w:rFonts w:ascii="宋体" w:hAnsi="宋体" w:cs="宋体" w:eastAsia="宋体" w:hint="default"/>
                <w:b/>
                <w:bCs/>
                <w:sz w:val="18"/>
                <w:szCs w:val="18"/>
              </w:rPr>
              <w:t>号填列）</w:t>
            </w:r>
            <w:r>
              <w:rPr>
                <w:rFonts w:ascii="宋体" w:hAnsi="宋体" w:cs="宋体" w:eastAsia="宋体" w:hint="default"/>
                <w:sz w:val="18"/>
                <w:szCs w:val="18"/>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23" w:right="0"/>
              <w:jc w:val="lef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p>
            <w:pPr>
              <w:pStyle w:val="TableParagraph"/>
              <w:spacing w:line="135" w:lineRule="exact"/>
              <w:ind w:left="26" w:right="0"/>
              <w:jc w:val="left"/>
              <w:rPr>
                <w:rFonts w:ascii="Times New Roman" w:hAnsi="Times New Roman" w:cs="Times New Roman" w:eastAsia="Times New Roman" w:hint="default"/>
                <w:sz w:val="15"/>
                <w:szCs w:val="15"/>
              </w:rPr>
            </w:pPr>
            <w:r>
              <w:rPr>
                <w:rFonts w:ascii="Times New Roman"/>
                <w:sz w:val="15"/>
              </w:rPr>
              <w:t>142,559,010.00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6" w:right="0"/>
              <w:jc w:val="center"/>
              <w:rPr>
                <w:rFonts w:ascii="Times New Roman" w:hAnsi="Times New Roman" w:cs="Times New Roman" w:eastAsia="Times New Roman" w:hint="default"/>
                <w:sz w:val="15"/>
                <w:szCs w:val="15"/>
              </w:rPr>
            </w:pPr>
            <w:r>
              <w:rPr>
                <w:rFonts w:ascii="Times New Roman"/>
                <w:sz w:val="15"/>
              </w:rPr>
              <w:t>-142,559,010.00</w:t>
            </w:r>
          </w:p>
        </w:tc>
        <w:tc>
          <w:tcPr>
            <w:tcW w:w="23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68" w:right="0"/>
              <w:jc w:val="left"/>
              <w:rPr>
                <w:rFonts w:ascii="Times New Roman" w:hAnsi="Times New Roman" w:cs="Times New Roman" w:eastAsia="Times New Roman" w:hint="default"/>
                <w:sz w:val="15"/>
                <w:szCs w:val="15"/>
              </w:rPr>
            </w:pPr>
            <w:r>
              <w:rPr>
                <w:rFonts w:ascii="Times New Roman"/>
                <w:sz w:val="15"/>
              </w:rPr>
              <w:t>31,555,988.32</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31" w:right="0"/>
              <w:jc w:val="center"/>
              <w:rPr>
                <w:rFonts w:ascii="Times New Roman" w:hAnsi="Times New Roman" w:cs="Times New Roman" w:eastAsia="Times New Roman" w:hint="default"/>
                <w:sz w:val="15"/>
                <w:szCs w:val="15"/>
              </w:rPr>
            </w:pPr>
            <w:r>
              <w:rPr>
                <w:rFonts w:ascii="Times New Roman"/>
                <w:sz w:val="15"/>
              </w:rPr>
              <w:t>271,481,011.02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70" w:right="0"/>
              <w:jc w:val="center"/>
              <w:rPr>
                <w:rFonts w:ascii="Times New Roman" w:hAnsi="Times New Roman" w:cs="Times New Roman" w:eastAsia="Times New Roman" w:hint="default"/>
                <w:sz w:val="15"/>
                <w:szCs w:val="15"/>
              </w:rPr>
            </w:pPr>
            <w:r>
              <w:rPr>
                <w:rFonts w:ascii="Times New Roman"/>
                <w:sz w:val="15"/>
              </w:rPr>
              <w:t>-80,202.16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60" w:right="0"/>
              <w:jc w:val="left"/>
              <w:rPr>
                <w:rFonts w:ascii="Times New Roman" w:hAnsi="Times New Roman" w:cs="Times New Roman" w:eastAsia="Times New Roman" w:hint="default"/>
                <w:sz w:val="15"/>
                <w:szCs w:val="15"/>
              </w:rPr>
            </w:pPr>
            <w:r>
              <w:rPr>
                <w:rFonts w:ascii="Times New Roman"/>
                <w:sz w:val="15"/>
              </w:rPr>
              <w:t>14,700,000.00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spacing w:val="-1"/>
                <w:sz w:val="15"/>
              </w:rPr>
              <w:t>317,656,797.18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6" w:right="0"/>
              <w:jc w:val="center"/>
              <w:rPr>
                <w:rFonts w:ascii="Times New Roman" w:hAnsi="Times New Roman" w:cs="Times New Roman" w:eastAsia="Times New Roman" w:hint="default"/>
                <w:sz w:val="15"/>
                <w:szCs w:val="15"/>
              </w:rPr>
            </w:pPr>
            <w:r>
              <w:rPr>
                <w:rFonts w:ascii="Times New Roman"/>
                <w:sz w:val="15"/>
              </w:rPr>
              <w:t>36,000,000.00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spacing w:val="-1"/>
                <w:sz w:val="15"/>
              </w:rPr>
              <w:t>549,414,353.27</w:t>
            </w:r>
          </w:p>
        </w:tc>
        <w:tc>
          <w:tcPr>
            <w:tcW w:w="23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spacing w:val="-1"/>
                <w:sz w:val="15"/>
              </w:rPr>
              <w:t>22,134,237.63</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spacing w:val="-1"/>
                <w:sz w:val="15"/>
              </w:rPr>
              <w:t>177,467,860.38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spacing w:val="-1"/>
                <w:sz w:val="15"/>
              </w:rPr>
              <w:t>785,016,451.28</w:t>
            </w:r>
          </w:p>
        </w:tc>
      </w:tr>
      <w:tr>
        <w:trPr>
          <w:trHeight w:val="210"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997"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23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 w:right="0"/>
              <w:jc w:val="center"/>
              <w:rPr>
                <w:rFonts w:ascii="Times New Roman" w:hAnsi="Times New Roman" w:cs="Times New Roman" w:eastAsia="Times New Roman" w:hint="default"/>
                <w:sz w:val="15"/>
                <w:szCs w:val="15"/>
              </w:rPr>
            </w:pPr>
            <w:r>
              <w:rPr>
                <w:rFonts w:ascii="Times New Roman"/>
                <w:sz w:val="15"/>
              </w:rPr>
              <w:t>331,548,801.34</w:t>
            </w:r>
          </w:p>
        </w:tc>
        <w:tc>
          <w:tcPr>
            <w:tcW w:w="78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331,548,801.34</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231,569,801.01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231,569,801.01</w:t>
            </w:r>
          </w:p>
        </w:tc>
      </w:tr>
      <w:tr>
        <w:trPr>
          <w:trHeight w:val="410"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ind w:left="23" w:right="20"/>
              <w:jc w:val="left"/>
              <w:rPr>
                <w:rFonts w:ascii="宋体" w:hAnsi="宋体" w:cs="宋体" w:eastAsia="宋体" w:hint="default"/>
                <w:sz w:val="18"/>
                <w:szCs w:val="18"/>
              </w:rPr>
            </w:pPr>
            <w:r>
              <w:rPr>
                <w:rFonts w:ascii="宋体" w:hAnsi="宋体" w:cs="宋体" w:eastAsia="宋体" w:hint="default"/>
                <w:spacing w:val="-2"/>
                <w:sz w:val="18"/>
                <w:szCs w:val="18"/>
              </w:rPr>
              <w:t>（二）直接计入所有者权益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或股东权</w:t>
            </w:r>
            <w:r>
              <w:rPr>
                <w:rFonts w:ascii="宋体" w:hAnsi="宋体" w:cs="宋体" w:eastAsia="宋体" w:hint="default"/>
                <w:spacing w:val="-77"/>
                <w:sz w:val="18"/>
                <w:szCs w:val="18"/>
              </w:rPr>
              <w:t> </w:t>
            </w:r>
            <w:r>
              <w:rPr>
                <w:rFonts w:ascii="宋体" w:hAnsi="宋体" w:cs="宋体" w:eastAsia="宋体" w:hint="default"/>
                <w:sz w:val="18"/>
                <w:szCs w:val="18"/>
              </w:rPr>
              <w:t>益</w:t>
            </w:r>
            <w:r>
              <w:rPr>
                <w:rFonts w:ascii="Times New Roman" w:hAnsi="Times New Roman" w:cs="Times New Roman" w:eastAsia="Times New Roman" w:hint="default"/>
                <w:sz w:val="18"/>
                <w:szCs w:val="18"/>
              </w:rPr>
              <w:t>)</w:t>
            </w:r>
            <w:r>
              <w:rPr>
                <w:rFonts w:ascii="宋体" w:hAnsi="宋体" w:cs="宋体" w:eastAsia="宋体" w:hint="default"/>
                <w:sz w:val="18"/>
                <w:szCs w:val="18"/>
              </w:rPr>
              <w:t>的利得和损失</w:t>
            </w:r>
          </w:p>
        </w:tc>
        <w:tc>
          <w:tcPr>
            <w:tcW w:w="997"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23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70" w:right="0"/>
              <w:jc w:val="center"/>
              <w:rPr>
                <w:rFonts w:ascii="Times New Roman" w:hAnsi="Times New Roman" w:cs="Times New Roman" w:eastAsia="Times New Roman" w:hint="default"/>
                <w:sz w:val="15"/>
                <w:szCs w:val="15"/>
              </w:rPr>
            </w:pPr>
            <w:r>
              <w:rPr>
                <w:rFonts w:ascii="Times New Roman"/>
                <w:sz w:val="15"/>
              </w:rPr>
              <w:t>-80,202.16</w:t>
            </w:r>
          </w:p>
        </w:tc>
        <w:tc>
          <w:tcPr>
            <w:tcW w:w="95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3"/>
              <w:jc w:val="right"/>
              <w:rPr>
                <w:rFonts w:ascii="Times New Roman" w:hAnsi="Times New Roman" w:cs="Times New Roman" w:eastAsia="Times New Roman" w:hint="default"/>
                <w:sz w:val="15"/>
                <w:szCs w:val="15"/>
              </w:rPr>
            </w:pPr>
            <w:r>
              <w:rPr>
                <w:rFonts w:ascii="Times New Roman"/>
                <w:spacing w:val="-1"/>
                <w:sz w:val="15"/>
              </w:rPr>
              <w:t>-80,202.16</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ind w:left="23"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．可供出售金融资产公允价值变动净</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额</w:t>
            </w:r>
          </w:p>
        </w:tc>
        <w:tc>
          <w:tcPr>
            <w:tcW w:w="997"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23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ind w:left="23"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．权益法下被投资单位其他所有者权</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益变动的影响</w:t>
            </w:r>
          </w:p>
        </w:tc>
        <w:tc>
          <w:tcPr>
            <w:tcW w:w="997"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23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ind w:left="23"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．与计入所有者权益项目相关的所得</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税影响</w:t>
            </w:r>
          </w:p>
        </w:tc>
        <w:tc>
          <w:tcPr>
            <w:tcW w:w="997"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23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10"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97"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23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0" w:right="0"/>
              <w:jc w:val="center"/>
              <w:rPr>
                <w:rFonts w:ascii="Times New Roman" w:hAnsi="Times New Roman" w:cs="Times New Roman" w:eastAsia="Times New Roman" w:hint="default"/>
                <w:sz w:val="15"/>
                <w:szCs w:val="15"/>
              </w:rPr>
            </w:pPr>
            <w:r>
              <w:rPr>
                <w:rFonts w:ascii="Times New Roman"/>
                <w:sz w:val="15"/>
              </w:rPr>
              <w:t>-80,202.16</w:t>
            </w:r>
          </w:p>
        </w:tc>
        <w:tc>
          <w:tcPr>
            <w:tcW w:w="95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5"/>
                <w:szCs w:val="15"/>
              </w:rPr>
            </w:pPr>
            <w:r>
              <w:rPr>
                <w:rFonts w:ascii="Times New Roman"/>
                <w:spacing w:val="-1"/>
                <w:sz w:val="15"/>
              </w:rPr>
              <w:t>-80,202.16</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10"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3" w:right="0"/>
              <w:jc w:val="left"/>
              <w:rPr>
                <w:rFonts w:ascii="宋体" w:hAnsi="宋体" w:cs="宋体" w:eastAsia="宋体" w:hint="default"/>
                <w:sz w:val="18"/>
                <w:szCs w:val="18"/>
              </w:rPr>
            </w:pPr>
            <w:r>
              <w:rPr>
                <w:rFonts w:ascii="宋体" w:hAnsi="宋体" w:cs="宋体" w:eastAsia="宋体" w:hint="default"/>
                <w:sz w:val="18"/>
                <w:szCs w:val="18"/>
              </w:rPr>
              <w:t>上述</w:t>
            </w: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小计</w:t>
            </w:r>
          </w:p>
        </w:tc>
        <w:tc>
          <w:tcPr>
            <w:tcW w:w="997"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23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 w:right="0"/>
              <w:jc w:val="center"/>
              <w:rPr>
                <w:rFonts w:ascii="Times New Roman" w:hAnsi="Times New Roman" w:cs="Times New Roman" w:eastAsia="Times New Roman" w:hint="default"/>
                <w:sz w:val="15"/>
                <w:szCs w:val="15"/>
              </w:rPr>
            </w:pPr>
            <w:r>
              <w:rPr>
                <w:rFonts w:ascii="Times New Roman"/>
                <w:sz w:val="15"/>
              </w:rPr>
              <w:t>331,548,801.34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0" w:right="0"/>
              <w:jc w:val="center"/>
              <w:rPr>
                <w:rFonts w:ascii="Times New Roman" w:hAnsi="Times New Roman" w:cs="Times New Roman" w:eastAsia="Times New Roman" w:hint="default"/>
                <w:sz w:val="15"/>
                <w:szCs w:val="15"/>
              </w:rPr>
            </w:pPr>
            <w:r>
              <w:rPr>
                <w:rFonts w:ascii="Times New Roman"/>
                <w:sz w:val="15"/>
              </w:rPr>
              <w:t>-80,202.16</w:t>
            </w:r>
          </w:p>
        </w:tc>
        <w:tc>
          <w:tcPr>
            <w:tcW w:w="95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331,468,599.18</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231,569,801.01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231,569,801.01</w:t>
            </w:r>
          </w:p>
        </w:tc>
      </w:tr>
      <w:tr>
        <w:trPr>
          <w:trHeight w:val="210"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3"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1"/>
                <w:sz w:val="18"/>
                <w:szCs w:val="18"/>
              </w:rPr>
              <w:t>）</w:t>
            </w:r>
            <w:r>
              <w:rPr>
                <w:rFonts w:ascii="宋体" w:hAnsi="宋体" w:cs="宋体" w:eastAsia="宋体" w:hint="default"/>
                <w:sz w:val="18"/>
                <w:szCs w:val="18"/>
              </w:rPr>
              <w:t>所有者</w:t>
            </w:r>
            <w:r>
              <w:rPr>
                <w:rFonts w:ascii="Times New Roman" w:hAnsi="Times New Roman" w:cs="Times New Roman" w:eastAsia="Times New Roman" w:hint="default"/>
                <w:sz w:val="18"/>
                <w:szCs w:val="18"/>
              </w:rPr>
              <w:t>(</w:t>
            </w:r>
            <w:r>
              <w:rPr>
                <w:rFonts w:ascii="宋体" w:hAnsi="宋体" w:cs="宋体" w:eastAsia="宋体" w:hint="default"/>
                <w:sz w:val="18"/>
                <w:szCs w:val="18"/>
              </w:rPr>
              <w:t>或股东</w:t>
            </w:r>
            <w:r>
              <w:rPr>
                <w:rFonts w:ascii="Times New Roman" w:hAnsi="Times New Roman" w:cs="Times New Roman" w:eastAsia="Times New Roman" w:hint="default"/>
                <w:sz w:val="18"/>
                <w:szCs w:val="18"/>
              </w:rPr>
              <w:t>)</w:t>
            </w:r>
            <w:r>
              <w:rPr>
                <w:rFonts w:ascii="宋体" w:hAnsi="宋体" w:cs="宋体" w:eastAsia="宋体" w:hint="default"/>
                <w:sz w:val="18"/>
                <w:szCs w:val="18"/>
              </w:rPr>
              <w:t>投入和减少资本</w:t>
            </w:r>
          </w:p>
        </w:tc>
        <w:tc>
          <w:tcPr>
            <w:tcW w:w="997"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23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9" w:right="0"/>
              <w:jc w:val="left"/>
              <w:rPr>
                <w:rFonts w:ascii="Times New Roman" w:hAnsi="Times New Roman" w:cs="Times New Roman" w:eastAsia="Times New Roman" w:hint="default"/>
                <w:sz w:val="15"/>
                <w:szCs w:val="15"/>
              </w:rPr>
            </w:pPr>
            <w:r>
              <w:rPr>
                <w:rFonts w:ascii="Times New Roman"/>
                <w:sz w:val="15"/>
              </w:rPr>
              <w:t>14,700,000.00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5"/>
                <w:szCs w:val="15"/>
              </w:rPr>
            </w:pPr>
            <w:r>
              <w:rPr>
                <w:rFonts w:ascii="Times New Roman"/>
                <w:spacing w:val="-1"/>
                <w:sz w:val="15"/>
              </w:rPr>
              <w:t>14,700,000.00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6" w:right="0"/>
              <w:jc w:val="center"/>
              <w:rPr>
                <w:rFonts w:ascii="Times New Roman" w:hAnsi="Times New Roman" w:cs="Times New Roman" w:eastAsia="Times New Roman" w:hint="default"/>
                <w:sz w:val="15"/>
                <w:szCs w:val="15"/>
              </w:rPr>
            </w:pPr>
            <w:r>
              <w:rPr>
                <w:rFonts w:ascii="Times New Roman"/>
                <w:sz w:val="15"/>
              </w:rPr>
              <w:t>36,000,000.00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549,414,353.27</w:t>
            </w:r>
          </w:p>
        </w:tc>
        <w:tc>
          <w:tcPr>
            <w:tcW w:w="23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585,414,353.27</w:t>
            </w:r>
          </w:p>
        </w:tc>
      </w:tr>
      <w:tr>
        <w:trPr>
          <w:trHeight w:val="210"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所有者</w:t>
            </w:r>
            <w:r>
              <w:rPr>
                <w:rFonts w:ascii="Times New Roman" w:hAnsi="Times New Roman" w:cs="Times New Roman" w:eastAsia="Times New Roman" w:hint="default"/>
                <w:sz w:val="18"/>
                <w:szCs w:val="18"/>
              </w:rPr>
              <w:t>(</w:t>
            </w:r>
            <w:r>
              <w:rPr>
                <w:rFonts w:ascii="宋体" w:hAnsi="宋体" w:cs="宋体" w:eastAsia="宋体" w:hint="default"/>
                <w:sz w:val="18"/>
                <w:szCs w:val="18"/>
              </w:rPr>
              <w:t>或股东</w:t>
            </w:r>
            <w:r>
              <w:rPr>
                <w:rFonts w:ascii="Times New Roman" w:hAnsi="Times New Roman" w:cs="Times New Roman" w:eastAsia="Times New Roman" w:hint="default"/>
                <w:sz w:val="18"/>
                <w:szCs w:val="18"/>
              </w:rPr>
              <w:t>)</w:t>
            </w:r>
            <w:r>
              <w:rPr>
                <w:rFonts w:ascii="宋体" w:hAnsi="宋体" w:cs="宋体" w:eastAsia="宋体" w:hint="default"/>
                <w:sz w:val="18"/>
                <w:szCs w:val="18"/>
              </w:rPr>
              <w:t>投入资本</w:t>
            </w:r>
          </w:p>
        </w:tc>
        <w:tc>
          <w:tcPr>
            <w:tcW w:w="997"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23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9" w:right="0"/>
              <w:jc w:val="left"/>
              <w:rPr>
                <w:rFonts w:ascii="Times New Roman" w:hAnsi="Times New Roman" w:cs="Times New Roman" w:eastAsia="Times New Roman" w:hint="default"/>
                <w:sz w:val="15"/>
                <w:szCs w:val="15"/>
              </w:rPr>
            </w:pPr>
            <w:r>
              <w:rPr>
                <w:rFonts w:ascii="Times New Roman"/>
                <w:sz w:val="15"/>
              </w:rPr>
              <w:t>14,700,000.00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5"/>
                <w:szCs w:val="15"/>
              </w:rPr>
            </w:pPr>
            <w:r>
              <w:rPr>
                <w:rFonts w:ascii="Times New Roman"/>
                <w:spacing w:val="-1"/>
                <w:sz w:val="15"/>
              </w:rPr>
              <w:t>14,700,000.00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6" w:right="0"/>
              <w:jc w:val="center"/>
              <w:rPr>
                <w:rFonts w:ascii="Times New Roman" w:hAnsi="Times New Roman" w:cs="Times New Roman" w:eastAsia="Times New Roman" w:hint="default"/>
                <w:sz w:val="15"/>
                <w:szCs w:val="15"/>
              </w:rPr>
            </w:pPr>
            <w:r>
              <w:rPr>
                <w:rFonts w:ascii="Times New Roman"/>
                <w:sz w:val="15"/>
              </w:rPr>
              <w:t>36,000,000.00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549,414,353.27</w:t>
            </w:r>
          </w:p>
        </w:tc>
        <w:tc>
          <w:tcPr>
            <w:tcW w:w="23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585,414,353.27</w:t>
            </w:r>
          </w:p>
        </w:tc>
      </w:tr>
      <w:tr>
        <w:trPr>
          <w:trHeight w:val="410"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ind w:left="23" w:right="15"/>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．股份支付计入所有者权益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或股东</w:t>
            </w:r>
            <w:r>
              <w:rPr>
                <w:rFonts w:ascii="宋体" w:hAnsi="宋体" w:cs="宋体" w:eastAsia="宋体" w:hint="default"/>
                <w:spacing w:val="-80"/>
                <w:sz w:val="18"/>
                <w:szCs w:val="18"/>
              </w:rPr>
              <w:t> </w:t>
            </w:r>
            <w:r>
              <w:rPr>
                <w:rFonts w:ascii="宋体" w:hAnsi="宋体" w:cs="宋体" w:eastAsia="宋体" w:hint="default"/>
                <w:sz w:val="18"/>
                <w:szCs w:val="18"/>
              </w:rPr>
              <w:t>权益</w:t>
            </w:r>
            <w:r>
              <w:rPr>
                <w:rFonts w:ascii="Times New Roman" w:hAnsi="Times New Roman" w:cs="Times New Roman" w:eastAsia="Times New Roman" w:hint="default"/>
                <w:sz w:val="18"/>
                <w:szCs w:val="18"/>
              </w:rPr>
              <w:t>)</w:t>
            </w:r>
            <w:r>
              <w:rPr>
                <w:rFonts w:ascii="宋体" w:hAnsi="宋体" w:cs="宋体" w:eastAsia="宋体" w:hint="default"/>
                <w:sz w:val="18"/>
                <w:szCs w:val="18"/>
              </w:rPr>
              <w:t>的金额</w:t>
            </w:r>
          </w:p>
        </w:tc>
        <w:tc>
          <w:tcPr>
            <w:tcW w:w="997"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23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10"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997"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23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10"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997"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23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8" w:right="0"/>
              <w:jc w:val="left"/>
              <w:rPr>
                <w:rFonts w:ascii="Times New Roman" w:hAnsi="Times New Roman" w:cs="Times New Roman" w:eastAsia="Times New Roman" w:hint="default"/>
                <w:sz w:val="15"/>
                <w:szCs w:val="15"/>
              </w:rPr>
            </w:pPr>
            <w:r>
              <w:rPr>
                <w:rFonts w:ascii="Times New Roman"/>
                <w:sz w:val="15"/>
              </w:rPr>
              <w:t>31,555,988.32</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1" w:right="0"/>
              <w:jc w:val="center"/>
              <w:rPr>
                <w:rFonts w:ascii="Times New Roman" w:hAnsi="Times New Roman" w:cs="Times New Roman" w:eastAsia="Times New Roman" w:hint="default"/>
                <w:sz w:val="15"/>
                <w:szCs w:val="15"/>
              </w:rPr>
            </w:pPr>
            <w:r>
              <w:rPr>
                <w:rFonts w:ascii="Times New Roman"/>
                <w:sz w:val="15"/>
              </w:rPr>
              <w:t>-60,067,790.32</w:t>
            </w:r>
          </w:p>
        </w:tc>
        <w:tc>
          <w:tcPr>
            <w:tcW w:w="78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-28,511,802.00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22,134,237.63</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-54,101,940.63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-31,967,703.00</w:t>
            </w:r>
          </w:p>
        </w:tc>
      </w:tr>
      <w:tr>
        <w:trPr>
          <w:trHeight w:val="210"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997"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23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8" w:right="0"/>
              <w:jc w:val="left"/>
              <w:rPr>
                <w:rFonts w:ascii="Times New Roman" w:hAnsi="Times New Roman" w:cs="Times New Roman" w:eastAsia="Times New Roman" w:hint="default"/>
                <w:sz w:val="15"/>
                <w:szCs w:val="15"/>
              </w:rPr>
            </w:pPr>
            <w:r>
              <w:rPr>
                <w:rFonts w:ascii="Times New Roman"/>
                <w:sz w:val="15"/>
              </w:rPr>
              <w:t>31,555,988.32</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1" w:right="0"/>
              <w:jc w:val="center"/>
              <w:rPr>
                <w:rFonts w:ascii="Times New Roman" w:hAnsi="Times New Roman" w:cs="Times New Roman" w:eastAsia="Times New Roman" w:hint="default"/>
                <w:sz w:val="15"/>
                <w:szCs w:val="15"/>
              </w:rPr>
            </w:pPr>
            <w:r>
              <w:rPr>
                <w:rFonts w:ascii="Times New Roman"/>
                <w:sz w:val="15"/>
              </w:rPr>
              <w:t>-31,555,988.32</w:t>
            </w:r>
          </w:p>
        </w:tc>
        <w:tc>
          <w:tcPr>
            <w:tcW w:w="78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22,134,237.63</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-22,134,237.63</w:t>
            </w: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10"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997"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23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6" w:right="0"/>
              <w:jc w:val="center"/>
              <w:rPr>
                <w:rFonts w:ascii="Times New Roman" w:hAnsi="Times New Roman" w:cs="Times New Roman" w:eastAsia="Times New Roman" w:hint="default"/>
                <w:sz w:val="15"/>
                <w:szCs w:val="15"/>
              </w:rPr>
            </w:pPr>
            <w:r>
              <w:rPr>
                <w:rFonts w:ascii="Times New Roman"/>
                <w:sz w:val="15"/>
              </w:rPr>
              <w:t>-28,511,802.00</w:t>
            </w:r>
          </w:p>
        </w:tc>
        <w:tc>
          <w:tcPr>
            <w:tcW w:w="78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-28,511,802.00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-31,967,703.00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-31,967,703.00</w:t>
            </w:r>
          </w:p>
        </w:tc>
      </w:tr>
      <w:tr>
        <w:trPr>
          <w:trHeight w:val="210"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997"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23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ind w:left="23" w:right="23" w:firstLine="90"/>
              <w:jc w:val="left"/>
              <w:rPr>
                <w:rFonts w:ascii="宋体" w:hAnsi="宋体" w:cs="宋体" w:eastAsia="宋体" w:hint="default"/>
                <w:sz w:val="18"/>
                <w:szCs w:val="18"/>
              </w:rPr>
            </w:pPr>
            <w:r>
              <w:rPr>
                <w:rFonts w:ascii="宋体" w:hAnsi="宋体" w:cs="宋体" w:eastAsia="宋体" w:hint="default"/>
                <w:sz w:val="18"/>
                <w:szCs w:val="18"/>
              </w:rPr>
              <w:t>（五）所有者权益</w:t>
            </w:r>
            <w:r>
              <w:rPr>
                <w:rFonts w:ascii="Times New Roman" w:hAnsi="Times New Roman" w:cs="Times New Roman" w:eastAsia="Times New Roman" w:hint="default"/>
                <w:sz w:val="18"/>
                <w:szCs w:val="18"/>
              </w:rPr>
              <w:t>(</w:t>
            </w:r>
            <w:r>
              <w:rPr>
                <w:rFonts w:ascii="宋体" w:hAnsi="宋体" w:cs="宋体" w:eastAsia="宋体" w:hint="default"/>
                <w:sz w:val="18"/>
                <w:szCs w:val="18"/>
              </w:rPr>
              <w:t>或股东权益</w:t>
            </w:r>
            <w:r>
              <w:rPr>
                <w:rFonts w:ascii="Times New Roman" w:hAnsi="Times New Roman" w:cs="Times New Roman" w:eastAsia="Times New Roman" w:hint="default"/>
                <w:sz w:val="18"/>
                <w:szCs w:val="18"/>
              </w:rPr>
              <w:t>)</w:t>
            </w:r>
            <w:r>
              <w:rPr>
                <w:rFonts w:ascii="宋体" w:hAnsi="宋体" w:cs="宋体" w:eastAsia="宋体" w:hint="default"/>
                <w:sz w:val="18"/>
                <w:szCs w:val="18"/>
              </w:rPr>
              <w:t>内部 结转</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142,559,010.00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6" w:right="0"/>
              <w:jc w:val="center"/>
              <w:rPr>
                <w:rFonts w:ascii="Times New Roman" w:hAnsi="Times New Roman" w:cs="Times New Roman" w:eastAsia="Times New Roman" w:hint="default"/>
                <w:sz w:val="15"/>
                <w:szCs w:val="15"/>
              </w:rPr>
            </w:pPr>
            <w:r>
              <w:rPr>
                <w:rFonts w:ascii="Times New Roman"/>
                <w:sz w:val="15"/>
              </w:rPr>
              <w:t>-142,559,010.00</w:t>
            </w:r>
          </w:p>
        </w:tc>
        <w:tc>
          <w:tcPr>
            <w:tcW w:w="23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10"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或股本</w:t>
            </w:r>
            <w:r>
              <w:rPr>
                <w:rFonts w:ascii="Times New Roman" w:hAnsi="Times New Roman" w:cs="Times New Roman" w:eastAsia="Times New Roman" w:hint="default"/>
                <w:sz w:val="18"/>
                <w:szCs w:val="18"/>
              </w:rPr>
              <w:t>)</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spacing w:val="-1"/>
                <w:sz w:val="15"/>
              </w:rPr>
              <w:t>142,559,010.00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 w:right="0"/>
              <w:jc w:val="center"/>
              <w:rPr>
                <w:rFonts w:ascii="Times New Roman" w:hAnsi="Times New Roman" w:cs="Times New Roman" w:eastAsia="Times New Roman" w:hint="default"/>
                <w:sz w:val="15"/>
                <w:szCs w:val="15"/>
              </w:rPr>
            </w:pPr>
            <w:r>
              <w:rPr>
                <w:rFonts w:ascii="Times New Roman"/>
                <w:sz w:val="15"/>
              </w:rPr>
              <w:t>-142,559,010.00</w:t>
            </w:r>
          </w:p>
        </w:tc>
        <w:tc>
          <w:tcPr>
            <w:tcW w:w="23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10"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或股本</w:t>
            </w:r>
            <w:r>
              <w:rPr>
                <w:rFonts w:ascii="Times New Roman" w:hAnsi="Times New Roman" w:cs="Times New Roman" w:eastAsia="Times New Roman" w:hint="default"/>
                <w:sz w:val="18"/>
                <w:szCs w:val="18"/>
              </w:rPr>
              <w:t>)</w:t>
            </w:r>
          </w:p>
        </w:tc>
        <w:tc>
          <w:tcPr>
            <w:tcW w:w="997"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23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10"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997"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23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10"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97"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23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23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115"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5"/>
                <w:szCs w:val="15"/>
              </w:rPr>
            </w:pPr>
            <w:r>
              <w:rPr>
                <w:rFonts w:ascii="Times New Roman"/>
                <w:spacing w:val="-1"/>
                <w:sz w:val="15"/>
              </w:rPr>
              <w:t>285,118,020.00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5" w:right="0"/>
              <w:jc w:val="center"/>
              <w:rPr>
                <w:rFonts w:ascii="Times New Roman" w:hAnsi="Times New Roman" w:cs="Times New Roman" w:eastAsia="Times New Roman" w:hint="default"/>
                <w:sz w:val="15"/>
                <w:szCs w:val="15"/>
              </w:rPr>
            </w:pPr>
            <w:r>
              <w:rPr>
                <w:rFonts w:ascii="Times New Roman"/>
                <w:sz w:val="15"/>
              </w:rPr>
              <w:t>415,635,447.56</w:t>
            </w:r>
          </w:p>
        </w:tc>
        <w:tc>
          <w:tcPr>
            <w:tcW w:w="23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8" w:right="0"/>
              <w:jc w:val="left"/>
              <w:rPr>
                <w:rFonts w:ascii="Times New Roman" w:hAnsi="Times New Roman" w:cs="Times New Roman" w:eastAsia="Times New Roman" w:hint="default"/>
                <w:sz w:val="15"/>
                <w:szCs w:val="15"/>
              </w:rPr>
            </w:pPr>
            <w:r>
              <w:rPr>
                <w:rFonts w:ascii="Times New Roman"/>
                <w:sz w:val="15"/>
              </w:rPr>
              <w:t>67,743,819.53</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 w:right="0"/>
              <w:jc w:val="center"/>
              <w:rPr>
                <w:rFonts w:ascii="Times New Roman" w:hAnsi="Times New Roman" w:cs="Times New Roman" w:eastAsia="Times New Roman" w:hint="default"/>
                <w:sz w:val="15"/>
                <w:szCs w:val="15"/>
              </w:rPr>
            </w:pPr>
            <w:r>
              <w:rPr>
                <w:rFonts w:ascii="Times New Roman"/>
                <w:sz w:val="15"/>
              </w:rPr>
              <w:t>561,588,291.31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0" w:right="0"/>
              <w:jc w:val="center"/>
              <w:rPr>
                <w:rFonts w:ascii="Times New Roman" w:hAnsi="Times New Roman" w:cs="Times New Roman" w:eastAsia="Times New Roman" w:hint="default"/>
                <w:sz w:val="15"/>
                <w:szCs w:val="15"/>
              </w:rPr>
            </w:pPr>
            <w:r>
              <w:rPr>
                <w:rFonts w:ascii="Times New Roman"/>
                <w:sz w:val="15"/>
              </w:rPr>
              <w:t>-80,202.16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0" w:right="0"/>
              <w:jc w:val="left"/>
              <w:rPr>
                <w:rFonts w:ascii="Times New Roman" w:hAnsi="Times New Roman" w:cs="Times New Roman" w:eastAsia="Times New Roman" w:hint="default"/>
                <w:sz w:val="15"/>
                <w:szCs w:val="15"/>
              </w:rPr>
            </w:pPr>
            <w:r>
              <w:rPr>
                <w:rFonts w:ascii="Times New Roman"/>
                <w:sz w:val="15"/>
              </w:rPr>
              <w:t>14,700,000.00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spacing w:val="-1"/>
                <w:sz w:val="15"/>
              </w:rPr>
              <w:t>1,344,705,376.24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 w:right="0"/>
              <w:jc w:val="center"/>
              <w:rPr>
                <w:rFonts w:ascii="Times New Roman" w:hAnsi="Times New Roman" w:cs="Times New Roman" w:eastAsia="Times New Roman" w:hint="default"/>
                <w:sz w:val="15"/>
                <w:szCs w:val="15"/>
              </w:rPr>
            </w:pPr>
            <w:r>
              <w:rPr>
                <w:rFonts w:ascii="Times New Roman"/>
                <w:sz w:val="15"/>
              </w:rPr>
              <w:t>142,559,010.00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558,194,457.56</w:t>
            </w:r>
          </w:p>
        </w:tc>
        <w:tc>
          <w:tcPr>
            <w:tcW w:w="23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36,187,831.21</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290,107,280.29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5"/>
                <w:szCs w:val="15"/>
              </w:rPr>
            </w:pPr>
            <w:r>
              <w:rPr>
                <w:rFonts w:ascii="Times New Roman"/>
                <w:spacing w:val="-1"/>
                <w:sz w:val="15"/>
              </w:rPr>
              <w:t>1,027,048,579.06</w:t>
            </w:r>
          </w:p>
        </w:tc>
      </w:tr>
    </w:tbl>
    <w:p>
      <w:pPr>
        <w:spacing w:after="0" w:line="240" w:lineRule="auto"/>
        <w:jc w:val="right"/>
        <w:rPr>
          <w:rFonts w:ascii="Times New Roman" w:hAnsi="Times New Roman" w:cs="Times New Roman" w:eastAsia="Times New Roman" w:hint="default"/>
          <w:sz w:val="15"/>
          <w:szCs w:val="15"/>
        </w:rPr>
        <w:sectPr>
          <w:headerReference w:type="default" r:id="rId23"/>
          <w:footerReference w:type="default" r:id="rId24"/>
          <w:pgSz w:w="16840" w:h="11910" w:orient="landscape"/>
          <w:pgMar w:header="400" w:footer="1463" w:top="1100" w:bottom="1660" w:left="540" w:right="540"/>
          <w:pgNumType w:start="66"/>
        </w:sectPr>
      </w:pPr>
    </w:p>
    <w:p>
      <w:pPr>
        <w:spacing w:line="240" w:lineRule="auto" w:before="1"/>
        <w:rPr>
          <w:rFonts w:ascii="宋体" w:hAnsi="宋体" w:cs="宋体" w:eastAsia="宋体" w:hint="default"/>
          <w:sz w:val="19"/>
          <w:szCs w:val="19"/>
        </w:rPr>
      </w:pPr>
    </w:p>
    <w:p>
      <w:pPr>
        <w:pStyle w:val="Heading4"/>
        <w:spacing w:line="240" w:lineRule="auto" w:before="35"/>
        <w:ind w:left="0" w:right="1"/>
        <w:jc w:val="center"/>
        <w:rPr>
          <w:b w:val="0"/>
          <w:bCs w:val="0"/>
        </w:rPr>
      </w:pPr>
      <w:r>
        <w:rPr/>
        <w:t>母公司所有者权益变动表</w:t>
      </w:r>
      <w:r>
        <w:rPr>
          <w:b w:val="0"/>
          <w:bCs w:val="0"/>
        </w:rPr>
      </w:r>
    </w:p>
    <w:p>
      <w:pPr>
        <w:tabs>
          <w:tab w:pos="6349" w:val="left" w:leader="none"/>
          <w:tab w:pos="12559" w:val="left" w:leader="none"/>
        </w:tabs>
        <w:spacing w:before="2"/>
        <w:ind w:left="0" w:right="0" w:firstLine="0"/>
        <w:jc w:val="center"/>
        <w:rPr>
          <w:rFonts w:ascii="宋体" w:hAnsi="宋体" w:cs="宋体" w:eastAsia="宋体" w:hint="default"/>
          <w:sz w:val="18"/>
          <w:szCs w:val="18"/>
        </w:rPr>
      </w:pPr>
      <w:r>
        <w:rPr>
          <w:rFonts w:ascii="宋体" w:hAnsi="宋体" w:cs="宋体" w:eastAsia="宋体" w:hint="default"/>
          <w:spacing w:val="-2"/>
          <w:sz w:val="18"/>
          <w:szCs w:val="18"/>
        </w:rPr>
        <w:t>编制单位：广州广电运通金融电子股份有限公司</w:t>
        <w:tab/>
      </w:r>
      <w:r>
        <w:rPr>
          <w:rFonts w:ascii="宋体" w:hAnsi="宋体" w:cs="宋体" w:eastAsia="宋体" w:hint="default"/>
          <w:sz w:val="18"/>
          <w:szCs w:val="18"/>
        </w:rPr>
        <w:t>2008年度</w:t>
        <w:tab/>
      </w:r>
      <w:r>
        <w:rPr>
          <w:rFonts w:ascii="宋体" w:hAnsi="宋体" w:cs="宋体" w:eastAsia="宋体" w:hint="default"/>
          <w:spacing w:val="-11"/>
          <w:sz w:val="18"/>
          <w:szCs w:val="18"/>
        </w:rPr>
        <w:t>单位：元</w:t>
      </w:r>
    </w:p>
    <w:p>
      <w:pPr>
        <w:spacing w:line="240" w:lineRule="auto" w:before="1"/>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2516"/>
        <w:gridCol w:w="1074"/>
        <w:gridCol w:w="1106"/>
        <w:gridCol w:w="238"/>
        <w:gridCol w:w="1022"/>
        <w:gridCol w:w="1138"/>
        <w:gridCol w:w="1148"/>
        <w:gridCol w:w="1080"/>
        <w:gridCol w:w="1080"/>
        <w:gridCol w:w="259"/>
        <w:gridCol w:w="1001"/>
        <w:gridCol w:w="1080"/>
        <w:gridCol w:w="1260"/>
      </w:tblGrid>
      <w:tr>
        <w:trPr>
          <w:trHeight w:val="210" w:hRule="exact"/>
        </w:trPr>
        <w:tc>
          <w:tcPr>
            <w:tcW w:w="25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tabs>
                <w:tab w:pos="542" w:val="left" w:leader="none"/>
              </w:tabs>
              <w:spacing w:line="240" w:lineRule="auto"/>
              <w:ind w:right="1"/>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5726" w:type="dxa"/>
            <w:gridSpan w:val="6"/>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5760" w:type="dxa"/>
            <w:gridSpan w:val="6"/>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0"/>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1010" w:hRule="exact"/>
        </w:trPr>
        <w:tc>
          <w:tcPr>
            <w:tcW w:w="2516" w:type="dxa"/>
            <w:vMerge/>
            <w:tcBorders>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18" w:lineRule="exact"/>
              <w:ind w:left="170" w:right="0"/>
              <w:jc w:val="left"/>
              <w:rPr>
                <w:rFonts w:ascii="宋体" w:hAnsi="宋体" w:cs="宋体" w:eastAsia="宋体" w:hint="default"/>
                <w:sz w:val="18"/>
                <w:szCs w:val="18"/>
              </w:rPr>
            </w:pPr>
            <w:r>
              <w:rPr>
                <w:rFonts w:ascii="宋体" w:hAnsi="宋体" w:cs="宋体" w:eastAsia="宋体" w:hint="default"/>
                <w:b/>
                <w:bCs/>
                <w:sz w:val="18"/>
                <w:szCs w:val="18"/>
              </w:rPr>
              <w:t>实收资本</w:t>
            </w:r>
            <w:r>
              <w:rPr>
                <w:rFonts w:ascii="宋体" w:hAnsi="宋体" w:cs="宋体" w:eastAsia="宋体" w:hint="default"/>
                <w:sz w:val="18"/>
                <w:szCs w:val="18"/>
              </w:rPr>
            </w:r>
          </w:p>
          <w:p>
            <w:pPr>
              <w:pStyle w:val="TableParagraph"/>
              <w:spacing w:line="218" w:lineRule="exact"/>
              <w:ind w:left="79" w:right="0"/>
              <w:jc w:val="left"/>
              <w:rPr>
                <w:rFonts w:ascii="宋体" w:hAnsi="宋体" w:cs="宋体" w:eastAsia="宋体" w:hint="default"/>
                <w:sz w:val="18"/>
                <w:szCs w:val="18"/>
              </w:rPr>
            </w:pPr>
            <w:r>
              <w:rPr>
                <w:rFonts w:ascii="宋体" w:hAnsi="宋体" w:cs="宋体" w:eastAsia="宋体" w:hint="default"/>
                <w:b/>
                <w:bCs/>
                <w:sz w:val="18"/>
                <w:szCs w:val="18"/>
              </w:rPr>
              <w:t>（或股本）</w:t>
            </w:r>
            <w:r>
              <w:rPr>
                <w:rFonts w:ascii="宋体" w:hAnsi="宋体" w:cs="宋体" w:eastAsia="宋体" w:hint="default"/>
                <w:sz w:val="18"/>
                <w:szCs w:val="18"/>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22" w:right="0"/>
              <w:jc w:val="both"/>
              <w:rPr>
                <w:rFonts w:ascii="宋体" w:hAnsi="宋体" w:cs="宋体" w:eastAsia="宋体" w:hint="default"/>
                <w:sz w:val="18"/>
                <w:szCs w:val="18"/>
              </w:rPr>
            </w:pPr>
            <w:r>
              <w:rPr>
                <w:rFonts w:ascii="宋体" w:hAnsi="宋体" w:cs="宋体" w:eastAsia="宋体" w:hint="default"/>
                <w:b/>
                <w:bCs/>
                <w:w w:val="99"/>
                <w:sz w:val="18"/>
                <w:szCs w:val="18"/>
              </w:rPr>
              <w:t>减</w:t>
            </w:r>
            <w:r>
              <w:rPr>
                <w:rFonts w:ascii="宋体" w:hAnsi="宋体" w:cs="宋体" w:eastAsia="宋体" w:hint="default"/>
                <w:sz w:val="18"/>
                <w:szCs w:val="18"/>
              </w:rPr>
            </w:r>
          </w:p>
          <w:p>
            <w:pPr>
              <w:pStyle w:val="TableParagraph"/>
              <w:spacing w:line="204" w:lineRule="auto" w:before="14"/>
              <w:ind w:left="22" w:right="23"/>
              <w:jc w:val="both"/>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b/>
                <w:bCs/>
                <w:sz w:val="18"/>
                <w:szCs w:val="18"/>
              </w:rPr>
              <w:t>库</w:t>
            </w:r>
            <w:r>
              <w:rPr>
                <w:rFonts w:ascii="宋体" w:hAnsi="宋体" w:cs="宋体" w:eastAsia="宋体" w:hint="default"/>
                <w:b/>
                <w:bCs/>
                <w:w w:val="99"/>
                <w:sz w:val="18"/>
                <w:szCs w:val="18"/>
              </w:rPr>
              <w:t> </w:t>
            </w:r>
            <w:r>
              <w:rPr>
                <w:rFonts w:ascii="宋体" w:hAnsi="宋体" w:cs="宋体" w:eastAsia="宋体" w:hint="default"/>
                <w:b/>
                <w:bCs/>
                <w:sz w:val="18"/>
                <w:szCs w:val="18"/>
              </w:rPr>
              <w:t>存</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00" w:lineRule="exact"/>
              <w:ind w:left="388" w:right="114" w:hanging="272"/>
              <w:jc w:val="left"/>
              <w:rPr>
                <w:rFonts w:ascii="宋体" w:hAnsi="宋体" w:cs="宋体" w:eastAsia="宋体" w:hint="default"/>
                <w:sz w:val="18"/>
                <w:szCs w:val="18"/>
              </w:rPr>
            </w:pPr>
            <w:r>
              <w:rPr>
                <w:rFonts w:ascii="宋体" w:hAnsi="宋体" w:cs="宋体" w:eastAsia="宋体" w:hint="default"/>
                <w:b/>
                <w:bCs/>
                <w:sz w:val="18"/>
                <w:szCs w:val="18"/>
              </w:rPr>
              <w:t>所有者权益</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合计</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18" w:lineRule="exact"/>
              <w:ind w:left="172" w:right="0"/>
              <w:jc w:val="left"/>
              <w:rPr>
                <w:rFonts w:ascii="宋体" w:hAnsi="宋体" w:cs="宋体" w:eastAsia="宋体" w:hint="default"/>
                <w:sz w:val="18"/>
                <w:szCs w:val="18"/>
              </w:rPr>
            </w:pPr>
            <w:r>
              <w:rPr>
                <w:rFonts w:ascii="宋体" w:hAnsi="宋体" w:cs="宋体" w:eastAsia="宋体" w:hint="default"/>
                <w:b/>
                <w:bCs/>
                <w:sz w:val="18"/>
                <w:szCs w:val="18"/>
              </w:rPr>
              <w:t>实收资本</w:t>
            </w:r>
            <w:r>
              <w:rPr>
                <w:rFonts w:ascii="宋体" w:hAnsi="宋体" w:cs="宋体" w:eastAsia="宋体" w:hint="default"/>
                <w:sz w:val="18"/>
                <w:szCs w:val="18"/>
              </w:rPr>
            </w:r>
          </w:p>
          <w:p>
            <w:pPr>
              <w:pStyle w:val="TableParagraph"/>
              <w:spacing w:line="218" w:lineRule="exact"/>
              <w:ind w:left="81" w:right="0"/>
              <w:jc w:val="left"/>
              <w:rPr>
                <w:rFonts w:ascii="宋体" w:hAnsi="宋体" w:cs="宋体" w:eastAsia="宋体" w:hint="default"/>
                <w:sz w:val="18"/>
                <w:szCs w:val="18"/>
              </w:rPr>
            </w:pPr>
            <w:r>
              <w:rPr>
                <w:rFonts w:ascii="宋体" w:hAnsi="宋体" w:cs="宋体" w:eastAsia="宋体" w:hint="default"/>
                <w:b/>
                <w:bCs/>
                <w:sz w:val="18"/>
                <w:szCs w:val="18"/>
              </w:rPr>
              <w:t>（或股本）</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33" w:right="0"/>
              <w:jc w:val="both"/>
              <w:rPr>
                <w:rFonts w:ascii="宋体" w:hAnsi="宋体" w:cs="宋体" w:eastAsia="宋体" w:hint="default"/>
                <w:sz w:val="18"/>
                <w:szCs w:val="18"/>
              </w:rPr>
            </w:pPr>
            <w:r>
              <w:rPr>
                <w:rFonts w:ascii="宋体" w:hAnsi="宋体" w:cs="宋体" w:eastAsia="宋体" w:hint="default"/>
                <w:b/>
                <w:bCs/>
                <w:w w:val="99"/>
                <w:sz w:val="18"/>
                <w:szCs w:val="18"/>
              </w:rPr>
              <w:t>减</w:t>
            </w:r>
            <w:r>
              <w:rPr>
                <w:rFonts w:ascii="宋体" w:hAnsi="宋体" w:cs="宋体" w:eastAsia="宋体" w:hint="default"/>
                <w:sz w:val="18"/>
                <w:szCs w:val="18"/>
              </w:rPr>
            </w:r>
          </w:p>
          <w:p>
            <w:pPr>
              <w:pStyle w:val="TableParagraph"/>
              <w:spacing w:line="204" w:lineRule="auto" w:before="14"/>
              <w:ind w:left="33" w:right="33"/>
              <w:jc w:val="both"/>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b/>
                <w:bCs/>
                <w:sz w:val="18"/>
                <w:szCs w:val="18"/>
              </w:rPr>
              <w:t>库</w:t>
            </w:r>
            <w:r>
              <w:rPr>
                <w:rFonts w:ascii="宋体" w:hAnsi="宋体" w:cs="宋体" w:eastAsia="宋体" w:hint="default"/>
                <w:b/>
                <w:bCs/>
                <w:w w:val="99"/>
                <w:sz w:val="18"/>
                <w:szCs w:val="18"/>
              </w:rPr>
              <w:t> </w:t>
            </w:r>
            <w:r>
              <w:rPr>
                <w:rFonts w:ascii="宋体" w:hAnsi="宋体" w:cs="宋体" w:eastAsia="宋体" w:hint="default"/>
                <w:b/>
                <w:bCs/>
                <w:sz w:val="18"/>
                <w:szCs w:val="18"/>
              </w:rPr>
              <w:t>存</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00" w:lineRule="exact"/>
              <w:ind w:left="442" w:right="172" w:hanging="272"/>
              <w:jc w:val="left"/>
              <w:rPr>
                <w:rFonts w:ascii="宋体" w:hAnsi="宋体" w:cs="宋体" w:eastAsia="宋体" w:hint="default"/>
                <w:sz w:val="18"/>
                <w:szCs w:val="18"/>
              </w:rPr>
            </w:pPr>
            <w:r>
              <w:rPr>
                <w:rFonts w:ascii="宋体" w:hAnsi="宋体" w:cs="宋体" w:eastAsia="宋体" w:hint="default"/>
                <w:b/>
                <w:bCs/>
                <w:sz w:val="18"/>
                <w:szCs w:val="18"/>
              </w:rPr>
              <w:t>所有者权益</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21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114"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spacing w:val="-1"/>
                <w:sz w:val="15"/>
              </w:rPr>
              <w:t>142,559,010.00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spacing w:val="-1"/>
                <w:sz w:val="15"/>
              </w:rPr>
              <w:t>558,194,457.56</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5"/>
                <w:szCs w:val="15"/>
              </w:rPr>
            </w:pPr>
            <w:r>
              <w:rPr>
                <w:rFonts w:ascii="Times New Roman"/>
                <w:spacing w:val="-1"/>
                <w:sz w:val="15"/>
              </w:rPr>
              <w:t>36,187,831.21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spacing w:val="-1"/>
                <w:sz w:val="15"/>
              </w:rPr>
              <w:t>274,452,748.19</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spacing w:val="-1"/>
                <w:sz w:val="15"/>
              </w:rPr>
              <w:t>1,011,394,046.96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106,559,010.00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8,780,104.29</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5"/>
                <w:szCs w:val="15"/>
              </w:rPr>
            </w:pPr>
            <w:r>
              <w:rPr>
                <w:rFonts w:ascii="Times New Roman"/>
                <w:spacing w:val="-1"/>
                <w:sz w:val="15"/>
              </w:rPr>
              <w:t>14,422,219.49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5"/>
                <w:szCs w:val="15"/>
              </w:rPr>
            </w:pPr>
            <w:r>
              <w:rPr>
                <w:rFonts w:ascii="Times New Roman"/>
                <w:spacing w:val="-2"/>
                <w:sz w:val="15"/>
              </w:rPr>
              <w:t>111,398,030.24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241,159,364.02</w:t>
            </w:r>
          </w:p>
        </w:tc>
      </w:tr>
      <w:tr>
        <w:trPr>
          <w:trHeight w:val="21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11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spacing w:val="-1"/>
                <w:sz w:val="15"/>
              </w:rPr>
              <w:t>-368,625.91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-4,185,717.67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-4,554,343.58</w:t>
            </w:r>
          </w:p>
        </w:tc>
      </w:tr>
      <w:tr>
        <w:trPr>
          <w:trHeight w:val="21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47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1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114"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spacing w:val="-1"/>
                <w:sz w:val="15"/>
              </w:rPr>
              <w:t>142,559,010.00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spacing w:val="-1"/>
                <w:sz w:val="15"/>
              </w:rPr>
              <w:t>558,194,457.56</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5"/>
                <w:szCs w:val="15"/>
              </w:rPr>
            </w:pPr>
            <w:r>
              <w:rPr>
                <w:rFonts w:ascii="Times New Roman"/>
                <w:spacing w:val="-1"/>
                <w:sz w:val="15"/>
              </w:rPr>
              <w:t>36,187,831.21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spacing w:val="-1"/>
                <w:sz w:val="15"/>
              </w:rPr>
              <w:t>274,452,748.19</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spacing w:val="-1"/>
                <w:sz w:val="15"/>
              </w:rPr>
              <w:t>1,011,394,046.96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106,559,010.00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8,780,104.29</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5"/>
                <w:szCs w:val="15"/>
              </w:rPr>
            </w:pPr>
            <w:r>
              <w:rPr>
                <w:rFonts w:ascii="Times New Roman"/>
                <w:spacing w:val="-1"/>
                <w:sz w:val="15"/>
              </w:rPr>
              <w:t>14,053,593.58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107,212,312.57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236,605,020.44</w:t>
            </w:r>
          </w:p>
        </w:tc>
      </w:tr>
      <w:tr>
        <w:trPr>
          <w:trHeight w:val="41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14" w:right="0"/>
              <w:jc w:val="left"/>
              <w:rPr>
                <w:rFonts w:ascii="宋体" w:hAnsi="宋体" w:cs="宋体" w:eastAsia="宋体" w:hint="default"/>
                <w:sz w:val="18"/>
                <w:szCs w:val="18"/>
              </w:rPr>
            </w:pPr>
            <w:r>
              <w:rPr>
                <w:rFonts w:ascii="宋体" w:hAnsi="宋体" w:cs="宋体" w:eastAsia="宋体" w:hint="default"/>
                <w:b/>
                <w:bCs/>
                <w:sz w:val="18"/>
                <w:szCs w:val="18"/>
              </w:rPr>
              <w:t>三、本年增减变动金额（减少</w:t>
            </w:r>
            <w:r>
              <w:rPr>
                <w:rFonts w:ascii="宋体" w:hAnsi="宋体" w:cs="宋体" w:eastAsia="宋体" w:hint="default"/>
                <w:sz w:val="18"/>
                <w:szCs w:val="18"/>
              </w:rPr>
            </w:r>
          </w:p>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b/>
                <w:bCs/>
                <w:sz w:val="18"/>
                <w:szCs w:val="18"/>
              </w:rPr>
              <w:t>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142,559,010.00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spacing w:val="-1"/>
                <w:sz w:val="15"/>
              </w:rPr>
              <w:t>-142,559,010.00</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spacing w:val="-1"/>
                <w:sz w:val="15"/>
              </w:rPr>
              <w:t>31,555,988.32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255,492,092.84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287,048,081.16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36,000,000.00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spacing w:val="-1"/>
                <w:sz w:val="15"/>
              </w:rPr>
              <w:t>549,414,353.27</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spacing w:val="-1"/>
                <w:sz w:val="15"/>
              </w:rPr>
              <w:t>22,134,237.63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spacing w:val="-1"/>
                <w:sz w:val="15"/>
              </w:rPr>
              <w:t>167,240,435.62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spacing w:val="-1"/>
                <w:sz w:val="15"/>
              </w:rPr>
              <w:t>774,789,026.52</w:t>
            </w:r>
          </w:p>
        </w:tc>
      </w:tr>
      <w:tr>
        <w:trPr>
          <w:trHeight w:val="21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07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spacing w:val="-1"/>
                <w:sz w:val="15"/>
              </w:rPr>
              <w:t>315,559,883.16</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spacing w:val="-1"/>
                <w:sz w:val="15"/>
              </w:rPr>
              <w:t>315,559,883.16</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221,342,376.25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221,342,376.25</w:t>
            </w:r>
          </w:p>
        </w:tc>
      </w:tr>
      <w:tr>
        <w:trPr>
          <w:trHeight w:val="409"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ind w:left="22" w:right="22"/>
              <w:jc w:val="left"/>
              <w:rPr>
                <w:rFonts w:ascii="宋体" w:hAnsi="宋体" w:cs="宋体" w:eastAsia="宋体" w:hint="default"/>
                <w:sz w:val="18"/>
                <w:szCs w:val="18"/>
              </w:rPr>
            </w:pPr>
            <w:r>
              <w:rPr>
                <w:rFonts w:ascii="宋体" w:hAnsi="宋体" w:cs="宋体" w:eastAsia="宋体" w:hint="default"/>
                <w:spacing w:val="3"/>
                <w:sz w:val="18"/>
                <w:szCs w:val="18"/>
              </w:rPr>
              <w:t>（二）直接计入所有者权益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w:t>
            </w:r>
            <w:r>
              <w:rPr>
                <w:rFonts w:ascii="宋体" w:hAnsi="宋体" w:cs="宋体" w:eastAsia="宋体" w:hint="default"/>
                <w:spacing w:val="-83"/>
                <w:sz w:val="18"/>
                <w:szCs w:val="18"/>
              </w:rPr>
              <w:t> </w:t>
            </w:r>
            <w:r>
              <w:rPr>
                <w:rFonts w:ascii="宋体" w:hAnsi="宋体" w:cs="宋体" w:eastAsia="宋体" w:hint="default"/>
                <w:sz w:val="18"/>
                <w:szCs w:val="18"/>
              </w:rPr>
              <w:t>股东权益</w:t>
            </w:r>
            <w:r>
              <w:rPr>
                <w:rFonts w:ascii="Times New Roman" w:hAnsi="Times New Roman" w:cs="Times New Roman" w:eastAsia="Times New Roman" w:hint="default"/>
                <w:sz w:val="18"/>
                <w:szCs w:val="18"/>
              </w:rPr>
              <w:t>)</w:t>
            </w:r>
            <w:r>
              <w:rPr>
                <w:rFonts w:ascii="宋体" w:hAnsi="宋体" w:cs="宋体" w:eastAsia="宋体" w:hint="default"/>
                <w:sz w:val="18"/>
                <w:szCs w:val="18"/>
              </w:rPr>
              <w:t>的利得和损失</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41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．可供出售金融资产公允价值</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变动净额</w:t>
            </w:r>
          </w:p>
        </w:tc>
        <w:tc>
          <w:tcPr>
            <w:tcW w:w="107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41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．权益法下被投资单位其他所</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有者权益变动的影响</w:t>
            </w:r>
          </w:p>
        </w:tc>
        <w:tc>
          <w:tcPr>
            <w:tcW w:w="107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409"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．与计入所有者权益项目相关</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的所得税影响</w:t>
            </w:r>
          </w:p>
        </w:tc>
        <w:tc>
          <w:tcPr>
            <w:tcW w:w="107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1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1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z w:val="18"/>
                <w:szCs w:val="18"/>
              </w:rPr>
              <w:t>上述</w:t>
            </w: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小计</w:t>
            </w:r>
          </w:p>
        </w:tc>
        <w:tc>
          <w:tcPr>
            <w:tcW w:w="107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41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ind w:left="22" w:right="22"/>
              <w:jc w:val="left"/>
              <w:rPr>
                <w:rFonts w:ascii="宋体" w:hAnsi="宋体" w:cs="宋体" w:eastAsia="宋体" w:hint="default"/>
                <w:sz w:val="18"/>
                <w:szCs w:val="18"/>
              </w:rPr>
            </w:pPr>
            <w:r>
              <w:rPr>
                <w:rFonts w:ascii="宋体" w:hAnsi="宋体" w:cs="宋体" w:eastAsia="宋体" w:hint="default"/>
                <w:sz w:val="18"/>
                <w:szCs w:val="18"/>
              </w:rPr>
              <w:t>（三）所有者</w:t>
            </w:r>
            <w:r>
              <w:rPr>
                <w:rFonts w:ascii="Times New Roman" w:hAnsi="Times New Roman" w:cs="Times New Roman" w:eastAsia="Times New Roman" w:hint="default"/>
                <w:sz w:val="18"/>
                <w:szCs w:val="18"/>
              </w:rPr>
              <w:t>(</w:t>
            </w:r>
            <w:r>
              <w:rPr>
                <w:rFonts w:ascii="宋体" w:hAnsi="宋体" w:cs="宋体" w:eastAsia="宋体" w:hint="default"/>
                <w:sz w:val="18"/>
                <w:szCs w:val="18"/>
              </w:rPr>
              <w:t>或股东</w:t>
            </w:r>
            <w:r>
              <w:rPr>
                <w:rFonts w:ascii="Times New Roman" w:hAnsi="Times New Roman" w:cs="Times New Roman" w:eastAsia="Times New Roman" w:hint="default"/>
                <w:sz w:val="18"/>
                <w:szCs w:val="18"/>
              </w:rPr>
              <w:t>)</w:t>
            </w:r>
            <w:r>
              <w:rPr>
                <w:rFonts w:ascii="宋体" w:hAnsi="宋体" w:cs="宋体" w:eastAsia="宋体" w:hint="default"/>
                <w:sz w:val="18"/>
                <w:szCs w:val="18"/>
              </w:rPr>
              <w:t>投入和减 少资本</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3"/>
              <w:jc w:val="right"/>
              <w:rPr>
                <w:rFonts w:ascii="Times New Roman" w:hAnsi="Times New Roman" w:cs="Times New Roman" w:eastAsia="Times New Roman" w:hint="default"/>
                <w:sz w:val="15"/>
                <w:szCs w:val="15"/>
              </w:rPr>
            </w:pPr>
            <w:r>
              <w:rPr>
                <w:rFonts w:ascii="Times New Roman"/>
                <w:spacing w:val="-1"/>
                <w:sz w:val="15"/>
              </w:rPr>
              <w:t>36,000,000.00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spacing w:val="-1"/>
                <w:sz w:val="15"/>
              </w:rPr>
              <w:t>549,414,353.27</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spacing w:val="-1"/>
                <w:sz w:val="15"/>
              </w:rPr>
              <w:t>585,414,353.27</w:t>
            </w:r>
          </w:p>
        </w:tc>
      </w:tr>
      <w:tr>
        <w:trPr>
          <w:trHeight w:val="21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w:t>
            </w:r>
            <w:r>
              <w:rPr>
                <w:rFonts w:ascii="Times New Roman" w:hAnsi="Times New Roman" w:cs="Times New Roman" w:eastAsia="Times New Roman" w:hint="default"/>
                <w:sz w:val="18"/>
                <w:szCs w:val="18"/>
              </w:rPr>
              <w:t>(</w:t>
            </w:r>
            <w:r>
              <w:rPr>
                <w:rFonts w:ascii="宋体" w:hAnsi="宋体" w:cs="宋体" w:eastAsia="宋体" w:hint="default"/>
                <w:sz w:val="18"/>
                <w:szCs w:val="18"/>
              </w:rPr>
              <w:t>或股东</w:t>
            </w:r>
            <w:r>
              <w:rPr>
                <w:rFonts w:ascii="Times New Roman" w:hAnsi="Times New Roman" w:cs="Times New Roman" w:eastAsia="Times New Roman" w:hint="default"/>
                <w:sz w:val="18"/>
                <w:szCs w:val="18"/>
              </w:rPr>
              <w:t>)</w:t>
            </w:r>
            <w:r>
              <w:rPr>
                <w:rFonts w:ascii="宋体" w:hAnsi="宋体" w:cs="宋体" w:eastAsia="宋体" w:hint="default"/>
                <w:sz w:val="18"/>
                <w:szCs w:val="18"/>
              </w:rPr>
              <w:t>投入资本</w:t>
            </w:r>
          </w:p>
        </w:tc>
        <w:tc>
          <w:tcPr>
            <w:tcW w:w="107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41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ind w:left="22" w:right="2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．股份支付计入所有者权益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w:t>
            </w:r>
            <w:r>
              <w:rPr>
                <w:rFonts w:ascii="宋体" w:hAnsi="宋体" w:cs="宋体" w:eastAsia="宋体" w:hint="default"/>
                <w:spacing w:val="-76"/>
                <w:sz w:val="18"/>
                <w:szCs w:val="18"/>
              </w:rPr>
              <w:t> </w:t>
            </w:r>
            <w:r>
              <w:rPr>
                <w:rFonts w:ascii="宋体" w:hAnsi="宋体" w:cs="宋体" w:eastAsia="宋体" w:hint="default"/>
                <w:sz w:val="18"/>
                <w:szCs w:val="18"/>
              </w:rPr>
              <w:t>股东权益</w:t>
            </w:r>
            <w:r>
              <w:rPr>
                <w:rFonts w:ascii="Times New Roman" w:hAnsi="Times New Roman" w:cs="Times New Roman" w:eastAsia="Times New Roman" w:hint="default"/>
                <w:sz w:val="18"/>
                <w:szCs w:val="18"/>
              </w:rPr>
              <w:t>)</w:t>
            </w:r>
            <w:r>
              <w:rPr>
                <w:rFonts w:ascii="宋体" w:hAnsi="宋体" w:cs="宋体" w:eastAsia="宋体" w:hint="default"/>
                <w:sz w:val="18"/>
                <w:szCs w:val="18"/>
              </w:rPr>
              <w:t>的金额</w:t>
            </w:r>
          </w:p>
        </w:tc>
        <w:tc>
          <w:tcPr>
            <w:tcW w:w="107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spacing w:val="-1"/>
                <w:sz w:val="15"/>
              </w:rPr>
              <w:t>36,000,000.00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spacing w:val="-1"/>
                <w:sz w:val="15"/>
              </w:rPr>
              <w:t>549,414,353.27</w:t>
            </w:r>
          </w:p>
        </w:tc>
        <w:tc>
          <w:tcPr>
            <w:tcW w:w="25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3"/>
              <w:jc w:val="right"/>
              <w:rPr>
                <w:rFonts w:ascii="Times New Roman" w:hAnsi="Times New Roman" w:cs="Times New Roman" w:eastAsia="Times New Roman" w:hint="default"/>
                <w:sz w:val="15"/>
                <w:szCs w:val="15"/>
              </w:rPr>
            </w:pPr>
            <w:r>
              <w:rPr>
                <w:rFonts w:ascii="Times New Roman"/>
                <w:spacing w:val="-1"/>
                <w:sz w:val="15"/>
              </w:rPr>
              <w:t>585,414,353.27</w:t>
            </w:r>
          </w:p>
        </w:tc>
      </w:tr>
      <w:tr>
        <w:trPr>
          <w:trHeight w:val="21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7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1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spacing w:val="-1"/>
                <w:sz w:val="15"/>
              </w:rPr>
              <w:t>31,555,988.32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spacing w:val="-1"/>
                <w:sz w:val="15"/>
              </w:rPr>
              <w:t>-60,067,790.32</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spacing w:val="-1"/>
                <w:sz w:val="15"/>
              </w:rPr>
              <w:t>-28,511,802.00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spacing w:val="-1"/>
                <w:sz w:val="15"/>
              </w:rPr>
              <w:t>22,134,237.63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5"/>
                <w:szCs w:val="15"/>
              </w:rPr>
            </w:pPr>
            <w:r>
              <w:rPr>
                <w:rFonts w:ascii="Times New Roman"/>
                <w:spacing w:val="-1"/>
                <w:sz w:val="15"/>
              </w:rPr>
              <w:t>-54,101,940.63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5"/>
                <w:szCs w:val="15"/>
              </w:rPr>
            </w:pPr>
            <w:r>
              <w:rPr>
                <w:rFonts w:ascii="Times New Roman"/>
                <w:spacing w:val="-1"/>
                <w:sz w:val="15"/>
              </w:rPr>
              <w:t>-31,967,703.00</w:t>
            </w:r>
          </w:p>
        </w:tc>
      </w:tr>
      <w:tr>
        <w:trPr>
          <w:trHeight w:val="21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07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spacing w:val="-1"/>
                <w:sz w:val="15"/>
              </w:rPr>
              <w:t>31,555,988.32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spacing w:val="-1"/>
                <w:sz w:val="15"/>
              </w:rPr>
              <w:t>-31,555,988.32</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spacing w:val="-1"/>
                <w:sz w:val="15"/>
              </w:rPr>
              <w:t>22,134,237.63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-22,134,237.63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1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07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5"/>
                <w:szCs w:val="15"/>
              </w:rPr>
            </w:pPr>
            <w:r>
              <w:rPr>
                <w:rFonts w:ascii="Times New Roman"/>
                <w:spacing w:val="-1"/>
                <w:sz w:val="15"/>
              </w:rPr>
              <w:t>-28,511,802.00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5"/>
                <w:szCs w:val="15"/>
              </w:rPr>
            </w:pPr>
            <w:r>
              <w:rPr>
                <w:rFonts w:ascii="Times New Roman"/>
                <w:spacing w:val="-1"/>
                <w:sz w:val="15"/>
              </w:rPr>
              <w:t>-28,511,802.00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-31,967,703.00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-31,967,703.00</w:t>
            </w:r>
          </w:p>
        </w:tc>
      </w:tr>
      <w:tr>
        <w:trPr>
          <w:trHeight w:val="21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7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409"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92" w:lineRule="auto"/>
              <w:ind w:left="22" w:right="22"/>
              <w:jc w:val="left"/>
              <w:rPr>
                <w:rFonts w:ascii="宋体" w:hAnsi="宋体" w:cs="宋体" w:eastAsia="宋体" w:hint="default"/>
                <w:sz w:val="18"/>
                <w:szCs w:val="18"/>
              </w:rPr>
            </w:pPr>
            <w:r>
              <w:rPr>
                <w:rFonts w:ascii="宋体" w:hAnsi="宋体" w:cs="宋体" w:eastAsia="宋体" w:hint="default"/>
                <w:sz w:val="18"/>
                <w:szCs w:val="18"/>
              </w:rPr>
              <w:t>（五）所有者权益</w:t>
            </w:r>
            <w:r>
              <w:rPr>
                <w:rFonts w:ascii="Times New Roman" w:hAnsi="Times New Roman" w:cs="Times New Roman" w:eastAsia="Times New Roman" w:hint="default"/>
                <w:sz w:val="18"/>
                <w:szCs w:val="18"/>
              </w:rPr>
              <w:t>(</w:t>
            </w:r>
            <w:r>
              <w:rPr>
                <w:rFonts w:ascii="宋体" w:hAnsi="宋体" w:cs="宋体" w:eastAsia="宋体" w:hint="default"/>
                <w:sz w:val="18"/>
                <w:szCs w:val="18"/>
              </w:rPr>
              <w:t>或股东权益</w:t>
            </w:r>
            <w:r>
              <w:rPr>
                <w:rFonts w:ascii="Times New Roman" w:hAnsi="Times New Roman" w:cs="Times New Roman" w:eastAsia="Times New Roman" w:hint="default"/>
                <w:sz w:val="18"/>
                <w:szCs w:val="18"/>
              </w:rPr>
              <w:t>) </w:t>
            </w:r>
            <w:r>
              <w:rPr>
                <w:rFonts w:ascii="宋体" w:hAnsi="宋体" w:cs="宋体" w:eastAsia="宋体" w:hint="default"/>
                <w:sz w:val="18"/>
                <w:szCs w:val="18"/>
              </w:rPr>
              <w:t>内部结转</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142,559,010.00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spacing w:val="-1"/>
                <w:sz w:val="15"/>
              </w:rPr>
              <w:t>-142,559,010.00</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1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或股本</w:t>
            </w:r>
            <w:r>
              <w:rPr>
                <w:rFonts w:ascii="Times New Roman" w:hAnsi="Times New Roman" w:cs="Times New Roman" w:eastAsia="Times New Roman" w:hint="default"/>
                <w:sz w:val="18"/>
                <w:szCs w:val="18"/>
              </w:rPr>
              <w:t>)</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spacing w:val="-1"/>
                <w:sz w:val="15"/>
              </w:rPr>
              <w:t>142,559,010.00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spacing w:val="-1"/>
                <w:sz w:val="15"/>
              </w:rPr>
              <w:t>-142,559,010.00</w:t>
            </w: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1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或股本</w:t>
            </w:r>
            <w:r>
              <w:rPr>
                <w:rFonts w:ascii="Times New Roman" w:hAnsi="Times New Roman" w:cs="Times New Roman" w:eastAsia="Times New Roman" w:hint="default"/>
                <w:sz w:val="18"/>
                <w:szCs w:val="18"/>
              </w:rPr>
              <w:t>)</w:t>
            </w:r>
          </w:p>
        </w:tc>
        <w:tc>
          <w:tcPr>
            <w:tcW w:w="107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1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07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1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11"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114"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5"/>
                <w:szCs w:val="15"/>
              </w:rPr>
            </w:pPr>
            <w:r>
              <w:rPr>
                <w:rFonts w:ascii="Times New Roman"/>
                <w:spacing w:val="-1"/>
                <w:sz w:val="15"/>
              </w:rPr>
              <w:t>285,118,020.00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spacing w:val="-1"/>
                <w:sz w:val="15"/>
              </w:rPr>
              <w:t>415,635,447.56</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5"/>
                <w:szCs w:val="15"/>
              </w:rPr>
            </w:pPr>
            <w:r>
              <w:rPr>
                <w:rFonts w:ascii="Times New Roman"/>
                <w:spacing w:val="-1"/>
                <w:sz w:val="15"/>
              </w:rPr>
              <w:t>67,743,819.53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5"/>
                <w:szCs w:val="15"/>
              </w:rPr>
            </w:pPr>
            <w:r>
              <w:rPr>
                <w:rFonts w:ascii="Times New Roman"/>
                <w:spacing w:val="-1"/>
                <w:sz w:val="15"/>
              </w:rPr>
              <w:t>529,944,841.03</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5"/>
                <w:szCs w:val="15"/>
              </w:rPr>
            </w:pPr>
            <w:r>
              <w:rPr>
                <w:rFonts w:ascii="Times New Roman"/>
                <w:spacing w:val="-1"/>
                <w:sz w:val="15"/>
              </w:rPr>
              <w:t>1,298,442,128.12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142,559,010.00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558,194,457.56</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5"/>
                <w:szCs w:val="15"/>
              </w:rPr>
            </w:pPr>
            <w:r>
              <w:rPr>
                <w:rFonts w:ascii="Times New Roman"/>
                <w:spacing w:val="-1"/>
                <w:sz w:val="15"/>
              </w:rPr>
              <w:t>36,187,831.21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274,452,748.19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5"/>
                <w:szCs w:val="15"/>
              </w:rPr>
            </w:pPr>
            <w:r>
              <w:rPr>
                <w:rFonts w:ascii="Times New Roman"/>
                <w:spacing w:val="-1"/>
                <w:sz w:val="15"/>
              </w:rPr>
              <w:t>1,011,394,046.96</w:t>
            </w:r>
          </w:p>
        </w:tc>
      </w:tr>
    </w:tbl>
    <w:p>
      <w:pPr>
        <w:spacing w:after="0" w:line="240" w:lineRule="auto"/>
        <w:jc w:val="right"/>
        <w:rPr>
          <w:rFonts w:ascii="Times New Roman" w:hAnsi="Times New Roman" w:cs="Times New Roman" w:eastAsia="Times New Roman" w:hint="default"/>
          <w:sz w:val="15"/>
          <w:szCs w:val="15"/>
        </w:rPr>
        <w:sectPr>
          <w:pgSz w:w="16840" w:h="11910" w:orient="landscape"/>
          <w:pgMar w:header="400" w:footer="1463" w:top="1100" w:bottom="1660" w:left="1300" w:right="1300"/>
        </w:sectPr>
      </w:pPr>
    </w:p>
    <w:p>
      <w:pPr>
        <w:spacing w:line="240" w:lineRule="auto" w:before="1"/>
        <w:rPr>
          <w:rFonts w:ascii="宋体" w:hAnsi="宋体" w:cs="宋体" w:eastAsia="宋体" w:hint="default"/>
          <w:sz w:val="19"/>
          <w:szCs w:val="19"/>
        </w:rPr>
      </w:pPr>
    </w:p>
    <w:p>
      <w:pPr>
        <w:spacing w:line="272" w:lineRule="exact" w:before="63"/>
        <w:ind w:left="5637" w:right="5639" w:firstLine="0"/>
        <w:jc w:val="center"/>
        <w:rPr>
          <w:rFonts w:ascii="宋体" w:hAnsi="宋体" w:cs="宋体" w:eastAsia="宋体" w:hint="default"/>
          <w:sz w:val="21"/>
          <w:szCs w:val="21"/>
        </w:rPr>
      </w:pPr>
      <w:r>
        <w:rPr>
          <w:rFonts w:ascii="宋体" w:hAnsi="宋体" w:cs="宋体" w:eastAsia="宋体" w:hint="default"/>
          <w:b/>
          <w:bCs/>
          <w:w w:val="95"/>
          <w:sz w:val="21"/>
          <w:szCs w:val="21"/>
        </w:rPr>
        <w:t>合并资产减值准备明细表</w:t>
      </w:r>
      <w:r>
        <w:rPr>
          <w:rFonts w:ascii="宋体" w:hAnsi="宋体" w:cs="宋体" w:eastAsia="宋体" w:hint="default"/>
          <w:b/>
          <w:bCs/>
          <w:spacing w:val="4"/>
          <w:w w:val="95"/>
          <w:sz w:val="21"/>
          <w:szCs w:val="21"/>
        </w:rPr>
        <w:t> </w:t>
      </w:r>
      <w:r>
        <w:rPr>
          <w:rFonts w:ascii="宋体" w:hAnsi="宋体" w:cs="宋体" w:eastAsia="宋体" w:hint="default"/>
          <w:b/>
          <w:bCs/>
          <w:spacing w:val="4"/>
          <w:w w:val="95"/>
          <w:sz w:val="21"/>
          <w:szCs w:val="21"/>
        </w:rPr>
      </w:r>
      <w:r>
        <w:rPr>
          <w:rFonts w:ascii="宋体" w:hAnsi="宋体" w:cs="宋体" w:eastAsia="宋体" w:hint="default"/>
          <w:sz w:val="21"/>
          <w:szCs w:val="21"/>
        </w:rPr>
        <w:t>2008年度</w:t>
      </w:r>
    </w:p>
    <w:p>
      <w:pPr>
        <w:pStyle w:val="BodyText"/>
        <w:tabs>
          <w:tab w:pos="11861" w:val="left" w:leader="none"/>
        </w:tabs>
        <w:spacing w:line="248" w:lineRule="exact" w:before="0"/>
        <w:ind w:left="0" w:right="0"/>
        <w:jc w:val="center"/>
      </w:pPr>
      <w:r>
        <w:rPr>
          <w:spacing w:val="-1"/>
        </w:rPr>
        <w:t>编制单位：广州广电运通金融电子股份有限公司</w:t>
        <w:tab/>
        <w:t>单位：元</w:t>
      </w:r>
      <w:r>
        <w:rPr/>
      </w:r>
    </w:p>
    <w:p>
      <w:pPr>
        <w:spacing w:line="240" w:lineRule="auto" w:before="7"/>
        <w:rPr>
          <w:rFonts w:ascii="宋体" w:hAnsi="宋体" w:cs="宋体" w:eastAsia="宋体" w:hint="default"/>
          <w:sz w:val="2"/>
          <w:szCs w:val="2"/>
        </w:rPr>
      </w:pPr>
    </w:p>
    <w:tbl>
      <w:tblPr>
        <w:tblW w:w="0" w:type="auto"/>
        <w:jc w:val="left"/>
        <w:tblInd w:w="337" w:type="dxa"/>
        <w:tblLayout w:type="fixed"/>
        <w:tblCellMar>
          <w:top w:w="0" w:type="dxa"/>
          <w:left w:w="0" w:type="dxa"/>
          <w:bottom w:w="0" w:type="dxa"/>
          <w:right w:w="0" w:type="dxa"/>
        </w:tblCellMar>
        <w:tblLook w:val="01E0"/>
      </w:tblPr>
      <w:tblGrid>
        <w:gridCol w:w="3660"/>
        <w:gridCol w:w="1721"/>
        <w:gridCol w:w="1780"/>
        <w:gridCol w:w="1171"/>
        <w:gridCol w:w="1381"/>
        <w:gridCol w:w="1331"/>
        <w:gridCol w:w="1788"/>
      </w:tblGrid>
      <w:tr>
        <w:trPr>
          <w:trHeight w:val="294" w:hRule="exact"/>
        </w:trPr>
        <w:tc>
          <w:tcPr>
            <w:tcW w:w="3660" w:type="dxa"/>
            <w:vMerge w:val="restart"/>
            <w:tcBorders>
              <w:top w:val="single" w:sz="4" w:space="0" w:color="000000"/>
              <w:left w:val="single" w:sz="4" w:space="0" w:color="000000"/>
              <w:right w:val="single" w:sz="4" w:space="0" w:color="000000"/>
            </w:tcBorders>
          </w:tcPr>
          <w:p>
            <w:pPr>
              <w:pStyle w:val="TableParagraph"/>
              <w:tabs>
                <w:tab w:pos="422" w:val="left" w:leader="none"/>
              </w:tabs>
              <w:spacing w:line="240" w:lineRule="auto" w:before="112"/>
              <w:ind w:right="1"/>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721" w:type="dxa"/>
            <w:vMerge w:val="restart"/>
            <w:tcBorders>
              <w:top w:val="single" w:sz="4" w:space="0" w:color="000000"/>
              <w:left w:val="single" w:sz="4" w:space="0" w:color="000000"/>
              <w:right w:val="single" w:sz="4" w:space="0" w:color="000000"/>
            </w:tcBorders>
          </w:tcPr>
          <w:p>
            <w:pPr>
              <w:pStyle w:val="TableParagraph"/>
              <w:spacing w:line="240" w:lineRule="auto" w:before="162"/>
              <w:ind w:left="363" w:right="0"/>
              <w:jc w:val="left"/>
              <w:rPr>
                <w:rFonts w:ascii="Times New Roman" w:hAnsi="Times New Roman" w:cs="Times New Roman" w:eastAsia="Times New Roman" w:hint="default"/>
                <w:sz w:val="21"/>
                <w:szCs w:val="21"/>
              </w:rPr>
            </w:pPr>
            <w:r>
              <w:rPr>
                <w:rFonts w:ascii="Times New Roman"/>
                <w:b/>
                <w:sz w:val="21"/>
              </w:rPr>
              <w:t>2007-12-31</w:t>
            </w:r>
            <w:r>
              <w:rPr>
                <w:rFonts w:ascii="Times New Roman"/>
                <w:sz w:val="21"/>
              </w:rPr>
            </w:r>
          </w:p>
        </w:tc>
        <w:tc>
          <w:tcPr>
            <w:tcW w:w="1780" w:type="dxa"/>
            <w:tcBorders>
              <w:top w:val="single" w:sz="4" w:space="0" w:color="000000"/>
              <w:left w:val="single" w:sz="4" w:space="0" w:color="000000"/>
              <w:bottom w:val="single" w:sz="4" w:space="0" w:color="000000"/>
              <w:right w:val="single" w:sz="4" w:space="0" w:color="000000"/>
            </w:tcBorders>
          </w:tcPr>
          <w:p>
            <w:pPr/>
          </w:p>
        </w:tc>
        <w:tc>
          <w:tcPr>
            <w:tcW w:w="3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本期减少数</w:t>
            </w:r>
            <w:r>
              <w:rPr>
                <w:rFonts w:ascii="宋体" w:hAnsi="宋体" w:cs="宋体" w:eastAsia="宋体" w:hint="default"/>
                <w:sz w:val="21"/>
                <w:szCs w:val="21"/>
              </w:rPr>
            </w:r>
          </w:p>
        </w:tc>
        <w:tc>
          <w:tcPr>
            <w:tcW w:w="1788" w:type="dxa"/>
            <w:vMerge w:val="restart"/>
            <w:tcBorders>
              <w:top w:val="single" w:sz="4" w:space="0" w:color="000000"/>
              <w:left w:val="single" w:sz="4" w:space="0" w:color="000000"/>
              <w:right w:val="single" w:sz="4" w:space="0" w:color="000000"/>
            </w:tcBorders>
          </w:tcPr>
          <w:p>
            <w:pPr>
              <w:pStyle w:val="TableParagraph"/>
              <w:spacing w:line="240" w:lineRule="auto" w:before="162"/>
              <w:ind w:left="398" w:right="0"/>
              <w:jc w:val="left"/>
              <w:rPr>
                <w:rFonts w:ascii="Times New Roman" w:hAnsi="Times New Roman" w:cs="Times New Roman" w:eastAsia="Times New Roman" w:hint="default"/>
                <w:sz w:val="21"/>
                <w:szCs w:val="21"/>
              </w:rPr>
            </w:pPr>
            <w:r>
              <w:rPr>
                <w:rFonts w:ascii="Times New Roman"/>
                <w:b/>
                <w:sz w:val="21"/>
              </w:rPr>
              <w:t>2008-12-31</w:t>
            </w:r>
            <w:r>
              <w:rPr>
                <w:rFonts w:ascii="Times New Roman"/>
                <w:sz w:val="21"/>
              </w:rPr>
            </w:r>
          </w:p>
        </w:tc>
      </w:tr>
      <w:tr>
        <w:trPr>
          <w:trHeight w:val="294" w:hRule="exact"/>
        </w:trPr>
        <w:tc>
          <w:tcPr>
            <w:tcW w:w="3660" w:type="dxa"/>
            <w:vMerge/>
            <w:tcBorders>
              <w:left w:val="single" w:sz="4" w:space="0" w:color="000000"/>
              <w:bottom w:val="single" w:sz="4" w:space="0" w:color="000000"/>
              <w:right w:val="single" w:sz="4" w:space="0" w:color="000000"/>
            </w:tcBorders>
          </w:tcPr>
          <w:p>
            <w:pPr/>
          </w:p>
        </w:tc>
        <w:tc>
          <w:tcPr>
            <w:tcW w:w="1721" w:type="dxa"/>
            <w:vMerge/>
            <w:tcBorders>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67" w:right="0"/>
              <w:jc w:val="left"/>
              <w:rPr>
                <w:rFonts w:ascii="宋体" w:hAnsi="宋体" w:cs="宋体" w:eastAsia="宋体" w:hint="default"/>
                <w:sz w:val="21"/>
                <w:szCs w:val="21"/>
              </w:rPr>
            </w:pPr>
            <w:r>
              <w:rPr>
                <w:rFonts w:ascii="宋体" w:hAnsi="宋体" w:cs="宋体" w:eastAsia="宋体" w:hint="default"/>
                <w:b/>
                <w:bCs/>
                <w:sz w:val="21"/>
                <w:szCs w:val="21"/>
              </w:rPr>
              <w:t>计提数</w:t>
            </w:r>
            <w:r>
              <w:rPr>
                <w:rFonts w:ascii="宋体" w:hAnsi="宋体" w:cs="宋体" w:eastAsia="宋体" w:hint="default"/>
                <w:sz w:val="21"/>
                <w:szCs w:val="21"/>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转回数</w:t>
            </w:r>
            <w:r>
              <w:rPr>
                <w:rFonts w:ascii="宋体" w:hAnsi="宋体" w:cs="宋体" w:eastAsia="宋体" w:hint="default"/>
                <w:sz w:val="21"/>
                <w:szCs w:val="21"/>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369" w:right="0"/>
              <w:jc w:val="left"/>
              <w:rPr>
                <w:rFonts w:ascii="宋体" w:hAnsi="宋体" w:cs="宋体" w:eastAsia="宋体" w:hint="default"/>
                <w:sz w:val="21"/>
                <w:szCs w:val="21"/>
              </w:rPr>
            </w:pPr>
            <w:r>
              <w:rPr>
                <w:rFonts w:ascii="宋体" w:hAnsi="宋体" w:cs="宋体" w:eastAsia="宋体" w:hint="default"/>
                <w:b/>
                <w:bCs/>
                <w:sz w:val="21"/>
                <w:szCs w:val="21"/>
              </w:rPr>
              <w:t>转销数</w:t>
            </w:r>
            <w:r>
              <w:rPr>
                <w:rFonts w:ascii="宋体" w:hAnsi="宋体" w:cs="宋体" w:eastAsia="宋体" w:hint="default"/>
                <w:sz w:val="21"/>
                <w:szCs w:val="21"/>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788" w:type="dxa"/>
            <w:vMerge/>
            <w:tcBorders>
              <w:left w:val="single" w:sz="4" w:space="0" w:color="000000"/>
              <w:bottom w:val="single" w:sz="4" w:space="0" w:color="000000"/>
              <w:right w:val="single" w:sz="4" w:space="0" w:color="000000"/>
            </w:tcBorders>
          </w:tcPr>
          <w:p>
            <w:pPr/>
          </w:p>
        </w:tc>
      </w:tr>
      <w:tr>
        <w:trPr>
          <w:trHeight w:val="29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一．坏帐准备</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2,824,536.08</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1,045,083.14</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0.00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-42,000.00</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-42,000.00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3,911,619.22</w:t>
            </w:r>
          </w:p>
        </w:tc>
      </w:tr>
      <w:tr>
        <w:trPr>
          <w:trHeight w:val="29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24" w:right="0"/>
              <w:jc w:val="left"/>
              <w:rPr>
                <w:rFonts w:ascii="宋体" w:hAnsi="宋体" w:cs="宋体" w:eastAsia="宋体" w:hint="default"/>
                <w:sz w:val="21"/>
                <w:szCs w:val="21"/>
              </w:rPr>
            </w:pPr>
            <w:r>
              <w:rPr>
                <w:rFonts w:ascii="宋体" w:hAnsi="宋体" w:cs="宋体" w:eastAsia="宋体" w:hint="default"/>
                <w:sz w:val="21"/>
                <w:szCs w:val="21"/>
              </w:rPr>
              <w:t>其中：应收账款</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2,534,282.63</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1,019,827.99</w:t>
            </w:r>
          </w:p>
        </w:tc>
        <w:tc>
          <w:tcPr>
            <w:tcW w:w="1171"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-42,000.00</w:t>
            </w:r>
            <w:r>
              <w:rPr>
                <w:rFonts w:ascii="Times New Roman"/>
                <w:sz w:val="21"/>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pacing w:val="-1"/>
                <w:sz w:val="21"/>
              </w:rPr>
              <w:t>-42,000.00</w:t>
            </w:r>
            <w:r>
              <w:rPr>
                <w:rFonts w:ascii="Times New Roman"/>
                <w:sz w:val="21"/>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pacing w:val="-2"/>
                <w:sz w:val="21"/>
              </w:rPr>
              <w:t>3,596,110.62</w:t>
            </w:r>
            <w:r>
              <w:rPr>
                <w:rFonts w:ascii="Times New Roman"/>
                <w:sz w:val="21"/>
              </w:rPr>
            </w:r>
          </w:p>
        </w:tc>
      </w:tr>
      <w:tr>
        <w:trPr>
          <w:trHeight w:val="29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15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290,253.45</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25,255.15</w:t>
            </w:r>
          </w:p>
        </w:tc>
        <w:tc>
          <w:tcPr>
            <w:tcW w:w="1171"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4"/>
              <w:jc w:val="right"/>
              <w:rPr>
                <w:rFonts w:ascii="Times New Roman" w:hAnsi="Times New Roman" w:cs="Times New Roman" w:eastAsia="Times New Roman" w:hint="default"/>
                <w:sz w:val="21"/>
                <w:szCs w:val="21"/>
              </w:rPr>
            </w:pPr>
            <w:r>
              <w:rPr>
                <w:rFonts w:ascii="Times New Roman"/>
                <w:spacing w:val="-1"/>
                <w:sz w:val="21"/>
              </w:rPr>
              <w:t>315,508.60</w:t>
            </w:r>
            <w:r>
              <w:rPr>
                <w:rFonts w:ascii="Times New Roman"/>
                <w:sz w:val="21"/>
              </w:rPr>
            </w:r>
          </w:p>
        </w:tc>
      </w:tr>
      <w:tr>
        <w:trPr>
          <w:trHeight w:val="29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z w:val="21"/>
                <w:szCs w:val="21"/>
              </w:rPr>
              <w:t>二．短期投资跌价准备</w:t>
            </w:r>
          </w:p>
        </w:tc>
        <w:tc>
          <w:tcPr>
            <w:tcW w:w="172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其中：股票投资</w:t>
            </w:r>
          </w:p>
        </w:tc>
        <w:tc>
          <w:tcPr>
            <w:tcW w:w="172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153" w:right="0"/>
              <w:jc w:val="left"/>
              <w:rPr>
                <w:rFonts w:ascii="宋体" w:hAnsi="宋体" w:cs="宋体" w:eastAsia="宋体" w:hint="default"/>
                <w:sz w:val="21"/>
                <w:szCs w:val="21"/>
              </w:rPr>
            </w:pPr>
            <w:r>
              <w:rPr>
                <w:rFonts w:ascii="宋体" w:hAnsi="宋体" w:cs="宋体" w:eastAsia="宋体" w:hint="default"/>
                <w:sz w:val="21"/>
                <w:szCs w:val="21"/>
              </w:rPr>
              <w:t>债券投资</w:t>
            </w:r>
          </w:p>
        </w:tc>
        <w:tc>
          <w:tcPr>
            <w:tcW w:w="172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z w:val="21"/>
                <w:szCs w:val="21"/>
              </w:rPr>
              <w:t>三．存货跌价准备</w:t>
            </w:r>
          </w:p>
        </w:tc>
        <w:tc>
          <w:tcPr>
            <w:tcW w:w="172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其中：库存商品</w:t>
            </w:r>
          </w:p>
        </w:tc>
        <w:tc>
          <w:tcPr>
            <w:tcW w:w="172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153" w:right="0"/>
              <w:jc w:val="left"/>
              <w:rPr>
                <w:rFonts w:ascii="宋体" w:hAnsi="宋体" w:cs="宋体" w:eastAsia="宋体" w:hint="default"/>
                <w:sz w:val="21"/>
                <w:szCs w:val="21"/>
              </w:rPr>
            </w:pPr>
            <w:r>
              <w:rPr>
                <w:rFonts w:ascii="宋体" w:hAnsi="宋体" w:cs="宋体" w:eastAsia="宋体" w:hint="default"/>
                <w:sz w:val="21"/>
                <w:szCs w:val="21"/>
              </w:rPr>
              <w:t>在制品</w:t>
            </w:r>
          </w:p>
        </w:tc>
        <w:tc>
          <w:tcPr>
            <w:tcW w:w="172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15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72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z w:val="21"/>
                <w:szCs w:val="21"/>
              </w:rPr>
              <w:t>四．长期投资减值准备</w:t>
            </w:r>
          </w:p>
        </w:tc>
        <w:tc>
          <w:tcPr>
            <w:tcW w:w="172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235"/>
              <w:jc w:val="right"/>
              <w:rPr>
                <w:rFonts w:ascii="宋体" w:hAnsi="宋体" w:cs="宋体" w:eastAsia="宋体" w:hint="default"/>
                <w:sz w:val="21"/>
                <w:szCs w:val="21"/>
              </w:rPr>
            </w:pPr>
            <w:r>
              <w:rPr>
                <w:rFonts w:ascii="宋体" w:hAnsi="宋体" w:cs="宋体" w:eastAsia="宋体" w:hint="default"/>
                <w:sz w:val="21"/>
                <w:szCs w:val="21"/>
              </w:rPr>
              <w:t>其中：长期股权投资</w:t>
            </w:r>
          </w:p>
        </w:tc>
        <w:tc>
          <w:tcPr>
            <w:tcW w:w="172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235"/>
              <w:jc w:val="right"/>
              <w:rPr>
                <w:rFonts w:ascii="宋体" w:hAnsi="宋体" w:cs="宋体" w:eastAsia="宋体" w:hint="default"/>
                <w:sz w:val="21"/>
                <w:szCs w:val="21"/>
              </w:rPr>
            </w:pPr>
            <w:r>
              <w:rPr>
                <w:rFonts w:ascii="宋体" w:hAnsi="宋体" w:cs="宋体" w:eastAsia="宋体" w:hint="default"/>
                <w:sz w:val="21"/>
                <w:szCs w:val="21"/>
              </w:rPr>
              <w:t>长期债权投资</w:t>
            </w:r>
          </w:p>
        </w:tc>
        <w:tc>
          <w:tcPr>
            <w:tcW w:w="172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z w:val="21"/>
                <w:szCs w:val="21"/>
              </w:rPr>
              <w:t>五．固定资产减值准备</w:t>
            </w:r>
          </w:p>
        </w:tc>
        <w:tc>
          <w:tcPr>
            <w:tcW w:w="172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235"/>
              <w:jc w:val="right"/>
              <w:rPr>
                <w:rFonts w:ascii="宋体" w:hAnsi="宋体" w:cs="宋体" w:eastAsia="宋体" w:hint="default"/>
                <w:sz w:val="21"/>
                <w:szCs w:val="21"/>
              </w:rPr>
            </w:pPr>
            <w:r>
              <w:rPr>
                <w:rFonts w:ascii="宋体" w:hAnsi="宋体" w:cs="宋体" w:eastAsia="宋体" w:hint="default"/>
                <w:sz w:val="21"/>
                <w:szCs w:val="21"/>
              </w:rPr>
              <w:t>其中：房屋，建筑物</w:t>
            </w:r>
          </w:p>
        </w:tc>
        <w:tc>
          <w:tcPr>
            <w:tcW w:w="172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15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72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z w:val="21"/>
                <w:szCs w:val="21"/>
              </w:rPr>
              <w:t>六．无形资产减值准备</w:t>
            </w:r>
          </w:p>
        </w:tc>
        <w:tc>
          <w:tcPr>
            <w:tcW w:w="172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其中：专利权</w:t>
            </w:r>
          </w:p>
        </w:tc>
        <w:tc>
          <w:tcPr>
            <w:tcW w:w="172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153" w:right="0"/>
              <w:jc w:val="left"/>
              <w:rPr>
                <w:rFonts w:ascii="宋体" w:hAnsi="宋体" w:cs="宋体" w:eastAsia="宋体" w:hint="default"/>
                <w:sz w:val="21"/>
                <w:szCs w:val="21"/>
              </w:rPr>
            </w:pPr>
            <w:r>
              <w:rPr>
                <w:rFonts w:ascii="宋体" w:hAnsi="宋体" w:cs="宋体" w:eastAsia="宋体" w:hint="default"/>
                <w:sz w:val="21"/>
                <w:szCs w:val="21"/>
              </w:rPr>
              <w:t>商标权</w:t>
            </w:r>
          </w:p>
        </w:tc>
        <w:tc>
          <w:tcPr>
            <w:tcW w:w="172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z w:val="21"/>
                <w:szCs w:val="21"/>
              </w:rPr>
              <w:t>七．在建工程减值准备</w:t>
            </w:r>
          </w:p>
        </w:tc>
        <w:tc>
          <w:tcPr>
            <w:tcW w:w="172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z w:val="21"/>
                <w:szCs w:val="21"/>
              </w:rPr>
              <w:t>八．委托贷款减值准备</w:t>
            </w:r>
          </w:p>
        </w:tc>
        <w:tc>
          <w:tcPr>
            <w:tcW w:w="1721"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52"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2,824,536.08</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1,045,083.14</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pacing w:val="-1"/>
                <w:sz w:val="21"/>
              </w:rPr>
              <w:t>0.00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-42,000.00</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-42,000.00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3,911,619.22</w:t>
            </w:r>
          </w:p>
        </w:tc>
      </w:tr>
    </w:tbl>
    <w:p>
      <w:pPr>
        <w:spacing w:line="240" w:lineRule="auto" w:before="12"/>
        <w:rPr>
          <w:rFonts w:ascii="宋体" w:hAnsi="宋体" w:cs="宋体" w:eastAsia="宋体" w:hint="default"/>
          <w:sz w:val="9"/>
          <w:szCs w:val="9"/>
        </w:rPr>
      </w:pPr>
    </w:p>
    <w:p>
      <w:pPr>
        <w:pStyle w:val="BodyText"/>
        <w:tabs>
          <w:tab w:pos="5342" w:val="left" w:leader="none"/>
          <w:tab w:pos="10800" w:val="left" w:leader="none"/>
          <w:tab w:pos="12899" w:val="left" w:leader="none"/>
        </w:tabs>
        <w:spacing w:line="240" w:lineRule="auto" w:before="35"/>
        <w:ind w:left="408" w:right="0"/>
        <w:jc w:val="left"/>
      </w:pPr>
      <w:r>
        <w:rPr>
          <w:spacing w:val="-1"/>
        </w:rPr>
        <w:t>法定代表人：赵友永</w:t>
        <w:tab/>
        <w:t>主管会计工作负责人：蒋春晨</w:t>
        <w:tab/>
        <w:t>会计机构负责人：符</w:t>
        <w:tab/>
      </w:r>
      <w:r>
        <w:rPr/>
        <w:t>昀</w:t>
      </w:r>
    </w:p>
    <w:p>
      <w:pPr>
        <w:spacing w:after="0" w:line="240" w:lineRule="auto"/>
        <w:jc w:val="left"/>
        <w:sectPr>
          <w:footerReference w:type="default" r:id="rId25"/>
          <w:pgSz w:w="16840" w:h="11910" w:orient="landscape"/>
          <w:pgMar w:footer="978" w:header="400" w:top="1100" w:bottom="1160" w:left="1660" w:right="1660"/>
        </w:sectPr>
      </w:pPr>
    </w:p>
    <w:p>
      <w:pPr>
        <w:spacing w:line="240" w:lineRule="auto" w:before="7"/>
        <w:rPr>
          <w:rFonts w:ascii="宋体" w:hAnsi="宋体" w:cs="宋体" w:eastAsia="宋体" w:hint="default"/>
          <w:sz w:val="19"/>
          <w:szCs w:val="19"/>
        </w:rPr>
      </w:pPr>
    </w:p>
    <w:p>
      <w:pPr>
        <w:pStyle w:val="Heading3"/>
        <w:spacing w:line="240" w:lineRule="auto"/>
        <w:ind w:left="2483" w:right="0"/>
        <w:jc w:val="left"/>
        <w:rPr>
          <w:b w:val="0"/>
          <w:bCs w:val="0"/>
        </w:rPr>
      </w:pPr>
      <w:r>
        <w:rPr/>
        <w:t>净资产收益率和每股收益有关指标计算表</w:t>
      </w:r>
      <w:r>
        <w:rPr>
          <w:b w:val="0"/>
          <w:bCs w:val="0"/>
        </w:rPr>
      </w:r>
    </w:p>
    <w:p>
      <w:pPr>
        <w:pStyle w:val="BodyText"/>
        <w:tabs>
          <w:tab w:pos="7908" w:val="left" w:leader="none"/>
        </w:tabs>
        <w:spacing w:line="321" w:lineRule="auto" w:before="100"/>
        <w:ind w:left="558" w:right="554" w:firstLine="3646"/>
        <w:jc w:val="left"/>
      </w:pPr>
      <w:r>
        <w:rPr>
          <w:rFonts w:ascii="Times New Roman" w:hAnsi="Times New Roman" w:cs="Times New Roman" w:eastAsia="Times New Roman" w:hint="default"/>
        </w:rPr>
        <w:t>2008 </w:t>
      </w:r>
      <w:r>
        <w:rPr/>
        <w:t>年度 编制单位：广州广电运通金融电子股份有限公司</w:t>
        <w:tab/>
        <w:t>单位：元</w:t>
      </w:r>
    </w:p>
    <w:p>
      <w:pPr>
        <w:spacing w:line="240" w:lineRule="auto" w:before="6"/>
        <w:rPr>
          <w:rFonts w:ascii="宋体" w:hAnsi="宋体" w:cs="宋体" w:eastAsia="宋体" w:hint="default"/>
          <w:sz w:val="4"/>
          <w:szCs w:val="4"/>
        </w:rPr>
      </w:pPr>
    </w:p>
    <w:tbl>
      <w:tblPr>
        <w:tblW w:w="0" w:type="auto"/>
        <w:jc w:val="left"/>
        <w:tblInd w:w="116" w:type="dxa"/>
        <w:tblLayout w:type="fixed"/>
        <w:tblCellMar>
          <w:top w:w="0" w:type="dxa"/>
          <w:left w:w="0" w:type="dxa"/>
          <w:bottom w:w="0" w:type="dxa"/>
          <w:right w:w="0" w:type="dxa"/>
        </w:tblCellMar>
        <w:tblLook w:val="01E0"/>
      </w:tblPr>
      <w:tblGrid>
        <w:gridCol w:w="762"/>
        <w:gridCol w:w="2798"/>
        <w:gridCol w:w="1548"/>
        <w:gridCol w:w="1080"/>
        <w:gridCol w:w="1080"/>
        <w:gridCol w:w="900"/>
        <w:gridCol w:w="900"/>
      </w:tblGrid>
      <w:tr>
        <w:trPr>
          <w:trHeight w:val="223" w:hRule="exact"/>
        </w:trPr>
        <w:tc>
          <w:tcPr>
            <w:tcW w:w="762" w:type="dxa"/>
            <w:vMerge w:val="restart"/>
            <w:tcBorders>
              <w:top w:val="single" w:sz="12" w:space="0" w:color="000000"/>
              <w:left w:val="single" w:sz="2" w:space="0" w:color="000000"/>
              <w:right w:val="single" w:sz="2" w:space="0" w:color="000000"/>
            </w:tcBorders>
          </w:tcPr>
          <w:p>
            <w:pPr>
              <w:pStyle w:val="TableParagraph"/>
              <w:spacing w:line="240" w:lineRule="auto" w:before="41"/>
              <w:ind w:left="196" w:right="0"/>
              <w:jc w:val="left"/>
              <w:rPr>
                <w:rFonts w:ascii="宋体" w:hAnsi="宋体" w:cs="宋体" w:eastAsia="宋体" w:hint="default"/>
                <w:sz w:val="18"/>
                <w:szCs w:val="18"/>
              </w:rPr>
            </w:pPr>
            <w:r>
              <w:rPr>
                <w:rFonts w:ascii="宋体" w:hAnsi="宋体" w:cs="宋体" w:eastAsia="宋体" w:hint="default"/>
                <w:b/>
                <w:bCs/>
                <w:sz w:val="18"/>
                <w:szCs w:val="18"/>
              </w:rPr>
              <w:t>期间</w:t>
            </w:r>
            <w:r>
              <w:rPr>
                <w:rFonts w:ascii="宋体" w:hAnsi="宋体" w:cs="宋体" w:eastAsia="宋体" w:hint="default"/>
                <w:sz w:val="18"/>
                <w:szCs w:val="18"/>
              </w:rPr>
            </w:r>
          </w:p>
        </w:tc>
        <w:tc>
          <w:tcPr>
            <w:tcW w:w="2798" w:type="dxa"/>
            <w:vMerge w:val="restart"/>
            <w:tcBorders>
              <w:top w:val="single" w:sz="12" w:space="0" w:color="000000"/>
              <w:left w:val="single" w:sz="2" w:space="0" w:color="000000"/>
              <w:right w:val="single" w:sz="2"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b/>
                <w:bCs/>
                <w:sz w:val="18"/>
                <w:szCs w:val="18"/>
              </w:rPr>
              <w:t>报告期利润</w:t>
            </w:r>
            <w:r>
              <w:rPr>
                <w:rFonts w:ascii="宋体" w:hAnsi="宋体" w:cs="宋体" w:eastAsia="宋体" w:hint="default"/>
                <w:sz w:val="18"/>
                <w:szCs w:val="18"/>
              </w:rPr>
            </w:r>
          </w:p>
        </w:tc>
        <w:tc>
          <w:tcPr>
            <w:tcW w:w="1548" w:type="dxa"/>
            <w:vMerge w:val="restart"/>
            <w:tcBorders>
              <w:top w:val="single" w:sz="12" w:space="0" w:color="000000"/>
              <w:left w:val="single" w:sz="2" w:space="0" w:color="000000"/>
              <w:right w:val="single" w:sz="2"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2160" w:type="dxa"/>
            <w:gridSpan w:val="2"/>
            <w:tcBorders>
              <w:top w:val="single" w:sz="12" w:space="0" w:color="000000"/>
              <w:left w:val="single" w:sz="2" w:space="0" w:color="000000"/>
              <w:bottom w:val="single" w:sz="6" w:space="0" w:color="000000"/>
              <w:right w:val="single" w:sz="2" w:space="0" w:color="000000"/>
            </w:tcBorders>
          </w:tcPr>
          <w:p>
            <w:pPr>
              <w:pStyle w:val="TableParagraph"/>
              <w:spacing w:line="185" w:lineRule="exact"/>
              <w:ind w:left="535" w:right="0"/>
              <w:jc w:val="left"/>
              <w:rPr>
                <w:rFonts w:ascii="宋体" w:hAnsi="宋体" w:cs="宋体" w:eastAsia="宋体" w:hint="default"/>
                <w:sz w:val="18"/>
                <w:szCs w:val="18"/>
              </w:rPr>
            </w:pPr>
            <w:r>
              <w:rPr>
                <w:rFonts w:ascii="宋体" w:hAnsi="宋体" w:cs="宋体" w:eastAsia="宋体" w:hint="default"/>
                <w:b/>
                <w:bCs/>
                <w:sz w:val="18"/>
                <w:szCs w:val="18"/>
              </w:rPr>
              <w:t>净资产收益率</w:t>
            </w:r>
            <w:r>
              <w:rPr>
                <w:rFonts w:ascii="宋体" w:hAnsi="宋体" w:cs="宋体" w:eastAsia="宋体" w:hint="default"/>
                <w:sz w:val="18"/>
                <w:szCs w:val="18"/>
              </w:rPr>
            </w:r>
          </w:p>
        </w:tc>
        <w:tc>
          <w:tcPr>
            <w:tcW w:w="1800" w:type="dxa"/>
            <w:gridSpan w:val="2"/>
            <w:tcBorders>
              <w:top w:val="single" w:sz="12" w:space="0" w:color="000000"/>
              <w:left w:val="single" w:sz="2" w:space="0" w:color="000000"/>
              <w:bottom w:val="single" w:sz="6" w:space="0" w:color="000000"/>
              <w:right w:val="single" w:sz="2" w:space="0" w:color="000000"/>
            </w:tcBorders>
          </w:tcPr>
          <w:p>
            <w:pPr>
              <w:pStyle w:val="TableParagraph"/>
              <w:spacing w:line="185" w:lineRule="exact"/>
              <w:ind w:left="445" w:right="0"/>
              <w:jc w:val="left"/>
              <w:rPr>
                <w:rFonts w:ascii="宋体" w:hAnsi="宋体" w:cs="宋体" w:eastAsia="宋体" w:hint="default"/>
                <w:sz w:val="18"/>
                <w:szCs w:val="18"/>
              </w:rPr>
            </w:pPr>
            <w:r>
              <w:rPr>
                <w:rFonts w:ascii="宋体" w:hAnsi="宋体" w:cs="宋体" w:eastAsia="宋体" w:hint="default"/>
                <w:b/>
                <w:bCs/>
                <w:sz w:val="18"/>
                <w:szCs w:val="18"/>
              </w:rPr>
              <w:t>每股净利润</w:t>
            </w:r>
            <w:r>
              <w:rPr>
                <w:rFonts w:ascii="宋体" w:hAnsi="宋体" w:cs="宋体" w:eastAsia="宋体" w:hint="default"/>
                <w:sz w:val="18"/>
                <w:szCs w:val="18"/>
              </w:rPr>
            </w:r>
          </w:p>
        </w:tc>
      </w:tr>
      <w:tr>
        <w:trPr>
          <w:trHeight w:val="215" w:hRule="exact"/>
        </w:trPr>
        <w:tc>
          <w:tcPr>
            <w:tcW w:w="762" w:type="dxa"/>
            <w:vMerge/>
            <w:tcBorders>
              <w:left w:val="single" w:sz="2" w:space="0" w:color="000000"/>
              <w:bottom w:val="single" w:sz="6" w:space="0" w:color="000000"/>
              <w:right w:val="single" w:sz="2" w:space="0" w:color="000000"/>
            </w:tcBorders>
          </w:tcPr>
          <w:p>
            <w:pPr/>
          </w:p>
        </w:tc>
        <w:tc>
          <w:tcPr>
            <w:tcW w:w="2798" w:type="dxa"/>
            <w:vMerge/>
            <w:tcBorders>
              <w:left w:val="single" w:sz="2" w:space="0" w:color="000000"/>
              <w:bottom w:val="single" w:sz="6" w:space="0" w:color="000000"/>
              <w:right w:val="single" w:sz="2" w:space="0" w:color="000000"/>
            </w:tcBorders>
          </w:tcPr>
          <w:p>
            <w:pPr/>
          </w:p>
        </w:tc>
        <w:tc>
          <w:tcPr>
            <w:tcW w:w="1548" w:type="dxa"/>
            <w:vMerge/>
            <w:tcBorders>
              <w:left w:val="single" w:sz="2" w:space="0" w:color="000000"/>
              <w:bottom w:val="single" w:sz="6" w:space="0" w:color="000000"/>
              <w:right w:val="single" w:sz="2" w:space="0" w:color="000000"/>
            </w:tcBorders>
          </w:tcPr>
          <w:p>
            <w:pPr/>
          </w:p>
        </w:tc>
        <w:tc>
          <w:tcPr>
            <w:tcW w:w="1080" w:type="dxa"/>
            <w:tcBorders>
              <w:top w:val="single" w:sz="6" w:space="0" w:color="000000"/>
              <w:left w:val="single" w:sz="2" w:space="0" w:color="000000"/>
              <w:bottom w:val="single" w:sz="6" w:space="0" w:color="000000"/>
              <w:right w:val="single" w:sz="2" w:space="0" w:color="000000"/>
            </w:tcBorders>
          </w:tcPr>
          <w:p>
            <w:pPr>
              <w:pStyle w:val="TableParagraph"/>
              <w:spacing w:line="186" w:lineRule="exact"/>
              <w:ind w:right="0"/>
              <w:jc w:val="center"/>
              <w:rPr>
                <w:rFonts w:ascii="宋体" w:hAnsi="宋体" w:cs="宋体" w:eastAsia="宋体" w:hint="default"/>
                <w:sz w:val="18"/>
                <w:szCs w:val="18"/>
              </w:rPr>
            </w:pPr>
            <w:r>
              <w:rPr>
                <w:rFonts w:ascii="宋体" w:hAnsi="宋体" w:cs="宋体" w:eastAsia="宋体" w:hint="default"/>
                <w:b/>
                <w:bCs/>
                <w:sz w:val="18"/>
                <w:szCs w:val="18"/>
              </w:rPr>
              <w:t>全面摊薄</w:t>
            </w:r>
            <w:r>
              <w:rPr>
                <w:rFonts w:ascii="宋体" w:hAnsi="宋体" w:cs="宋体" w:eastAsia="宋体" w:hint="default"/>
                <w:sz w:val="18"/>
                <w:szCs w:val="18"/>
              </w:rPr>
            </w:r>
          </w:p>
        </w:tc>
        <w:tc>
          <w:tcPr>
            <w:tcW w:w="1080" w:type="dxa"/>
            <w:tcBorders>
              <w:top w:val="single" w:sz="6" w:space="0" w:color="000000"/>
              <w:left w:val="single" w:sz="2" w:space="0" w:color="000000"/>
              <w:bottom w:val="single" w:sz="6" w:space="0" w:color="000000"/>
              <w:right w:val="single" w:sz="2" w:space="0" w:color="000000"/>
            </w:tcBorders>
          </w:tcPr>
          <w:p>
            <w:pPr>
              <w:pStyle w:val="TableParagraph"/>
              <w:spacing w:line="186" w:lineRule="exact"/>
              <w:ind w:right="0"/>
              <w:jc w:val="center"/>
              <w:rPr>
                <w:rFonts w:ascii="宋体" w:hAnsi="宋体" w:cs="宋体" w:eastAsia="宋体" w:hint="default"/>
                <w:sz w:val="18"/>
                <w:szCs w:val="18"/>
              </w:rPr>
            </w:pPr>
            <w:r>
              <w:rPr>
                <w:rFonts w:ascii="宋体" w:hAnsi="宋体" w:cs="宋体" w:eastAsia="宋体" w:hint="default"/>
                <w:b/>
                <w:bCs/>
                <w:sz w:val="18"/>
                <w:szCs w:val="18"/>
              </w:rPr>
              <w:t>加权平均</w:t>
            </w:r>
            <w:r>
              <w:rPr>
                <w:rFonts w:ascii="宋体" w:hAnsi="宋体" w:cs="宋体" w:eastAsia="宋体" w:hint="default"/>
                <w:sz w:val="18"/>
                <w:szCs w:val="18"/>
              </w:rPr>
            </w:r>
          </w:p>
        </w:tc>
        <w:tc>
          <w:tcPr>
            <w:tcW w:w="900" w:type="dxa"/>
            <w:tcBorders>
              <w:top w:val="single" w:sz="6" w:space="0" w:color="000000"/>
              <w:left w:val="single" w:sz="2" w:space="0" w:color="000000"/>
              <w:bottom w:val="single" w:sz="6" w:space="0" w:color="000000"/>
              <w:right w:val="single" w:sz="2" w:space="0" w:color="000000"/>
            </w:tcBorders>
          </w:tcPr>
          <w:p>
            <w:pPr>
              <w:pStyle w:val="TableParagraph"/>
              <w:spacing w:line="186" w:lineRule="exact"/>
              <w:ind w:left="266" w:right="0"/>
              <w:jc w:val="left"/>
              <w:rPr>
                <w:rFonts w:ascii="宋体" w:hAnsi="宋体" w:cs="宋体" w:eastAsia="宋体" w:hint="default"/>
                <w:sz w:val="18"/>
                <w:szCs w:val="18"/>
              </w:rPr>
            </w:pPr>
            <w:r>
              <w:rPr>
                <w:rFonts w:ascii="宋体" w:hAnsi="宋体" w:cs="宋体" w:eastAsia="宋体" w:hint="default"/>
                <w:b/>
                <w:bCs/>
                <w:sz w:val="18"/>
                <w:szCs w:val="18"/>
              </w:rPr>
              <w:t>基本</w:t>
            </w:r>
            <w:r>
              <w:rPr>
                <w:rFonts w:ascii="宋体" w:hAnsi="宋体" w:cs="宋体" w:eastAsia="宋体" w:hint="default"/>
                <w:sz w:val="18"/>
                <w:szCs w:val="18"/>
              </w:rPr>
            </w:r>
          </w:p>
        </w:tc>
        <w:tc>
          <w:tcPr>
            <w:tcW w:w="900" w:type="dxa"/>
            <w:tcBorders>
              <w:top w:val="single" w:sz="6" w:space="0" w:color="000000"/>
              <w:left w:val="single" w:sz="2" w:space="0" w:color="000000"/>
              <w:bottom w:val="single" w:sz="6" w:space="0" w:color="000000"/>
              <w:right w:val="single" w:sz="2" w:space="0" w:color="000000"/>
            </w:tcBorders>
          </w:tcPr>
          <w:p>
            <w:pPr>
              <w:pStyle w:val="TableParagraph"/>
              <w:spacing w:line="186" w:lineRule="exact"/>
              <w:ind w:right="0"/>
              <w:jc w:val="center"/>
              <w:rPr>
                <w:rFonts w:ascii="宋体" w:hAnsi="宋体" w:cs="宋体" w:eastAsia="宋体" w:hint="default"/>
                <w:sz w:val="18"/>
                <w:szCs w:val="18"/>
              </w:rPr>
            </w:pPr>
            <w:r>
              <w:rPr>
                <w:rFonts w:ascii="宋体" w:hAnsi="宋体" w:cs="宋体" w:eastAsia="宋体" w:hint="default"/>
                <w:b/>
                <w:bCs/>
                <w:sz w:val="18"/>
                <w:szCs w:val="18"/>
              </w:rPr>
              <w:t>稀释</w:t>
            </w:r>
            <w:r>
              <w:rPr>
                <w:rFonts w:ascii="宋体" w:hAnsi="宋体" w:cs="宋体" w:eastAsia="宋体" w:hint="default"/>
                <w:sz w:val="18"/>
                <w:szCs w:val="18"/>
              </w:rPr>
            </w:r>
          </w:p>
        </w:tc>
      </w:tr>
      <w:tr>
        <w:trPr>
          <w:trHeight w:val="322" w:hRule="exact"/>
        </w:trPr>
        <w:tc>
          <w:tcPr>
            <w:tcW w:w="762" w:type="dxa"/>
            <w:vMerge w:val="restart"/>
            <w:tcBorders>
              <w:top w:val="single" w:sz="6" w:space="0" w:color="000000"/>
              <w:left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2798"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5"/>
              <w:ind w:right="60"/>
              <w:jc w:val="center"/>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548"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331,548,801.34</w:t>
            </w:r>
          </w:p>
        </w:tc>
        <w:tc>
          <w:tcPr>
            <w:tcW w:w="1080"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24.93%</w:t>
            </w:r>
          </w:p>
        </w:tc>
        <w:tc>
          <w:tcPr>
            <w:tcW w:w="1080"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28.19%</w:t>
            </w:r>
          </w:p>
        </w:tc>
        <w:tc>
          <w:tcPr>
            <w:tcW w:w="900"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11"/>
              <w:ind w:left="267" w:right="0"/>
              <w:jc w:val="left"/>
              <w:rPr>
                <w:rFonts w:ascii="宋体" w:hAnsi="宋体" w:cs="宋体" w:eastAsia="宋体" w:hint="default"/>
                <w:sz w:val="18"/>
                <w:szCs w:val="18"/>
              </w:rPr>
            </w:pPr>
            <w:r>
              <w:rPr>
                <w:rFonts w:ascii="宋体"/>
                <w:sz w:val="18"/>
              </w:rPr>
              <w:t>1.16</w:t>
            </w:r>
          </w:p>
        </w:tc>
        <w:tc>
          <w:tcPr>
            <w:tcW w:w="900"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1.16</w:t>
            </w:r>
          </w:p>
        </w:tc>
      </w:tr>
      <w:tr>
        <w:trPr>
          <w:trHeight w:val="410" w:hRule="exact"/>
        </w:trPr>
        <w:tc>
          <w:tcPr>
            <w:tcW w:w="762" w:type="dxa"/>
            <w:vMerge/>
            <w:tcBorders>
              <w:left w:val="single" w:sz="2" w:space="0" w:color="000000"/>
              <w:bottom w:val="single" w:sz="6" w:space="0" w:color="000000"/>
              <w:right w:val="single" w:sz="2" w:space="0" w:color="000000"/>
            </w:tcBorders>
          </w:tcPr>
          <w:p>
            <w:pPr/>
          </w:p>
        </w:tc>
        <w:tc>
          <w:tcPr>
            <w:tcW w:w="2798" w:type="dxa"/>
            <w:tcBorders>
              <w:top w:val="single" w:sz="2" w:space="0" w:color="000000"/>
              <w:left w:val="single" w:sz="2" w:space="0" w:color="000000"/>
              <w:bottom w:val="single" w:sz="6" w:space="0" w:color="000000"/>
              <w:right w:val="single" w:sz="2" w:space="0" w:color="000000"/>
            </w:tcBorders>
          </w:tcPr>
          <w:p>
            <w:pPr>
              <w:pStyle w:val="TableParagraph"/>
              <w:spacing w:line="167" w:lineRule="exact"/>
              <w:ind w:left="105" w:right="0"/>
              <w:jc w:val="left"/>
              <w:rPr>
                <w:rFonts w:ascii="宋体" w:hAnsi="宋体" w:cs="宋体" w:eastAsia="宋体" w:hint="default"/>
                <w:sz w:val="18"/>
                <w:szCs w:val="18"/>
              </w:rPr>
            </w:pPr>
            <w:r>
              <w:rPr>
                <w:rFonts w:ascii="宋体" w:hAnsi="宋体" w:cs="宋体" w:eastAsia="宋体" w:hint="default"/>
                <w:spacing w:val="4"/>
                <w:sz w:val="18"/>
                <w:szCs w:val="18"/>
              </w:rPr>
              <w:t>扣除非经常性损益后归属于公司</w:t>
            </w:r>
            <w:r>
              <w:rPr>
                <w:rFonts w:ascii="宋体" w:hAnsi="宋体" w:cs="宋体" w:eastAsia="宋体" w:hint="default"/>
                <w:sz w:val="18"/>
                <w:szCs w:val="18"/>
              </w:rPr>
            </w:r>
          </w:p>
          <w:p>
            <w:pPr>
              <w:pStyle w:val="TableParagraph"/>
              <w:spacing w:line="218" w:lineRule="exact"/>
              <w:ind w:left="105" w:right="0"/>
              <w:jc w:val="left"/>
              <w:rPr>
                <w:rFonts w:ascii="宋体" w:hAnsi="宋体" w:cs="宋体" w:eastAsia="宋体" w:hint="default"/>
                <w:sz w:val="18"/>
                <w:szCs w:val="18"/>
              </w:rPr>
            </w:pPr>
            <w:r>
              <w:rPr>
                <w:rFonts w:ascii="宋体" w:hAnsi="宋体" w:cs="宋体" w:eastAsia="宋体" w:hint="default"/>
                <w:sz w:val="18"/>
                <w:szCs w:val="18"/>
              </w:rPr>
              <w:t>普通股股东的净利润</w:t>
            </w:r>
          </w:p>
        </w:tc>
        <w:tc>
          <w:tcPr>
            <w:tcW w:w="1548" w:type="dxa"/>
            <w:tcBorders>
              <w:top w:val="single" w:sz="2" w:space="0" w:color="000000"/>
              <w:left w:val="single" w:sz="2" w:space="0" w:color="000000"/>
              <w:bottom w:val="single" w:sz="6" w:space="0" w:color="000000"/>
              <w:right w:val="single" w:sz="2"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sz w:val="18"/>
              </w:rPr>
              <w:t>319,960,944.04</w:t>
            </w:r>
          </w:p>
        </w:tc>
        <w:tc>
          <w:tcPr>
            <w:tcW w:w="1080" w:type="dxa"/>
            <w:tcBorders>
              <w:top w:val="single" w:sz="2" w:space="0" w:color="000000"/>
              <w:left w:val="single" w:sz="2" w:space="0" w:color="000000"/>
              <w:bottom w:val="single" w:sz="6" w:space="0" w:color="000000"/>
              <w:right w:val="single" w:sz="2"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sz w:val="18"/>
              </w:rPr>
              <w:t>24.06%</w:t>
            </w:r>
          </w:p>
        </w:tc>
        <w:tc>
          <w:tcPr>
            <w:tcW w:w="1080" w:type="dxa"/>
            <w:tcBorders>
              <w:top w:val="single" w:sz="2" w:space="0" w:color="000000"/>
              <w:left w:val="single" w:sz="2" w:space="0" w:color="000000"/>
              <w:bottom w:val="single" w:sz="6" w:space="0" w:color="000000"/>
              <w:right w:val="single" w:sz="2"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sz w:val="18"/>
              </w:rPr>
              <w:t>27.20%</w:t>
            </w:r>
          </w:p>
        </w:tc>
        <w:tc>
          <w:tcPr>
            <w:tcW w:w="900" w:type="dxa"/>
            <w:tcBorders>
              <w:top w:val="single" w:sz="2" w:space="0" w:color="000000"/>
              <w:left w:val="single" w:sz="2" w:space="0" w:color="000000"/>
              <w:bottom w:val="single" w:sz="6" w:space="0" w:color="000000"/>
              <w:right w:val="single" w:sz="2" w:space="0" w:color="000000"/>
            </w:tcBorders>
          </w:tcPr>
          <w:p>
            <w:pPr>
              <w:pStyle w:val="TableParagraph"/>
              <w:spacing w:line="240" w:lineRule="auto" w:before="55"/>
              <w:ind w:left="267" w:right="0"/>
              <w:jc w:val="left"/>
              <w:rPr>
                <w:rFonts w:ascii="宋体" w:hAnsi="宋体" w:cs="宋体" w:eastAsia="宋体" w:hint="default"/>
                <w:sz w:val="18"/>
                <w:szCs w:val="18"/>
              </w:rPr>
            </w:pPr>
            <w:r>
              <w:rPr>
                <w:rFonts w:ascii="宋体"/>
                <w:sz w:val="18"/>
              </w:rPr>
              <w:t>1.12</w:t>
            </w:r>
          </w:p>
        </w:tc>
        <w:tc>
          <w:tcPr>
            <w:tcW w:w="900" w:type="dxa"/>
            <w:tcBorders>
              <w:top w:val="single" w:sz="2" w:space="0" w:color="000000"/>
              <w:left w:val="single" w:sz="2" w:space="0" w:color="000000"/>
              <w:bottom w:val="single" w:sz="6" w:space="0" w:color="000000"/>
              <w:right w:val="single" w:sz="2"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sz w:val="18"/>
              </w:rPr>
              <w:t>1.12</w:t>
            </w:r>
          </w:p>
        </w:tc>
      </w:tr>
      <w:tr>
        <w:trPr>
          <w:trHeight w:val="322" w:hRule="exact"/>
        </w:trPr>
        <w:tc>
          <w:tcPr>
            <w:tcW w:w="762" w:type="dxa"/>
            <w:vMerge w:val="restart"/>
            <w:tcBorders>
              <w:top w:val="single" w:sz="6" w:space="0" w:color="000000"/>
              <w:left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上年数</w:t>
            </w:r>
          </w:p>
        </w:tc>
        <w:tc>
          <w:tcPr>
            <w:tcW w:w="2798"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5"/>
              <w:ind w:right="60"/>
              <w:jc w:val="center"/>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548"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231,569,801.01</w:t>
            </w:r>
          </w:p>
        </w:tc>
        <w:tc>
          <w:tcPr>
            <w:tcW w:w="1080"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22.55%</w:t>
            </w:r>
          </w:p>
        </w:tc>
        <w:tc>
          <w:tcPr>
            <w:tcW w:w="1080"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43.78%</w:t>
            </w:r>
          </w:p>
        </w:tc>
        <w:tc>
          <w:tcPr>
            <w:tcW w:w="900"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11"/>
              <w:ind w:left="267" w:right="0"/>
              <w:jc w:val="left"/>
              <w:rPr>
                <w:rFonts w:ascii="宋体" w:hAnsi="宋体" w:cs="宋体" w:eastAsia="宋体" w:hint="default"/>
                <w:sz w:val="18"/>
                <w:szCs w:val="18"/>
              </w:rPr>
            </w:pPr>
            <w:r>
              <w:rPr>
                <w:rFonts w:ascii="宋体"/>
                <w:sz w:val="18"/>
              </w:rPr>
              <w:t>0.98</w:t>
            </w:r>
          </w:p>
        </w:tc>
        <w:tc>
          <w:tcPr>
            <w:tcW w:w="900" w:type="dxa"/>
            <w:tcBorders>
              <w:top w:val="single" w:sz="6" w:space="0" w:color="000000"/>
              <w:left w:val="single" w:sz="2" w:space="0" w:color="000000"/>
              <w:bottom w:val="single" w:sz="2" w:space="0" w:color="000000"/>
              <w:right w:val="single" w:sz="2"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0.98</w:t>
            </w:r>
          </w:p>
        </w:tc>
      </w:tr>
      <w:tr>
        <w:trPr>
          <w:trHeight w:val="418" w:hRule="exact"/>
        </w:trPr>
        <w:tc>
          <w:tcPr>
            <w:tcW w:w="762" w:type="dxa"/>
            <w:vMerge/>
            <w:tcBorders>
              <w:left w:val="single" w:sz="2" w:space="0" w:color="000000"/>
              <w:bottom w:val="single" w:sz="12" w:space="0" w:color="000000"/>
              <w:right w:val="single" w:sz="2" w:space="0" w:color="000000"/>
            </w:tcBorders>
          </w:tcPr>
          <w:p>
            <w:pPr/>
          </w:p>
        </w:tc>
        <w:tc>
          <w:tcPr>
            <w:tcW w:w="2798" w:type="dxa"/>
            <w:tcBorders>
              <w:top w:val="single" w:sz="2" w:space="0" w:color="000000"/>
              <w:left w:val="single" w:sz="2" w:space="0" w:color="000000"/>
              <w:bottom w:val="single" w:sz="12" w:space="0" w:color="000000"/>
              <w:right w:val="single" w:sz="2" w:space="0" w:color="000000"/>
            </w:tcBorders>
          </w:tcPr>
          <w:p>
            <w:pPr>
              <w:pStyle w:val="TableParagraph"/>
              <w:spacing w:line="167" w:lineRule="exact"/>
              <w:ind w:left="105" w:right="0"/>
              <w:jc w:val="left"/>
              <w:rPr>
                <w:rFonts w:ascii="宋体" w:hAnsi="宋体" w:cs="宋体" w:eastAsia="宋体" w:hint="default"/>
                <w:sz w:val="18"/>
                <w:szCs w:val="18"/>
              </w:rPr>
            </w:pPr>
            <w:r>
              <w:rPr>
                <w:rFonts w:ascii="宋体" w:hAnsi="宋体" w:cs="宋体" w:eastAsia="宋体" w:hint="default"/>
                <w:spacing w:val="4"/>
                <w:sz w:val="18"/>
                <w:szCs w:val="18"/>
              </w:rPr>
              <w:t>扣除非经常性损益后归属于公司</w:t>
            </w:r>
            <w:r>
              <w:rPr>
                <w:rFonts w:ascii="宋体" w:hAnsi="宋体" w:cs="宋体" w:eastAsia="宋体" w:hint="default"/>
                <w:sz w:val="18"/>
                <w:szCs w:val="18"/>
              </w:rPr>
            </w:r>
          </w:p>
          <w:p>
            <w:pPr>
              <w:pStyle w:val="TableParagraph"/>
              <w:spacing w:line="218" w:lineRule="exact"/>
              <w:ind w:left="105" w:right="0"/>
              <w:jc w:val="left"/>
              <w:rPr>
                <w:rFonts w:ascii="宋体" w:hAnsi="宋体" w:cs="宋体" w:eastAsia="宋体" w:hint="default"/>
                <w:sz w:val="18"/>
                <w:szCs w:val="18"/>
              </w:rPr>
            </w:pPr>
            <w:r>
              <w:rPr>
                <w:rFonts w:ascii="宋体" w:hAnsi="宋体" w:cs="宋体" w:eastAsia="宋体" w:hint="default"/>
                <w:sz w:val="18"/>
                <w:szCs w:val="18"/>
              </w:rPr>
              <w:t>普通股股东的净利润</w:t>
            </w:r>
          </w:p>
        </w:tc>
        <w:tc>
          <w:tcPr>
            <w:tcW w:w="15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sz w:val="18"/>
              </w:rPr>
              <w:t>214,392,445.14</w:t>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sz w:val="18"/>
              </w:rPr>
              <w:t>20.87%</w:t>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sz w:val="18"/>
              </w:rPr>
              <w:t>40.53%</w:t>
            </w:r>
          </w:p>
        </w:tc>
        <w:tc>
          <w:tcPr>
            <w:tcW w:w="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left="267" w:right="0"/>
              <w:jc w:val="left"/>
              <w:rPr>
                <w:rFonts w:ascii="宋体" w:hAnsi="宋体" w:cs="宋体" w:eastAsia="宋体" w:hint="default"/>
                <w:sz w:val="18"/>
                <w:szCs w:val="18"/>
              </w:rPr>
            </w:pPr>
            <w:r>
              <w:rPr>
                <w:rFonts w:ascii="宋体"/>
                <w:sz w:val="18"/>
              </w:rPr>
              <w:t>0.90</w:t>
            </w:r>
          </w:p>
        </w:tc>
        <w:tc>
          <w:tcPr>
            <w:tcW w:w="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sz w:val="18"/>
              </w:rPr>
              <w:t>0.90</w:t>
            </w:r>
          </w:p>
        </w:tc>
      </w:tr>
    </w:tbl>
    <w:p>
      <w:pPr>
        <w:spacing w:line="240" w:lineRule="auto" w:before="1"/>
        <w:rPr>
          <w:rFonts w:ascii="宋体" w:hAnsi="宋体" w:cs="宋体" w:eastAsia="宋体" w:hint="default"/>
          <w:sz w:val="8"/>
          <w:szCs w:val="8"/>
        </w:rPr>
      </w:pPr>
    </w:p>
    <w:p>
      <w:pPr>
        <w:pStyle w:val="Heading4"/>
        <w:spacing w:line="240" w:lineRule="auto" w:before="35"/>
        <w:ind w:left="500" w:right="0"/>
        <w:jc w:val="left"/>
        <w:rPr>
          <w:b w:val="0"/>
          <w:bCs w:val="0"/>
        </w:rPr>
      </w:pPr>
      <w:r>
        <w:rPr/>
        <w:t>计算方法：</w:t>
      </w:r>
      <w:r>
        <w:rPr>
          <w:b w:val="0"/>
          <w:bCs w:val="0"/>
        </w:rPr>
      </w:r>
    </w:p>
    <w:p>
      <w:pPr>
        <w:spacing w:line="321" w:lineRule="auto" w:before="115"/>
        <w:ind w:left="920" w:right="4673" w:hanging="42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、全面摊薄净资产收益率的计算公式如下：</w:t>
      </w:r>
      <w:r>
        <w:rPr>
          <w:rFonts w:ascii="宋体" w:hAnsi="宋体" w:cs="宋体" w:eastAsia="宋体" w:hint="default"/>
          <w:b/>
          <w:bCs/>
          <w:spacing w:val="1"/>
          <w:w w:val="99"/>
          <w:sz w:val="21"/>
          <w:szCs w:val="21"/>
        </w:rPr>
        <w:t> </w:t>
      </w:r>
      <w:r>
        <w:rPr>
          <w:rFonts w:ascii="宋体" w:hAnsi="宋体" w:cs="宋体" w:eastAsia="宋体" w:hint="default"/>
          <w:sz w:val="21"/>
          <w:szCs w:val="21"/>
        </w:rPr>
        <w:t>全面摊薄净资产收益率</w:t>
      </w:r>
      <w:r>
        <w:rPr>
          <w:rFonts w:ascii="Times New Roman" w:hAnsi="Times New Roman" w:cs="Times New Roman" w:eastAsia="Times New Roman" w:hint="default"/>
          <w:sz w:val="21"/>
          <w:szCs w:val="21"/>
        </w:rPr>
        <w:t>=P</w:t>
      </w:r>
      <w:r>
        <w:rPr>
          <w:rFonts w:ascii="宋体" w:hAnsi="宋体" w:cs="宋体" w:eastAsia="宋体" w:hint="default"/>
          <w:sz w:val="21"/>
          <w:szCs w:val="21"/>
        </w:rPr>
        <w:t>÷</w:t>
      </w:r>
      <w:r>
        <w:rPr>
          <w:rFonts w:ascii="Times New Roman" w:hAnsi="Times New Roman" w:cs="Times New Roman" w:eastAsia="Times New Roman" w:hint="default"/>
          <w:sz w:val="21"/>
          <w:szCs w:val="21"/>
        </w:rPr>
        <w:t>E</w:t>
      </w:r>
    </w:p>
    <w:p>
      <w:pPr>
        <w:pStyle w:val="BodyText"/>
        <w:spacing w:line="256" w:lineRule="auto" w:before="20"/>
        <w:ind w:left="499" w:right="496" w:firstLine="420"/>
        <w:jc w:val="both"/>
      </w:pPr>
      <w:r>
        <w:rPr/>
        <w:t>其中，</w:t>
      </w:r>
      <w:r>
        <w:rPr>
          <w:rFonts w:ascii="Times New Roman" w:hAnsi="Times New Roman" w:cs="Times New Roman" w:eastAsia="Times New Roman" w:hint="default"/>
        </w:rPr>
        <w:t>P</w:t>
      </w:r>
      <w:r>
        <w:rPr/>
        <w:t>为归属于公司普通股股东的净利润或扣除非经常性损益后归属于公司普通股股 东的净利润；</w:t>
      </w:r>
      <w:r>
        <w:rPr>
          <w:rFonts w:ascii="Times New Roman" w:hAnsi="Times New Roman" w:cs="Times New Roman" w:eastAsia="Times New Roman" w:hint="default"/>
        </w:rPr>
        <w:t>E</w:t>
      </w:r>
      <w:r>
        <w:rPr/>
        <w:t>为归属于公司普通股股东的期末净资产。</w:t>
      </w:r>
    </w:p>
    <w:p>
      <w:pPr>
        <w:pStyle w:val="BodyText"/>
        <w:spacing w:line="273" w:lineRule="auto" w:before="83"/>
        <w:ind w:left="499" w:right="497" w:firstLine="420"/>
        <w:jc w:val="both"/>
      </w:pPr>
      <w:r>
        <w:rPr/>
        <w:t>公司编制</w:t>
      </w:r>
      <w:r>
        <w:rPr>
          <w:spacing w:val="1"/>
        </w:rPr>
        <w:t>和</w:t>
      </w:r>
      <w:r>
        <w:rPr/>
        <w:t>披露合并</w:t>
      </w:r>
      <w:r>
        <w:rPr>
          <w:spacing w:val="1"/>
        </w:rPr>
        <w:t>报</w:t>
      </w:r>
      <w:r>
        <w:rPr/>
        <w:t>表的</w:t>
      </w:r>
      <w:r>
        <w:rPr>
          <w:spacing w:val="-105"/>
        </w:rPr>
        <w:t>，</w:t>
      </w:r>
      <w:r>
        <w:rPr/>
        <w:t>“归</w:t>
      </w:r>
      <w:r>
        <w:rPr>
          <w:spacing w:val="1"/>
        </w:rPr>
        <w:t>属</w:t>
      </w:r>
      <w:r>
        <w:rPr/>
        <w:t>于公司普</w:t>
      </w:r>
      <w:r>
        <w:rPr>
          <w:spacing w:val="1"/>
        </w:rPr>
        <w:t>通</w:t>
      </w:r>
      <w:r>
        <w:rPr/>
        <w:t>股股东的</w:t>
      </w:r>
      <w:r>
        <w:rPr>
          <w:spacing w:val="1"/>
        </w:rPr>
        <w:t>净</w:t>
      </w:r>
      <w:r>
        <w:rPr/>
        <w:t>利润”不</w:t>
      </w:r>
      <w:r>
        <w:rPr>
          <w:spacing w:val="1"/>
        </w:rPr>
        <w:t>包</w:t>
      </w:r>
      <w:r>
        <w:rPr/>
        <w:t>括少数股</w:t>
      </w:r>
      <w:r>
        <w:rPr>
          <w:spacing w:val="1"/>
        </w:rPr>
        <w:t>东损</w:t>
      </w:r>
      <w:r>
        <w:rPr/>
        <w:t>益</w:t>
      </w:r>
      <w:r>
        <w:rPr/>
        <w:t> 金额</w:t>
      </w:r>
      <w:r>
        <w:rPr>
          <w:spacing w:val="-105"/>
        </w:rPr>
        <w:t>；</w:t>
      </w:r>
      <w:r>
        <w:rPr/>
        <w:t>“扣</w:t>
      </w:r>
      <w:r>
        <w:rPr>
          <w:spacing w:val="1"/>
        </w:rPr>
        <w:t>除</w:t>
      </w:r>
      <w:r>
        <w:rPr/>
        <w:t>非经常性</w:t>
      </w:r>
      <w:r>
        <w:rPr>
          <w:spacing w:val="1"/>
        </w:rPr>
        <w:t>损</w:t>
      </w:r>
      <w:r>
        <w:rPr/>
        <w:t>益后归属</w:t>
      </w:r>
      <w:r>
        <w:rPr>
          <w:spacing w:val="1"/>
        </w:rPr>
        <w:t>于</w:t>
      </w:r>
      <w:r>
        <w:rPr/>
        <w:t>公司普通</w:t>
      </w:r>
      <w:r>
        <w:rPr>
          <w:spacing w:val="1"/>
        </w:rPr>
        <w:t>股</w:t>
      </w:r>
      <w:r>
        <w:rPr/>
        <w:t>股东的净</w:t>
      </w:r>
      <w:r>
        <w:rPr>
          <w:spacing w:val="1"/>
        </w:rPr>
        <w:t>利</w:t>
      </w:r>
      <w:r>
        <w:rPr/>
        <w:t>润”以扣</w:t>
      </w:r>
      <w:r>
        <w:rPr>
          <w:spacing w:val="1"/>
        </w:rPr>
        <w:t>除</w:t>
      </w:r>
      <w:r>
        <w:rPr/>
        <w:t>少数股东</w:t>
      </w:r>
      <w:r>
        <w:rPr>
          <w:spacing w:val="1"/>
        </w:rPr>
        <w:t>损</w:t>
      </w:r>
      <w:r>
        <w:rPr/>
        <w:t>益后的合</w:t>
      </w:r>
      <w:r>
        <w:rPr/>
        <w:t> 并净利润</w:t>
      </w:r>
      <w:r>
        <w:rPr>
          <w:spacing w:val="1"/>
        </w:rPr>
        <w:t>为</w:t>
      </w:r>
      <w:r>
        <w:rPr/>
        <w:t>基础，扣</w:t>
      </w:r>
      <w:r>
        <w:rPr>
          <w:spacing w:val="1"/>
        </w:rPr>
        <w:t>除</w:t>
      </w:r>
      <w:r>
        <w:rPr/>
        <w:t>母公司非</w:t>
      </w:r>
      <w:r>
        <w:rPr>
          <w:spacing w:val="1"/>
        </w:rPr>
        <w:t>经</w:t>
      </w:r>
      <w:r>
        <w:rPr/>
        <w:t>常性损益</w:t>
      </w:r>
      <w:r>
        <w:rPr>
          <w:spacing w:val="1"/>
        </w:rPr>
        <w:t>（</w:t>
      </w:r>
      <w:r>
        <w:rPr/>
        <w:t>应考虑所</w:t>
      </w:r>
      <w:r>
        <w:rPr>
          <w:spacing w:val="1"/>
        </w:rPr>
        <w:t>得</w:t>
      </w:r>
      <w:r>
        <w:rPr/>
        <w:t>税影响</w:t>
      </w:r>
      <w:r>
        <w:rPr>
          <w:spacing w:val="-105"/>
        </w:rPr>
        <w:t>）</w:t>
      </w:r>
      <w:r>
        <w:rPr/>
        <w:t>、</w:t>
      </w:r>
      <w:r>
        <w:rPr>
          <w:spacing w:val="1"/>
        </w:rPr>
        <w:t>各</w:t>
      </w:r>
      <w:r>
        <w:rPr/>
        <w:t>子公司非</w:t>
      </w:r>
      <w:r>
        <w:rPr>
          <w:spacing w:val="1"/>
        </w:rPr>
        <w:t>经</w:t>
      </w:r>
      <w:r>
        <w:rPr/>
        <w:t>常性损益</w:t>
      </w:r>
    </w:p>
    <w:p>
      <w:pPr>
        <w:pStyle w:val="BodyText"/>
        <w:spacing w:line="273" w:lineRule="auto" w:before="8"/>
        <w:ind w:left="499" w:right="498"/>
        <w:jc w:val="both"/>
      </w:pPr>
      <w:r>
        <w:rPr>
          <w:spacing w:val="-3"/>
        </w:rPr>
        <w:t>（应考虑所得税影响）中母公司普通股股东所占份额；“归属于公司普通股股东的期末净资</w:t>
      </w:r>
      <w:r>
        <w:rPr>
          <w:spacing w:val="-84"/>
        </w:rPr>
        <w:t> </w:t>
      </w:r>
      <w:r>
        <w:rPr>
          <w:spacing w:val="-84"/>
        </w:rPr>
      </w:r>
      <w:r>
        <w:rPr/>
        <w:t>产”不包括少数股东权益金额。</w:t>
      </w:r>
    </w:p>
    <w:p>
      <w:pPr>
        <w:pStyle w:val="BodyText"/>
        <w:spacing w:line="321" w:lineRule="auto" w:before="164"/>
        <w:ind w:left="815" w:right="0" w:hanging="316"/>
        <w:jc w:val="left"/>
      </w:pPr>
      <w:r>
        <w:rPr>
          <w:rFonts w:ascii="Times New Roman" w:hAnsi="Times New Roman" w:cs="Times New Roman" w:eastAsia="Times New Roman" w:hint="default"/>
          <w:b/>
          <w:bCs/>
        </w:rPr>
        <w:t>2</w:t>
      </w:r>
      <w:r>
        <w:rPr>
          <w:rFonts w:ascii="宋体" w:hAnsi="宋体" w:cs="宋体" w:eastAsia="宋体" w:hint="default"/>
          <w:b/>
          <w:bCs/>
        </w:rPr>
        <w:t>、加权平均净资产收益率的计算公式如下：</w:t>
      </w:r>
      <w:r>
        <w:rPr>
          <w:rFonts w:ascii="宋体" w:hAnsi="宋体" w:cs="宋体" w:eastAsia="宋体" w:hint="default"/>
          <w:b/>
          <w:bCs/>
          <w:spacing w:val="1"/>
          <w:w w:val="99"/>
        </w:rPr>
        <w:t> </w:t>
      </w:r>
      <w:r>
        <w:rPr/>
        <w:t>加权平均净资产收益率</w:t>
      </w:r>
      <w:r>
        <w:rPr>
          <w:rFonts w:ascii="Times New Roman" w:hAnsi="Times New Roman" w:cs="Times New Roman" w:eastAsia="Times New Roman" w:hint="default"/>
        </w:rPr>
        <w:t>=P/</w:t>
      </w:r>
      <w:r>
        <w:rPr/>
        <w:t>（</w:t>
      </w:r>
      <w:r>
        <w:rPr>
          <w:rFonts w:ascii="Times New Roman" w:hAnsi="Times New Roman" w:cs="Times New Roman" w:eastAsia="Times New Roman" w:hint="default"/>
        </w:rPr>
        <w:t>E0+NP</w:t>
      </w:r>
      <w:r>
        <w:rPr/>
        <w:t>÷</w:t>
      </w:r>
      <w:r>
        <w:rPr>
          <w:rFonts w:ascii="Times New Roman" w:hAnsi="Times New Roman" w:cs="Times New Roman" w:eastAsia="Times New Roman" w:hint="default"/>
        </w:rPr>
        <w:t>2+Ei</w:t>
      </w:r>
      <w:r>
        <w:rPr/>
        <w:t>×</w:t>
      </w:r>
      <w:r>
        <w:rPr>
          <w:rFonts w:ascii="Times New Roman" w:hAnsi="Times New Roman" w:cs="Times New Roman" w:eastAsia="Times New Roman" w:hint="default"/>
        </w:rPr>
        <w:t>Mi</w:t>
      </w:r>
      <w:r>
        <w:rPr/>
        <w:t>÷</w:t>
      </w:r>
      <w:r>
        <w:rPr>
          <w:rFonts w:ascii="Times New Roman" w:hAnsi="Times New Roman" w:cs="Times New Roman" w:eastAsia="Times New Roman" w:hint="default"/>
        </w:rPr>
        <w:t>M0</w:t>
      </w:r>
      <w:r>
        <w:rPr/>
        <w:t>－</w:t>
      </w:r>
      <w:r>
        <w:rPr>
          <w:rFonts w:ascii="Times New Roman" w:hAnsi="Times New Roman" w:cs="Times New Roman" w:eastAsia="Times New Roman" w:hint="default"/>
        </w:rPr>
        <w:t>Ej</w:t>
      </w:r>
      <w:r>
        <w:rPr/>
        <w:t>×</w:t>
      </w:r>
      <w:r>
        <w:rPr>
          <w:rFonts w:ascii="Times New Roman" w:hAnsi="Times New Roman" w:cs="Times New Roman" w:eastAsia="Times New Roman" w:hint="default"/>
        </w:rPr>
        <w:t>Mj</w:t>
      </w:r>
      <w:r>
        <w:rPr/>
        <w:t>÷</w:t>
      </w:r>
      <w:r>
        <w:rPr>
          <w:rFonts w:ascii="Times New Roman" w:hAnsi="Times New Roman" w:cs="Times New Roman" w:eastAsia="Times New Roman" w:hint="default"/>
        </w:rPr>
        <w:t>M0</w:t>
      </w:r>
      <w:r>
        <w:rPr/>
        <w:t>±</w:t>
      </w:r>
      <w:r>
        <w:rPr>
          <w:rFonts w:ascii="Times New Roman" w:hAnsi="Times New Roman" w:cs="Times New Roman" w:eastAsia="Times New Roman" w:hint="default"/>
        </w:rPr>
        <w:t>Ek</w:t>
      </w:r>
      <w:r>
        <w:rPr/>
        <w:t>×</w:t>
      </w:r>
      <w:r>
        <w:rPr>
          <w:rFonts w:ascii="Times New Roman" w:hAnsi="Times New Roman" w:cs="Times New Roman" w:eastAsia="Times New Roman" w:hint="default"/>
        </w:rPr>
        <w:t>Mk</w:t>
      </w:r>
      <w:r>
        <w:rPr/>
        <w:t>÷</w:t>
      </w:r>
      <w:r>
        <w:rPr>
          <w:rFonts w:ascii="Times New Roman" w:hAnsi="Times New Roman" w:cs="Times New Roman" w:eastAsia="Times New Roman" w:hint="default"/>
        </w:rPr>
        <w:t>M0</w:t>
      </w:r>
      <w:r>
        <w:rPr/>
        <w:t>） </w:t>
      </w:r>
      <w:r>
        <w:rPr>
          <w:spacing w:val="2"/>
        </w:rPr>
        <w:t>其中：</w:t>
      </w:r>
      <w:r>
        <w:rPr>
          <w:rFonts w:ascii="Times New Roman" w:hAnsi="Times New Roman" w:cs="Times New Roman" w:eastAsia="Times New Roman" w:hint="default"/>
          <w:spacing w:val="2"/>
        </w:rPr>
        <w:t>P</w:t>
      </w:r>
      <w:r>
        <w:rPr>
          <w:spacing w:val="2"/>
        </w:rPr>
        <w:t>分别对应于归属于公司普通股股东的净利润、扣除非经常性损益后归属于公司</w:t>
      </w:r>
      <w:r>
        <w:rPr/>
      </w:r>
    </w:p>
    <w:p>
      <w:pPr>
        <w:pStyle w:val="BodyText"/>
        <w:spacing w:line="233" w:lineRule="exact" w:before="0"/>
        <w:ind w:left="499" w:right="0"/>
        <w:jc w:val="left"/>
      </w:pPr>
      <w:r>
        <w:rPr/>
        <w:t>普通股股东的净利润；</w:t>
      </w:r>
      <w:r>
        <w:rPr>
          <w:rFonts w:ascii="Times New Roman" w:hAnsi="Times New Roman" w:cs="Times New Roman" w:eastAsia="Times New Roman" w:hint="default"/>
        </w:rPr>
        <w:t>NP</w:t>
      </w:r>
      <w:r>
        <w:rPr/>
        <w:t>为归属于公司普通股股东的净利润；</w:t>
      </w:r>
      <w:r>
        <w:rPr>
          <w:rFonts w:ascii="Times New Roman" w:hAnsi="Times New Roman" w:cs="Times New Roman" w:eastAsia="Times New Roman" w:hint="default"/>
        </w:rPr>
        <w:t>E0</w:t>
      </w:r>
      <w:r>
        <w:rPr/>
        <w:t>为归属于公司普通股股东</w:t>
      </w:r>
    </w:p>
    <w:p>
      <w:pPr>
        <w:pStyle w:val="BodyText"/>
        <w:spacing w:line="256" w:lineRule="auto" w:before="21"/>
        <w:ind w:left="498" w:right="427"/>
        <w:jc w:val="both"/>
      </w:pPr>
      <w:r>
        <w:rPr/>
        <w:t>的期初净资产；</w:t>
      </w:r>
      <w:r>
        <w:rPr>
          <w:rFonts w:ascii="Times New Roman" w:hAnsi="Times New Roman" w:cs="Times New Roman" w:eastAsia="Times New Roman" w:hint="default"/>
        </w:rPr>
        <w:t>Ei</w:t>
      </w:r>
      <w:r>
        <w:rPr/>
        <w:t>为报告期发行新股或债转股等新增的、归属于公司普通股股东的净资产； </w:t>
      </w:r>
      <w:r>
        <w:rPr>
          <w:rFonts w:ascii="Times New Roman" w:hAnsi="Times New Roman" w:cs="Times New Roman" w:eastAsia="Times New Roman" w:hint="default"/>
        </w:rPr>
        <w:t>Ej</w:t>
      </w:r>
      <w:r>
        <w:rPr/>
        <w:t>为报告期回购或现金分红等减少的、归属于公司普通股股东的净资产；</w:t>
      </w:r>
      <w:r>
        <w:rPr>
          <w:rFonts w:ascii="Times New Roman" w:hAnsi="Times New Roman" w:cs="Times New Roman" w:eastAsia="Times New Roman" w:hint="default"/>
        </w:rPr>
        <w:t>M0</w:t>
      </w:r>
      <w:r>
        <w:rPr/>
        <w:t>为报告期月份</w:t>
      </w:r>
      <w:r>
        <w:rPr>
          <w:spacing w:val="-62"/>
        </w:rPr>
        <w:t> </w:t>
      </w:r>
      <w:r>
        <w:rPr>
          <w:spacing w:val="-62"/>
        </w:rPr>
      </w:r>
      <w:r>
        <w:rPr/>
        <w:t>数；</w:t>
      </w:r>
      <w:r>
        <w:rPr>
          <w:rFonts w:ascii="Times New Roman" w:hAnsi="Times New Roman" w:cs="Times New Roman" w:eastAsia="Times New Roman" w:hint="default"/>
        </w:rPr>
        <w:t>Mi</w:t>
      </w:r>
      <w:r>
        <w:rPr/>
        <w:t>为新增净资产下一月份起至报告期期末的月份数；</w:t>
      </w:r>
      <w:r>
        <w:rPr>
          <w:rFonts w:ascii="Times New Roman" w:hAnsi="Times New Roman" w:cs="Times New Roman" w:eastAsia="Times New Roman" w:hint="default"/>
        </w:rPr>
        <w:t>Mj</w:t>
      </w:r>
      <w:r>
        <w:rPr/>
        <w:t>为减少净资产下一月份起至报</w:t>
      </w:r>
      <w:r>
        <w:rPr>
          <w:spacing w:val="-71"/>
        </w:rPr>
        <w:t> </w:t>
      </w:r>
      <w:r>
        <w:rPr>
          <w:spacing w:val="-71"/>
        </w:rPr>
      </w:r>
      <w:r>
        <w:rPr/>
        <w:t>告期期末的月份数；</w:t>
      </w:r>
      <w:r>
        <w:rPr>
          <w:rFonts w:ascii="Times New Roman" w:hAnsi="Times New Roman" w:cs="Times New Roman" w:eastAsia="Times New Roman" w:hint="default"/>
        </w:rPr>
        <w:t>Ek</w:t>
      </w:r>
      <w:r>
        <w:rPr/>
        <w:t>为因其他交易或事项引起的净资产增减变动；</w:t>
      </w:r>
      <w:r>
        <w:rPr>
          <w:rFonts w:ascii="Times New Roman" w:hAnsi="Times New Roman" w:cs="Times New Roman" w:eastAsia="Times New Roman" w:hint="default"/>
        </w:rPr>
        <w:t>Mk</w:t>
      </w:r>
      <w:r>
        <w:rPr/>
        <w:t>为发生其他净资产</w:t>
      </w:r>
      <w:r>
        <w:rPr>
          <w:spacing w:val="-100"/>
        </w:rPr>
        <w:t> </w:t>
      </w:r>
      <w:r>
        <w:rPr/>
        <w:t>增减变动下一月份起至报告期期末的月份数。</w:t>
      </w:r>
    </w:p>
    <w:p>
      <w:pPr>
        <w:spacing w:line="321" w:lineRule="auto" w:before="178"/>
        <w:ind w:left="814" w:right="4649" w:hanging="316"/>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、基本每股收益每股收益的计算过程：</w:t>
      </w:r>
      <w:r>
        <w:rPr>
          <w:rFonts w:ascii="宋体" w:hAnsi="宋体" w:cs="宋体" w:eastAsia="宋体" w:hint="default"/>
          <w:b/>
          <w:bCs/>
          <w:spacing w:val="1"/>
          <w:w w:val="99"/>
          <w:sz w:val="21"/>
          <w:szCs w:val="21"/>
        </w:rPr>
        <w:t> </w:t>
      </w:r>
      <w:r>
        <w:rPr>
          <w:rFonts w:ascii="宋体" w:hAnsi="宋体" w:cs="宋体" w:eastAsia="宋体" w:hint="default"/>
          <w:sz w:val="21"/>
          <w:szCs w:val="21"/>
        </w:rPr>
        <w:t>基本每股收益</w:t>
      </w:r>
      <w:r>
        <w:rPr>
          <w:rFonts w:ascii="Times New Roman" w:hAnsi="Times New Roman" w:cs="Times New Roman" w:eastAsia="Times New Roman" w:hint="default"/>
          <w:sz w:val="21"/>
          <w:szCs w:val="21"/>
        </w:rPr>
        <w:t>=P</w:t>
      </w:r>
      <w:r>
        <w:rPr>
          <w:rFonts w:ascii="宋体" w:hAnsi="宋体" w:cs="宋体" w:eastAsia="宋体" w:hint="default"/>
          <w:sz w:val="21"/>
          <w:szCs w:val="21"/>
        </w:rPr>
        <w:t>÷</w:t>
      </w:r>
      <w:r>
        <w:rPr>
          <w:rFonts w:ascii="Times New Roman" w:hAnsi="Times New Roman" w:cs="Times New Roman" w:eastAsia="Times New Roman" w:hint="default"/>
          <w:sz w:val="21"/>
          <w:szCs w:val="21"/>
        </w:rPr>
        <w:t>S</w:t>
      </w:r>
      <w:r>
        <w:rPr>
          <w:rFonts w:ascii="Times New Roman" w:hAnsi="Times New Roman" w:cs="Times New Roman" w:eastAsia="Times New Roman" w:hint="default"/>
          <w:w w:val="99"/>
          <w:sz w:val="21"/>
          <w:szCs w:val="21"/>
        </w:rPr>
        <w:t> </w:t>
      </w:r>
      <w:r>
        <w:rPr>
          <w:rFonts w:ascii="Times New Roman" w:hAnsi="Times New Roman" w:cs="Times New Roman" w:eastAsia="Times New Roman" w:hint="default"/>
          <w:sz w:val="21"/>
          <w:szCs w:val="21"/>
        </w:rPr>
        <w:t>S=S0+S1+Si</w:t>
      </w:r>
      <w:r>
        <w:rPr>
          <w:rFonts w:ascii="宋体" w:hAnsi="宋体" w:cs="宋体" w:eastAsia="宋体" w:hint="default"/>
          <w:sz w:val="21"/>
          <w:szCs w:val="21"/>
        </w:rPr>
        <w:t>×</w:t>
      </w:r>
      <w:r>
        <w:rPr>
          <w:rFonts w:ascii="Times New Roman" w:hAnsi="Times New Roman" w:cs="Times New Roman" w:eastAsia="Times New Roman" w:hint="default"/>
          <w:sz w:val="21"/>
          <w:szCs w:val="21"/>
        </w:rPr>
        <w:t>Mi</w:t>
      </w:r>
      <w:r>
        <w:rPr>
          <w:rFonts w:ascii="宋体" w:hAnsi="宋体" w:cs="宋体" w:eastAsia="宋体" w:hint="default"/>
          <w:sz w:val="21"/>
          <w:szCs w:val="21"/>
        </w:rPr>
        <w:t>÷</w:t>
      </w:r>
      <w:r>
        <w:rPr>
          <w:rFonts w:ascii="Times New Roman" w:hAnsi="Times New Roman" w:cs="Times New Roman" w:eastAsia="Times New Roman" w:hint="default"/>
          <w:sz w:val="21"/>
          <w:szCs w:val="21"/>
        </w:rPr>
        <w:t>M0</w:t>
      </w:r>
      <w:r>
        <w:rPr>
          <w:rFonts w:ascii="宋体" w:hAnsi="宋体" w:cs="宋体" w:eastAsia="宋体" w:hint="default"/>
          <w:sz w:val="21"/>
          <w:szCs w:val="21"/>
        </w:rPr>
        <w:t>－</w:t>
      </w:r>
      <w:r>
        <w:rPr>
          <w:rFonts w:ascii="Times New Roman" w:hAnsi="Times New Roman" w:cs="Times New Roman" w:eastAsia="Times New Roman" w:hint="default"/>
          <w:sz w:val="21"/>
          <w:szCs w:val="21"/>
        </w:rPr>
        <w:t>Sj</w:t>
      </w:r>
      <w:r>
        <w:rPr>
          <w:rFonts w:ascii="宋体" w:hAnsi="宋体" w:cs="宋体" w:eastAsia="宋体" w:hint="default"/>
          <w:sz w:val="21"/>
          <w:szCs w:val="21"/>
        </w:rPr>
        <w:t>×</w:t>
      </w:r>
      <w:r>
        <w:rPr>
          <w:rFonts w:ascii="Times New Roman" w:hAnsi="Times New Roman" w:cs="Times New Roman" w:eastAsia="Times New Roman" w:hint="default"/>
          <w:sz w:val="21"/>
          <w:szCs w:val="21"/>
        </w:rPr>
        <w:t>Mj</w:t>
      </w:r>
      <w:r>
        <w:rPr>
          <w:rFonts w:ascii="宋体" w:hAnsi="宋体" w:cs="宋体" w:eastAsia="宋体" w:hint="default"/>
          <w:sz w:val="21"/>
          <w:szCs w:val="21"/>
        </w:rPr>
        <w:t>÷</w:t>
      </w:r>
      <w:r>
        <w:rPr>
          <w:rFonts w:ascii="Times New Roman" w:hAnsi="Times New Roman" w:cs="Times New Roman" w:eastAsia="Times New Roman" w:hint="default"/>
          <w:sz w:val="21"/>
          <w:szCs w:val="21"/>
        </w:rPr>
        <w:t>M0</w:t>
      </w:r>
      <w:r>
        <w:rPr>
          <w:rFonts w:ascii="宋体" w:hAnsi="宋体" w:cs="宋体" w:eastAsia="宋体" w:hint="default"/>
          <w:sz w:val="21"/>
          <w:szCs w:val="21"/>
        </w:rPr>
        <w:t>－</w:t>
      </w:r>
      <w:r>
        <w:rPr>
          <w:rFonts w:ascii="Times New Roman" w:hAnsi="Times New Roman" w:cs="Times New Roman" w:eastAsia="Times New Roman" w:hint="default"/>
          <w:sz w:val="21"/>
          <w:szCs w:val="21"/>
        </w:rPr>
        <w:t>Sk</w:t>
      </w:r>
    </w:p>
    <w:p>
      <w:pPr>
        <w:pStyle w:val="BodyText"/>
        <w:spacing w:line="256" w:lineRule="auto" w:before="20"/>
        <w:ind w:left="499" w:right="491" w:firstLine="314"/>
        <w:jc w:val="both"/>
      </w:pPr>
      <w:r>
        <w:rPr>
          <w:spacing w:val="2"/>
        </w:rPr>
        <w:t>其中：</w:t>
      </w:r>
      <w:r>
        <w:rPr>
          <w:rFonts w:ascii="Times New Roman" w:hAnsi="Times New Roman" w:cs="Times New Roman" w:eastAsia="Times New Roman" w:hint="default"/>
          <w:spacing w:val="2"/>
        </w:rPr>
        <w:t>P</w:t>
      </w:r>
      <w:r>
        <w:rPr>
          <w:spacing w:val="2"/>
        </w:rPr>
        <w:t>为归属于公司普通股股东的净利润或扣除非经常性损益后归属于普通股股东的 </w:t>
      </w:r>
      <w:r>
        <w:rPr>
          <w:spacing w:val="-1"/>
        </w:rPr>
        <w:t>净利润；</w:t>
      </w:r>
      <w:r>
        <w:rPr>
          <w:rFonts w:ascii="Times New Roman" w:hAnsi="Times New Roman" w:cs="Times New Roman" w:eastAsia="Times New Roman" w:hint="default"/>
          <w:spacing w:val="-1"/>
        </w:rPr>
        <w:t>S</w:t>
      </w:r>
      <w:r>
        <w:rPr>
          <w:spacing w:val="-1"/>
        </w:rPr>
        <w:t>为发行在外的普通股加权平均数；</w:t>
      </w:r>
      <w:r>
        <w:rPr>
          <w:rFonts w:ascii="Times New Roman" w:hAnsi="Times New Roman" w:cs="Times New Roman" w:eastAsia="Times New Roman" w:hint="default"/>
          <w:spacing w:val="-1"/>
        </w:rPr>
        <w:t>S0</w:t>
      </w:r>
      <w:r>
        <w:rPr>
          <w:spacing w:val="-1"/>
        </w:rPr>
        <w:t>为期初股份总数；</w:t>
      </w:r>
      <w:r>
        <w:rPr>
          <w:rFonts w:ascii="Times New Roman" w:hAnsi="Times New Roman" w:cs="Times New Roman" w:eastAsia="Times New Roman" w:hint="default"/>
          <w:spacing w:val="-1"/>
        </w:rPr>
        <w:t>S1</w:t>
      </w:r>
      <w:r>
        <w:rPr>
          <w:spacing w:val="-1"/>
        </w:rPr>
        <w:t>为报告期因公积金转增</w:t>
      </w:r>
      <w:r>
        <w:rPr>
          <w:spacing w:val="-93"/>
        </w:rPr>
        <w:t> </w:t>
      </w:r>
      <w:r>
        <w:rPr>
          <w:spacing w:val="-1"/>
        </w:rPr>
        <w:t>股本或股票股利分配等增加股份数；</w:t>
      </w:r>
      <w:r>
        <w:rPr>
          <w:rFonts w:ascii="Times New Roman" w:hAnsi="Times New Roman" w:cs="Times New Roman" w:eastAsia="Times New Roman" w:hint="default"/>
          <w:spacing w:val="-1"/>
        </w:rPr>
        <w:t>Si</w:t>
      </w:r>
      <w:r>
        <w:rPr>
          <w:spacing w:val="-1"/>
        </w:rPr>
        <w:t>为报告期因发行新股或债转股等增加股份数；</w:t>
      </w:r>
      <w:r>
        <w:rPr>
          <w:rFonts w:ascii="Times New Roman" w:hAnsi="Times New Roman" w:cs="Times New Roman" w:eastAsia="Times New Roman" w:hint="default"/>
          <w:spacing w:val="-1"/>
        </w:rPr>
        <w:t>Sj</w:t>
      </w:r>
      <w:r>
        <w:rPr>
          <w:spacing w:val="-1"/>
        </w:rPr>
        <w:t>为报</w:t>
      </w:r>
      <w:r>
        <w:rPr>
          <w:spacing w:val="-90"/>
        </w:rPr>
        <w:t> </w:t>
      </w:r>
      <w:r>
        <w:rPr>
          <w:spacing w:val="-1"/>
        </w:rPr>
        <w:t>告期因回购等减少股份数；</w:t>
      </w:r>
      <w:r>
        <w:rPr>
          <w:rFonts w:ascii="Times New Roman" w:hAnsi="Times New Roman" w:cs="Times New Roman" w:eastAsia="Times New Roman" w:hint="default"/>
          <w:spacing w:val="-1"/>
        </w:rPr>
        <w:t>Sk</w:t>
      </w:r>
      <w:r>
        <w:rPr>
          <w:spacing w:val="-1"/>
        </w:rPr>
        <w:t>为报告期缩股数；</w:t>
      </w:r>
      <w:r>
        <w:rPr>
          <w:rFonts w:ascii="Times New Roman" w:hAnsi="Times New Roman" w:cs="Times New Roman" w:eastAsia="Times New Roman" w:hint="default"/>
          <w:spacing w:val="-1"/>
        </w:rPr>
        <w:t>M0</w:t>
      </w:r>
      <w:r>
        <w:rPr>
          <w:spacing w:val="-1"/>
        </w:rPr>
        <w:t>报告期月份数；</w:t>
      </w:r>
      <w:r>
        <w:rPr>
          <w:rFonts w:ascii="Times New Roman" w:hAnsi="Times New Roman" w:cs="Times New Roman" w:eastAsia="Times New Roman" w:hint="default"/>
          <w:spacing w:val="-1"/>
        </w:rPr>
        <w:t>Mi</w:t>
      </w:r>
      <w:r>
        <w:rPr>
          <w:spacing w:val="-1"/>
        </w:rPr>
        <w:t>为增加股份下一月份</w:t>
      </w:r>
      <w:r>
        <w:rPr>
          <w:spacing w:val="-82"/>
        </w:rPr>
        <w:t> </w:t>
      </w:r>
      <w:r>
        <w:rPr/>
        <w:t>起至报告期期末的月份数；</w:t>
      </w:r>
      <w:r>
        <w:rPr>
          <w:rFonts w:ascii="Times New Roman" w:hAnsi="Times New Roman" w:cs="Times New Roman" w:eastAsia="Times New Roman" w:hint="default"/>
        </w:rPr>
        <w:t>Mj</w:t>
      </w:r>
      <w:r>
        <w:rPr/>
        <w:t>为减少股份下一月份起至报告期期末的月份数。</w:t>
      </w:r>
    </w:p>
    <w:p>
      <w:pPr>
        <w:spacing w:line="321" w:lineRule="auto" w:before="161"/>
        <w:ind w:left="815" w:right="493" w:hanging="31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稀释每股收益的计算过程</w:t>
      </w:r>
      <w:r>
        <w:rPr>
          <w:rFonts w:ascii="宋体" w:hAnsi="宋体" w:cs="宋体" w:eastAsia="宋体" w:hint="default"/>
          <w:b/>
          <w:bCs/>
          <w:w w:val="99"/>
          <w:sz w:val="21"/>
          <w:szCs w:val="21"/>
        </w:rPr>
        <w:t> </w:t>
      </w:r>
      <w:r>
        <w:rPr>
          <w:rFonts w:ascii="宋体" w:hAnsi="宋体" w:cs="宋体" w:eastAsia="宋体" w:hint="default"/>
          <w:sz w:val="21"/>
          <w:szCs w:val="21"/>
        </w:rPr>
        <w:t>稀释每股收益</w:t>
      </w:r>
      <w:r>
        <w:rPr>
          <w:rFonts w:ascii="Times New Roman" w:hAnsi="Times New Roman" w:cs="Times New Roman" w:eastAsia="Times New Roman" w:hint="default"/>
          <w:sz w:val="21"/>
          <w:szCs w:val="21"/>
        </w:rPr>
        <w:t>=[P+</w:t>
      </w:r>
      <w:r>
        <w:rPr>
          <w:rFonts w:ascii="宋体" w:hAnsi="宋体" w:cs="宋体" w:eastAsia="宋体" w:hint="default"/>
          <w:sz w:val="21"/>
          <w:szCs w:val="21"/>
        </w:rPr>
        <w:t>（已确认为费用的稀释性潜在普通股利息－转换费用）×（</w:t>
      </w:r>
      <w:r>
        <w:rPr>
          <w:rFonts w:ascii="Times New Roman" w:hAnsi="Times New Roman" w:cs="Times New Roman" w:eastAsia="Times New Roman" w:hint="default"/>
          <w:sz w:val="21"/>
          <w:szCs w:val="21"/>
        </w:rPr>
        <w:t>1-</w:t>
      </w:r>
      <w:r>
        <w:rPr>
          <w:rFonts w:ascii="宋体" w:hAnsi="宋体" w:cs="宋体" w:eastAsia="宋体" w:hint="default"/>
          <w:sz w:val="21"/>
          <w:szCs w:val="21"/>
        </w:rPr>
        <w:t>所得税</w:t>
      </w:r>
    </w:p>
    <w:p>
      <w:pPr>
        <w:pStyle w:val="BodyText"/>
        <w:spacing w:line="233" w:lineRule="exact" w:before="0"/>
        <w:ind w:left="499" w:right="0"/>
        <w:jc w:val="left"/>
      </w:pPr>
      <w:r>
        <w:rPr/>
        <w:t>率）</w:t>
      </w:r>
      <w:r>
        <w:rPr>
          <w:rFonts w:ascii="Times New Roman" w:hAnsi="Times New Roman" w:cs="Times New Roman" w:eastAsia="Times New Roman" w:hint="default"/>
        </w:rPr>
        <w:t>]/</w:t>
      </w:r>
      <w:r>
        <w:rPr/>
        <w:t>（</w:t>
      </w:r>
      <w:r>
        <w:rPr>
          <w:rFonts w:ascii="Times New Roman" w:hAnsi="Times New Roman" w:cs="Times New Roman" w:eastAsia="Times New Roman" w:hint="default"/>
        </w:rPr>
        <w:t>S0+S1+Si</w:t>
      </w:r>
      <w:r>
        <w:rPr/>
        <w:t>×</w:t>
      </w:r>
      <w:r>
        <w:rPr>
          <w:rFonts w:ascii="Times New Roman" w:hAnsi="Times New Roman" w:cs="Times New Roman" w:eastAsia="Times New Roman" w:hint="default"/>
        </w:rPr>
        <w:t>Mi</w:t>
      </w:r>
      <w:r>
        <w:rPr/>
        <w:t>÷</w:t>
      </w:r>
      <w:r>
        <w:rPr>
          <w:rFonts w:ascii="Times New Roman" w:hAnsi="Times New Roman" w:cs="Times New Roman" w:eastAsia="Times New Roman" w:hint="default"/>
        </w:rPr>
        <w:t>M0</w:t>
      </w:r>
      <w:r>
        <w:rPr/>
        <w:t>－</w:t>
      </w:r>
      <w:r>
        <w:rPr>
          <w:rFonts w:ascii="Times New Roman" w:hAnsi="Times New Roman" w:cs="Times New Roman" w:eastAsia="Times New Roman" w:hint="default"/>
        </w:rPr>
        <w:t>Sj</w:t>
      </w:r>
      <w:r>
        <w:rPr/>
        <w:t>×</w:t>
      </w:r>
      <w:r>
        <w:rPr>
          <w:rFonts w:ascii="Times New Roman" w:hAnsi="Times New Roman" w:cs="Times New Roman" w:eastAsia="Times New Roman" w:hint="default"/>
        </w:rPr>
        <w:t>Mj</w:t>
      </w:r>
      <w:r>
        <w:rPr/>
        <w:t>÷</w:t>
      </w:r>
      <w:r>
        <w:rPr>
          <w:rFonts w:ascii="Times New Roman" w:hAnsi="Times New Roman" w:cs="Times New Roman" w:eastAsia="Times New Roman" w:hint="default"/>
        </w:rPr>
        <w:t>M0</w:t>
      </w:r>
      <w:r>
        <w:rPr/>
        <w:t>—</w:t>
      </w:r>
      <w:r>
        <w:rPr>
          <w:rFonts w:ascii="Times New Roman" w:hAnsi="Times New Roman" w:cs="Times New Roman" w:eastAsia="Times New Roman" w:hint="default"/>
        </w:rPr>
        <w:t>Sk+</w:t>
      </w:r>
      <w:r>
        <w:rPr/>
        <w:t>认股权证、股份期权、可转换债券等增加</w:t>
      </w:r>
    </w:p>
    <w:p>
      <w:pPr>
        <w:spacing w:after="0" w:line="233" w:lineRule="exact"/>
        <w:jc w:val="left"/>
        <w:sectPr>
          <w:headerReference w:type="default" r:id="rId26"/>
          <w:footerReference w:type="default" r:id="rId27"/>
          <w:pgSz w:w="11910" w:h="16840"/>
          <w:pgMar w:header="400" w:footer="982" w:top="1100" w:bottom="1180" w:left="1300" w:right="1300"/>
          <w:pgNumType w:start="69"/>
        </w:sectPr>
      </w:pPr>
    </w:p>
    <w:p>
      <w:pPr>
        <w:spacing w:line="240" w:lineRule="auto" w:before="9"/>
        <w:rPr>
          <w:rFonts w:ascii="宋体" w:hAnsi="宋体" w:cs="宋体" w:eastAsia="宋体" w:hint="default"/>
          <w:sz w:val="20"/>
          <w:szCs w:val="20"/>
        </w:rPr>
      </w:pPr>
    </w:p>
    <w:p>
      <w:pPr>
        <w:pStyle w:val="BodyText"/>
        <w:spacing w:line="340" w:lineRule="auto" w:before="35"/>
        <w:ind w:left="555" w:right="0" w:hanging="316"/>
        <w:jc w:val="left"/>
      </w:pPr>
      <w:r>
        <w:rPr/>
        <w:t>的普通股加权平均数） </w:t>
      </w:r>
      <w:r>
        <w:rPr>
          <w:spacing w:val="2"/>
        </w:rPr>
        <w:t>其中，</w:t>
      </w:r>
      <w:r>
        <w:rPr>
          <w:rFonts w:ascii="Times New Roman" w:hAnsi="Times New Roman" w:cs="Times New Roman" w:eastAsia="Times New Roman" w:hint="default"/>
          <w:spacing w:val="2"/>
        </w:rPr>
        <w:t>P</w:t>
      </w:r>
      <w:r>
        <w:rPr>
          <w:spacing w:val="2"/>
        </w:rPr>
        <w:t>为归属于公司普通股股东的净利润或扣除非经常性损益后归属于公司普通股股</w:t>
      </w:r>
      <w:r>
        <w:rPr/>
      </w:r>
    </w:p>
    <w:p>
      <w:pPr>
        <w:pStyle w:val="BodyText"/>
        <w:spacing w:line="198" w:lineRule="exact" w:before="0"/>
        <w:ind w:left="240" w:right="0"/>
        <w:jc w:val="left"/>
      </w:pPr>
      <w:r>
        <w:rPr>
          <w:spacing w:val="-3"/>
        </w:rPr>
        <w:t>东的净利润。公司在计算稀释每股收益时，应考虑所有稀释性潜在普通股的影响，直至稀释</w:t>
      </w:r>
    </w:p>
    <w:p>
      <w:pPr>
        <w:pStyle w:val="BodyText"/>
        <w:spacing w:line="240" w:lineRule="auto" w:before="37"/>
        <w:ind w:left="240" w:right="0"/>
        <w:jc w:val="left"/>
      </w:pPr>
      <w:r>
        <w:rPr/>
        <w:t>每股收益达到最小。</w:t>
      </w:r>
    </w:p>
    <w:p>
      <w:pPr>
        <w:spacing w:line="240" w:lineRule="auto" w:before="10"/>
        <w:rPr>
          <w:rFonts w:ascii="宋体" w:hAnsi="宋体" w:cs="宋体" w:eastAsia="宋体" w:hint="default"/>
          <w:sz w:val="14"/>
          <w:szCs w:val="14"/>
        </w:rPr>
      </w:pPr>
    </w:p>
    <w:p>
      <w:pPr>
        <w:pStyle w:val="Heading4"/>
        <w:spacing w:line="240" w:lineRule="auto"/>
        <w:ind w:left="240" w:right="0"/>
        <w:jc w:val="left"/>
        <w:rPr>
          <w:b w:val="0"/>
          <w:bCs w:val="0"/>
        </w:rPr>
      </w:pPr>
      <w:r>
        <w:rPr>
          <w:rFonts w:ascii="Times New Roman" w:hAnsi="Times New Roman" w:cs="Times New Roman" w:eastAsia="Times New Roman" w:hint="default"/>
        </w:rPr>
        <w:t>5</w:t>
      </w:r>
      <w:r>
        <w:rPr>
          <w:spacing w:val="1"/>
          <w:w w:val="99"/>
        </w:rPr>
        <w:t>、非</w:t>
      </w:r>
      <w:r>
        <w:rPr>
          <w:spacing w:val="-1"/>
          <w:w w:val="99"/>
        </w:rPr>
        <w:t>经</w:t>
      </w:r>
      <w:r>
        <w:rPr>
          <w:spacing w:val="1"/>
          <w:w w:val="99"/>
        </w:rPr>
        <w:t>常</w:t>
      </w:r>
      <w:r>
        <w:rPr>
          <w:spacing w:val="-1"/>
          <w:w w:val="99"/>
        </w:rPr>
        <w:t>性</w:t>
      </w:r>
      <w:r>
        <w:rPr>
          <w:spacing w:val="1"/>
          <w:w w:val="99"/>
        </w:rPr>
        <w:t>损益项</w:t>
      </w:r>
      <w:r>
        <w:rPr>
          <w:spacing w:val="-1"/>
          <w:w w:val="99"/>
        </w:rPr>
        <w:t>目包</w:t>
      </w:r>
      <w:r>
        <w:rPr>
          <w:spacing w:val="1"/>
          <w:w w:val="99"/>
        </w:rPr>
        <w:t>括</w:t>
      </w:r>
      <w:r>
        <w:rPr>
          <w:spacing w:val="-105"/>
          <w:w w:val="99"/>
        </w:rPr>
        <w:t>：</w:t>
      </w:r>
      <w:r>
        <w:rPr>
          <w:spacing w:val="1"/>
          <w:w w:val="99"/>
        </w:rPr>
        <w:t>（无</w:t>
      </w:r>
      <w:r>
        <w:rPr>
          <w:spacing w:val="-1"/>
          <w:w w:val="99"/>
        </w:rPr>
        <w:t>发生</w:t>
      </w:r>
      <w:r>
        <w:rPr>
          <w:spacing w:val="1"/>
          <w:w w:val="99"/>
        </w:rPr>
        <w:t>项目可</w:t>
      </w:r>
      <w:r>
        <w:rPr>
          <w:spacing w:val="-1"/>
          <w:w w:val="99"/>
        </w:rPr>
        <w:t>不列</w:t>
      </w:r>
      <w:r>
        <w:rPr>
          <w:w w:val="99"/>
        </w:rPr>
        <w:t>）</w:t>
      </w:r>
      <w:r>
        <w:rPr>
          <w:b w:val="0"/>
          <w:bCs w:val="0"/>
        </w:rPr>
      </w:r>
    </w:p>
    <w:p>
      <w:pPr>
        <w:spacing w:line="240" w:lineRule="auto" w:before="9"/>
        <w:rPr>
          <w:rFonts w:ascii="宋体" w:hAnsi="宋体" w:cs="宋体" w:eastAsia="宋体" w:hint="default"/>
          <w:b/>
          <w:bCs/>
          <w:sz w:val="14"/>
          <w:szCs w:val="14"/>
        </w:rPr>
      </w:pPr>
    </w:p>
    <w:tbl>
      <w:tblPr>
        <w:tblW w:w="0" w:type="auto"/>
        <w:jc w:val="left"/>
        <w:tblInd w:w="104" w:type="dxa"/>
        <w:tblLayout w:type="fixed"/>
        <w:tblCellMar>
          <w:top w:w="0" w:type="dxa"/>
          <w:left w:w="0" w:type="dxa"/>
          <w:bottom w:w="0" w:type="dxa"/>
          <w:right w:w="0" w:type="dxa"/>
        </w:tblCellMar>
        <w:tblLook w:val="01E0"/>
      </w:tblPr>
      <w:tblGrid>
        <w:gridCol w:w="5868"/>
        <w:gridCol w:w="1350"/>
        <w:gridCol w:w="1350"/>
      </w:tblGrid>
      <w:tr>
        <w:trPr>
          <w:trHeight w:val="322" w:hRule="exact"/>
        </w:trPr>
        <w:tc>
          <w:tcPr>
            <w:tcW w:w="5868"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2" w:right="0"/>
              <w:jc w:val="left"/>
              <w:rPr>
                <w:rFonts w:ascii="宋体" w:hAnsi="宋体" w:cs="宋体" w:eastAsia="宋体" w:hint="default"/>
                <w:sz w:val="21"/>
                <w:szCs w:val="21"/>
              </w:rPr>
            </w:pPr>
            <w:r>
              <w:rPr>
                <w:rFonts w:ascii="宋体" w:hAnsi="宋体" w:cs="宋体" w:eastAsia="宋体" w:hint="default"/>
                <w:b/>
                <w:bCs/>
                <w:sz w:val="21"/>
                <w:szCs w:val="21"/>
              </w:rPr>
              <w:t>本期数</w:t>
            </w:r>
            <w:r>
              <w:rPr>
                <w:rFonts w:ascii="宋体" w:hAnsi="宋体" w:cs="宋体" w:eastAsia="宋体" w:hint="default"/>
                <w:sz w:val="21"/>
                <w:szCs w:val="21"/>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2" w:right="0"/>
              <w:jc w:val="left"/>
              <w:rPr>
                <w:rFonts w:ascii="宋体" w:hAnsi="宋体" w:cs="宋体" w:eastAsia="宋体" w:hint="default"/>
                <w:sz w:val="21"/>
                <w:szCs w:val="21"/>
              </w:rPr>
            </w:pPr>
            <w:r>
              <w:rPr>
                <w:rFonts w:ascii="宋体" w:hAnsi="宋体" w:cs="宋体" w:eastAsia="宋体" w:hint="default"/>
                <w:b/>
                <w:bCs/>
                <w:sz w:val="21"/>
                <w:szCs w:val="21"/>
              </w:rPr>
              <w:t>上年数</w:t>
            </w:r>
            <w:r>
              <w:rPr>
                <w:rFonts w:ascii="宋体" w:hAnsi="宋体" w:cs="宋体" w:eastAsia="宋体" w:hint="default"/>
                <w:sz w:val="21"/>
                <w:szCs w:val="21"/>
              </w:rPr>
            </w:r>
          </w:p>
        </w:tc>
      </w:tr>
      <w:tr>
        <w:trPr>
          <w:trHeight w:val="323" w:hRule="exact"/>
        </w:trPr>
        <w:tc>
          <w:tcPr>
            <w:tcW w:w="5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（一）非流动性资产处置损益，包括已计提资产减值准备的冲销部分：</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-326,234.85</w:t>
            </w:r>
            <w:r>
              <w:rPr>
                <w:rFonts w:ascii="Times New Roman"/>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-78,129.03</w:t>
            </w:r>
            <w:r>
              <w:rPr>
                <w:rFonts w:ascii="Times New Roman"/>
                <w:sz w:val="18"/>
              </w:rPr>
            </w:r>
          </w:p>
        </w:tc>
      </w:tr>
      <w:tr>
        <w:trPr>
          <w:trHeight w:val="322" w:hRule="exact"/>
        </w:trPr>
        <w:tc>
          <w:tcPr>
            <w:tcW w:w="5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（二）越权审批，或无正式批准文件，或偶发性的税收返还、减免：</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8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0"/>
              <w:jc w:val="left"/>
              <w:rPr>
                <w:rFonts w:ascii="宋体" w:hAnsi="宋体" w:cs="宋体" w:eastAsia="宋体" w:hint="default"/>
                <w:sz w:val="18"/>
                <w:szCs w:val="18"/>
              </w:rPr>
            </w:pPr>
            <w:r>
              <w:rPr>
                <w:rFonts w:ascii="宋体" w:hAnsi="宋体" w:cs="宋体" w:eastAsia="宋体" w:hint="default"/>
                <w:sz w:val="18"/>
                <w:szCs w:val="18"/>
              </w:rPr>
              <w:t>（三）计入当期损益的政府补助，但与公司正常经营业务密切相关，符</w:t>
            </w:r>
            <w:r>
              <w:rPr>
                <w:rFonts w:ascii="宋体" w:hAnsi="宋体" w:cs="宋体" w:eastAsia="宋体" w:hint="default"/>
                <w:spacing w:val="-29"/>
                <w:sz w:val="18"/>
                <w:szCs w:val="18"/>
              </w:rPr>
              <w:t> </w:t>
            </w:r>
            <w:r>
              <w:rPr>
                <w:rFonts w:ascii="宋体" w:hAnsi="宋体" w:cs="宋体" w:eastAsia="宋体" w:hint="default"/>
                <w:sz w:val="18"/>
                <w:szCs w:val="18"/>
              </w:rPr>
              <w:t>合国家政策规定、按照一定标准定额或定量持续享受的政府补助除外：</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12,109,270.73</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15,718,820.95</w:t>
            </w:r>
          </w:p>
        </w:tc>
      </w:tr>
      <w:tr>
        <w:trPr>
          <w:trHeight w:val="323" w:hRule="exact"/>
        </w:trPr>
        <w:tc>
          <w:tcPr>
            <w:tcW w:w="5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（四）计入当期损益的对非金融企业收取的资金占用费：</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8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0"/>
              <w:jc w:val="left"/>
              <w:rPr>
                <w:rFonts w:ascii="宋体" w:hAnsi="宋体" w:cs="宋体" w:eastAsia="宋体" w:hint="default"/>
                <w:sz w:val="18"/>
                <w:szCs w:val="18"/>
              </w:rPr>
            </w:pPr>
            <w:r>
              <w:rPr>
                <w:rFonts w:ascii="宋体" w:hAnsi="宋体" w:cs="宋体" w:eastAsia="宋体" w:hint="default"/>
                <w:sz w:val="18"/>
                <w:szCs w:val="18"/>
              </w:rPr>
              <w:t>（五）企业取得子公司、联营企业及合营企业的投资成本小于取得投资</w:t>
            </w:r>
            <w:r>
              <w:rPr>
                <w:rFonts w:ascii="宋体" w:hAnsi="宋体" w:cs="宋体" w:eastAsia="宋体" w:hint="default"/>
                <w:spacing w:val="-29"/>
                <w:sz w:val="18"/>
                <w:szCs w:val="18"/>
              </w:rPr>
              <w:t> </w:t>
            </w:r>
            <w:r>
              <w:rPr>
                <w:rFonts w:ascii="宋体" w:hAnsi="宋体" w:cs="宋体" w:eastAsia="宋体" w:hint="default"/>
                <w:sz w:val="18"/>
                <w:szCs w:val="18"/>
              </w:rPr>
              <w:t>时应享有被投资单位可辨认净资产公允价值产生的收益：</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（六）非货币性资产交换损益：</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（七）委托他人投资或管理资产的损益：</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（八）因不可抗力因素，如遭受自然灾害而计提的各项资产减值准备：</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（九）债务重组损益：</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（十）企业重组费用，如安置职工的支出、整合费用等：</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（十一）交易价格显失公允的交易产生的超过公允价值部分的损益：</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
                <w:sz w:val="18"/>
                <w:szCs w:val="18"/>
              </w:rPr>
              <w:t>（十二）同一控制下企业合并产生的子公司期初至合并日的当期净损益：</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（十三）与公司正常经营业务无关的或有事项产生的损益：</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58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0"/>
              <w:jc w:val="both"/>
              <w:rPr>
                <w:rFonts w:ascii="宋体" w:hAnsi="宋体" w:cs="宋体" w:eastAsia="宋体" w:hint="default"/>
                <w:sz w:val="18"/>
                <w:szCs w:val="18"/>
              </w:rPr>
            </w:pPr>
            <w:r>
              <w:rPr>
                <w:rFonts w:ascii="宋体" w:hAnsi="宋体" w:cs="宋体" w:eastAsia="宋体" w:hint="default"/>
                <w:sz w:val="18"/>
                <w:szCs w:val="18"/>
              </w:rPr>
              <w:t>（十四）除同公司正常经营业务相关的有效套期保值业务外，持有交易</w:t>
            </w:r>
            <w:r>
              <w:rPr>
                <w:rFonts w:ascii="宋体" w:hAnsi="宋体" w:cs="宋体" w:eastAsia="宋体" w:hint="default"/>
                <w:spacing w:val="-29"/>
                <w:sz w:val="18"/>
                <w:szCs w:val="18"/>
              </w:rPr>
              <w:t> </w:t>
            </w:r>
            <w:r>
              <w:rPr>
                <w:rFonts w:ascii="宋体" w:hAnsi="宋体" w:cs="宋体" w:eastAsia="宋体" w:hint="default"/>
                <w:sz w:val="18"/>
                <w:szCs w:val="18"/>
              </w:rPr>
              <w:t>性金融资产、交易性金融负债产生的公允价值变动损益，以及处置交易</w:t>
            </w:r>
            <w:r>
              <w:rPr>
                <w:rFonts w:ascii="宋体" w:hAnsi="宋体" w:cs="宋体" w:eastAsia="宋体" w:hint="default"/>
                <w:spacing w:val="-29"/>
                <w:sz w:val="18"/>
                <w:szCs w:val="18"/>
              </w:rPr>
              <w:t> </w:t>
            </w:r>
            <w:r>
              <w:rPr>
                <w:rFonts w:ascii="宋体" w:hAnsi="宋体" w:cs="宋体" w:eastAsia="宋体" w:hint="default"/>
                <w:sz w:val="18"/>
                <w:szCs w:val="18"/>
              </w:rPr>
              <w:t>性金融资产、交易性金融负债和可供出售金融资产取得的投资收益：</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（十五）单独进行减值测试的应收款项减值准备转回：</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（十六）对外委托贷款取得的损益：</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8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0"/>
              <w:jc w:val="left"/>
              <w:rPr>
                <w:rFonts w:ascii="宋体" w:hAnsi="宋体" w:cs="宋体" w:eastAsia="宋体" w:hint="default"/>
                <w:sz w:val="18"/>
                <w:szCs w:val="18"/>
              </w:rPr>
            </w:pPr>
            <w:r>
              <w:rPr>
                <w:rFonts w:ascii="宋体" w:hAnsi="宋体" w:cs="宋体" w:eastAsia="宋体" w:hint="default"/>
                <w:sz w:val="18"/>
                <w:szCs w:val="18"/>
              </w:rPr>
              <w:t>（十七）采用公允价值模式进行后续计量的投资性房地产公允价值变动</w:t>
            </w:r>
            <w:r>
              <w:rPr>
                <w:rFonts w:ascii="宋体" w:hAnsi="宋体" w:cs="宋体" w:eastAsia="宋体" w:hint="default"/>
                <w:spacing w:val="-29"/>
                <w:sz w:val="18"/>
                <w:szCs w:val="18"/>
              </w:rPr>
              <w:t> </w:t>
            </w:r>
            <w:r>
              <w:rPr>
                <w:rFonts w:ascii="宋体" w:hAnsi="宋体" w:cs="宋体" w:eastAsia="宋体" w:hint="default"/>
                <w:sz w:val="18"/>
                <w:szCs w:val="18"/>
              </w:rPr>
              <w:t>产生的损益：</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8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0"/>
              <w:jc w:val="left"/>
              <w:rPr>
                <w:rFonts w:ascii="宋体" w:hAnsi="宋体" w:cs="宋体" w:eastAsia="宋体" w:hint="default"/>
                <w:sz w:val="18"/>
                <w:szCs w:val="18"/>
              </w:rPr>
            </w:pPr>
            <w:r>
              <w:rPr>
                <w:rFonts w:ascii="宋体" w:hAnsi="宋体" w:cs="宋体" w:eastAsia="宋体" w:hint="default"/>
                <w:sz w:val="18"/>
                <w:szCs w:val="18"/>
              </w:rPr>
              <w:t>（十八）根据税收、会计等法律、法规的要求对当期损益进行一次性调</w:t>
            </w:r>
            <w:r>
              <w:rPr>
                <w:rFonts w:ascii="宋体" w:hAnsi="宋体" w:cs="宋体" w:eastAsia="宋体" w:hint="default"/>
                <w:spacing w:val="-29"/>
                <w:sz w:val="18"/>
                <w:szCs w:val="18"/>
              </w:rPr>
              <w:t> </w:t>
            </w:r>
            <w:r>
              <w:rPr>
                <w:rFonts w:ascii="宋体" w:hAnsi="宋体" w:cs="宋体" w:eastAsia="宋体" w:hint="default"/>
                <w:sz w:val="18"/>
                <w:szCs w:val="18"/>
              </w:rPr>
              <w:t>整对当期损益的影响：</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（十九）受托经营取得的托管费收入：</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（二十）除上述各项之外的其他营业外收入和支出：</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1,063,355.70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3,689,345.63</w:t>
            </w:r>
          </w:p>
        </w:tc>
      </w:tr>
      <w:tr>
        <w:trPr>
          <w:trHeight w:val="322" w:hRule="exact"/>
        </w:trPr>
        <w:tc>
          <w:tcPr>
            <w:tcW w:w="5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（二十一）其他符合非经常性损益定义的损益项目：</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（二十二）少数股东损益的影响数：</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（二十三）所得税的影响数：</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-1,258,534.28</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-2,152,681.68</w:t>
            </w:r>
          </w:p>
        </w:tc>
      </w:tr>
      <w:tr>
        <w:trPr>
          <w:trHeight w:val="322" w:hRule="exact"/>
        </w:trPr>
        <w:tc>
          <w:tcPr>
            <w:tcW w:w="5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11,587,857.30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17,177,355.87</w:t>
            </w:r>
          </w:p>
        </w:tc>
      </w:tr>
      <w:tr>
        <w:trPr>
          <w:trHeight w:val="323" w:hRule="exact"/>
        </w:trPr>
        <w:tc>
          <w:tcPr>
            <w:tcW w:w="5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扣除非经常性损益后归属于公司普通股股东的净利润合计：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319,960,944.04</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214,392,445.14</w:t>
            </w:r>
          </w:p>
        </w:tc>
      </w:tr>
    </w:tbl>
    <w:p>
      <w:pPr>
        <w:spacing w:line="240" w:lineRule="auto" w:before="3"/>
        <w:rPr>
          <w:rFonts w:ascii="宋体" w:hAnsi="宋体" w:cs="宋体" w:eastAsia="宋体" w:hint="default"/>
          <w:b/>
          <w:bCs/>
          <w:sz w:val="21"/>
          <w:szCs w:val="21"/>
        </w:rPr>
      </w:pPr>
    </w:p>
    <w:p>
      <w:pPr>
        <w:tabs>
          <w:tab w:pos="3133" w:val="left" w:leader="none"/>
          <w:tab w:pos="6553" w:val="left" w:leader="none"/>
        </w:tabs>
        <w:spacing w:before="44"/>
        <w:ind w:left="433" w:right="0" w:firstLine="0"/>
        <w:jc w:val="left"/>
        <w:rPr>
          <w:rFonts w:ascii="宋体" w:hAnsi="宋体" w:cs="宋体" w:eastAsia="宋体" w:hint="default"/>
          <w:sz w:val="18"/>
          <w:szCs w:val="18"/>
        </w:rPr>
      </w:pPr>
      <w:r>
        <w:rPr>
          <w:rFonts w:ascii="宋体" w:hAnsi="宋体" w:cs="宋体" w:eastAsia="宋体" w:hint="default"/>
          <w:sz w:val="18"/>
          <w:szCs w:val="18"/>
        </w:rPr>
        <w:t>法定代表人：赵友永</w:t>
        <w:tab/>
        <w:t>主管会计工作负责人：蒋春晨</w:t>
        <w:tab/>
        <w:t>会计机构负责人：符昀</w:t>
      </w:r>
    </w:p>
    <w:p>
      <w:pPr>
        <w:spacing w:after="0"/>
        <w:jc w:val="left"/>
        <w:rPr>
          <w:rFonts w:ascii="宋体" w:hAnsi="宋体" w:cs="宋体" w:eastAsia="宋体" w:hint="default"/>
          <w:sz w:val="18"/>
          <w:szCs w:val="18"/>
        </w:rPr>
        <w:sectPr>
          <w:pgSz w:w="11910" w:h="16840"/>
          <w:pgMar w:header="400" w:footer="982" w:top="1100" w:bottom="1180" w:left="1560" w:right="15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4"/>
        <w:spacing w:line="240" w:lineRule="auto"/>
        <w:ind w:left="2370" w:right="2447"/>
        <w:jc w:val="center"/>
        <w:rPr>
          <w:b w:val="0"/>
          <w:bCs w:val="0"/>
        </w:rPr>
      </w:pPr>
      <w:r>
        <w:rPr/>
        <w:t>广州广电运通金融电子股份有限公司</w:t>
      </w:r>
      <w:r>
        <w:rPr>
          <w:b w:val="0"/>
          <w:bCs w:val="0"/>
        </w:rPr>
      </w:r>
    </w:p>
    <w:p>
      <w:pPr>
        <w:pStyle w:val="Heading4"/>
        <w:spacing w:line="240" w:lineRule="auto" w:before="125"/>
        <w:ind w:left="3213" w:right="102"/>
        <w:jc w:val="left"/>
        <w:rPr>
          <w:b w:val="0"/>
          <w:bCs w:val="0"/>
        </w:rPr>
      </w:pP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年度财务报表附注</w:t>
      </w:r>
      <w:r>
        <w:rPr>
          <w:b w:val="0"/>
          <w:bCs w:val="0"/>
        </w:rPr>
      </w:r>
    </w:p>
    <w:p>
      <w:pPr>
        <w:spacing w:line="240" w:lineRule="auto" w:before="0"/>
        <w:rPr>
          <w:rFonts w:ascii="宋体" w:hAnsi="宋体" w:cs="宋体" w:eastAsia="宋体" w:hint="default"/>
          <w:b/>
          <w:bCs/>
          <w:sz w:val="22"/>
          <w:szCs w:val="22"/>
        </w:rPr>
      </w:pPr>
    </w:p>
    <w:p>
      <w:pPr>
        <w:spacing w:line="240" w:lineRule="auto" w:before="13"/>
        <w:rPr>
          <w:rFonts w:ascii="宋体" w:hAnsi="宋体" w:cs="宋体" w:eastAsia="宋体" w:hint="default"/>
          <w:b/>
          <w:bCs/>
          <w:sz w:val="16"/>
          <w:szCs w:val="16"/>
        </w:rPr>
      </w:pPr>
    </w:p>
    <w:p>
      <w:pPr>
        <w:pStyle w:val="BodyText"/>
        <w:spacing w:line="348" w:lineRule="auto" w:before="0"/>
        <w:ind w:left="559" w:right="214" w:firstLine="2"/>
        <w:jc w:val="left"/>
      </w:pPr>
      <w:r>
        <w:rPr>
          <w:rFonts w:ascii="宋体" w:hAnsi="宋体" w:cs="宋体" w:eastAsia="宋体" w:hint="default"/>
          <w:b/>
          <w:bCs/>
        </w:rPr>
        <w:t>一、公司基本情况</w:t>
      </w:r>
      <w:r>
        <w:rPr>
          <w:rFonts w:ascii="宋体" w:hAnsi="宋体" w:cs="宋体" w:eastAsia="宋体" w:hint="default"/>
          <w:b/>
          <w:bCs/>
          <w:spacing w:val="1"/>
          <w:w w:val="99"/>
        </w:rPr>
        <w:t> </w:t>
      </w:r>
      <w:r>
        <w:rPr>
          <w:spacing w:val="-1"/>
        </w:rPr>
        <w:t>广州广电运通金融电子股份有限公司</w:t>
      </w:r>
      <w:r>
        <w:rPr>
          <w:rFonts w:ascii="Times New Roman" w:hAnsi="Times New Roman" w:cs="Times New Roman" w:eastAsia="Times New Roman" w:hint="default"/>
          <w:spacing w:val="-1"/>
        </w:rPr>
        <w:t>(</w:t>
      </w:r>
      <w:r>
        <w:rPr>
          <w:spacing w:val="-1"/>
        </w:rPr>
        <w:t>以下简称“本公司”</w:t>
      </w:r>
      <w:r>
        <w:rPr>
          <w:rFonts w:ascii="Times New Roman" w:hAnsi="Times New Roman" w:cs="Times New Roman" w:eastAsia="Times New Roman" w:hint="default"/>
          <w:spacing w:val="-1"/>
        </w:rPr>
        <w:t>)</w:t>
      </w:r>
      <w:r>
        <w:rPr>
          <w:spacing w:val="-1"/>
        </w:rPr>
        <w:t>前身系广州广电运通金融电</w:t>
      </w:r>
    </w:p>
    <w:p>
      <w:pPr>
        <w:pStyle w:val="BodyText"/>
        <w:spacing w:line="240" w:lineRule="auto" w:before="5"/>
        <w:ind w:left="139" w:right="0"/>
        <w:jc w:val="both"/>
      </w:pPr>
      <w:r>
        <w:rPr/>
        <w:t>子有限公司，成立于 </w:t>
      </w:r>
      <w:r>
        <w:rPr>
          <w:rFonts w:ascii="Times New Roman" w:hAnsi="Times New Roman" w:cs="Times New Roman" w:eastAsia="Times New Roman" w:hint="default"/>
        </w:rPr>
        <w:t>1999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8 </w:t>
      </w:r>
      <w:r>
        <w:rPr/>
        <w:t>日，</w:t>
      </w:r>
      <w:r>
        <w:rPr>
          <w:rFonts w:ascii="Times New Roman" w:hAnsi="Times New Roman" w:cs="Times New Roman" w:eastAsia="Times New Roman" w:hint="default"/>
        </w:rPr>
        <w:t>2005 </w:t>
      </w:r>
      <w:r>
        <w:rPr/>
        <w:t>年 </w:t>
      </w:r>
      <w:r>
        <w:rPr>
          <w:rFonts w:ascii="Times New Roman" w:hAnsi="Times New Roman" w:cs="Times New Roman" w:eastAsia="Times New Roman" w:hint="default"/>
        </w:rPr>
        <w:t>10 </w:t>
      </w:r>
      <w:r>
        <w:rPr>
          <w:rFonts w:ascii="Times New Roman" w:hAnsi="Times New Roman" w:cs="Times New Roman" w:eastAsia="Times New Roman" w:hint="default"/>
          <w:spacing w:val="2"/>
        </w:rPr>
        <w:t> </w:t>
      </w:r>
      <w:r>
        <w:rPr/>
        <w:t>月经广州市人民政府办公厅穗府办函</w:t>
      </w:r>
    </w:p>
    <w:p>
      <w:pPr>
        <w:pStyle w:val="BodyText"/>
        <w:spacing w:line="343" w:lineRule="auto" w:before="109"/>
        <w:ind w:left="139" w:right="216"/>
        <w:jc w:val="both"/>
      </w:pPr>
      <w:r>
        <w:rPr>
          <w:rFonts w:ascii="Times New Roman" w:hAnsi="Times New Roman" w:cs="Times New Roman" w:eastAsia="Times New Roman" w:hint="default"/>
        </w:rPr>
        <w:t>[2005]161 </w:t>
      </w:r>
      <w:r>
        <w:rPr/>
        <w:t>号文批准，广州市经济贸易委员会穗经贸函</w:t>
      </w:r>
      <w:r>
        <w:rPr>
          <w:rFonts w:ascii="Times New Roman" w:hAnsi="Times New Roman" w:cs="Times New Roman" w:eastAsia="Times New Roman" w:hint="default"/>
        </w:rPr>
        <w:t>[2005]492</w:t>
      </w:r>
      <w:r>
        <w:rPr>
          <w:rFonts w:ascii="Times New Roman" w:hAnsi="Times New Roman" w:cs="Times New Roman" w:eastAsia="Times New Roman" w:hint="default"/>
          <w:spacing w:val="-30"/>
        </w:rPr>
        <w:t> </w:t>
      </w:r>
      <w:r>
        <w:rPr>
          <w:spacing w:val="-3"/>
        </w:rPr>
        <w:t>号文批复，由广州无线电集</w:t>
      </w:r>
      <w:r>
        <w:rPr>
          <w:w w:val="99"/>
        </w:rPr>
        <w:t> </w:t>
      </w:r>
      <w:r>
        <w:rPr>
          <w:spacing w:val="-3"/>
        </w:rPr>
        <w:t>团有限公司、深圳市德通投资有限公司、盈富泰克创业投资有限公司、梅州敬基金属制品有</w:t>
      </w:r>
      <w:r>
        <w:rPr>
          <w:spacing w:val="-82"/>
        </w:rPr>
        <w:t> </w:t>
      </w:r>
      <w:r>
        <w:rPr>
          <w:spacing w:val="-82"/>
        </w:rPr>
      </w:r>
      <w:r>
        <w:rPr>
          <w:spacing w:val="-3"/>
        </w:rPr>
        <w:t>限公司、广州藤川科技有限公司作为发起人，以发起设立方式将广州广电运通金融电子有限</w:t>
      </w:r>
      <w:r>
        <w:rPr>
          <w:spacing w:val="-80"/>
        </w:rPr>
        <w:t> </w:t>
      </w:r>
      <w:r>
        <w:rPr>
          <w:spacing w:val="-80"/>
        </w:rPr>
      </w:r>
      <w:r>
        <w:rPr/>
        <w:t>公司整体变更为广州广电运通金融电子股份有限公司。注册资本为 </w:t>
      </w:r>
      <w:r>
        <w:rPr>
          <w:rFonts w:ascii="Times New Roman" w:hAnsi="Times New Roman" w:cs="Times New Roman" w:eastAsia="Times New Roman" w:hint="default"/>
        </w:rPr>
        <w:t>106,559,010.00 </w:t>
      </w:r>
      <w:r>
        <w:rPr>
          <w:rFonts w:ascii="Times New Roman" w:hAnsi="Times New Roman" w:cs="Times New Roman" w:eastAsia="Times New Roman" w:hint="default"/>
          <w:spacing w:val="47"/>
        </w:rPr>
        <w:t> </w:t>
      </w:r>
      <w:r>
        <w:rPr/>
        <w:t>元，于</w:t>
      </w:r>
    </w:p>
    <w:p>
      <w:pPr>
        <w:pStyle w:val="BodyText"/>
        <w:spacing w:line="240" w:lineRule="auto" w:before="9"/>
        <w:ind w:left="139" w:right="0"/>
        <w:jc w:val="both"/>
      </w:pPr>
      <w:r>
        <w:rPr>
          <w:rFonts w:ascii="Times New Roman" w:hAnsi="Times New Roman" w:cs="Times New Roman" w:eastAsia="Times New Roman" w:hint="default"/>
        </w:rPr>
        <w:t>2005</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月</w:t>
      </w:r>
      <w:r>
        <w:rPr>
          <w:spacing w:val="-42"/>
        </w:rPr>
        <w:t> </w:t>
      </w:r>
      <w:r>
        <w:rPr>
          <w:rFonts w:ascii="Times New Roman" w:hAnsi="Times New Roman" w:cs="Times New Roman" w:eastAsia="Times New Roman" w:hint="default"/>
        </w:rPr>
        <w:t>18</w:t>
      </w:r>
      <w:r>
        <w:rPr>
          <w:rFonts w:ascii="Times New Roman" w:hAnsi="Times New Roman" w:cs="Times New Roman" w:eastAsia="Times New Roman" w:hint="default"/>
          <w:spacing w:val="11"/>
        </w:rPr>
        <w:t> </w:t>
      </w:r>
      <w:r>
        <w:rPr/>
        <w:t>日取得广州市工商行政管理局核发的变更后的企业法人营业执照，注册号</w:t>
      </w:r>
    </w:p>
    <w:p>
      <w:pPr>
        <w:pStyle w:val="BodyText"/>
        <w:spacing w:line="240" w:lineRule="auto" w:before="110"/>
        <w:ind w:left="139" w:right="0"/>
        <w:jc w:val="both"/>
        <w:rPr>
          <w:rFonts w:ascii="Times New Roman" w:hAnsi="Times New Roman" w:cs="Times New Roman" w:eastAsia="Times New Roman" w:hint="default"/>
        </w:rPr>
      </w:pPr>
      <w:r>
        <w:rPr/>
        <w:t>为：</w:t>
      </w:r>
      <w:r>
        <w:rPr>
          <w:rFonts w:ascii="Times New Roman" w:hAnsi="Times New Roman" w:cs="Times New Roman" w:eastAsia="Times New Roman" w:hint="default"/>
        </w:rPr>
        <w:t>4401011103795</w:t>
      </w:r>
      <w:r>
        <w:rPr/>
        <w:t>。注册地为广东省广州市，总部地址位于广州市黄埔大道西平云路</w:t>
      </w:r>
      <w:r>
        <w:rPr>
          <w:spacing w:val="-11"/>
        </w:rPr>
        <w:t> </w:t>
      </w:r>
      <w:r>
        <w:rPr>
          <w:rFonts w:ascii="Times New Roman" w:hAnsi="Times New Roman" w:cs="Times New Roman" w:eastAsia="Times New Roman" w:hint="default"/>
        </w:rPr>
        <w:t>163</w:t>
      </w:r>
    </w:p>
    <w:p>
      <w:pPr>
        <w:pStyle w:val="BodyText"/>
        <w:spacing w:line="240" w:lineRule="auto" w:before="109"/>
        <w:ind w:left="139" w:right="0"/>
        <w:jc w:val="both"/>
      </w:pPr>
      <w:r>
        <w:rPr/>
        <w:t>号。</w:t>
      </w:r>
    </w:p>
    <w:p>
      <w:pPr>
        <w:pStyle w:val="BodyText"/>
        <w:spacing w:line="331" w:lineRule="auto" w:before="125"/>
        <w:ind w:left="139" w:right="213" w:firstLine="420"/>
        <w:jc w:val="both"/>
      </w:pPr>
      <w:r>
        <w:rPr>
          <w:rFonts w:ascii="Times New Roman" w:hAnsi="Times New Roman" w:cs="Times New Roman" w:eastAsia="Times New Roman" w:hint="default"/>
        </w:rPr>
        <w:t>2006</w:t>
      </w:r>
      <w:r>
        <w:rPr>
          <w:rFonts w:ascii="Times New Roman" w:hAnsi="Times New Roman" w:cs="Times New Roman" w:eastAsia="Times New Roman" w:hint="default"/>
          <w:spacing w:val="-15"/>
        </w:rPr>
        <w:t> </w:t>
      </w:r>
      <w:r>
        <w:rPr/>
        <w:t>年</w:t>
      </w:r>
      <w:r>
        <w:rPr>
          <w:spacing w:val="-67"/>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月，经公司股东大会审议通过，公司股东盈富泰克创业投资有限公司将其所 持有本公司 </w:t>
      </w:r>
      <w:r>
        <w:rPr>
          <w:rFonts w:ascii="Times New Roman" w:hAnsi="Times New Roman" w:cs="Times New Roman" w:eastAsia="Times New Roman" w:hint="default"/>
        </w:rPr>
        <w:t>10.657%</w:t>
      </w:r>
      <w:r>
        <w:rPr/>
        <w:t>股权的</w:t>
      </w:r>
      <w:r>
        <w:rPr>
          <w:spacing w:val="-32"/>
        </w:rPr>
        <w:t> </w:t>
      </w:r>
      <w:r>
        <w:rPr>
          <w:rFonts w:ascii="Times New Roman" w:hAnsi="Times New Roman" w:cs="Times New Roman" w:eastAsia="Times New Roman" w:hint="default"/>
        </w:rPr>
        <w:t>5.026%</w:t>
      </w:r>
      <w:r>
        <w:rPr/>
        <w:t>转让给公司股东广州无线电集团有限公司，公司股东深 </w:t>
      </w:r>
      <w:r>
        <w:rPr>
          <w:spacing w:val="2"/>
        </w:rPr>
        <w:t>圳市德通投资有限公司将其所持有本公司</w:t>
      </w:r>
      <w:r>
        <w:rPr>
          <w:spacing w:val="35"/>
        </w:rPr>
        <w:t> </w:t>
      </w:r>
      <w:r>
        <w:rPr>
          <w:rFonts w:ascii="Times New Roman" w:hAnsi="Times New Roman" w:cs="Times New Roman" w:eastAsia="Times New Roman" w:hint="default"/>
        </w:rPr>
        <w:t>17.762%</w:t>
      </w:r>
      <w:r>
        <w:rPr/>
        <w:t>股权的全部转让给自然人股东叶子瑜等</w:t>
      </w:r>
      <w:r>
        <w:rPr>
          <w:spacing w:val="-96"/>
        </w:rPr>
        <w:t> </w:t>
      </w:r>
      <w:r>
        <w:rPr>
          <w:spacing w:val="-96"/>
        </w:rPr>
      </w:r>
      <w:r>
        <w:rPr>
          <w:rFonts w:ascii="Times New Roman" w:hAnsi="Times New Roman" w:cs="Times New Roman" w:eastAsia="Times New Roman" w:hint="default"/>
        </w:rPr>
        <w:t>48 </w:t>
      </w:r>
      <w:r>
        <w:rPr/>
        <w:t>人。</w:t>
      </w:r>
    </w:p>
    <w:p>
      <w:pPr>
        <w:pStyle w:val="BodyText"/>
        <w:spacing w:line="328" w:lineRule="auto" w:before="22"/>
        <w:ind w:left="139" w:right="216" w:firstLine="420"/>
        <w:jc w:val="both"/>
      </w:pPr>
      <w:r>
        <w:rPr/>
        <w:t>经中国证券监督管理委员会证监发行字</w:t>
      </w:r>
      <w:r>
        <w:rPr>
          <w:rFonts w:ascii="Times New Roman" w:hAnsi="Times New Roman" w:cs="Times New Roman" w:eastAsia="Times New Roman" w:hint="default"/>
        </w:rPr>
        <w:t>[2007]188</w:t>
      </w:r>
      <w:r>
        <w:rPr>
          <w:rFonts w:ascii="Times New Roman" w:hAnsi="Times New Roman" w:cs="Times New Roman" w:eastAsia="Times New Roman" w:hint="default"/>
          <w:spacing w:val="25"/>
        </w:rPr>
        <w:t> </w:t>
      </w:r>
      <w:r>
        <w:rPr/>
        <w:t>号《关于核准广州广电运通金融电子 </w:t>
      </w:r>
      <w:r>
        <w:rPr>
          <w:spacing w:val="-7"/>
        </w:rPr>
        <w:t>股份有限公司首次公开发行股票的通知》核准，本公司获准向社会公开发行人民币普通股（</w:t>
      </w:r>
      <w:r>
        <w:rPr>
          <w:rFonts w:ascii="Times New Roman" w:hAnsi="Times New Roman" w:cs="Times New Roman" w:eastAsia="Times New Roman" w:hint="default"/>
          <w:spacing w:val="-7"/>
        </w:rPr>
        <w:t>A</w:t>
      </w:r>
      <w:r>
        <w:rPr>
          <w:rFonts w:ascii="Times New Roman" w:hAnsi="Times New Roman" w:cs="Times New Roman" w:eastAsia="Times New Roman" w:hint="default"/>
          <w:spacing w:val="-13"/>
        </w:rPr>
        <w:t> </w:t>
      </w:r>
      <w:r>
        <w:rPr/>
        <w:t>股）</w:t>
      </w:r>
      <w:r>
        <w:rPr>
          <w:rFonts w:ascii="Times New Roman" w:hAnsi="Times New Roman" w:cs="Times New Roman" w:eastAsia="Times New Roman" w:hint="default"/>
        </w:rPr>
        <w:t>3600</w:t>
      </w:r>
      <w:r>
        <w:rPr>
          <w:rFonts w:ascii="Times New Roman" w:hAnsi="Times New Roman" w:cs="Times New Roman" w:eastAsia="Times New Roman" w:hint="default"/>
          <w:spacing w:val="8"/>
        </w:rPr>
        <w:t> </w:t>
      </w:r>
      <w:r>
        <w:rPr/>
        <w:t>万股。并于</w:t>
      </w:r>
      <w:r>
        <w:rPr>
          <w:spacing w:val="-4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13</w:t>
      </w:r>
      <w:r>
        <w:rPr>
          <w:rFonts w:ascii="Times New Roman" w:hAnsi="Times New Roman" w:cs="Times New Roman" w:eastAsia="Times New Roman" w:hint="default"/>
          <w:spacing w:val="8"/>
        </w:rPr>
        <w:t> </w:t>
      </w:r>
      <w:r>
        <w:rPr/>
        <w:t>日在深圳证券交易所挂牌交易，发行上市后注册资本</w:t>
      </w:r>
    </w:p>
    <w:p>
      <w:pPr>
        <w:pStyle w:val="BodyText"/>
        <w:spacing w:line="328" w:lineRule="auto" w:before="24"/>
        <w:ind w:left="138" w:right="218"/>
        <w:jc w:val="both"/>
      </w:pPr>
      <w:r>
        <w:rPr/>
        <w:t>由人民币</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06</w:t>
      </w:r>
      <w:r>
        <w:rPr>
          <w:rFonts w:ascii="Times New Roman" w:hAnsi="Times New Roman" w:cs="Times New Roman" w:eastAsia="Times New Roman" w:hint="default"/>
        </w:rPr>
        <w:t>,5</w:t>
      </w:r>
      <w:r>
        <w:rPr>
          <w:rFonts w:ascii="Times New Roman" w:hAnsi="Times New Roman" w:cs="Times New Roman" w:eastAsia="Times New Roman" w:hint="default"/>
          <w:spacing w:val="-1"/>
        </w:rPr>
        <w:t>5</w:t>
      </w:r>
      <w:r>
        <w:rPr>
          <w:rFonts w:ascii="Times New Roman" w:hAnsi="Times New Roman" w:cs="Times New Roman" w:eastAsia="Times New Roman" w:hint="default"/>
        </w:rPr>
        <w:t>9</w:t>
      </w:r>
      <w:r>
        <w:rPr>
          <w:rFonts w:ascii="Times New Roman" w:hAnsi="Times New Roman" w:cs="Times New Roman" w:eastAsia="Times New Roman" w:hint="default"/>
          <w:spacing w:val="-1"/>
        </w:rPr>
        <w:t>,</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元增加至</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42</w:t>
      </w:r>
      <w:r>
        <w:rPr>
          <w:rFonts w:ascii="Times New Roman" w:hAnsi="Times New Roman" w:cs="Times New Roman" w:eastAsia="Times New Roman" w:hint="default"/>
        </w:rPr>
        <w:t>,5</w:t>
      </w:r>
      <w:r>
        <w:rPr>
          <w:rFonts w:ascii="Times New Roman" w:hAnsi="Times New Roman" w:cs="Times New Roman" w:eastAsia="Times New Roman" w:hint="default"/>
          <w:spacing w:val="-1"/>
        </w:rPr>
        <w:t>5</w:t>
      </w:r>
      <w:r>
        <w:rPr>
          <w:rFonts w:ascii="Times New Roman" w:hAnsi="Times New Roman" w:cs="Times New Roman" w:eastAsia="Times New Roman" w:hint="default"/>
        </w:rPr>
        <w:t>9</w:t>
      </w:r>
      <w:r>
        <w:rPr>
          <w:rFonts w:ascii="Times New Roman" w:hAnsi="Times New Roman" w:cs="Times New Roman" w:eastAsia="Times New Roman" w:hint="default"/>
          <w:spacing w:val="-1"/>
        </w:rPr>
        <w:t>,</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r>
        <w:rPr>
          <w:spacing w:val="-32"/>
        </w:rPr>
        <w:t>。</w:t>
      </w:r>
      <w:r>
        <w:rPr/>
        <w:t>证券简称</w:t>
      </w:r>
      <w:r>
        <w:rPr>
          <w:spacing w:val="-32"/>
        </w:rPr>
        <w:t>为</w:t>
      </w:r>
      <w:r>
        <w:rPr/>
        <w:t>“广电运通</w:t>
      </w:r>
      <w:r>
        <w:rPr>
          <w:spacing w:val="-105"/>
        </w:rPr>
        <w:t>”</w:t>
      </w:r>
      <w:r>
        <w:rPr>
          <w:spacing w:val="-32"/>
        </w:rPr>
        <w:t>，</w:t>
      </w:r>
      <w:r>
        <w:rPr/>
        <w:t>证</w:t>
      </w:r>
      <w:r>
        <w:rPr>
          <w:spacing w:val="-2"/>
        </w:rPr>
        <w:t>券</w:t>
      </w:r>
      <w:r>
        <w:rPr/>
        <w:t>代码为</w:t>
      </w:r>
      <w:r>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2</w:t>
      </w:r>
      <w:r>
        <w:rPr>
          <w:rFonts w:ascii="Times New Roman" w:hAnsi="Times New Roman" w:cs="Times New Roman" w:eastAsia="Times New Roman" w:hint="default"/>
          <w:spacing w:val="-1"/>
        </w:rPr>
        <w:t>1</w:t>
      </w:r>
      <w:r>
        <w:rPr>
          <w:rFonts w:ascii="Times New Roman" w:hAnsi="Times New Roman" w:cs="Times New Roman" w:eastAsia="Times New Roman" w:hint="default"/>
        </w:rPr>
        <w:t>5</w:t>
      </w:r>
      <w:r>
        <w:rPr>
          <w:rFonts w:ascii="Times New Roman" w:hAnsi="Times New Roman" w:cs="Times New Roman" w:eastAsia="Times New Roman" w:hint="default"/>
          <w:spacing w:val="-1"/>
        </w:rPr>
        <w:t>2</w:t>
      </w:r>
      <w:r>
        <w:rPr>
          <w:spacing w:val="-105"/>
        </w:rPr>
        <w:t>”</w:t>
      </w:r>
      <w:r>
        <w:rPr>
          <w:spacing w:val="-2"/>
        </w:rPr>
        <w:t>，</w:t>
      </w:r>
      <w:r>
        <w:rPr/>
        <w:t>所属行业为专用设备制造业。</w:t>
      </w:r>
    </w:p>
    <w:p>
      <w:pPr>
        <w:pStyle w:val="BodyText"/>
        <w:spacing w:line="240" w:lineRule="auto" w:before="23"/>
        <w:ind w:left="558" w:right="102"/>
        <w:jc w:val="left"/>
        <w:rPr>
          <w:rFonts w:ascii="Times New Roman" w:hAnsi="Times New Roman" w:cs="Times New Roman" w:eastAsia="Times New Roman" w:hint="default"/>
        </w:rPr>
      </w:pPr>
      <w:r>
        <w:rPr>
          <w:spacing w:val="-3"/>
        </w:rPr>
        <w:t>经公司第一届董事会第十五次会议、</w:t>
      </w:r>
      <w:r>
        <w:rPr>
          <w:rFonts w:ascii="Times New Roman" w:hAnsi="Times New Roman" w:cs="Times New Roman" w:eastAsia="Times New Roman" w:hint="default"/>
          <w:spacing w:val="-3"/>
        </w:rPr>
        <w:t>2008</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spacing w:val="-4"/>
        </w:rPr>
        <w:t>日股东大会决议通过，公司以</w:t>
      </w:r>
      <w:r>
        <w:rPr>
          <w:spacing w:val="-51"/>
        </w:rPr>
        <w:t> </w:t>
      </w:r>
      <w:r>
        <w:rPr>
          <w:rFonts w:ascii="Times New Roman" w:hAnsi="Times New Roman" w:cs="Times New Roman" w:eastAsia="Times New Roman" w:hint="default"/>
        </w:rPr>
        <w:t>2007</w:t>
      </w:r>
    </w:p>
    <w:p>
      <w:pPr>
        <w:pStyle w:val="BodyText"/>
        <w:spacing w:line="240" w:lineRule="auto" w:before="110"/>
        <w:ind w:left="138" w:right="0"/>
        <w:jc w:val="both"/>
      </w:pPr>
      <w:r>
        <w:rPr/>
        <w:t>年末总股本为基数，以资本公积向全体股东每</w:t>
      </w:r>
      <w:r>
        <w:rPr>
          <w:spacing w:val="-54"/>
        </w:rPr>
        <w:t> </w:t>
      </w:r>
      <w:r>
        <w:rPr>
          <w:rFonts w:ascii="Times New Roman" w:hAnsi="Times New Roman" w:cs="Times New Roman" w:eastAsia="Times New Roman" w:hint="default"/>
        </w:rPr>
        <w:t>10  </w:t>
      </w:r>
      <w:r>
        <w:rPr/>
        <w:t>股转增</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股股本。</w:t>
      </w:r>
    </w:p>
    <w:p>
      <w:pPr>
        <w:pStyle w:val="BodyText"/>
        <w:spacing w:line="240" w:lineRule="auto" w:before="107"/>
        <w:ind w:left="559" w:right="102"/>
        <w:jc w:val="left"/>
      </w:pPr>
      <w:r>
        <w:rPr/>
        <w:t>截止 </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日，本公司注册资本为人民币 </w:t>
      </w:r>
      <w:r>
        <w:rPr>
          <w:rFonts w:ascii="Times New Roman" w:hAnsi="Times New Roman" w:cs="Times New Roman" w:eastAsia="Times New Roman" w:hint="default"/>
        </w:rPr>
        <w:t>285,118,020.00 </w:t>
      </w:r>
      <w:r>
        <w:rPr>
          <w:rFonts w:ascii="Times New Roman" w:hAnsi="Times New Roman" w:cs="Times New Roman" w:eastAsia="Times New Roman" w:hint="default"/>
          <w:spacing w:val="42"/>
        </w:rPr>
        <w:t> </w:t>
      </w:r>
      <w:r>
        <w:rPr/>
        <w:t>元，总股本为</w:t>
      </w:r>
    </w:p>
    <w:p>
      <w:pPr>
        <w:pStyle w:val="BodyText"/>
        <w:spacing w:line="331" w:lineRule="auto" w:before="109"/>
        <w:ind w:left="559" w:right="102" w:hanging="420"/>
        <w:jc w:val="left"/>
      </w:pPr>
      <w:r>
        <w:rPr>
          <w:rFonts w:ascii="Times New Roman" w:hAnsi="Times New Roman" w:cs="Times New Roman" w:eastAsia="Times New Roman" w:hint="default"/>
        </w:rPr>
        <w:t>285,118,020.00</w:t>
      </w:r>
      <w:r>
        <w:rPr>
          <w:rFonts w:ascii="Times New Roman" w:hAnsi="Times New Roman" w:cs="Times New Roman" w:eastAsia="Times New Roman" w:hint="default"/>
          <w:spacing w:val="-3"/>
        </w:rPr>
        <w:t> </w:t>
      </w:r>
      <w:r>
        <w:rPr/>
        <w:t>股，其中可流通股份为</w:t>
      </w:r>
      <w:r>
        <w:rPr>
          <w:spacing w:val="-56"/>
        </w:rPr>
        <w:t> </w:t>
      </w:r>
      <w:r>
        <w:rPr>
          <w:rFonts w:ascii="Times New Roman" w:hAnsi="Times New Roman" w:cs="Times New Roman" w:eastAsia="Times New Roman" w:hint="default"/>
        </w:rPr>
        <w:t>141,916,620.00</w:t>
      </w:r>
      <w:r>
        <w:rPr/>
        <w:t>，限售的流通股为</w:t>
      </w:r>
      <w:r>
        <w:rPr>
          <w:spacing w:val="-56"/>
        </w:rPr>
        <w:t> </w:t>
      </w:r>
      <w:r>
        <w:rPr>
          <w:rFonts w:ascii="Times New Roman" w:hAnsi="Times New Roman" w:cs="Times New Roman" w:eastAsia="Times New Roman" w:hint="default"/>
        </w:rPr>
        <w:t>143,201,400.00</w:t>
      </w:r>
      <w:r>
        <w:rPr/>
        <w:t>。 </w:t>
      </w:r>
      <w:r>
        <w:rPr>
          <w:spacing w:val="-6"/>
        </w:rPr>
        <w:t>本公司经营范围：研制、生产、销售电子计算机设备、货币类自助设备、税务应用设备。</w:t>
      </w:r>
    </w:p>
    <w:p>
      <w:pPr>
        <w:pStyle w:val="BodyText"/>
        <w:spacing w:line="348" w:lineRule="auto" w:before="45"/>
        <w:ind w:left="139" w:right="216"/>
        <w:jc w:val="both"/>
      </w:pPr>
      <w:r>
        <w:rPr>
          <w:spacing w:val="-3"/>
        </w:rPr>
        <w:t>电子计算机系统集成及技术服务。电子计算机软件开发。本企业生产产品的技术咨询和售后</w:t>
      </w:r>
      <w:r>
        <w:rPr>
          <w:spacing w:val="-79"/>
        </w:rPr>
        <w:t> </w:t>
      </w:r>
      <w:r>
        <w:rPr>
          <w:spacing w:val="-79"/>
        </w:rPr>
      </w:r>
      <w:r>
        <w:rPr>
          <w:spacing w:val="-4"/>
        </w:rPr>
        <w:t>服务。货物和技术进出口（国家限定经营或禁止进出口的商品和技术除外）。</w:t>
      </w:r>
    </w:p>
    <w:p>
      <w:pPr>
        <w:pStyle w:val="BodyText"/>
        <w:spacing w:line="348" w:lineRule="auto" w:before="31"/>
        <w:ind w:left="139" w:right="215" w:firstLine="420"/>
        <w:jc w:val="both"/>
      </w:pPr>
      <w:r>
        <w:rPr>
          <w:spacing w:val="-3"/>
        </w:rPr>
        <w:t>本公司治理层权力机构包括：股东大会、董事会和监事会。实行董事会领导下的总经理</w:t>
      </w:r>
      <w:r>
        <w:rPr/>
        <w:t> </w:t>
      </w:r>
      <w:r>
        <w:rPr>
          <w:spacing w:val="-3"/>
        </w:rPr>
        <w:t>负责制，公司下设财务部、人力资源部、证券部、企管部、制造中心、国内市场部、海外市</w:t>
      </w:r>
      <w:r>
        <w:rPr>
          <w:spacing w:val="-83"/>
        </w:rPr>
        <w:t> </w:t>
      </w:r>
      <w:r>
        <w:rPr>
          <w:spacing w:val="-83"/>
        </w:rPr>
      </w:r>
      <w:r>
        <w:rPr/>
        <w:t>场部、研发中心、客户服务中心等职能部门。</w:t>
      </w:r>
    </w:p>
    <w:p>
      <w:pPr>
        <w:spacing w:after="0" w:line="348" w:lineRule="auto"/>
        <w:jc w:val="both"/>
        <w:sectPr>
          <w:pgSz w:w="11910" w:h="16840"/>
          <w:pgMar w:header="400" w:footer="982" w:top="1100" w:bottom="1180" w:left="1660" w:right="1580"/>
        </w:sectPr>
      </w:pPr>
    </w:p>
    <w:p>
      <w:pPr>
        <w:spacing w:line="240" w:lineRule="auto" w:before="12"/>
        <w:rPr>
          <w:rFonts w:ascii="宋体" w:hAnsi="宋体" w:cs="宋体" w:eastAsia="宋体" w:hint="default"/>
          <w:sz w:val="28"/>
          <w:szCs w:val="28"/>
        </w:rPr>
      </w:pPr>
    </w:p>
    <w:p>
      <w:pPr>
        <w:spacing w:line="348" w:lineRule="auto" w:before="35"/>
        <w:ind w:left="560" w:right="102" w:firstLine="2"/>
        <w:jc w:val="left"/>
        <w:rPr>
          <w:rFonts w:ascii="宋体" w:hAnsi="宋体" w:cs="宋体" w:eastAsia="宋体" w:hint="default"/>
          <w:sz w:val="21"/>
          <w:szCs w:val="21"/>
        </w:rPr>
      </w:pPr>
      <w:r>
        <w:rPr>
          <w:rFonts w:ascii="宋体" w:hAnsi="宋体" w:cs="宋体" w:eastAsia="宋体" w:hint="default"/>
          <w:b/>
          <w:bCs/>
          <w:sz w:val="21"/>
          <w:szCs w:val="21"/>
        </w:rPr>
        <w:t>二、财务报表的编制基础及遵循企业会计准则的声明</w:t>
      </w:r>
      <w:r>
        <w:rPr>
          <w:rFonts w:ascii="宋体" w:hAnsi="宋体" w:cs="宋体" w:eastAsia="宋体" w:hint="default"/>
          <w:b/>
          <w:bCs/>
          <w:spacing w:val="1"/>
          <w:w w:val="99"/>
          <w:sz w:val="21"/>
          <w:szCs w:val="21"/>
        </w:rPr>
        <w:t> </w:t>
      </w:r>
      <w:r>
        <w:rPr>
          <w:rFonts w:ascii="宋体" w:hAnsi="宋体" w:cs="宋体" w:eastAsia="宋体" w:hint="default"/>
          <w:spacing w:val="-6"/>
          <w:sz w:val="21"/>
          <w:szCs w:val="21"/>
        </w:rPr>
        <w:t>公司以持续经营为基础，根据实际发生的交易和事项，按照《企业会计准则—基本准则》</w:t>
      </w:r>
    </w:p>
    <w:p>
      <w:pPr>
        <w:pStyle w:val="BodyText"/>
        <w:spacing w:line="348" w:lineRule="auto" w:before="31"/>
        <w:ind w:left="560" w:right="102" w:hanging="420"/>
        <w:jc w:val="left"/>
      </w:pPr>
      <w:r>
        <w:rPr/>
        <w:t>和其他各项会计准则的规定进行确认和计量，在此基础上编制财务报表。 </w:t>
      </w:r>
      <w:r>
        <w:rPr>
          <w:spacing w:val="-6"/>
        </w:rPr>
        <w:t>公司所编制的财务报表符合企业会计准则的要求，真实、完整地反映了公司的财务状况、</w:t>
      </w:r>
    </w:p>
    <w:p>
      <w:pPr>
        <w:pStyle w:val="BodyText"/>
        <w:spacing w:line="240" w:lineRule="auto" w:before="30"/>
        <w:ind w:left="562" w:right="102" w:hanging="423"/>
        <w:jc w:val="left"/>
      </w:pPr>
      <w:r>
        <w:rPr/>
        <w:t>经营成果、股东权益变动和现金流量等有关信息。</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4"/>
        <w:spacing w:line="240" w:lineRule="auto"/>
        <w:ind w:left="562" w:right="102"/>
        <w:jc w:val="left"/>
        <w:rPr>
          <w:b w:val="0"/>
          <w:bCs w:val="0"/>
        </w:rPr>
      </w:pPr>
      <w:r>
        <w:rPr/>
        <w:t>三、主要会计政策、会计估计和前期差错</w:t>
      </w:r>
      <w:r>
        <w:rPr>
          <w:b w:val="0"/>
          <w:bCs w:val="0"/>
        </w:rPr>
      </w:r>
    </w:p>
    <w:p>
      <w:pPr>
        <w:pStyle w:val="Heading4"/>
        <w:spacing w:line="240" w:lineRule="auto" w:before="125"/>
        <w:ind w:left="562" w:right="102"/>
        <w:jc w:val="left"/>
        <w:rPr>
          <w:b w:val="0"/>
          <w:bCs w:val="0"/>
        </w:rPr>
      </w:pPr>
      <w:r>
        <w:rPr/>
        <w:t>（一）会计期间</w:t>
      </w:r>
      <w:r>
        <w:rPr>
          <w:b w:val="0"/>
          <w:bCs w:val="0"/>
        </w:rPr>
      </w:r>
    </w:p>
    <w:p>
      <w:pPr>
        <w:pStyle w:val="BodyText"/>
        <w:spacing w:line="240" w:lineRule="auto" w:before="126"/>
        <w:ind w:left="560" w:right="102"/>
        <w:jc w:val="left"/>
      </w:pPr>
      <w:r>
        <w:rPr/>
        <w:t>自公历</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日止为一个会计年度。</w:t>
      </w:r>
    </w:p>
    <w:p>
      <w:pPr>
        <w:spacing w:line="348" w:lineRule="auto" w:before="109"/>
        <w:ind w:left="560" w:right="5564" w:firstLine="2"/>
        <w:jc w:val="left"/>
        <w:rPr>
          <w:rFonts w:ascii="宋体" w:hAnsi="宋体" w:cs="宋体" w:eastAsia="宋体" w:hint="default"/>
          <w:sz w:val="21"/>
          <w:szCs w:val="21"/>
        </w:rPr>
      </w:pPr>
      <w:r>
        <w:rPr>
          <w:rFonts w:ascii="宋体" w:hAnsi="宋体" w:cs="宋体" w:eastAsia="宋体" w:hint="default"/>
          <w:b/>
          <w:bCs/>
          <w:sz w:val="21"/>
          <w:szCs w:val="21"/>
        </w:rPr>
        <w:t>（二）记账本位币</w:t>
      </w:r>
      <w:r>
        <w:rPr>
          <w:rFonts w:ascii="宋体" w:hAnsi="宋体" w:cs="宋体" w:eastAsia="宋体" w:hint="default"/>
          <w:b/>
          <w:bCs/>
          <w:spacing w:val="1"/>
          <w:w w:val="99"/>
          <w:sz w:val="21"/>
          <w:szCs w:val="21"/>
        </w:rPr>
        <w:t> </w:t>
      </w:r>
      <w:r>
        <w:rPr>
          <w:rFonts w:ascii="宋体" w:hAnsi="宋体" w:cs="宋体" w:eastAsia="宋体" w:hint="default"/>
          <w:sz w:val="21"/>
          <w:szCs w:val="21"/>
        </w:rPr>
        <w:t>采用人民币为记账本位币。</w:t>
      </w:r>
    </w:p>
    <w:p>
      <w:pPr>
        <w:spacing w:line="348" w:lineRule="auto" w:before="31"/>
        <w:ind w:left="560" w:right="102" w:firstLine="2"/>
        <w:jc w:val="left"/>
        <w:rPr>
          <w:rFonts w:ascii="宋体" w:hAnsi="宋体" w:cs="宋体" w:eastAsia="宋体" w:hint="default"/>
          <w:sz w:val="21"/>
          <w:szCs w:val="21"/>
        </w:rPr>
      </w:pPr>
      <w:r>
        <w:rPr>
          <w:rFonts w:ascii="宋体" w:hAnsi="宋体" w:cs="宋体" w:eastAsia="宋体" w:hint="default"/>
          <w:b/>
          <w:bCs/>
          <w:sz w:val="21"/>
          <w:szCs w:val="21"/>
        </w:rPr>
        <w:t>（三）计量属性在本年发生变化的报表项目及其本年采用的计量属性</w:t>
      </w:r>
      <w:r>
        <w:rPr>
          <w:rFonts w:ascii="宋体" w:hAnsi="宋体" w:cs="宋体" w:eastAsia="宋体" w:hint="default"/>
          <w:b/>
          <w:bCs/>
          <w:w w:val="99"/>
          <w:sz w:val="21"/>
          <w:szCs w:val="21"/>
        </w:rPr>
        <w:t> </w:t>
      </w:r>
      <w:r>
        <w:rPr>
          <w:rFonts w:ascii="宋体" w:hAnsi="宋体" w:cs="宋体" w:eastAsia="宋体" w:hint="default"/>
          <w:spacing w:val="-3"/>
          <w:sz w:val="21"/>
          <w:szCs w:val="21"/>
        </w:rPr>
        <w:t>本公司在对会计报表项目进行计量时，一般采用历史成本，如所确定的会计要素金额能</w:t>
      </w:r>
    </w:p>
    <w:p>
      <w:pPr>
        <w:pStyle w:val="BodyText"/>
        <w:spacing w:line="240" w:lineRule="auto" w:before="30"/>
        <w:ind w:right="102"/>
        <w:jc w:val="left"/>
      </w:pPr>
      <w:r>
        <w:rPr/>
        <w:t>够取得并可靠计量则对个别会计要素采用重置成本、可变现净值、现值、公允价值计量。</w:t>
      </w:r>
    </w:p>
    <w:p>
      <w:pPr>
        <w:pStyle w:val="BodyText"/>
        <w:spacing w:line="240" w:lineRule="auto" w:before="126"/>
        <w:ind w:left="560" w:right="102"/>
        <w:jc w:val="left"/>
      </w:pPr>
      <w:r>
        <w:rPr>
          <w:rFonts w:ascii="Times New Roman" w:hAnsi="Times New Roman" w:cs="Times New Roman" w:eastAsia="Times New Roman" w:hint="default"/>
        </w:rPr>
        <w:t>1</w:t>
      </w:r>
      <w:r>
        <w:rPr/>
        <w:t>、现值与公允价值的计量属性</w:t>
      </w:r>
    </w:p>
    <w:p>
      <w:pPr>
        <w:pStyle w:val="BodyText"/>
        <w:spacing w:line="328" w:lineRule="auto" w:before="109"/>
        <w:ind w:left="560" w:right="102"/>
        <w:jc w:val="left"/>
      </w:pPr>
      <w:r>
        <w:rPr/>
        <w:t>（</w:t>
      </w:r>
      <w:r>
        <w:rPr>
          <w:rFonts w:ascii="Times New Roman" w:hAnsi="Times New Roman" w:cs="Times New Roman" w:eastAsia="Times New Roman" w:hint="default"/>
        </w:rPr>
        <w:t>1</w:t>
      </w:r>
      <w:r>
        <w:rPr/>
        <w:t>）现值 </w:t>
      </w:r>
      <w:r>
        <w:rPr>
          <w:spacing w:val="-3"/>
        </w:rPr>
        <w:t>在现值计量下，资产按照预计从其持续使用和最终处置中所产生的未来净现金流入量的</w:t>
      </w:r>
    </w:p>
    <w:p>
      <w:pPr>
        <w:pStyle w:val="BodyText"/>
        <w:spacing w:line="240" w:lineRule="auto" w:before="48"/>
        <w:ind w:right="102"/>
        <w:jc w:val="left"/>
      </w:pPr>
      <w:r>
        <w:rPr/>
        <w:t>折现金额计量，负债按照预计期限内需要偿还的未来净现金流出量的折现金额计量。</w:t>
      </w:r>
    </w:p>
    <w:p>
      <w:pPr>
        <w:pStyle w:val="BodyText"/>
        <w:spacing w:line="328" w:lineRule="auto" w:before="125"/>
        <w:ind w:left="560" w:right="102"/>
        <w:jc w:val="left"/>
      </w:pPr>
      <w:r>
        <w:rPr/>
        <w:t>（</w:t>
      </w:r>
      <w:r>
        <w:rPr>
          <w:rFonts w:ascii="Times New Roman" w:hAnsi="Times New Roman" w:cs="Times New Roman" w:eastAsia="Times New Roman" w:hint="default"/>
        </w:rPr>
        <w:t>2</w:t>
      </w:r>
      <w:r>
        <w:rPr/>
        <w:t>）公允价值 </w:t>
      </w:r>
      <w:r>
        <w:rPr>
          <w:spacing w:val="-3"/>
        </w:rPr>
        <w:t>在公允价值计量下，资产和负债按照在公平交易中，熟悉情况的交易双方自愿进行资产</w:t>
      </w:r>
    </w:p>
    <w:p>
      <w:pPr>
        <w:pStyle w:val="BodyText"/>
        <w:spacing w:line="338" w:lineRule="auto" w:before="48"/>
        <w:ind w:left="560" w:right="4409" w:hanging="420"/>
        <w:jc w:val="left"/>
      </w:pPr>
      <w:r>
        <w:rPr/>
        <w:t>交换或者债务清偿的金额计量。 </w:t>
      </w:r>
      <w:r>
        <w:rPr>
          <w:rFonts w:ascii="Times New Roman" w:hAnsi="Times New Roman" w:cs="Times New Roman" w:eastAsia="Times New Roman" w:hint="default"/>
        </w:rPr>
        <w:t>2</w:t>
      </w:r>
      <w:r>
        <w:rPr/>
        <w:t>、计量属性在本年发生变化的报表项目 本年报表项目的计量属性未发生变化。</w:t>
      </w:r>
    </w:p>
    <w:p>
      <w:pPr>
        <w:spacing w:line="348" w:lineRule="auto" w:before="40"/>
        <w:ind w:left="559" w:right="102" w:firstLine="2"/>
        <w:jc w:val="left"/>
        <w:rPr>
          <w:rFonts w:ascii="宋体" w:hAnsi="宋体" w:cs="宋体" w:eastAsia="宋体" w:hint="default"/>
          <w:sz w:val="21"/>
          <w:szCs w:val="21"/>
        </w:rPr>
      </w:pPr>
      <w:r>
        <w:rPr>
          <w:rFonts w:ascii="宋体" w:hAnsi="宋体" w:cs="宋体" w:eastAsia="宋体" w:hint="default"/>
          <w:b/>
          <w:bCs/>
          <w:sz w:val="21"/>
          <w:szCs w:val="21"/>
        </w:rPr>
        <w:t>（四）现金等价物的确定标准</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在编制现金流量表时，将同时具备期限短（从购买日起三个月内到期）、流动性强、易</w:t>
      </w:r>
    </w:p>
    <w:p>
      <w:pPr>
        <w:pStyle w:val="BodyText"/>
        <w:spacing w:line="240" w:lineRule="auto" w:before="30"/>
        <w:ind w:left="139" w:right="102"/>
        <w:jc w:val="left"/>
      </w:pPr>
      <w:r>
        <w:rPr/>
        <w:t>于转换为已知现金、价值变动风险很小四个条件的投资，确定为现金等价物。</w:t>
      </w:r>
    </w:p>
    <w:p>
      <w:pPr>
        <w:pStyle w:val="BodyText"/>
        <w:spacing w:line="348" w:lineRule="auto" w:before="126"/>
        <w:ind w:left="559" w:right="102" w:firstLine="2"/>
        <w:jc w:val="left"/>
      </w:pPr>
      <w:r>
        <w:rPr>
          <w:rFonts w:ascii="宋体" w:hAnsi="宋体" w:cs="宋体" w:eastAsia="宋体" w:hint="default"/>
          <w:b/>
          <w:bCs/>
        </w:rPr>
        <w:t>（五）外币业务核算方法</w:t>
      </w:r>
      <w:r>
        <w:rPr>
          <w:rFonts w:ascii="宋体" w:hAnsi="宋体" w:cs="宋体" w:eastAsia="宋体" w:hint="default"/>
          <w:b/>
          <w:bCs/>
          <w:w w:val="99"/>
        </w:rPr>
        <w:t> </w:t>
      </w:r>
      <w:r>
        <w:rPr/>
        <w:t>外币业务采用交易发生日的即期汇率作为折算汇率折合成人民币记账。 </w:t>
      </w:r>
      <w:r>
        <w:rPr>
          <w:spacing w:val="-3"/>
        </w:rPr>
        <w:t>外币货币性项目余额按资产负债表日即期汇率折合成人民币金额进行调整，以公允价值</w:t>
      </w:r>
    </w:p>
    <w:p>
      <w:pPr>
        <w:pStyle w:val="BodyText"/>
        <w:spacing w:line="350" w:lineRule="auto" w:before="31"/>
        <w:ind w:left="139" w:right="216"/>
        <w:jc w:val="both"/>
      </w:pPr>
      <w:r>
        <w:rPr>
          <w:spacing w:val="-3"/>
        </w:rPr>
        <w:t>计量的外币非货币性项目按公允价值确定日的即期汇率折合成人民币金额进行调整。外币专</w:t>
      </w:r>
      <w:r>
        <w:rPr>
          <w:spacing w:val="-79"/>
        </w:rPr>
        <w:t> </w:t>
      </w:r>
      <w:r>
        <w:rPr>
          <w:spacing w:val="-79"/>
        </w:rPr>
      </w:r>
      <w:r>
        <w:rPr>
          <w:spacing w:val="-3"/>
        </w:rPr>
        <w:t>门借款账户年末折算差额，可直接归属于符合资本化条件的资产的购建或者生产的，按规定</w:t>
      </w:r>
      <w:r>
        <w:rPr>
          <w:spacing w:val="-79"/>
        </w:rPr>
        <w:t> </w:t>
      </w:r>
      <w:r>
        <w:rPr>
          <w:spacing w:val="-79"/>
        </w:rPr>
      </w:r>
      <w:r>
        <w:rPr>
          <w:spacing w:val="-3"/>
        </w:rPr>
        <w:t>予以资本化，计入相关资产成本；其余的外币账户折算差额均计入财务费用。不同货币兑换</w:t>
      </w:r>
      <w:r>
        <w:rPr>
          <w:spacing w:val="-81"/>
        </w:rPr>
        <w:t> </w:t>
      </w:r>
      <w:r>
        <w:rPr>
          <w:spacing w:val="-81"/>
        </w:rPr>
      </w:r>
      <w:r>
        <w:rPr/>
        <w:t>形成的折算差额，计入财务费用。</w:t>
      </w:r>
    </w:p>
    <w:p>
      <w:pPr>
        <w:spacing w:after="0" w:line="350" w:lineRule="auto"/>
        <w:jc w:val="both"/>
        <w:sectPr>
          <w:pgSz w:w="11910" w:h="16840"/>
          <w:pgMar w:header="400" w:footer="982" w:top="1100" w:bottom="1180" w:left="1660" w:right="1580"/>
        </w:sectPr>
      </w:pPr>
    </w:p>
    <w:p>
      <w:pPr>
        <w:spacing w:line="240" w:lineRule="auto" w:before="12"/>
        <w:rPr>
          <w:rFonts w:ascii="宋体" w:hAnsi="宋体" w:cs="宋体" w:eastAsia="宋体" w:hint="default"/>
          <w:sz w:val="28"/>
          <w:szCs w:val="28"/>
        </w:rPr>
      </w:pPr>
    </w:p>
    <w:p>
      <w:pPr>
        <w:spacing w:line="348" w:lineRule="auto" w:before="35"/>
        <w:ind w:left="559" w:right="190" w:firstLine="2"/>
        <w:jc w:val="left"/>
        <w:rPr>
          <w:rFonts w:ascii="宋体" w:hAnsi="宋体" w:cs="宋体" w:eastAsia="宋体" w:hint="default"/>
          <w:sz w:val="21"/>
          <w:szCs w:val="21"/>
        </w:rPr>
      </w:pPr>
      <w:r>
        <w:rPr>
          <w:rFonts w:ascii="宋体" w:hAnsi="宋体" w:cs="宋体" w:eastAsia="宋体" w:hint="default"/>
          <w:b/>
          <w:bCs/>
          <w:sz w:val="21"/>
          <w:szCs w:val="21"/>
        </w:rPr>
        <w:t>（六）外币财务报表的折算方法</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资产负债表中的资产和负债项目，采用资产负债表日的即期汇率折算，所有者权益项目</w:t>
      </w:r>
    </w:p>
    <w:p>
      <w:pPr>
        <w:pStyle w:val="BodyText"/>
        <w:spacing w:line="348" w:lineRule="auto" w:before="31"/>
        <w:ind w:left="139" w:right="196"/>
        <w:jc w:val="both"/>
      </w:pPr>
      <w:r>
        <w:rPr>
          <w:spacing w:val="-3"/>
        </w:rPr>
        <w:t>除“未分配利润”项目外，其他项目采用发生时的即期汇率折算。利润表中的收入和费用项</w:t>
      </w:r>
      <w:r>
        <w:rPr>
          <w:spacing w:val="-80"/>
        </w:rPr>
        <w:t> </w:t>
      </w:r>
      <w:r>
        <w:rPr>
          <w:spacing w:val="-80"/>
        </w:rPr>
      </w:r>
      <w:r>
        <w:rPr>
          <w:spacing w:val="-3"/>
        </w:rPr>
        <w:t>目，采用年度平均汇率折算。按照上述折算产生的外币财务报表折算差额，在资产负债表所</w:t>
      </w:r>
      <w:r>
        <w:rPr>
          <w:spacing w:val="-81"/>
        </w:rPr>
        <w:t> </w:t>
      </w:r>
      <w:r>
        <w:rPr>
          <w:spacing w:val="-81"/>
        </w:rPr>
      </w:r>
      <w:r>
        <w:rPr/>
        <w:t>有者权益项目下单独列示。</w:t>
      </w:r>
    </w:p>
    <w:p>
      <w:pPr>
        <w:pStyle w:val="Heading4"/>
        <w:spacing w:line="240" w:lineRule="auto" w:before="31"/>
        <w:ind w:left="562" w:right="190"/>
        <w:jc w:val="left"/>
        <w:rPr>
          <w:b w:val="0"/>
          <w:bCs w:val="0"/>
        </w:rPr>
      </w:pPr>
      <w:r>
        <w:rPr/>
        <w:t>（七）金融资产和金融负债的核算方法</w:t>
      </w:r>
      <w:r>
        <w:rPr>
          <w:b w:val="0"/>
          <w:bCs w:val="0"/>
        </w:rPr>
      </w:r>
    </w:p>
    <w:p>
      <w:pPr>
        <w:spacing w:line="328" w:lineRule="auto" w:before="125"/>
        <w:ind w:left="559" w:right="19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、金融资产和金融负债的分类</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管理层按照取得持有金融资产和承担金融负债的目的，将其划分为：以公允价值计量且</w:t>
      </w:r>
    </w:p>
    <w:p>
      <w:pPr>
        <w:pStyle w:val="BodyText"/>
        <w:spacing w:line="348" w:lineRule="auto" w:before="48"/>
        <w:ind w:left="139" w:right="196"/>
        <w:jc w:val="both"/>
      </w:pPr>
      <w:r>
        <w:rPr>
          <w:spacing w:val="-3"/>
        </w:rPr>
        <w:t>其变动计入当期损益的金融资产或金融负债，包括交易性金融资产或金融负债；持有至到期</w:t>
      </w:r>
      <w:r>
        <w:rPr>
          <w:spacing w:val="-79"/>
        </w:rPr>
        <w:t> </w:t>
      </w:r>
      <w:r>
        <w:rPr>
          <w:spacing w:val="-79"/>
        </w:rPr>
      </w:r>
      <w:r>
        <w:rPr/>
        <w:t>投资；应收款项；可供出售金融资产；其他金融负债等。</w:t>
      </w:r>
    </w:p>
    <w:p>
      <w:pPr>
        <w:pStyle w:val="Heading4"/>
        <w:spacing w:line="240" w:lineRule="auto" w:before="30"/>
        <w:ind w:left="666" w:right="190"/>
        <w:jc w:val="left"/>
        <w:rPr>
          <w:b w:val="0"/>
          <w:bCs w:val="0"/>
        </w:rPr>
      </w:pPr>
      <w:r>
        <w:rPr>
          <w:rFonts w:ascii="Times New Roman" w:hAnsi="Times New Roman" w:cs="Times New Roman" w:eastAsia="Times New Roman" w:hint="default"/>
        </w:rPr>
        <w:t>2</w:t>
      </w:r>
      <w:r>
        <w:rPr/>
        <w:t>、金融资产和金融负债的确认和计量方法</w:t>
      </w:r>
      <w:r>
        <w:rPr>
          <w:b w:val="0"/>
          <w:bCs w:val="0"/>
        </w:rPr>
      </w:r>
    </w:p>
    <w:p>
      <w:pPr>
        <w:pStyle w:val="BodyText"/>
        <w:spacing w:line="328" w:lineRule="auto" w:before="110"/>
        <w:ind w:left="559" w:right="190"/>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3"/>
        </w:rPr>
        <w:t>取得时以公允价值（扣除已宣告但尚未发放的现金股利或已到付息期但尚未领取的债券</w:t>
      </w:r>
    </w:p>
    <w:p>
      <w:pPr>
        <w:pStyle w:val="BodyText"/>
        <w:spacing w:line="350" w:lineRule="auto" w:before="47"/>
        <w:ind w:left="559" w:right="190" w:hanging="420"/>
        <w:jc w:val="left"/>
      </w:pPr>
      <w:r>
        <w:rPr/>
        <w:t>利息）作为初始确认金额，相关的交易费用计入当期损益。 </w:t>
      </w:r>
      <w:r>
        <w:rPr>
          <w:spacing w:val="2"/>
        </w:rPr>
        <w:t>持有期间将取得的利息或现金股利确认为投资收益，年末将公允价值变动计入当期损</w:t>
      </w:r>
    </w:p>
    <w:p>
      <w:pPr>
        <w:pStyle w:val="BodyText"/>
        <w:spacing w:line="240" w:lineRule="auto" w:before="28"/>
        <w:ind w:left="139" w:right="0"/>
        <w:jc w:val="both"/>
      </w:pPr>
      <w:r>
        <w:rPr/>
        <w:t>益。</w:t>
      </w:r>
    </w:p>
    <w:p>
      <w:pPr>
        <w:pStyle w:val="BodyText"/>
        <w:spacing w:line="350" w:lineRule="auto" w:before="125"/>
        <w:ind w:left="139" w:right="190" w:firstLine="420"/>
        <w:jc w:val="left"/>
      </w:pPr>
      <w:r>
        <w:rPr>
          <w:spacing w:val="-3"/>
        </w:rPr>
        <w:t>处置时，其公允价值与初始入账金额之间的差额确认为投资收益，同时调整公允价值变</w:t>
      </w:r>
      <w:r>
        <w:rPr/>
        <w:t> 动损益。</w:t>
      </w:r>
    </w:p>
    <w:p>
      <w:pPr>
        <w:pStyle w:val="BodyText"/>
        <w:spacing w:line="328" w:lineRule="auto" w:before="28"/>
        <w:ind w:left="559" w:right="190"/>
        <w:jc w:val="left"/>
      </w:pPr>
      <w:r>
        <w:rPr/>
        <w:t>（</w:t>
      </w:r>
      <w:r>
        <w:rPr>
          <w:rFonts w:ascii="Times New Roman" w:hAnsi="Times New Roman" w:cs="Times New Roman" w:eastAsia="Times New Roman" w:hint="default"/>
        </w:rPr>
        <w:t>2</w:t>
      </w:r>
      <w:r>
        <w:rPr/>
        <w:t>）持有至到期投资 </w:t>
      </w:r>
      <w:r>
        <w:rPr>
          <w:spacing w:val="-3"/>
        </w:rPr>
        <w:t>取得时按公允价值（扣除已到付息期但尚未领取的债券利息）和相关交易费用之和作为</w:t>
      </w:r>
    </w:p>
    <w:p>
      <w:pPr>
        <w:pStyle w:val="BodyText"/>
        <w:spacing w:line="348" w:lineRule="auto" w:before="48"/>
        <w:ind w:left="559" w:right="85" w:hanging="420"/>
        <w:jc w:val="left"/>
      </w:pPr>
      <w:r>
        <w:rPr/>
        <w:t>初始确认金额。 持有期间按照摊余成本和实际利率（如实际利率与票面利率差别较小的，按票面利率）</w:t>
      </w:r>
    </w:p>
    <w:p>
      <w:pPr>
        <w:pStyle w:val="BodyText"/>
        <w:spacing w:line="350" w:lineRule="auto" w:before="30"/>
        <w:ind w:left="139" w:right="196"/>
        <w:jc w:val="both"/>
      </w:pPr>
      <w:r>
        <w:rPr>
          <w:spacing w:val="-3"/>
        </w:rPr>
        <w:t>计算确认利息收入，计入投资收益。实际利率在取得时确定，在该预期存续期间或适用的更</w:t>
      </w:r>
      <w:r>
        <w:rPr>
          <w:spacing w:val="-81"/>
        </w:rPr>
        <w:t> </w:t>
      </w:r>
      <w:r>
        <w:rPr>
          <w:spacing w:val="-81"/>
        </w:rPr>
      </w:r>
      <w:r>
        <w:rPr/>
        <w:t>短期间内保持不变。</w:t>
      </w:r>
    </w:p>
    <w:p>
      <w:pPr>
        <w:pStyle w:val="BodyText"/>
        <w:spacing w:line="240" w:lineRule="auto" w:before="28"/>
        <w:ind w:left="559" w:right="190"/>
        <w:jc w:val="left"/>
      </w:pPr>
      <w:r>
        <w:rPr/>
        <w:t>处置时，将所取得价款与该投资账面价值之间的差额计入投资收益。</w:t>
      </w:r>
    </w:p>
    <w:p>
      <w:pPr>
        <w:pStyle w:val="BodyText"/>
        <w:spacing w:line="331" w:lineRule="auto" w:before="125"/>
        <w:ind w:left="559" w:right="190"/>
        <w:jc w:val="left"/>
      </w:pPr>
      <w:r>
        <w:rPr/>
        <w:t>（</w:t>
      </w:r>
      <w:r>
        <w:rPr>
          <w:rFonts w:ascii="Times New Roman" w:hAnsi="Times New Roman" w:cs="Times New Roman" w:eastAsia="Times New Roman" w:hint="default"/>
        </w:rPr>
        <w:t>3</w:t>
      </w:r>
      <w:r>
        <w:rPr/>
        <w:t>）应收款项 </w:t>
      </w:r>
      <w:r>
        <w:rPr>
          <w:spacing w:val="-3"/>
        </w:rPr>
        <w:t>公司对外销售商品或提供劳务形成的应收债权，以及公司持有的其他企业的不包括在活</w:t>
      </w:r>
    </w:p>
    <w:p>
      <w:pPr>
        <w:pStyle w:val="BodyText"/>
        <w:spacing w:line="350" w:lineRule="auto" w:before="45"/>
        <w:ind w:left="139" w:right="196"/>
        <w:jc w:val="both"/>
      </w:pPr>
      <w:r>
        <w:rPr>
          <w:spacing w:val="-3"/>
        </w:rPr>
        <w:t>跃市场上有报价的债务工具的债权，包括应收账款、应收票据、预付款项、其他应收款、长</w:t>
      </w:r>
      <w:r>
        <w:rPr>
          <w:spacing w:val="-84"/>
        </w:rPr>
        <w:t> </w:t>
      </w:r>
      <w:r>
        <w:rPr>
          <w:spacing w:val="-84"/>
        </w:rPr>
      </w:r>
      <w:r>
        <w:rPr>
          <w:spacing w:val="-3"/>
        </w:rPr>
        <w:t>期应收款等，以向购货方应收的合同或协议价款作为初始确认金额；具有融资性质的，按其</w:t>
      </w:r>
      <w:r>
        <w:rPr>
          <w:spacing w:val="-81"/>
        </w:rPr>
        <w:t> </w:t>
      </w:r>
      <w:r>
        <w:rPr>
          <w:spacing w:val="-81"/>
        </w:rPr>
      </w:r>
      <w:r>
        <w:rPr/>
        <w:t>现值进行初始确认。</w:t>
      </w:r>
    </w:p>
    <w:p>
      <w:pPr>
        <w:pStyle w:val="BodyText"/>
        <w:spacing w:line="240" w:lineRule="auto" w:before="28"/>
        <w:ind w:left="559" w:right="190"/>
        <w:jc w:val="left"/>
      </w:pPr>
      <w:r>
        <w:rPr/>
        <w:t>收回或处置时，将取得的价款与该应收款项账面价值之间的差额计入当期损益。</w:t>
      </w:r>
    </w:p>
    <w:p>
      <w:pPr>
        <w:pStyle w:val="BodyText"/>
        <w:spacing w:line="331" w:lineRule="auto" w:before="125"/>
        <w:ind w:left="559" w:right="190"/>
        <w:jc w:val="left"/>
      </w:pPr>
      <w:r>
        <w:rPr/>
        <w:t>（</w:t>
      </w:r>
      <w:r>
        <w:rPr>
          <w:rFonts w:ascii="Times New Roman" w:hAnsi="Times New Roman" w:cs="Times New Roman" w:eastAsia="Times New Roman" w:hint="default"/>
        </w:rPr>
        <w:t>4</w:t>
      </w:r>
      <w:r>
        <w:rPr/>
        <w:t>）可供出售金融资产 </w:t>
      </w:r>
      <w:r>
        <w:rPr>
          <w:spacing w:val="-3"/>
        </w:rPr>
        <w:t>取得时按公允价值（扣除已宣告但尚未发放的现金股利或已到付息期但尚未领取的债券</w:t>
      </w:r>
    </w:p>
    <w:p>
      <w:pPr>
        <w:pStyle w:val="BodyText"/>
        <w:spacing w:line="240" w:lineRule="auto" w:before="45"/>
        <w:ind w:left="139" w:right="0"/>
        <w:jc w:val="both"/>
      </w:pPr>
      <w:r>
        <w:rPr/>
        <w:t>利息）和相关交易费用之和作为初始确认金额。</w:t>
      </w:r>
    </w:p>
    <w:p>
      <w:pPr>
        <w:spacing w:after="0" w:line="240" w:lineRule="auto"/>
        <w:jc w:val="both"/>
        <w:sectPr>
          <w:pgSz w:w="11910" w:h="16840"/>
          <w:pgMar w:header="400" w:footer="982" w:top="1100" w:bottom="1180" w:left="1660" w:right="1600"/>
        </w:sectPr>
      </w:pPr>
    </w:p>
    <w:p>
      <w:pPr>
        <w:spacing w:line="240" w:lineRule="auto" w:before="12"/>
        <w:rPr>
          <w:rFonts w:ascii="宋体" w:hAnsi="宋体" w:cs="宋体" w:eastAsia="宋体" w:hint="default"/>
          <w:sz w:val="28"/>
          <w:szCs w:val="28"/>
        </w:rPr>
      </w:pPr>
    </w:p>
    <w:p>
      <w:pPr>
        <w:pStyle w:val="BodyText"/>
        <w:spacing w:line="348" w:lineRule="auto" w:before="35"/>
        <w:ind w:right="196" w:firstLine="420"/>
        <w:jc w:val="both"/>
      </w:pPr>
      <w:r>
        <w:rPr/>
        <w:t>持有期间将取得的利息或现金股利确认为投资收益</w:t>
      </w:r>
      <w:r>
        <w:rPr>
          <w:spacing w:val="-94"/>
        </w:rPr>
        <w:t>。</w:t>
      </w:r>
      <w:r>
        <w:rPr/>
        <w:t>年末以公允价值计量且将公允价值</w:t>
      </w:r>
      <w:r>
        <w:rPr/>
        <w:t> 变动计入资本公积（其他资本公积</w:t>
      </w:r>
      <w:r>
        <w:rPr>
          <w:spacing w:val="-106"/>
        </w:rPr>
        <w:t>）</w:t>
      </w:r>
      <w:r>
        <w:rPr/>
        <w:t>。</w:t>
      </w:r>
    </w:p>
    <w:p>
      <w:pPr>
        <w:pStyle w:val="BodyText"/>
        <w:spacing w:line="348" w:lineRule="auto" w:before="31"/>
        <w:ind w:right="197" w:firstLine="420"/>
        <w:jc w:val="both"/>
      </w:pPr>
      <w:r>
        <w:rPr>
          <w:spacing w:val="-3"/>
        </w:rPr>
        <w:t>处置时，将取得的价款与该金融资产账面价值之间的差额，计入投资损益；同时，将原</w:t>
      </w:r>
      <w:r>
        <w:rPr/>
        <w:t> 直接计入所有者权益的公允价值变动累计额对应处置部分的金额转出，计入投资损益。</w:t>
      </w:r>
    </w:p>
    <w:p>
      <w:pPr>
        <w:pStyle w:val="BodyText"/>
        <w:spacing w:line="336" w:lineRule="auto" w:before="30"/>
        <w:ind w:left="560" w:right="190"/>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 </w:t>
      </w:r>
      <w:r>
        <w:rPr>
          <w:rFonts w:ascii="Times New Roman" w:hAnsi="Times New Roman" w:cs="Times New Roman" w:eastAsia="Times New Roman" w:hint="default"/>
          <w:b/>
          <w:bCs/>
        </w:rPr>
        <w:t>3</w:t>
      </w:r>
      <w:r>
        <w:rPr>
          <w:rFonts w:ascii="宋体" w:hAnsi="宋体" w:cs="宋体" w:eastAsia="宋体" w:hint="default"/>
          <w:b/>
          <w:bCs/>
        </w:rPr>
        <w:t>、金融资产转移的确认依据和计量方法</w:t>
      </w:r>
      <w:r>
        <w:rPr>
          <w:rFonts w:ascii="宋体" w:hAnsi="宋体" w:cs="宋体" w:eastAsia="宋体" w:hint="default"/>
          <w:b/>
          <w:bCs/>
          <w:spacing w:val="1"/>
          <w:w w:val="99"/>
        </w:rPr>
        <w:t> </w:t>
      </w:r>
      <w:r>
        <w:rPr>
          <w:spacing w:val="-3"/>
        </w:rPr>
        <w:t>公司发生金融资产转移时，如已将金融资产所有权上几乎所有的风险和报酬转移给转入</w:t>
      </w:r>
    </w:p>
    <w:p>
      <w:pPr>
        <w:pStyle w:val="BodyText"/>
        <w:spacing w:line="348" w:lineRule="auto" w:before="42"/>
        <w:ind w:right="190"/>
        <w:jc w:val="left"/>
      </w:pPr>
      <w:r>
        <w:rPr>
          <w:spacing w:val="-3"/>
        </w:rPr>
        <w:t>方，则终止确认该金融资产；如保留了金融资产所有权上几乎所有的风险和报酬的，则不终</w:t>
      </w:r>
      <w:r>
        <w:rPr>
          <w:spacing w:val="-81"/>
        </w:rPr>
        <w:t> </w:t>
      </w:r>
      <w:r>
        <w:rPr>
          <w:spacing w:val="-81"/>
        </w:rPr>
      </w:r>
      <w:r>
        <w:rPr/>
        <w:t>止确认该金融资产。</w:t>
      </w:r>
    </w:p>
    <w:p>
      <w:pPr>
        <w:pStyle w:val="BodyText"/>
        <w:spacing w:line="350" w:lineRule="auto" w:before="30"/>
        <w:ind w:right="198" w:firstLine="420"/>
        <w:jc w:val="both"/>
      </w:pPr>
      <w:r>
        <w:rPr>
          <w:spacing w:val="2"/>
        </w:rPr>
        <w:t>在判断金融资产转移是否满足上述金融资产终止确认条件时，采用实质重于形式的原</w:t>
      </w:r>
      <w:r>
        <w:rPr/>
        <w:t> 则。公司将金融资产转移区分为金融资产整体转移和部分转移。</w:t>
      </w:r>
    </w:p>
    <w:p>
      <w:pPr>
        <w:pStyle w:val="BodyText"/>
        <w:spacing w:line="240" w:lineRule="auto" w:before="28"/>
        <w:ind w:left="560" w:right="190"/>
        <w:jc w:val="left"/>
      </w:pPr>
      <w:r>
        <w:rPr/>
        <w:t>金融资产整体转移满足终止确认条件的，将下列两项金额的差额计入当期损益：</w:t>
      </w:r>
    </w:p>
    <w:p>
      <w:pPr>
        <w:pStyle w:val="BodyText"/>
        <w:spacing w:line="240" w:lineRule="auto" w:before="125"/>
        <w:ind w:left="560" w:right="190"/>
        <w:jc w:val="left"/>
      </w:pPr>
      <w:r>
        <w:rPr/>
        <w:t>（</w:t>
      </w:r>
      <w:r>
        <w:rPr>
          <w:rFonts w:ascii="Times New Roman" w:hAnsi="Times New Roman" w:cs="Times New Roman" w:eastAsia="Times New Roman" w:hint="default"/>
        </w:rPr>
        <w:t>1</w:t>
      </w:r>
      <w:r>
        <w:rPr/>
        <w:t>）所转移金融资产的账面价值；</w:t>
      </w:r>
    </w:p>
    <w:p>
      <w:pPr>
        <w:pStyle w:val="BodyText"/>
        <w:spacing w:line="328" w:lineRule="auto" w:before="110"/>
        <w:ind w:right="196" w:firstLine="420"/>
        <w:jc w:val="both"/>
      </w:pPr>
      <w:r>
        <w:rPr/>
        <w:t>（</w:t>
      </w:r>
      <w:r>
        <w:rPr>
          <w:rFonts w:ascii="Times New Roman" w:hAnsi="Times New Roman" w:cs="Times New Roman" w:eastAsia="Times New Roman" w:hint="default"/>
        </w:rPr>
        <w:t>2</w:t>
      </w:r>
      <w:r>
        <w:rPr/>
        <w:t>）因转移而收到的对价，与原直接计入所有者权益的公允价值变动累计额（涉及转 移的金融资产为可供出售金融资产的情形）之和。</w:t>
      </w:r>
    </w:p>
    <w:p>
      <w:pPr>
        <w:pStyle w:val="BodyText"/>
        <w:spacing w:line="350" w:lineRule="auto" w:before="47"/>
        <w:ind w:right="196" w:firstLine="420"/>
        <w:jc w:val="both"/>
      </w:pPr>
      <w:r>
        <w:rPr>
          <w:spacing w:val="-3"/>
        </w:rPr>
        <w:t>金融资产部分转移满足终止确认条件的，将所转移金融资产整体的账面价值，在终止确</w:t>
      </w:r>
      <w:r>
        <w:rPr/>
        <w:t> </w:t>
      </w:r>
      <w:r>
        <w:rPr>
          <w:spacing w:val="-3"/>
        </w:rPr>
        <w:t>认部分和未终止确认部分（在此种情况下，所保留的服务资产应当视同未终止确认金融资产</w:t>
      </w:r>
      <w:r>
        <w:rPr>
          <w:spacing w:val="-79"/>
        </w:rPr>
        <w:t> </w:t>
      </w:r>
      <w:r>
        <w:rPr>
          <w:spacing w:val="-79"/>
        </w:rPr>
      </w:r>
      <w:r>
        <w:rPr>
          <w:spacing w:val="-3"/>
        </w:rPr>
        <w:t>的一部分）之间，按照各自的相对公允价值进行分摊，并将下列两项金额的差额计入当期损</w:t>
      </w:r>
      <w:r>
        <w:rPr>
          <w:spacing w:val="-81"/>
        </w:rPr>
        <w:t> </w:t>
      </w:r>
      <w:r>
        <w:rPr>
          <w:spacing w:val="-81"/>
        </w:rPr>
      </w:r>
      <w:r>
        <w:rPr/>
        <w:t>益：</w:t>
      </w:r>
    </w:p>
    <w:p>
      <w:pPr>
        <w:pStyle w:val="BodyText"/>
        <w:spacing w:line="240" w:lineRule="auto" w:before="29"/>
        <w:ind w:left="560" w:right="190"/>
        <w:jc w:val="left"/>
      </w:pPr>
      <w:r>
        <w:rPr/>
        <w:t>（</w:t>
      </w:r>
      <w:r>
        <w:rPr>
          <w:rFonts w:ascii="Times New Roman" w:hAnsi="Times New Roman" w:cs="Times New Roman" w:eastAsia="Times New Roman" w:hint="default"/>
        </w:rPr>
        <w:t>1</w:t>
      </w:r>
      <w:r>
        <w:rPr/>
        <w:t>）终止确认部分的账面价值；</w:t>
      </w:r>
    </w:p>
    <w:p>
      <w:pPr>
        <w:pStyle w:val="BodyText"/>
        <w:spacing w:line="328" w:lineRule="auto" w:before="109"/>
        <w:ind w:right="196" w:firstLine="420"/>
        <w:jc w:val="both"/>
      </w:pPr>
      <w:r>
        <w:rPr/>
        <w:t>（</w:t>
      </w:r>
      <w:r>
        <w:rPr>
          <w:rFonts w:ascii="Times New Roman" w:hAnsi="Times New Roman" w:cs="Times New Roman" w:eastAsia="Times New Roman" w:hint="default"/>
        </w:rPr>
        <w:t>2</w:t>
      </w:r>
      <w:r>
        <w:rPr/>
        <w:t>）终止确认部分的对价，与原直接计入所有者权益的公允价值变动累计额中对应终 止确认部分的金额（涉及转移的金融资产为可供出售金融资产的情形）之和。</w:t>
      </w:r>
    </w:p>
    <w:p>
      <w:pPr>
        <w:pStyle w:val="BodyText"/>
        <w:spacing w:line="348" w:lineRule="auto" w:before="48"/>
        <w:ind w:right="196" w:firstLine="420"/>
        <w:jc w:val="both"/>
      </w:pPr>
      <w:r>
        <w:rPr>
          <w:spacing w:val="-3"/>
        </w:rPr>
        <w:t>金融资产转移不满足终止确认条件的，继续确认该金融资产，所收到的对价确认为一项</w:t>
      </w:r>
      <w:r>
        <w:rPr/>
        <w:t> 金融负债。</w:t>
      </w:r>
    </w:p>
    <w:p>
      <w:pPr>
        <w:spacing w:line="340" w:lineRule="auto" w:before="30"/>
        <w:ind w:left="559" w:right="85"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、金融资产和金融负债公允价值的确定方法</w:t>
      </w:r>
      <w:r>
        <w:rPr>
          <w:rFonts w:ascii="宋体" w:hAnsi="宋体" w:cs="宋体" w:eastAsia="宋体" w:hint="default"/>
          <w:b/>
          <w:bCs/>
          <w:spacing w:val="1"/>
          <w:w w:val="99"/>
          <w:sz w:val="21"/>
          <w:szCs w:val="21"/>
        </w:rPr>
        <w:t> </w:t>
      </w:r>
      <w:r>
        <w:rPr>
          <w:rFonts w:ascii="宋体" w:hAnsi="宋体" w:cs="宋体" w:eastAsia="宋体" w:hint="default"/>
          <w:sz w:val="21"/>
          <w:szCs w:val="21"/>
        </w:rPr>
        <w:t>本公司采用公允价值计量的金融资产和金融负债全部直接参考年末活跃市场中的报价。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、金融资产的减值准备</w:t>
      </w:r>
      <w:r>
        <w:rPr>
          <w:rFonts w:ascii="宋体" w:hAnsi="宋体" w:cs="宋体" w:eastAsia="宋体" w:hint="default"/>
          <w:sz w:val="21"/>
          <w:szCs w:val="21"/>
        </w:rPr>
      </w:r>
    </w:p>
    <w:p>
      <w:pPr>
        <w:pStyle w:val="BodyText"/>
        <w:spacing w:line="331" w:lineRule="auto" w:before="11"/>
        <w:ind w:left="559" w:right="190"/>
        <w:jc w:val="left"/>
      </w:pPr>
      <w:r>
        <w:rPr/>
        <w:t>（</w:t>
      </w:r>
      <w:r>
        <w:rPr>
          <w:rFonts w:ascii="Times New Roman" w:hAnsi="Times New Roman" w:cs="Times New Roman" w:eastAsia="Times New Roman" w:hint="default"/>
        </w:rPr>
        <w:t>1</w:t>
      </w:r>
      <w:r>
        <w:rPr/>
        <w:t>）可供出售金融资产的减值准备： </w:t>
      </w:r>
      <w:r>
        <w:rPr>
          <w:spacing w:val="-3"/>
        </w:rPr>
        <w:t>年末如果可供出售金融资产的公允价值发生较大幅度下降，或在综合考虑各种相关因素</w:t>
      </w:r>
    </w:p>
    <w:p>
      <w:pPr>
        <w:pStyle w:val="BodyText"/>
        <w:spacing w:line="348" w:lineRule="auto" w:before="45"/>
        <w:ind w:left="139" w:right="190"/>
        <w:jc w:val="left"/>
      </w:pPr>
      <w:r>
        <w:rPr>
          <w:spacing w:val="-3"/>
        </w:rPr>
        <w:t>后，预期这种下降趋势属于非暂时性的，就认定其已发生减值，将原直接计入所有者权益的</w:t>
      </w:r>
      <w:r>
        <w:rPr>
          <w:spacing w:val="-81"/>
        </w:rPr>
        <w:t> </w:t>
      </w:r>
      <w:r>
        <w:rPr>
          <w:spacing w:val="-81"/>
        </w:rPr>
      </w:r>
      <w:r>
        <w:rPr/>
        <w:t>公允价值下降形成的累计损失一并转出，确认减值损失。</w:t>
      </w:r>
    </w:p>
    <w:p>
      <w:pPr>
        <w:pStyle w:val="BodyText"/>
        <w:spacing w:line="328" w:lineRule="auto" w:before="31"/>
        <w:ind w:left="559" w:right="1555"/>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after="0" w:line="328" w:lineRule="auto"/>
        <w:jc w:val="left"/>
        <w:sectPr>
          <w:pgSz w:w="11910" w:h="16840"/>
          <w:pgMar w:header="400" w:footer="982" w:top="1100" w:bottom="1180" w:left="1660" w:right="1600"/>
        </w:sectPr>
      </w:pPr>
    </w:p>
    <w:p>
      <w:pPr>
        <w:spacing w:line="240" w:lineRule="auto" w:before="12"/>
        <w:rPr>
          <w:rFonts w:ascii="宋体" w:hAnsi="宋体" w:cs="宋体" w:eastAsia="宋体" w:hint="default"/>
          <w:sz w:val="28"/>
          <w:szCs w:val="28"/>
        </w:rPr>
      </w:pPr>
    </w:p>
    <w:p>
      <w:pPr>
        <w:spacing w:line="348" w:lineRule="auto" w:before="35"/>
        <w:ind w:left="559" w:right="135" w:firstLine="2"/>
        <w:jc w:val="left"/>
        <w:rPr>
          <w:rFonts w:ascii="宋体" w:hAnsi="宋体" w:cs="宋体" w:eastAsia="宋体" w:hint="default"/>
          <w:sz w:val="21"/>
          <w:szCs w:val="21"/>
        </w:rPr>
      </w:pPr>
      <w:r>
        <w:rPr>
          <w:rFonts w:ascii="宋体" w:hAnsi="宋体" w:cs="宋体" w:eastAsia="宋体" w:hint="default"/>
          <w:b/>
          <w:bCs/>
          <w:sz w:val="21"/>
          <w:szCs w:val="21"/>
        </w:rPr>
        <w:t>（八）应收款项坏账准备的确认标准和计提方法</w:t>
      </w:r>
      <w:r>
        <w:rPr>
          <w:rFonts w:ascii="宋体" w:hAnsi="宋体" w:cs="宋体" w:eastAsia="宋体" w:hint="default"/>
          <w:b/>
          <w:bCs/>
          <w:w w:val="99"/>
          <w:sz w:val="21"/>
          <w:szCs w:val="21"/>
        </w:rPr>
        <w:t> </w:t>
      </w:r>
      <w:r>
        <w:rPr>
          <w:rFonts w:ascii="宋体" w:hAnsi="宋体" w:cs="宋体" w:eastAsia="宋体" w:hint="default"/>
          <w:spacing w:val="-3"/>
          <w:sz w:val="21"/>
          <w:szCs w:val="21"/>
        </w:rPr>
        <w:t>年末如果有客观证据表明应收款项发生减值，则将其账面价值减记至可收回金额，减记</w:t>
      </w:r>
    </w:p>
    <w:p>
      <w:pPr>
        <w:pStyle w:val="BodyText"/>
        <w:spacing w:line="350" w:lineRule="auto" w:before="31"/>
        <w:ind w:left="139" w:right="136"/>
        <w:jc w:val="both"/>
      </w:pPr>
      <w:r>
        <w:rPr>
          <w:spacing w:val="-3"/>
        </w:rPr>
        <w:t>的金额确认为资产减值损失，计入当期损益。可收回金额是通过对其的未来现金流量（不包</w:t>
      </w:r>
      <w:r>
        <w:rPr>
          <w:spacing w:val="-81"/>
        </w:rPr>
        <w:t> </w:t>
      </w:r>
      <w:r>
        <w:rPr>
          <w:spacing w:val="-81"/>
        </w:rPr>
      </w:r>
      <w:r>
        <w:rPr>
          <w:spacing w:val="-3"/>
        </w:rPr>
        <w:t>括尚未发生的信用损失）按原实际利率折现确定，并考虑相关担保物的价值（扣除预计处置</w:t>
      </w:r>
      <w:r>
        <w:rPr>
          <w:spacing w:val="-81"/>
        </w:rPr>
        <w:t> </w:t>
      </w:r>
      <w:r>
        <w:rPr>
          <w:spacing w:val="-81"/>
        </w:rPr>
      </w:r>
      <w:r>
        <w:rPr>
          <w:spacing w:val="-3"/>
        </w:rPr>
        <w:t>费用等）。原实际利率是初始确认该应收款项时计算确定的实际利率。短期应收款项的预计</w:t>
      </w:r>
      <w:r>
        <w:rPr>
          <w:spacing w:val="-84"/>
        </w:rPr>
        <w:t> </w:t>
      </w:r>
      <w:r>
        <w:rPr>
          <w:spacing w:val="-84"/>
        </w:rPr>
      </w:r>
      <w:r>
        <w:rPr>
          <w:spacing w:val="-3"/>
        </w:rPr>
        <w:t>未来现金流量与其现值相差很小，在确定相关减值损失时，不对其预计未来现金流量进行折</w:t>
      </w:r>
      <w:r>
        <w:rPr>
          <w:spacing w:val="-79"/>
        </w:rPr>
        <w:t> </w:t>
      </w:r>
      <w:r>
        <w:rPr>
          <w:spacing w:val="-79"/>
        </w:rPr>
      </w:r>
      <w:r>
        <w:rPr/>
        <w:t>现。</w:t>
      </w:r>
    </w:p>
    <w:p>
      <w:pPr>
        <w:pStyle w:val="BodyText"/>
        <w:spacing w:line="350" w:lineRule="auto" w:before="28"/>
        <w:ind w:left="139" w:right="135" w:firstLine="420"/>
        <w:jc w:val="left"/>
      </w:pPr>
      <w:r>
        <w:rPr>
          <w:spacing w:val="-3"/>
        </w:rPr>
        <w:t>年末对于单项金额重大的应收款项单独进行减值测试。如有客观证据表明其发生了减值</w:t>
      </w:r>
      <w:r>
        <w:rPr/>
        <w:t> 的，根据其未来现金流量现值低于其账面价值的差额，确认减值损失，计提坏账准备。</w:t>
      </w:r>
    </w:p>
    <w:p>
      <w:pPr>
        <w:pStyle w:val="BodyText"/>
        <w:spacing w:line="328" w:lineRule="auto" w:before="28"/>
        <w:ind w:left="559" w:right="135"/>
        <w:jc w:val="left"/>
      </w:pPr>
      <w:r>
        <w:rPr/>
        <w:t>单项金额重大是指：应收款项余额前五名或占应收账款余额</w:t>
      </w:r>
      <w:r>
        <w:rPr>
          <w:spacing w:val="-54"/>
        </w:rPr>
        <w:t> </w:t>
      </w:r>
      <w:r>
        <w:rPr>
          <w:rFonts w:ascii="Times New Roman" w:hAnsi="Times New Roman" w:cs="Times New Roman" w:eastAsia="Times New Roman" w:hint="default"/>
        </w:rPr>
        <w:t>10</w:t>
      </w:r>
      <w:r>
        <w:rPr/>
        <w:t>％以上的款项之和。 </w:t>
      </w:r>
      <w:r>
        <w:rPr>
          <w:spacing w:val="-3"/>
        </w:rPr>
        <w:t>对于年末单项金额非重大的应收款项，采用与经单独测试后未减值的应收款项一起按账</w:t>
      </w:r>
    </w:p>
    <w:p>
      <w:pPr>
        <w:pStyle w:val="BodyText"/>
        <w:spacing w:line="240" w:lineRule="auto" w:before="48"/>
        <w:ind w:left="139" w:right="0"/>
        <w:jc w:val="both"/>
      </w:pPr>
      <w:r>
        <w:rPr>
          <w:spacing w:val="2"/>
        </w:rPr>
        <w:t>龄作为类似信用风险特征划分为若干组合，再按这些应收款项组合在年末余额的一定比例</w:t>
      </w:r>
    </w:p>
    <w:p>
      <w:pPr>
        <w:pStyle w:val="BodyText"/>
        <w:spacing w:line="348" w:lineRule="auto" w:before="125"/>
        <w:ind w:left="559" w:right="135" w:hanging="420"/>
        <w:jc w:val="left"/>
      </w:pPr>
      <w:r>
        <w:rPr/>
        <w:t>（可以单独进行减值测试）计算确定减值损失，计提坏账准备。 </w:t>
      </w:r>
      <w:r>
        <w:rPr>
          <w:spacing w:val="-3"/>
        </w:rPr>
        <w:t>除已单独计提减值准备的应收款项外，公司根据以前年度与之相同或相类似的、具有应</w:t>
      </w:r>
    </w:p>
    <w:p>
      <w:pPr>
        <w:pStyle w:val="BodyText"/>
        <w:spacing w:line="348" w:lineRule="auto" w:before="31"/>
        <w:ind w:left="139" w:right="136"/>
        <w:jc w:val="both"/>
      </w:pPr>
      <w:r>
        <w:rPr>
          <w:spacing w:val="-3"/>
        </w:rPr>
        <w:t>收款项按账龄段划分的类似信用风险特征组合的实际损失率为基础，结合现时情况确定以下</w:t>
      </w:r>
      <w:r>
        <w:rPr>
          <w:spacing w:val="-79"/>
        </w:rPr>
        <w:t> </w:t>
      </w:r>
      <w:r>
        <w:rPr>
          <w:spacing w:val="-79"/>
        </w:rPr>
      </w:r>
      <w:r>
        <w:rPr/>
        <w:t>坏账准备计提的比例：</w:t>
      </w:r>
    </w:p>
    <w:p>
      <w:pPr>
        <w:spacing w:line="240" w:lineRule="auto" w:before="1"/>
        <w:rPr>
          <w:rFonts w:ascii="宋体" w:hAnsi="宋体" w:cs="宋体" w:eastAsia="宋体" w:hint="default"/>
          <w:sz w:val="7"/>
          <w:szCs w:val="7"/>
        </w:rPr>
      </w:pPr>
    </w:p>
    <w:tbl>
      <w:tblPr>
        <w:tblW w:w="0" w:type="auto"/>
        <w:jc w:val="left"/>
        <w:tblInd w:w="792" w:type="dxa"/>
        <w:tblLayout w:type="fixed"/>
        <w:tblCellMar>
          <w:top w:w="0" w:type="dxa"/>
          <w:left w:w="0" w:type="dxa"/>
          <w:bottom w:w="0" w:type="dxa"/>
          <w:right w:w="0" w:type="dxa"/>
        </w:tblCellMar>
        <w:tblLook w:val="01E0"/>
      </w:tblPr>
      <w:tblGrid>
        <w:gridCol w:w="4500"/>
        <w:gridCol w:w="2490"/>
      </w:tblGrid>
      <w:tr>
        <w:trPr>
          <w:trHeight w:val="415"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21"/>
                <w:szCs w:val="21"/>
              </w:rPr>
            </w:pPr>
            <w:r>
              <w:rPr>
                <w:rFonts w:ascii="宋体" w:hAnsi="宋体" w:cs="宋体" w:eastAsia="宋体" w:hint="default"/>
                <w:b/>
                <w:bCs/>
                <w:sz w:val="21"/>
                <w:szCs w:val="21"/>
              </w:rPr>
              <w:t>应收款项账龄</w:t>
            </w:r>
            <w:r>
              <w:rPr>
                <w:rFonts w:ascii="宋体" w:hAnsi="宋体" w:cs="宋体" w:eastAsia="宋体" w:hint="default"/>
                <w:sz w:val="21"/>
                <w:szCs w:val="21"/>
              </w:rPr>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21"/>
                <w:szCs w:val="21"/>
              </w:rPr>
            </w:pPr>
            <w:r>
              <w:rPr>
                <w:rFonts w:ascii="宋体" w:hAnsi="宋体" w:cs="宋体" w:eastAsia="宋体" w:hint="default"/>
                <w:b/>
                <w:bCs/>
                <w:sz w:val="21"/>
                <w:szCs w:val="21"/>
              </w:rPr>
              <w:t>提取比例</w:t>
            </w:r>
            <w:r>
              <w:rPr>
                <w:rFonts w:ascii="宋体" w:hAnsi="宋体" w:cs="宋体" w:eastAsia="宋体" w:hint="default"/>
                <w:sz w:val="21"/>
                <w:szCs w:val="21"/>
              </w:rPr>
            </w:r>
          </w:p>
        </w:tc>
      </w:tr>
      <w:tr>
        <w:trPr>
          <w:trHeight w:val="415"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21"/>
                <w:szCs w:val="21"/>
              </w:rPr>
            </w:pPr>
            <w:r>
              <w:rPr>
                <w:rFonts w:ascii="Times New Roman"/>
                <w:sz w:val="21"/>
              </w:rPr>
              <w:t>0.50%</w:t>
            </w:r>
          </w:p>
        </w:tc>
      </w:tr>
      <w:tr>
        <w:trPr>
          <w:trHeight w:val="415"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21"/>
                <w:szCs w:val="21"/>
              </w:rPr>
            </w:pPr>
            <w:r>
              <w:rPr>
                <w:rFonts w:ascii="Times New Roman"/>
                <w:sz w:val="21"/>
              </w:rPr>
              <w:t>5%</w:t>
            </w:r>
          </w:p>
        </w:tc>
      </w:tr>
      <w:tr>
        <w:trPr>
          <w:trHeight w:val="415"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21"/>
                <w:szCs w:val="21"/>
              </w:rPr>
            </w:pPr>
            <w:r>
              <w:rPr>
                <w:rFonts w:ascii="Times New Roman"/>
                <w:sz w:val="21"/>
              </w:rPr>
              <w:t>10%</w:t>
            </w:r>
          </w:p>
        </w:tc>
      </w:tr>
      <w:tr>
        <w:trPr>
          <w:trHeight w:val="415"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21"/>
                <w:szCs w:val="21"/>
              </w:rPr>
            </w:pPr>
            <w:r>
              <w:rPr>
                <w:rFonts w:ascii="Times New Roman"/>
                <w:sz w:val="21"/>
              </w:rPr>
              <w:t>30%</w:t>
            </w:r>
          </w:p>
        </w:tc>
      </w:tr>
      <w:tr>
        <w:trPr>
          <w:trHeight w:val="414"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21"/>
                <w:szCs w:val="21"/>
              </w:rPr>
            </w:pPr>
            <w:r>
              <w:rPr>
                <w:rFonts w:ascii="Times New Roman"/>
                <w:sz w:val="21"/>
              </w:rPr>
              <w:t>50%</w:t>
            </w:r>
          </w:p>
        </w:tc>
      </w:tr>
      <w:tr>
        <w:trPr>
          <w:trHeight w:val="416"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4"/>
        <w:spacing w:line="240" w:lineRule="auto" w:before="35"/>
        <w:ind w:left="562" w:right="1090"/>
        <w:jc w:val="left"/>
        <w:rPr>
          <w:b w:val="0"/>
          <w:bCs w:val="0"/>
        </w:rPr>
      </w:pPr>
      <w:r>
        <w:rPr/>
        <w:t>（九）存货核算方法</w:t>
      </w:r>
      <w:r>
        <w:rPr>
          <w:b w:val="0"/>
          <w:bCs w:val="0"/>
        </w:rPr>
      </w:r>
    </w:p>
    <w:p>
      <w:pPr>
        <w:spacing w:line="340" w:lineRule="auto" w:before="125"/>
        <w:ind w:left="560" w:right="1704"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b/>
          <w:bCs/>
          <w:w w:val="99"/>
          <w:sz w:val="21"/>
          <w:szCs w:val="21"/>
        </w:rPr>
        <w:t> </w:t>
      </w:r>
      <w:r>
        <w:rPr>
          <w:rFonts w:ascii="宋体" w:hAnsi="宋体" w:cs="宋体" w:eastAsia="宋体" w:hint="default"/>
          <w:sz w:val="21"/>
          <w:szCs w:val="21"/>
        </w:rPr>
        <w:t>存货分类为：原材料、库存商品、在产品、产成品、低值易耗品等。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sz w:val="21"/>
          <w:szCs w:val="21"/>
        </w:rPr>
      </w:r>
    </w:p>
    <w:p>
      <w:pPr>
        <w:pStyle w:val="BodyText"/>
        <w:spacing w:line="240" w:lineRule="auto" w:before="11"/>
        <w:ind w:left="559" w:right="1090"/>
        <w:jc w:val="left"/>
      </w:pPr>
      <w:r>
        <w:rPr/>
        <w:t>（</w:t>
      </w:r>
      <w:r>
        <w:rPr>
          <w:rFonts w:ascii="Times New Roman" w:hAnsi="Times New Roman" w:cs="Times New Roman" w:eastAsia="Times New Roman" w:hint="default"/>
        </w:rPr>
        <w:t>1</w:t>
      </w:r>
      <w:r>
        <w:rPr/>
        <w:t>）存货发出时按加权平均法计价。</w:t>
      </w:r>
    </w:p>
    <w:p>
      <w:pPr>
        <w:pStyle w:val="BodyText"/>
        <w:spacing w:line="340" w:lineRule="auto" w:before="110"/>
        <w:ind w:left="559" w:right="5275"/>
        <w:jc w:val="left"/>
      </w:pPr>
      <w:r>
        <w:rPr/>
        <w:t>（</w:t>
      </w:r>
      <w:r>
        <w:rPr>
          <w:rFonts w:ascii="Times New Roman" w:hAnsi="Times New Roman" w:cs="Times New Roman" w:eastAsia="Times New Roman" w:hint="default"/>
        </w:rPr>
        <w:t>2</w:t>
      </w:r>
      <w:r>
        <w:rPr/>
        <w:t>）周转材料的摊销方法 低值易耗品采用一次摊销法； 包装物采用一次摊销法。 </w:t>
      </w:r>
      <w:r>
        <w:rPr>
          <w:rFonts w:ascii="Times New Roman" w:hAnsi="Times New Roman" w:cs="Times New Roman" w:eastAsia="Times New Roman" w:hint="default"/>
          <w:b/>
          <w:bCs/>
        </w:rPr>
        <w:t>3</w:t>
      </w:r>
      <w:r>
        <w:rPr>
          <w:rFonts w:ascii="宋体" w:hAnsi="宋体" w:cs="宋体" w:eastAsia="宋体" w:hint="default"/>
          <w:b/>
          <w:bCs/>
        </w:rPr>
        <w:t>、存货的盘存制度</w:t>
      </w:r>
      <w:r>
        <w:rPr>
          <w:rFonts w:ascii="宋体" w:hAnsi="宋体" w:cs="宋体" w:eastAsia="宋体" w:hint="default"/>
          <w:b/>
          <w:bCs/>
          <w:spacing w:val="1"/>
          <w:w w:val="99"/>
        </w:rPr>
        <w:t> </w:t>
      </w:r>
      <w:r>
        <w:rPr/>
        <w:t>采用永续盘存制。</w:t>
      </w:r>
    </w:p>
    <w:p>
      <w:pPr>
        <w:spacing w:after="0" w:line="340" w:lineRule="auto"/>
        <w:jc w:val="left"/>
        <w:sectPr>
          <w:pgSz w:w="11910" w:h="16840"/>
          <w:pgMar w:header="400" w:footer="982" w:top="1100" w:bottom="1180" w:left="1660" w:right="1660"/>
        </w:sectPr>
      </w:pPr>
    </w:p>
    <w:p>
      <w:pPr>
        <w:spacing w:line="240" w:lineRule="auto" w:before="12"/>
        <w:rPr>
          <w:rFonts w:ascii="宋体" w:hAnsi="宋体" w:cs="宋体" w:eastAsia="宋体" w:hint="default"/>
          <w:sz w:val="28"/>
          <w:szCs w:val="28"/>
        </w:rPr>
      </w:pPr>
    </w:p>
    <w:p>
      <w:pPr>
        <w:spacing w:line="328" w:lineRule="auto" w:before="35"/>
        <w:ind w:left="560" w:right="19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、存货跌价准备的计提方法</w:t>
      </w:r>
      <w:r>
        <w:rPr>
          <w:rFonts w:ascii="宋体" w:hAnsi="宋体" w:cs="宋体" w:eastAsia="宋体" w:hint="default"/>
          <w:b/>
          <w:bCs/>
          <w:spacing w:val="1"/>
          <w:w w:val="99"/>
          <w:sz w:val="21"/>
          <w:szCs w:val="21"/>
        </w:rPr>
        <w:t> </w:t>
      </w:r>
      <w:r>
        <w:rPr>
          <w:rFonts w:ascii="宋体" w:hAnsi="宋体" w:cs="宋体" w:eastAsia="宋体" w:hint="default"/>
          <w:spacing w:val="2"/>
          <w:sz w:val="21"/>
          <w:szCs w:val="21"/>
        </w:rPr>
        <w:t>年末对存货进行全面清查后，按存货的成本与可变现净值孰低提取或调整存货跌价准</w:t>
      </w:r>
    </w:p>
    <w:p>
      <w:pPr>
        <w:pStyle w:val="BodyText"/>
        <w:spacing w:line="240" w:lineRule="auto" w:before="48"/>
        <w:ind w:right="190"/>
        <w:jc w:val="left"/>
      </w:pPr>
      <w:r>
        <w:rPr/>
        <w:t>备。</w:t>
      </w:r>
    </w:p>
    <w:p>
      <w:pPr>
        <w:pStyle w:val="BodyText"/>
        <w:spacing w:line="350" w:lineRule="auto" w:before="125"/>
        <w:ind w:right="84" w:firstLine="420"/>
        <w:jc w:val="left"/>
      </w:pPr>
      <w:r>
        <w:rPr/>
        <w:t>产成品、商品和用于出售的材料等直接用于出售的商品存货，在正常生产经营过程中， </w:t>
      </w:r>
      <w:r>
        <w:rPr>
          <w:spacing w:val="-3"/>
        </w:rPr>
        <w:t>以该存货的估计售价减去估计的销售费用和相关税费后的金额，确定其可变现净值；需要经</w:t>
      </w:r>
      <w:r>
        <w:rPr>
          <w:spacing w:val="-79"/>
        </w:rPr>
        <w:t> </w:t>
      </w:r>
      <w:r>
        <w:rPr>
          <w:spacing w:val="-79"/>
        </w:rPr>
      </w:r>
      <w:r>
        <w:rPr>
          <w:spacing w:val="-3"/>
        </w:rPr>
        <w:t>过加工的材料存货，在正常生产经营过程中，以所生产的产成品的估计售价减去至完工时估</w:t>
      </w:r>
      <w:r>
        <w:rPr>
          <w:spacing w:val="-79"/>
        </w:rPr>
        <w:t> </w:t>
      </w:r>
      <w:r>
        <w:rPr>
          <w:spacing w:val="-79"/>
        </w:rPr>
      </w:r>
      <w:r>
        <w:rPr>
          <w:spacing w:val="-3"/>
        </w:rPr>
        <w:t>计将要发生的成本、估计的销售费用和相关税费后的金额，确定其可变现净值；为执行销售</w:t>
      </w:r>
      <w:r>
        <w:rPr>
          <w:spacing w:val="-81"/>
        </w:rPr>
        <w:t> </w:t>
      </w:r>
      <w:r>
        <w:rPr>
          <w:spacing w:val="-81"/>
        </w:rPr>
      </w:r>
      <w:r>
        <w:rPr>
          <w:spacing w:val="-3"/>
        </w:rPr>
        <w:t>合同或者劳务合同而持有的存货，其可变现净值以合同价格为基础计算，若持有存货的数量</w:t>
      </w:r>
      <w:r>
        <w:rPr>
          <w:spacing w:val="-79"/>
        </w:rPr>
        <w:t> </w:t>
      </w:r>
      <w:r>
        <w:rPr>
          <w:spacing w:val="-79"/>
        </w:rPr>
      </w:r>
      <w:r>
        <w:rPr/>
        <w:t>多于销售合同订购数量的，超出部分的存货的可变现净值以一般销售价格为基础计算。</w:t>
      </w:r>
    </w:p>
    <w:p>
      <w:pPr>
        <w:pStyle w:val="BodyText"/>
        <w:spacing w:line="350" w:lineRule="auto" w:before="28"/>
        <w:ind w:right="195" w:firstLine="420"/>
        <w:jc w:val="both"/>
      </w:pPr>
      <w:r>
        <w:rPr>
          <w:spacing w:val="-3"/>
        </w:rPr>
        <w:t>年末按照单个存货项目计提存货跌价准备；但对于数量繁多、单价较低的存货，按照存</w:t>
      </w:r>
      <w:r>
        <w:rPr/>
        <w:t> </w:t>
      </w:r>
      <w:r>
        <w:rPr>
          <w:spacing w:val="-3"/>
        </w:rPr>
        <w:t>货类别计提存货跌价准备；与在同一地区生产和销售的产品系列相关、具有相同或类似最终</w:t>
      </w:r>
      <w:r>
        <w:rPr>
          <w:spacing w:val="-79"/>
        </w:rPr>
        <w:t> </w:t>
      </w:r>
      <w:r>
        <w:rPr>
          <w:spacing w:val="-79"/>
        </w:rPr>
      </w:r>
      <w:r>
        <w:rPr/>
        <w:t>用途或目的，且难以与其他项目分开计量的存货，则合并计提存货跌价准备。</w:t>
      </w:r>
    </w:p>
    <w:p>
      <w:pPr>
        <w:pStyle w:val="BodyText"/>
        <w:spacing w:line="348" w:lineRule="auto" w:before="28"/>
        <w:ind w:right="195" w:firstLine="420"/>
        <w:jc w:val="both"/>
      </w:pPr>
      <w:r>
        <w:rPr>
          <w:spacing w:val="-3"/>
        </w:rPr>
        <w:t>以前减记存货价值的影响因素已经消失的，减记的金额予以恢复，并在原已计提的存货</w:t>
      </w:r>
      <w:r>
        <w:rPr/>
        <w:t> 跌价准备金额内转回，转回的金额计入当期损益。</w:t>
      </w:r>
    </w:p>
    <w:p>
      <w:pPr>
        <w:pStyle w:val="Heading4"/>
        <w:spacing w:line="240" w:lineRule="auto" w:before="31"/>
        <w:ind w:left="562" w:right="190"/>
        <w:jc w:val="left"/>
        <w:rPr>
          <w:b w:val="0"/>
          <w:bCs w:val="0"/>
        </w:rPr>
      </w:pPr>
      <w:r>
        <w:rPr/>
        <w:t>（十）固定资产的计价和折旧方法</w:t>
      </w:r>
      <w:r>
        <w:rPr>
          <w:b w:val="0"/>
          <w:bCs w:val="0"/>
        </w:rPr>
      </w:r>
    </w:p>
    <w:p>
      <w:pPr>
        <w:spacing w:line="328" w:lineRule="auto" w:before="125"/>
        <w:ind w:left="560" w:right="19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固定资产指为生产商品、提供劳务、出租或经营管理而持有，并且使用年限超过一年的</w:t>
      </w:r>
    </w:p>
    <w:p>
      <w:pPr>
        <w:pStyle w:val="BodyText"/>
        <w:spacing w:line="240" w:lineRule="auto" w:before="48"/>
        <w:ind w:right="190"/>
        <w:jc w:val="left"/>
      </w:pPr>
      <w:r>
        <w:rPr/>
        <w:t>有形资产。固定资产在同时满足下列条件时予以确认：</w:t>
      </w:r>
    </w:p>
    <w:p>
      <w:pPr>
        <w:pStyle w:val="BodyText"/>
        <w:spacing w:line="240" w:lineRule="auto" w:before="125"/>
        <w:ind w:left="560" w:right="190"/>
        <w:jc w:val="left"/>
      </w:pPr>
      <w:r>
        <w:rPr/>
        <w:t>（</w:t>
      </w:r>
      <w:r>
        <w:rPr>
          <w:rFonts w:ascii="Times New Roman" w:hAnsi="Times New Roman" w:cs="Times New Roman" w:eastAsia="Times New Roman" w:hint="default"/>
        </w:rPr>
        <w:t>1</w:t>
      </w:r>
      <w:r>
        <w:rPr/>
        <w:t>）与该固定资产有关的经济利益很可能流入企业；</w:t>
      </w:r>
    </w:p>
    <w:p>
      <w:pPr>
        <w:pStyle w:val="BodyText"/>
        <w:spacing w:line="240" w:lineRule="auto" w:before="109"/>
        <w:ind w:left="560" w:right="190"/>
        <w:jc w:val="left"/>
      </w:pPr>
      <w:r>
        <w:rPr/>
        <w:t>（</w:t>
      </w:r>
      <w:r>
        <w:rPr>
          <w:rFonts w:ascii="Times New Roman" w:hAnsi="Times New Roman" w:cs="Times New Roman" w:eastAsia="Times New Roman" w:hint="default"/>
        </w:rPr>
        <w:t>2</w:t>
      </w:r>
      <w:r>
        <w:rPr/>
        <w:t>）该固定资产的成本能够可靠地计量。</w:t>
      </w:r>
    </w:p>
    <w:p>
      <w:pPr>
        <w:spacing w:line="328" w:lineRule="auto" w:before="110"/>
        <w:ind w:left="559" w:right="19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、固定资产的分类</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固定资产分类为：房屋及建筑物、运输设备、专用设备、电子设备、办公设备、仪器仪</w:t>
      </w:r>
    </w:p>
    <w:p>
      <w:pPr>
        <w:spacing w:line="331" w:lineRule="auto" w:before="47"/>
        <w:ind w:left="559" w:right="3865" w:hanging="420"/>
        <w:jc w:val="left"/>
        <w:rPr>
          <w:rFonts w:ascii="宋体" w:hAnsi="宋体" w:cs="宋体" w:eastAsia="宋体" w:hint="default"/>
          <w:sz w:val="21"/>
          <w:szCs w:val="21"/>
        </w:rPr>
      </w:pPr>
      <w:r>
        <w:rPr>
          <w:rFonts w:ascii="宋体" w:hAnsi="宋体" w:cs="宋体" w:eastAsia="宋体" w:hint="default"/>
          <w:sz w:val="21"/>
          <w:szCs w:val="21"/>
        </w:rPr>
        <w:t>表、培训设备、营运业务用</w:t>
      </w:r>
      <w:r>
        <w:rPr>
          <w:rFonts w:ascii="宋体" w:hAnsi="宋体" w:cs="宋体" w:eastAsia="宋体" w:hint="default"/>
          <w:spacing w:val="-53"/>
          <w:sz w:val="21"/>
          <w:szCs w:val="21"/>
        </w:rPr>
        <w:t> </w:t>
      </w:r>
      <w:r>
        <w:rPr>
          <w:rFonts w:ascii="Times New Roman" w:hAnsi="Times New Roman" w:cs="Times New Roman" w:eastAsia="Times New Roman" w:hint="default"/>
          <w:spacing w:val="-6"/>
          <w:sz w:val="21"/>
          <w:szCs w:val="21"/>
        </w:rPr>
        <w:t>ATM</w:t>
      </w:r>
      <w:r>
        <w:rPr>
          <w:rFonts w:ascii="宋体" w:hAnsi="宋体" w:cs="宋体" w:eastAsia="宋体" w:hint="default"/>
          <w:spacing w:val="-6"/>
          <w:sz w:val="21"/>
          <w:szCs w:val="21"/>
        </w:rPr>
        <w:t>。</w:t>
      </w:r>
      <w:r>
        <w:rPr>
          <w:rFonts w:ascii="宋体" w:hAnsi="宋体" w:cs="宋体" w:eastAsia="宋体" w:hint="default"/>
          <w:sz w:val="21"/>
          <w:szCs w:val="21"/>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、固定资产的初始计量</w:t>
      </w:r>
      <w:r>
        <w:rPr>
          <w:rFonts w:ascii="宋体" w:hAnsi="宋体" w:cs="宋体" w:eastAsia="宋体" w:hint="default"/>
          <w:b/>
          <w:bCs/>
          <w:w w:val="99"/>
          <w:sz w:val="21"/>
          <w:szCs w:val="21"/>
        </w:rPr>
        <w:t> </w:t>
      </w:r>
      <w:r>
        <w:rPr>
          <w:rFonts w:ascii="宋体" w:hAnsi="宋体" w:cs="宋体" w:eastAsia="宋体" w:hint="default"/>
          <w:sz w:val="21"/>
          <w:szCs w:val="21"/>
        </w:rPr>
        <w:t>固定资产取得时按照实际成本进行初始计量。</w:t>
      </w:r>
    </w:p>
    <w:p>
      <w:pPr>
        <w:pStyle w:val="BodyText"/>
        <w:spacing w:line="350" w:lineRule="auto" w:before="45"/>
        <w:ind w:left="139" w:right="196" w:firstLine="420"/>
        <w:jc w:val="both"/>
      </w:pPr>
      <w:r>
        <w:rPr>
          <w:spacing w:val="-3"/>
        </w:rPr>
        <w:t>外购固定资产的成本，以购买价款、相关税费、使固定资产达到预定可使用状态前所发</w:t>
      </w:r>
      <w:r>
        <w:rPr/>
        <w:t> 生的可归属于该项资产的运输费、装卸费、安装费和专业人员服务费等确定。</w:t>
      </w:r>
    </w:p>
    <w:p>
      <w:pPr>
        <w:pStyle w:val="BodyText"/>
        <w:spacing w:line="348" w:lineRule="auto" w:before="28"/>
        <w:ind w:left="139" w:right="196" w:firstLine="420"/>
        <w:jc w:val="both"/>
      </w:pPr>
      <w:r>
        <w:rPr>
          <w:spacing w:val="-3"/>
        </w:rPr>
        <w:t>购买固定资产的价款超过正常信用条件延期支付，实质上具有融资性质的，固定资产的</w:t>
      </w:r>
      <w:r>
        <w:rPr/>
        <w:t> 成本以购买价款的现值为基础确定。</w:t>
      </w:r>
    </w:p>
    <w:p>
      <w:pPr>
        <w:pStyle w:val="BodyText"/>
        <w:spacing w:line="348" w:lineRule="auto" w:before="31"/>
        <w:ind w:left="139" w:right="196" w:firstLine="420"/>
        <w:jc w:val="both"/>
      </w:pPr>
      <w:r>
        <w:rPr>
          <w:spacing w:val="-3"/>
        </w:rPr>
        <w:t>自行建造固定资产的成本，由建造该项资产达到预定可使用状态前所发生的必要支出构</w:t>
      </w:r>
      <w:r>
        <w:rPr/>
        <w:t> 成。</w:t>
      </w:r>
    </w:p>
    <w:p>
      <w:pPr>
        <w:pStyle w:val="BodyText"/>
        <w:spacing w:line="350" w:lineRule="auto" w:before="30"/>
        <w:ind w:left="139" w:right="196" w:firstLine="420"/>
        <w:jc w:val="both"/>
      </w:pPr>
      <w:r>
        <w:rPr>
          <w:spacing w:val="-3"/>
        </w:rPr>
        <w:t>债务重组取得债务人用以抵债的固定资产，以该固定资产的公允价值为基础确定其入账</w:t>
      </w:r>
      <w:r>
        <w:rPr/>
        <w:t> </w:t>
      </w:r>
      <w:r>
        <w:rPr>
          <w:spacing w:val="-3"/>
        </w:rPr>
        <w:t>价值，并将重组债务的账面价值与该用以抵债的固定资产公允价值之间的差额，计入当期损</w:t>
      </w:r>
      <w:r>
        <w:rPr>
          <w:spacing w:val="-79"/>
        </w:rPr>
        <w:t> </w:t>
      </w:r>
      <w:r>
        <w:rPr>
          <w:spacing w:val="-79"/>
        </w:rPr>
      </w:r>
      <w:r>
        <w:rPr/>
        <w:t>益。</w:t>
      </w:r>
    </w:p>
    <w:p>
      <w:pPr>
        <w:spacing w:after="0" w:line="350" w:lineRule="auto"/>
        <w:jc w:val="both"/>
        <w:sectPr>
          <w:pgSz w:w="11910" w:h="16840"/>
          <w:pgMar w:header="400" w:footer="982" w:top="1100" w:bottom="1180" w:left="1660" w:right="1600"/>
        </w:sectPr>
      </w:pPr>
    </w:p>
    <w:p>
      <w:pPr>
        <w:spacing w:line="240" w:lineRule="auto" w:before="12"/>
        <w:rPr>
          <w:rFonts w:ascii="宋体" w:hAnsi="宋体" w:cs="宋体" w:eastAsia="宋体" w:hint="default"/>
          <w:sz w:val="28"/>
          <w:szCs w:val="28"/>
        </w:rPr>
      </w:pPr>
    </w:p>
    <w:p>
      <w:pPr>
        <w:pStyle w:val="BodyText"/>
        <w:spacing w:line="350" w:lineRule="auto" w:before="35"/>
        <w:ind w:right="196" w:firstLine="420"/>
        <w:jc w:val="both"/>
      </w:pPr>
      <w:r>
        <w:rPr>
          <w:spacing w:val="2"/>
        </w:rPr>
        <w:t>在非货币性资产交换具备商业实质和换入资产或换出资产的公允价值能够可靠计量的</w:t>
      </w:r>
      <w:r>
        <w:rPr/>
        <w:t> </w:t>
      </w:r>
      <w:r>
        <w:rPr>
          <w:spacing w:val="-3"/>
        </w:rPr>
        <w:t>前提下，换入的固定资产以换出资产的公允价值为基础确定其入账价值，除非有确凿证据表</w:t>
      </w:r>
      <w:r>
        <w:rPr>
          <w:spacing w:val="-79"/>
        </w:rPr>
        <w:t> </w:t>
      </w:r>
      <w:r>
        <w:rPr>
          <w:spacing w:val="-79"/>
        </w:rPr>
      </w:r>
      <w:r>
        <w:rPr>
          <w:spacing w:val="-3"/>
        </w:rPr>
        <w:t>明换入资产的公允价值更加可靠；不满足上述前提的非货币性资产交换，以换出资产的账面</w:t>
      </w:r>
      <w:r>
        <w:rPr>
          <w:spacing w:val="-79"/>
        </w:rPr>
        <w:t> </w:t>
      </w:r>
      <w:r>
        <w:rPr>
          <w:spacing w:val="-79"/>
        </w:rPr>
      </w:r>
      <w:r>
        <w:rPr/>
        <w:t>价值和应支付的相关税费作为换入固定资产的成本，不确认损益。</w:t>
      </w:r>
    </w:p>
    <w:p>
      <w:pPr>
        <w:pStyle w:val="BodyText"/>
        <w:spacing w:line="350" w:lineRule="auto" w:before="28"/>
        <w:ind w:right="198" w:firstLine="420"/>
        <w:jc w:val="both"/>
      </w:pPr>
      <w:r>
        <w:rPr>
          <w:spacing w:val="2"/>
        </w:rPr>
        <w:t>以同一控制下的企业吸收合并方式取得的固定资产按被合并方的账面价值确定其入账</w:t>
      </w:r>
      <w:r>
        <w:rPr/>
        <w:t> 价值；以非同一控制下的企业吸收合并方式取得的固定资产按公允价值确定其入账价值。</w:t>
      </w:r>
    </w:p>
    <w:p>
      <w:pPr>
        <w:pStyle w:val="BodyText"/>
        <w:spacing w:line="348" w:lineRule="auto" w:before="28"/>
        <w:ind w:right="196" w:firstLine="420"/>
        <w:jc w:val="both"/>
      </w:pPr>
      <w:r>
        <w:rPr>
          <w:spacing w:val="-3"/>
        </w:rPr>
        <w:t>融资租入的固定资产，按租赁开始日租赁资产公允价值与最低租赁付款额现值两者中较</w:t>
      </w:r>
      <w:r>
        <w:rPr/>
        <w:t> 低者作为入账价值。</w:t>
      </w:r>
    </w:p>
    <w:p>
      <w:pPr>
        <w:spacing w:line="328" w:lineRule="auto" w:before="31"/>
        <w:ind w:left="559" w:right="19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、固定资产折旧计提方法</w:t>
      </w:r>
      <w:r>
        <w:rPr>
          <w:rFonts w:ascii="宋体" w:hAnsi="宋体" w:cs="宋体" w:eastAsia="宋体" w:hint="default"/>
          <w:b/>
          <w:bCs/>
          <w:w w:val="99"/>
          <w:sz w:val="21"/>
          <w:szCs w:val="21"/>
        </w:rPr>
        <w:t> </w:t>
      </w:r>
      <w:r>
        <w:rPr>
          <w:rFonts w:ascii="宋体" w:hAnsi="宋体" w:cs="宋体" w:eastAsia="宋体" w:hint="default"/>
          <w:spacing w:val="-3"/>
          <w:sz w:val="21"/>
          <w:szCs w:val="21"/>
        </w:rPr>
        <w:t>固定资产折旧采用年限平均法分类计提，根据固定资产类别、预计使用寿命和预计净残</w:t>
      </w:r>
    </w:p>
    <w:p>
      <w:pPr>
        <w:pStyle w:val="BodyText"/>
        <w:spacing w:line="350" w:lineRule="auto" w:before="47"/>
        <w:ind w:left="559" w:right="190" w:hanging="420"/>
        <w:jc w:val="left"/>
      </w:pPr>
      <w:r>
        <w:rPr/>
        <w:t>值率确定折旧率。 </w:t>
      </w:r>
      <w:r>
        <w:rPr>
          <w:spacing w:val="-3"/>
        </w:rPr>
        <w:t>符合资本化条件的固定资产装修费用，在两次装修期间与固定资产尚可使用年限两者中</w:t>
      </w:r>
    </w:p>
    <w:p>
      <w:pPr>
        <w:pStyle w:val="BodyText"/>
        <w:spacing w:line="348" w:lineRule="auto" w:before="28"/>
        <w:ind w:left="560" w:right="3864" w:hanging="420"/>
        <w:jc w:val="left"/>
      </w:pPr>
      <w:r>
        <w:rPr/>
        <w:t>较短的期间内，采用年限平均法单独计提折旧。 各类固定资产预计使用寿命和年折旧率如下：</w:t>
      </w:r>
    </w:p>
    <w:p>
      <w:pPr>
        <w:spacing w:line="240" w:lineRule="auto" w:before="2"/>
        <w:rPr>
          <w:rFonts w:ascii="宋体" w:hAnsi="宋体" w:cs="宋体" w:eastAsia="宋体" w:hint="default"/>
          <w:sz w:val="7"/>
          <w:szCs w:val="7"/>
        </w:rPr>
      </w:pPr>
    </w:p>
    <w:tbl>
      <w:tblPr>
        <w:tblW w:w="0" w:type="auto"/>
        <w:jc w:val="left"/>
        <w:tblInd w:w="418" w:type="dxa"/>
        <w:tblLayout w:type="fixed"/>
        <w:tblCellMar>
          <w:top w:w="0" w:type="dxa"/>
          <w:left w:w="0" w:type="dxa"/>
          <w:bottom w:w="0" w:type="dxa"/>
          <w:right w:w="0" w:type="dxa"/>
        </w:tblCellMar>
        <w:tblLook w:val="01E0"/>
      </w:tblPr>
      <w:tblGrid>
        <w:gridCol w:w="1980"/>
        <w:gridCol w:w="1800"/>
        <w:gridCol w:w="1680"/>
        <w:gridCol w:w="2280"/>
      </w:tblGrid>
      <w:tr>
        <w:trPr>
          <w:trHeight w:val="349"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03" w:right="0"/>
              <w:jc w:val="left"/>
              <w:rPr>
                <w:rFonts w:ascii="宋体" w:hAnsi="宋体" w:cs="宋体" w:eastAsia="宋体" w:hint="default"/>
                <w:sz w:val="21"/>
                <w:szCs w:val="21"/>
              </w:rPr>
            </w:pPr>
            <w:r>
              <w:rPr>
                <w:rFonts w:ascii="宋体" w:hAnsi="宋体" w:cs="宋体" w:eastAsia="宋体" w:hint="default"/>
                <w:b/>
                <w:bCs/>
                <w:sz w:val="21"/>
                <w:szCs w:val="21"/>
              </w:rPr>
              <w:t>固定资产类别</w:t>
            </w:r>
            <w:r>
              <w:rPr>
                <w:rFonts w:ascii="宋体" w:hAnsi="宋体" w:cs="宋体" w:eastAsia="宋体" w:hint="default"/>
                <w:sz w:val="21"/>
                <w:szCs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7"/>
              <w:jc w:val="center"/>
              <w:rPr>
                <w:rFonts w:ascii="宋体" w:hAnsi="宋体" w:cs="宋体" w:eastAsia="宋体" w:hint="default"/>
                <w:sz w:val="21"/>
                <w:szCs w:val="21"/>
              </w:rPr>
            </w:pPr>
            <w:r>
              <w:rPr>
                <w:rFonts w:ascii="宋体" w:hAnsi="宋体" w:cs="宋体" w:eastAsia="宋体" w:hint="default"/>
                <w:b/>
                <w:bCs/>
                <w:sz w:val="21"/>
                <w:szCs w:val="21"/>
              </w:rPr>
              <w:t>预计使用寿命</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7"/>
              <w:jc w:val="center"/>
              <w:rPr>
                <w:rFonts w:ascii="宋体" w:hAnsi="宋体" w:cs="宋体" w:eastAsia="宋体" w:hint="default"/>
                <w:sz w:val="21"/>
                <w:szCs w:val="21"/>
              </w:rPr>
            </w:pPr>
            <w:r>
              <w:rPr>
                <w:rFonts w:ascii="宋体" w:hAnsi="宋体" w:cs="宋体" w:eastAsia="宋体" w:hint="default"/>
                <w:b/>
                <w:bCs/>
                <w:sz w:val="21"/>
                <w:szCs w:val="21"/>
              </w:rPr>
              <w:t>预计净残值率</w:t>
            </w:r>
            <w:r>
              <w:rPr>
                <w:rFonts w:ascii="宋体" w:hAnsi="宋体" w:cs="宋体" w:eastAsia="宋体" w:hint="default"/>
                <w:sz w:val="21"/>
                <w:szCs w:val="21"/>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663" w:right="0"/>
              <w:jc w:val="left"/>
              <w:rPr>
                <w:rFonts w:ascii="宋体" w:hAnsi="宋体" w:cs="宋体" w:eastAsia="宋体" w:hint="default"/>
                <w:sz w:val="21"/>
                <w:szCs w:val="21"/>
              </w:rPr>
            </w:pPr>
            <w:r>
              <w:rPr>
                <w:rFonts w:ascii="宋体" w:hAnsi="宋体" w:cs="宋体" w:eastAsia="宋体" w:hint="default"/>
                <w:b/>
                <w:bCs/>
                <w:sz w:val="21"/>
                <w:szCs w:val="21"/>
              </w:rPr>
              <w:t>年折旧率</w:t>
            </w:r>
            <w:r>
              <w:rPr>
                <w:rFonts w:ascii="宋体" w:hAnsi="宋体" w:cs="宋体" w:eastAsia="宋体" w:hint="default"/>
                <w:sz w:val="21"/>
                <w:szCs w:val="21"/>
              </w:rPr>
            </w:r>
          </w:p>
        </w:tc>
      </w:tr>
      <w:tr>
        <w:trPr>
          <w:trHeight w:val="35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97"/>
              <w:jc w:val="center"/>
              <w:rPr>
                <w:rFonts w:ascii="宋体" w:hAnsi="宋体" w:cs="宋体" w:eastAsia="宋体" w:hint="default"/>
                <w:sz w:val="21"/>
                <w:szCs w:val="21"/>
              </w:rPr>
            </w:pPr>
            <w:r>
              <w:rPr>
                <w:rFonts w:ascii="Times New Roman" w:hAnsi="Times New Roman" w:cs="Times New Roman" w:eastAsia="Times New Roman" w:hint="default"/>
                <w:sz w:val="21"/>
                <w:szCs w:val="21"/>
              </w:rPr>
              <w:t>35 </w:t>
            </w:r>
            <w:r>
              <w:rPr>
                <w:rFonts w:ascii="宋体" w:hAnsi="宋体" w:cs="宋体" w:eastAsia="宋体" w:hint="default"/>
                <w:sz w:val="21"/>
                <w:szCs w:val="21"/>
              </w:rPr>
              <w:t>年</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6"/>
              <w:jc w:val="center"/>
              <w:rPr>
                <w:rFonts w:ascii="Times New Roman" w:hAnsi="Times New Roman" w:cs="Times New Roman" w:eastAsia="Times New Roman" w:hint="default"/>
                <w:sz w:val="21"/>
                <w:szCs w:val="21"/>
              </w:rPr>
            </w:pPr>
            <w:r>
              <w:rPr>
                <w:rFonts w:ascii="Times New Roman"/>
                <w:sz w:val="21"/>
              </w:rPr>
              <w:t>5%</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center"/>
              <w:rPr>
                <w:rFonts w:ascii="Times New Roman" w:hAnsi="Times New Roman" w:cs="Times New Roman" w:eastAsia="Times New Roman" w:hint="default"/>
                <w:sz w:val="21"/>
                <w:szCs w:val="21"/>
              </w:rPr>
            </w:pPr>
            <w:r>
              <w:rPr>
                <w:rFonts w:ascii="Times New Roman"/>
                <w:sz w:val="21"/>
              </w:rPr>
              <w:t>2.71%</w:t>
            </w:r>
          </w:p>
        </w:tc>
      </w:tr>
      <w:tr>
        <w:trPr>
          <w:trHeight w:val="35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95"/>
              <w:jc w:val="center"/>
              <w:rPr>
                <w:rFonts w:ascii="宋体" w:hAnsi="宋体" w:cs="宋体" w:eastAsia="宋体" w:hint="default"/>
                <w:sz w:val="21"/>
                <w:szCs w:val="21"/>
              </w:rPr>
            </w:pPr>
            <w:r>
              <w:rPr>
                <w:rFonts w:ascii="Times New Roman" w:hAnsi="Times New Roman" w:cs="Times New Roman" w:eastAsia="Times New Roman" w:hint="default"/>
                <w:sz w:val="21"/>
                <w:szCs w:val="21"/>
              </w:rPr>
              <w:t>7-10 </w:t>
            </w:r>
            <w:r>
              <w:rPr>
                <w:rFonts w:ascii="宋体" w:hAnsi="宋体" w:cs="宋体" w:eastAsia="宋体" w:hint="default"/>
                <w:sz w:val="21"/>
                <w:szCs w:val="21"/>
              </w:rPr>
              <w:t>年</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6"/>
              <w:jc w:val="center"/>
              <w:rPr>
                <w:rFonts w:ascii="Times New Roman" w:hAnsi="Times New Roman" w:cs="Times New Roman" w:eastAsia="Times New Roman" w:hint="default"/>
                <w:sz w:val="21"/>
                <w:szCs w:val="21"/>
              </w:rPr>
            </w:pPr>
            <w:r>
              <w:rPr>
                <w:rFonts w:ascii="Times New Roman"/>
                <w:sz w:val="21"/>
              </w:rPr>
              <w:t>5%</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52"/>
              <w:jc w:val="right"/>
              <w:rPr>
                <w:rFonts w:ascii="Times New Roman" w:hAnsi="Times New Roman" w:cs="Times New Roman" w:eastAsia="Times New Roman" w:hint="default"/>
                <w:sz w:val="21"/>
                <w:szCs w:val="21"/>
              </w:rPr>
            </w:pPr>
            <w:r>
              <w:rPr>
                <w:rFonts w:ascii="Times New Roman"/>
                <w:spacing w:val="-1"/>
                <w:sz w:val="21"/>
              </w:rPr>
              <w:t>13.57%-9.50%</w:t>
            </w:r>
          </w:p>
        </w:tc>
      </w:tr>
      <w:tr>
        <w:trPr>
          <w:trHeight w:val="349"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97"/>
              <w:jc w:val="center"/>
              <w:rPr>
                <w:rFonts w:ascii="宋体" w:hAnsi="宋体" w:cs="宋体" w:eastAsia="宋体" w:hint="default"/>
                <w:sz w:val="21"/>
                <w:szCs w:val="21"/>
              </w:rPr>
            </w:pPr>
            <w:r>
              <w:rPr>
                <w:rFonts w:ascii="Times New Roman" w:hAnsi="Times New Roman" w:cs="Times New Roman" w:eastAsia="Times New Roman" w:hint="default"/>
                <w:sz w:val="21"/>
                <w:szCs w:val="21"/>
              </w:rPr>
              <w:t>5-8 </w:t>
            </w:r>
            <w:r>
              <w:rPr>
                <w:rFonts w:ascii="宋体" w:hAnsi="宋体" w:cs="宋体" w:eastAsia="宋体" w:hint="default"/>
                <w:sz w:val="21"/>
                <w:szCs w:val="21"/>
              </w:rPr>
              <w:t>年</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6"/>
              <w:jc w:val="center"/>
              <w:rPr>
                <w:rFonts w:ascii="Times New Roman" w:hAnsi="Times New Roman" w:cs="Times New Roman" w:eastAsia="Times New Roman" w:hint="default"/>
                <w:sz w:val="21"/>
                <w:szCs w:val="21"/>
              </w:rPr>
            </w:pPr>
            <w:r>
              <w:rPr>
                <w:rFonts w:ascii="Times New Roman"/>
                <w:sz w:val="21"/>
              </w:rPr>
              <w:t>5%</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04"/>
              <w:jc w:val="right"/>
              <w:rPr>
                <w:rFonts w:ascii="Times New Roman" w:hAnsi="Times New Roman" w:cs="Times New Roman" w:eastAsia="Times New Roman" w:hint="default"/>
                <w:sz w:val="21"/>
                <w:szCs w:val="21"/>
              </w:rPr>
            </w:pPr>
            <w:r>
              <w:rPr>
                <w:rFonts w:ascii="Times New Roman"/>
                <w:spacing w:val="-1"/>
                <w:sz w:val="21"/>
              </w:rPr>
              <w:t>19.00%-11.88%</w:t>
            </w:r>
          </w:p>
        </w:tc>
      </w:tr>
      <w:tr>
        <w:trPr>
          <w:trHeight w:val="35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97"/>
              <w:jc w:val="center"/>
              <w:rPr>
                <w:rFonts w:ascii="宋体" w:hAnsi="宋体" w:cs="宋体" w:eastAsia="宋体" w:hint="default"/>
                <w:sz w:val="21"/>
                <w:szCs w:val="21"/>
              </w:rPr>
            </w:pPr>
            <w:r>
              <w:rPr>
                <w:rFonts w:ascii="Times New Roman" w:hAnsi="Times New Roman" w:cs="Times New Roman" w:eastAsia="Times New Roman" w:hint="default"/>
                <w:sz w:val="21"/>
                <w:szCs w:val="21"/>
              </w:rPr>
              <w:t>5-6 </w:t>
            </w:r>
            <w:r>
              <w:rPr>
                <w:rFonts w:ascii="宋体" w:hAnsi="宋体" w:cs="宋体" w:eastAsia="宋体" w:hint="default"/>
                <w:sz w:val="21"/>
                <w:szCs w:val="21"/>
              </w:rPr>
              <w:t>年</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6"/>
              <w:jc w:val="center"/>
              <w:rPr>
                <w:rFonts w:ascii="Times New Roman" w:hAnsi="Times New Roman" w:cs="Times New Roman" w:eastAsia="Times New Roman" w:hint="default"/>
                <w:sz w:val="21"/>
                <w:szCs w:val="21"/>
              </w:rPr>
            </w:pPr>
            <w:r>
              <w:rPr>
                <w:rFonts w:ascii="Times New Roman"/>
                <w:sz w:val="21"/>
              </w:rPr>
              <w:t>5%</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99"/>
              <w:jc w:val="right"/>
              <w:rPr>
                <w:rFonts w:ascii="Times New Roman" w:hAnsi="Times New Roman" w:cs="Times New Roman" w:eastAsia="Times New Roman" w:hint="default"/>
                <w:sz w:val="21"/>
                <w:szCs w:val="21"/>
              </w:rPr>
            </w:pPr>
            <w:r>
              <w:rPr>
                <w:rFonts w:ascii="Times New Roman"/>
                <w:spacing w:val="-1"/>
                <w:sz w:val="21"/>
              </w:rPr>
              <w:t>19.00%-15.83%</w:t>
            </w:r>
          </w:p>
        </w:tc>
      </w:tr>
      <w:tr>
        <w:trPr>
          <w:trHeight w:val="35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97"/>
              <w:jc w:val="center"/>
              <w:rPr>
                <w:rFonts w:ascii="宋体" w:hAnsi="宋体" w:cs="宋体" w:eastAsia="宋体" w:hint="default"/>
                <w:sz w:val="21"/>
                <w:szCs w:val="21"/>
              </w:rPr>
            </w:pPr>
            <w:r>
              <w:rPr>
                <w:rFonts w:ascii="Times New Roman" w:hAnsi="Times New Roman" w:cs="Times New Roman" w:eastAsia="Times New Roman" w:hint="default"/>
                <w:sz w:val="21"/>
                <w:szCs w:val="21"/>
              </w:rPr>
              <w:t>5-6 </w:t>
            </w:r>
            <w:r>
              <w:rPr>
                <w:rFonts w:ascii="宋体" w:hAnsi="宋体" w:cs="宋体" w:eastAsia="宋体" w:hint="default"/>
                <w:sz w:val="21"/>
                <w:szCs w:val="21"/>
              </w:rPr>
              <w:t>年</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6"/>
              <w:jc w:val="center"/>
              <w:rPr>
                <w:rFonts w:ascii="Times New Roman" w:hAnsi="Times New Roman" w:cs="Times New Roman" w:eastAsia="Times New Roman" w:hint="default"/>
                <w:sz w:val="21"/>
                <w:szCs w:val="21"/>
              </w:rPr>
            </w:pPr>
            <w:r>
              <w:rPr>
                <w:rFonts w:ascii="Times New Roman"/>
                <w:sz w:val="21"/>
              </w:rPr>
              <w:t>5%</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99"/>
              <w:jc w:val="right"/>
              <w:rPr>
                <w:rFonts w:ascii="Times New Roman" w:hAnsi="Times New Roman" w:cs="Times New Roman" w:eastAsia="Times New Roman" w:hint="default"/>
                <w:sz w:val="21"/>
                <w:szCs w:val="21"/>
              </w:rPr>
            </w:pPr>
            <w:r>
              <w:rPr>
                <w:rFonts w:ascii="Times New Roman"/>
                <w:spacing w:val="-1"/>
                <w:sz w:val="21"/>
              </w:rPr>
              <w:t>19.00%-15.83%</w:t>
            </w:r>
          </w:p>
        </w:tc>
      </w:tr>
      <w:tr>
        <w:trPr>
          <w:trHeight w:val="349"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仪器仪表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97"/>
              <w:jc w:val="center"/>
              <w:rPr>
                <w:rFonts w:ascii="宋体" w:hAnsi="宋体" w:cs="宋体" w:eastAsia="宋体" w:hint="default"/>
                <w:sz w:val="21"/>
                <w:szCs w:val="21"/>
              </w:rPr>
            </w:pPr>
            <w:r>
              <w:rPr>
                <w:rFonts w:ascii="Times New Roman" w:hAnsi="Times New Roman" w:cs="Times New Roman" w:eastAsia="Times New Roman" w:hint="default"/>
                <w:sz w:val="21"/>
                <w:szCs w:val="21"/>
              </w:rPr>
              <w:t>5-6 </w:t>
            </w:r>
            <w:r>
              <w:rPr>
                <w:rFonts w:ascii="宋体" w:hAnsi="宋体" w:cs="宋体" w:eastAsia="宋体" w:hint="default"/>
                <w:sz w:val="21"/>
                <w:szCs w:val="21"/>
              </w:rPr>
              <w:t>年</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6"/>
              <w:jc w:val="center"/>
              <w:rPr>
                <w:rFonts w:ascii="Times New Roman" w:hAnsi="Times New Roman" w:cs="Times New Roman" w:eastAsia="Times New Roman" w:hint="default"/>
                <w:sz w:val="21"/>
                <w:szCs w:val="21"/>
              </w:rPr>
            </w:pPr>
            <w:r>
              <w:rPr>
                <w:rFonts w:ascii="Times New Roman"/>
                <w:sz w:val="21"/>
              </w:rPr>
              <w:t>5%</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99"/>
              <w:jc w:val="right"/>
              <w:rPr>
                <w:rFonts w:ascii="Times New Roman" w:hAnsi="Times New Roman" w:cs="Times New Roman" w:eastAsia="Times New Roman" w:hint="default"/>
                <w:sz w:val="21"/>
                <w:szCs w:val="21"/>
              </w:rPr>
            </w:pPr>
            <w:r>
              <w:rPr>
                <w:rFonts w:ascii="Times New Roman"/>
                <w:spacing w:val="-1"/>
                <w:sz w:val="21"/>
              </w:rPr>
              <w:t>19.00%-15.83%</w:t>
            </w:r>
          </w:p>
        </w:tc>
      </w:tr>
      <w:tr>
        <w:trPr>
          <w:trHeight w:val="35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培训设备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97"/>
              <w:jc w:val="center"/>
              <w:rPr>
                <w:rFonts w:ascii="宋体" w:hAnsi="宋体" w:cs="宋体" w:eastAsia="宋体" w:hint="default"/>
                <w:sz w:val="21"/>
                <w:szCs w:val="21"/>
              </w:rPr>
            </w:pPr>
            <w:r>
              <w:rPr>
                <w:rFonts w:ascii="Times New Roman" w:hAnsi="Times New Roman" w:cs="Times New Roman" w:eastAsia="Times New Roman" w:hint="default"/>
                <w:sz w:val="21"/>
                <w:szCs w:val="21"/>
              </w:rPr>
              <w:t>7 </w:t>
            </w:r>
            <w:r>
              <w:rPr>
                <w:rFonts w:ascii="宋体" w:hAnsi="宋体" w:cs="宋体" w:eastAsia="宋体" w:hint="default"/>
                <w:sz w:val="21"/>
                <w:szCs w:val="21"/>
              </w:rPr>
              <w:t>年</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6"/>
              <w:jc w:val="center"/>
              <w:rPr>
                <w:rFonts w:ascii="Times New Roman" w:hAnsi="Times New Roman" w:cs="Times New Roman" w:eastAsia="Times New Roman" w:hint="default"/>
                <w:sz w:val="21"/>
                <w:szCs w:val="21"/>
              </w:rPr>
            </w:pPr>
            <w:r>
              <w:rPr>
                <w:rFonts w:ascii="Times New Roman"/>
                <w:sz w:val="21"/>
              </w:rPr>
              <w:t>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4"/>
              <w:jc w:val="center"/>
              <w:rPr>
                <w:rFonts w:ascii="Times New Roman" w:hAnsi="Times New Roman" w:cs="Times New Roman" w:eastAsia="Times New Roman" w:hint="default"/>
                <w:sz w:val="21"/>
                <w:szCs w:val="21"/>
              </w:rPr>
            </w:pPr>
            <w:r>
              <w:rPr>
                <w:rFonts w:ascii="Times New Roman"/>
                <w:sz w:val="21"/>
              </w:rPr>
              <w:t>14.29%</w:t>
            </w:r>
          </w:p>
        </w:tc>
      </w:tr>
      <w:tr>
        <w:trPr>
          <w:trHeight w:val="35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营运业务用</w:t>
            </w:r>
            <w:r>
              <w:rPr>
                <w:rFonts w:ascii="宋体" w:hAnsi="宋体" w:cs="宋体" w:eastAsia="宋体" w:hint="default"/>
                <w:spacing w:val="-54"/>
                <w:sz w:val="21"/>
                <w:szCs w:val="21"/>
              </w:rPr>
              <w:t> </w:t>
            </w:r>
            <w:r>
              <w:rPr>
                <w:rFonts w:ascii="Times New Roman" w:hAnsi="Times New Roman" w:cs="Times New Roman" w:eastAsia="Times New Roman" w:hint="default"/>
                <w:spacing w:val="-8"/>
                <w:sz w:val="21"/>
                <w:szCs w:val="21"/>
              </w:rPr>
              <w:t>ATM</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95"/>
              <w:jc w:val="center"/>
              <w:rPr>
                <w:rFonts w:ascii="宋体" w:hAnsi="宋体" w:cs="宋体" w:eastAsia="宋体" w:hint="default"/>
                <w:sz w:val="21"/>
                <w:szCs w:val="21"/>
              </w:rPr>
            </w:pPr>
            <w:r>
              <w:rPr>
                <w:rFonts w:ascii="Times New Roman" w:hAnsi="Times New Roman" w:cs="Times New Roman" w:eastAsia="Times New Roman" w:hint="default"/>
                <w:sz w:val="21"/>
                <w:szCs w:val="21"/>
              </w:rPr>
              <w:t>5-10 </w:t>
            </w:r>
            <w:r>
              <w:rPr>
                <w:rFonts w:ascii="宋体" w:hAnsi="宋体" w:cs="宋体" w:eastAsia="宋体" w:hint="default"/>
                <w:sz w:val="21"/>
                <w:szCs w:val="21"/>
              </w:rPr>
              <w:t>年</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6"/>
              <w:jc w:val="center"/>
              <w:rPr>
                <w:rFonts w:ascii="Times New Roman" w:hAnsi="Times New Roman" w:cs="Times New Roman" w:eastAsia="Times New Roman" w:hint="default"/>
                <w:sz w:val="21"/>
                <w:szCs w:val="21"/>
              </w:rPr>
            </w:pPr>
            <w:r>
              <w:rPr>
                <w:rFonts w:ascii="Times New Roman"/>
                <w:sz w:val="21"/>
              </w:rPr>
              <w:t>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00"/>
              <w:jc w:val="right"/>
              <w:rPr>
                <w:rFonts w:ascii="Times New Roman" w:hAnsi="Times New Roman" w:cs="Times New Roman" w:eastAsia="Times New Roman" w:hint="default"/>
                <w:sz w:val="21"/>
                <w:szCs w:val="21"/>
              </w:rPr>
            </w:pPr>
            <w:r>
              <w:rPr>
                <w:rFonts w:ascii="Times New Roman"/>
                <w:spacing w:val="-1"/>
                <w:sz w:val="21"/>
              </w:rPr>
              <w:t>20.00%-10.00%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line="343" w:lineRule="auto" w:before="35"/>
        <w:ind w:left="560" w:right="4164" w:firstLine="2"/>
        <w:jc w:val="left"/>
        <w:rPr>
          <w:rFonts w:ascii="宋体" w:hAnsi="宋体" w:cs="宋体" w:eastAsia="宋体" w:hint="default"/>
          <w:sz w:val="21"/>
          <w:szCs w:val="21"/>
        </w:rPr>
      </w:pPr>
      <w:r>
        <w:rPr>
          <w:rFonts w:ascii="宋体" w:hAnsi="宋体" w:cs="宋体" w:eastAsia="宋体" w:hint="default"/>
          <w:b/>
          <w:bCs/>
          <w:sz w:val="21"/>
          <w:szCs w:val="21"/>
        </w:rPr>
        <w:t>（十一）在建工程核算方法</w:t>
      </w:r>
      <w:r>
        <w:rPr>
          <w:rFonts w:ascii="宋体" w:hAnsi="宋体" w:cs="宋体" w:eastAsia="宋体" w:hint="default"/>
          <w:b/>
          <w:bCs/>
          <w:spacing w:val="1"/>
          <w:w w:val="99"/>
          <w:sz w:val="21"/>
          <w:szCs w:val="21"/>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、在建工程类别</w:t>
      </w:r>
      <w:r>
        <w:rPr>
          <w:rFonts w:ascii="宋体" w:hAnsi="宋体" w:cs="宋体" w:eastAsia="宋体" w:hint="default"/>
          <w:b/>
          <w:bCs/>
          <w:spacing w:val="1"/>
          <w:w w:val="99"/>
          <w:sz w:val="21"/>
          <w:szCs w:val="21"/>
        </w:rPr>
        <w:t> </w:t>
      </w:r>
      <w:r>
        <w:rPr>
          <w:rFonts w:ascii="宋体" w:hAnsi="宋体" w:cs="宋体" w:eastAsia="宋体" w:hint="default"/>
          <w:sz w:val="21"/>
          <w:szCs w:val="21"/>
        </w:rPr>
        <w:t>在建工程以立项项目分类核算。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、在建工程结转为固定资产的标准和时点</w:t>
      </w:r>
      <w:r>
        <w:rPr>
          <w:rFonts w:ascii="宋体" w:hAnsi="宋体" w:cs="宋体" w:eastAsia="宋体" w:hint="default"/>
          <w:sz w:val="21"/>
          <w:szCs w:val="21"/>
        </w:rPr>
      </w:r>
    </w:p>
    <w:p>
      <w:pPr>
        <w:pStyle w:val="BodyText"/>
        <w:spacing w:line="350" w:lineRule="auto" w:before="10"/>
        <w:ind w:right="84" w:firstLine="420"/>
        <w:jc w:val="left"/>
      </w:pPr>
      <w:r>
        <w:rPr>
          <w:spacing w:val="-3"/>
        </w:rPr>
        <w:t>在建工程项目按建造该项资产达到预定可使用状态前所发生的全部支出，作为固定资产</w:t>
      </w:r>
      <w:r>
        <w:rPr/>
        <w:t> 的入账价值。所建造的固定资产在建工程已达到预定可使用状态，但尚未办理竣工决算的， </w:t>
      </w:r>
      <w:r>
        <w:rPr>
          <w:spacing w:val="-3"/>
        </w:rPr>
        <w:t>自达到预定可使用状态之日起，根据工程预算、造价或者工程实际成本等，按估计的价值转</w:t>
      </w:r>
      <w:r>
        <w:rPr>
          <w:spacing w:val="-81"/>
        </w:rPr>
        <w:t> </w:t>
      </w:r>
      <w:r>
        <w:rPr>
          <w:spacing w:val="-81"/>
        </w:rPr>
      </w:r>
      <w:r>
        <w:rPr>
          <w:spacing w:val="-3"/>
        </w:rPr>
        <w:t>入固定资产，并按本公司固定资产折旧政策计提固定资产的折旧，待办理竣工决算后，再按</w:t>
      </w:r>
      <w:r>
        <w:rPr>
          <w:spacing w:val="-81"/>
        </w:rPr>
        <w:t> </w:t>
      </w:r>
      <w:r>
        <w:rPr>
          <w:spacing w:val="-81"/>
        </w:rPr>
      </w:r>
      <w:r>
        <w:rPr/>
        <w:t>实际成本调整原来的暂估价值，但不调整原已计提的折旧额。</w:t>
      </w:r>
    </w:p>
    <w:p>
      <w:pPr>
        <w:spacing w:after="0" w:line="350" w:lineRule="auto"/>
        <w:jc w:val="left"/>
        <w:sectPr>
          <w:pgSz w:w="11910" w:h="16840"/>
          <w:pgMar w:header="400" w:footer="982" w:top="1100" w:bottom="1180" w:left="1660" w:right="1600"/>
        </w:sectPr>
      </w:pPr>
    </w:p>
    <w:p>
      <w:pPr>
        <w:spacing w:line="240" w:lineRule="auto" w:before="12"/>
        <w:rPr>
          <w:rFonts w:ascii="宋体" w:hAnsi="宋体" w:cs="宋体" w:eastAsia="宋体" w:hint="default"/>
          <w:sz w:val="28"/>
          <w:szCs w:val="28"/>
        </w:rPr>
      </w:pPr>
    </w:p>
    <w:p>
      <w:pPr>
        <w:spacing w:line="340" w:lineRule="auto" w:before="35"/>
        <w:ind w:left="559" w:right="5473" w:firstLine="2"/>
        <w:jc w:val="left"/>
        <w:rPr>
          <w:rFonts w:ascii="宋体" w:hAnsi="宋体" w:cs="宋体" w:eastAsia="宋体" w:hint="default"/>
          <w:sz w:val="21"/>
          <w:szCs w:val="21"/>
        </w:rPr>
      </w:pPr>
      <w:r>
        <w:rPr>
          <w:rFonts w:ascii="宋体" w:hAnsi="宋体" w:cs="宋体" w:eastAsia="宋体" w:hint="default"/>
          <w:b/>
          <w:bCs/>
          <w:sz w:val="21"/>
          <w:szCs w:val="21"/>
        </w:rPr>
        <w:t>（十二）无形资产核算方法</w:t>
      </w:r>
      <w:r>
        <w:rPr>
          <w:rFonts w:ascii="宋体" w:hAnsi="宋体" w:cs="宋体" w:eastAsia="宋体" w:hint="default"/>
          <w:b/>
          <w:bCs/>
          <w:spacing w:val="1"/>
          <w:w w:val="99"/>
          <w:sz w:val="21"/>
          <w:szCs w:val="21"/>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、无形资产的计价方法</w:t>
      </w:r>
      <w:r>
        <w:rPr>
          <w:rFonts w:ascii="宋体" w:hAnsi="宋体" w:cs="宋体" w:eastAsia="宋体" w:hint="default"/>
          <w:b/>
          <w:bCs/>
          <w:w w:val="99"/>
          <w:sz w:val="21"/>
          <w:szCs w:val="21"/>
        </w:rPr>
        <w:t> </w:t>
      </w:r>
      <w:r>
        <w:rPr>
          <w:rFonts w:ascii="宋体" w:hAnsi="宋体" w:cs="宋体" w:eastAsia="宋体" w:hint="default"/>
          <w:sz w:val="21"/>
          <w:szCs w:val="21"/>
        </w:rPr>
        <w:t>按取得时的实际成本入账。</w:t>
      </w:r>
    </w:p>
    <w:p>
      <w:pPr>
        <w:pStyle w:val="BodyText"/>
        <w:spacing w:line="350" w:lineRule="auto" w:before="36"/>
        <w:ind w:left="139" w:right="136" w:firstLine="420"/>
        <w:jc w:val="both"/>
      </w:pPr>
      <w:r>
        <w:rPr>
          <w:spacing w:val="-3"/>
        </w:rPr>
        <w:t>外购无形资产的成本，包括购买价款、相关税费以及直接归属于使该项资产达到预定用</w:t>
      </w:r>
      <w:r>
        <w:rPr/>
        <w:t> </w:t>
      </w:r>
      <w:r>
        <w:rPr>
          <w:spacing w:val="-3"/>
        </w:rPr>
        <w:t>途所发生的其他支出。购买无形资产的价款超过正常信用条件延期支付，实质上具有融资性</w:t>
      </w:r>
      <w:r>
        <w:rPr>
          <w:spacing w:val="-79"/>
        </w:rPr>
        <w:t> </w:t>
      </w:r>
      <w:r>
        <w:rPr>
          <w:spacing w:val="-79"/>
        </w:rPr>
      </w:r>
      <w:r>
        <w:rPr/>
        <w:t>质的，无形资产的成本以购买价款的现值为基础确定。</w:t>
      </w:r>
    </w:p>
    <w:p>
      <w:pPr>
        <w:pStyle w:val="BodyText"/>
        <w:spacing w:line="348" w:lineRule="auto" w:before="28"/>
        <w:ind w:left="139" w:right="135" w:firstLine="420"/>
        <w:jc w:val="left"/>
      </w:pPr>
      <w:r>
        <w:rPr>
          <w:spacing w:val="2"/>
        </w:rPr>
        <w:t>以同一控制下的企业吸收合并方式取得的无形资产按被合并方的账面价值确定其入账</w:t>
      </w:r>
      <w:r>
        <w:rPr/>
        <w:t> 价值；以非同一控制下的企业吸收合并方式取得的无形资产按公允价值确定其入账价值。</w:t>
      </w:r>
    </w:p>
    <w:p>
      <w:pPr>
        <w:pStyle w:val="Heading4"/>
        <w:spacing w:line="240" w:lineRule="auto" w:before="31"/>
        <w:ind w:left="562" w:right="1090"/>
        <w:jc w:val="left"/>
        <w:rPr>
          <w:b w:val="0"/>
          <w:bCs w:val="0"/>
        </w:rPr>
      </w:pPr>
      <w:r>
        <w:rPr>
          <w:rFonts w:ascii="Times New Roman" w:hAnsi="Times New Roman" w:cs="Times New Roman" w:eastAsia="Times New Roman" w:hint="default"/>
        </w:rPr>
        <w:t>2</w:t>
      </w:r>
      <w:r>
        <w:rPr/>
        <w:t>、无形资产使用寿命及摊销</w:t>
      </w:r>
      <w:r>
        <w:rPr>
          <w:b w:val="0"/>
          <w:bCs w:val="0"/>
        </w:rPr>
      </w:r>
    </w:p>
    <w:p>
      <w:pPr>
        <w:pStyle w:val="BodyText"/>
        <w:spacing w:line="336" w:lineRule="auto" w:before="109"/>
        <w:ind w:left="559" w:right="449"/>
        <w:jc w:val="left"/>
      </w:pPr>
      <w:r>
        <w:rPr/>
        <w:t>（</w:t>
      </w:r>
      <w:r>
        <w:rPr>
          <w:rFonts w:ascii="Times New Roman" w:hAnsi="Times New Roman" w:cs="Times New Roman" w:eastAsia="Times New Roman" w:hint="default"/>
        </w:rPr>
        <w:t>1</w:t>
      </w:r>
      <w:r>
        <w:rPr/>
        <w:t>）使用寿命有限的无形资产的使用寿命估计情况： 土地使用权使用寿命按土地使用权证有效日期确定；软件的使用寿命估计为</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年。</w:t>
      </w:r>
      <w:r>
        <w:rPr>
          <w:spacing w:val="-2"/>
        </w:rPr>
        <w:t> </w:t>
      </w:r>
      <w:r>
        <w:rPr/>
        <w:t>每年末，对使用寿命有限的无形资产的使用寿命及摊销方法进行复核。</w:t>
      </w:r>
      <w:r>
        <w:rPr/>
        <w:t> 经复核，本年末无形资产的使用寿命及摊销方法与以前估计未有不同。</w:t>
      </w:r>
    </w:p>
    <w:p>
      <w:pPr>
        <w:pStyle w:val="BodyText"/>
        <w:spacing w:line="331" w:lineRule="auto" w:before="41"/>
        <w:ind w:left="559" w:right="135"/>
        <w:jc w:val="left"/>
      </w:pPr>
      <w:r>
        <w:rPr/>
        <w:t>（</w:t>
      </w:r>
      <w:r>
        <w:rPr>
          <w:rFonts w:ascii="Times New Roman" w:hAnsi="Times New Roman" w:cs="Times New Roman" w:eastAsia="Times New Roman" w:hint="default"/>
        </w:rPr>
        <w:t>2</w:t>
      </w:r>
      <w:r>
        <w:rPr/>
        <w:t>）无形资产的摊销： </w:t>
      </w:r>
      <w:r>
        <w:rPr>
          <w:spacing w:val="-3"/>
        </w:rPr>
        <w:t>对于使用寿命有限的无形资产，在为企业带来经济利益的期限内按直线法摊销；无法预</w:t>
      </w:r>
    </w:p>
    <w:p>
      <w:pPr>
        <w:spacing w:line="340" w:lineRule="auto" w:before="45"/>
        <w:ind w:left="559" w:right="445" w:hanging="420"/>
        <w:jc w:val="left"/>
        <w:rPr>
          <w:rFonts w:ascii="宋体" w:hAnsi="宋体" w:cs="宋体" w:eastAsia="宋体" w:hint="default"/>
          <w:sz w:val="21"/>
          <w:szCs w:val="21"/>
        </w:rPr>
      </w:pPr>
      <w:r>
        <w:rPr>
          <w:rFonts w:ascii="宋体" w:hAnsi="宋体" w:cs="宋体" w:eastAsia="宋体" w:hint="default"/>
          <w:sz w:val="21"/>
          <w:szCs w:val="21"/>
        </w:rPr>
        <w:t>见无形资产为企业带来经济利益期限的，视为使用寿命不确定的无形资产，不予摊销。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、研究开发项目研究阶段支出与开发阶段支出的划分标准</w:t>
      </w:r>
      <w:r>
        <w:rPr>
          <w:rFonts w:ascii="宋体" w:hAnsi="宋体" w:cs="宋体" w:eastAsia="宋体" w:hint="default"/>
          <w:b/>
          <w:bCs/>
          <w:w w:val="99"/>
          <w:sz w:val="21"/>
          <w:szCs w:val="21"/>
        </w:rPr>
        <w:t> </w:t>
      </w:r>
      <w:r>
        <w:rPr>
          <w:rFonts w:ascii="宋体" w:hAnsi="宋体" w:cs="宋体" w:eastAsia="宋体" w:hint="default"/>
          <w:sz w:val="21"/>
          <w:szCs w:val="21"/>
        </w:rPr>
        <w:t>内部研究开发项目开发阶段的支出，同时满足下列条件的，才能确认为无形资产：</w:t>
      </w:r>
    </w:p>
    <w:p>
      <w:pPr>
        <w:pStyle w:val="BodyText"/>
        <w:spacing w:line="240" w:lineRule="auto" w:before="36"/>
        <w:ind w:left="559" w:right="109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09"/>
        <w:ind w:left="559" w:right="109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28" w:lineRule="auto" w:before="110"/>
        <w:ind w:left="139" w:right="130" w:firstLine="420"/>
        <w:jc w:val="left"/>
      </w:pPr>
      <w:r>
        <w:rPr/>
        <w:t>（</w:t>
      </w:r>
      <w:r>
        <w:rPr>
          <w:rFonts w:ascii="Times New Roman" w:hAnsi="Times New Roman" w:cs="Times New Roman" w:eastAsia="Times New Roman" w:hint="default"/>
        </w:rPr>
        <w:t>3</w:t>
      </w:r>
      <w:r>
        <w:rPr/>
        <w:t>）无形资产产生经济利益的方式，能够证明运用该无形资产生产的产品存在市场或 无形资产自身存在市场，无形资产将在内部使用的，应当证明其有用性；</w:t>
      </w:r>
    </w:p>
    <w:p>
      <w:pPr>
        <w:pStyle w:val="BodyText"/>
        <w:spacing w:line="331" w:lineRule="auto" w:before="47"/>
        <w:ind w:left="139" w:right="130" w:firstLine="420"/>
        <w:jc w:val="left"/>
      </w:pPr>
      <w:r>
        <w:rPr/>
        <w:t>（</w:t>
      </w:r>
      <w:r>
        <w:rPr>
          <w:rFonts w:ascii="Times New Roman" w:hAnsi="Times New Roman" w:cs="Times New Roman" w:eastAsia="Times New Roman" w:hint="default"/>
        </w:rPr>
        <w:t>4</w:t>
      </w:r>
      <w:r>
        <w:rPr/>
        <w:t>）有足够的技术、财务资源和其他资源支持，以完成该无形资产的开发，并有能力 使用或出售该无形资产；</w:t>
      </w:r>
    </w:p>
    <w:p>
      <w:pPr>
        <w:pStyle w:val="BodyText"/>
        <w:spacing w:line="240" w:lineRule="auto" w:before="45"/>
        <w:ind w:left="559" w:right="1090"/>
        <w:jc w:val="left"/>
      </w:pPr>
      <w:r>
        <w:rPr/>
        <w:t>（</w:t>
      </w:r>
      <w:r>
        <w:rPr>
          <w:rFonts w:ascii="Times New Roman" w:hAnsi="Times New Roman" w:cs="Times New Roman" w:eastAsia="Times New Roman" w:hint="default"/>
        </w:rPr>
        <w:t>5</w:t>
      </w:r>
      <w:r>
        <w:rPr/>
        <w:t>）归属于该无形资产开发阶段的支出能够可靠地计量。</w:t>
      </w:r>
    </w:p>
    <w:p>
      <w:pPr>
        <w:spacing w:line="350" w:lineRule="auto" w:before="109"/>
        <w:ind w:left="559" w:right="130" w:firstLine="2"/>
        <w:jc w:val="left"/>
        <w:rPr>
          <w:rFonts w:ascii="宋体" w:hAnsi="宋体" w:cs="宋体" w:eastAsia="宋体" w:hint="default"/>
          <w:sz w:val="21"/>
          <w:szCs w:val="21"/>
        </w:rPr>
      </w:pPr>
      <w:r>
        <w:rPr>
          <w:rFonts w:ascii="宋体" w:hAnsi="宋体" w:cs="宋体" w:eastAsia="宋体" w:hint="default"/>
          <w:b/>
          <w:bCs/>
          <w:sz w:val="21"/>
          <w:szCs w:val="21"/>
        </w:rPr>
        <w:t>（十三）长期待摊费用的摊销方法及摊销年限</w:t>
      </w:r>
      <w:r>
        <w:rPr>
          <w:rFonts w:ascii="宋体" w:hAnsi="宋体" w:cs="宋体" w:eastAsia="宋体" w:hint="default"/>
          <w:b/>
          <w:bCs/>
          <w:w w:val="99"/>
          <w:sz w:val="21"/>
          <w:szCs w:val="21"/>
        </w:rPr>
        <w:t> </w:t>
      </w:r>
      <w:r>
        <w:rPr>
          <w:rFonts w:ascii="宋体" w:hAnsi="宋体" w:cs="宋体" w:eastAsia="宋体" w:hint="default"/>
          <w:sz w:val="21"/>
          <w:szCs w:val="21"/>
        </w:rPr>
        <w:t>长期待摊费用在受益期内平均摊销，其中： </w:t>
      </w:r>
      <w:r>
        <w:rPr>
          <w:rFonts w:ascii="Times New Roman" w:hAnsi="Times New Roman" w:cs="Times New Roman" w:eastAsia="Times New Roman" w:hint="default"/>
          <w:sz w:val="21"/>
          <w:szCs w:val="21"/>
        </w:rPr>
        <w:t>1</w:t>
      </w:r>
      <w:r>
        <w:rPr>
          <w:rFonts w:ascii="宋体" w:hAnsi="宋体" w:cs="宋体" w:eastAsia="宋体" w:hint="default"/>
          <w:sz w:val="21"/>
          <w:szCs w:val="21"/>
        </w:rPr>
        <w:t>、预付经营租入固定资产的租金，按租赁合同规定的期限或其它合理方法平均摊销。</w:t>
      </w:r>
    </w:p>
    <w:p>
      <w:pPr>
        <w:pStyle w:val="BodyText"/>
        <w:spacing w:line="331" w:lineRule="auto" w:before="2"/>
        <w:ind w:left="139" w:right="130" w:firstLine="420"/>
        <w:jc w:val="left"/>
      </w:pPr>
      <w:r>
        <w:rPr>
          <w:rFonts w:ascii="Times New Roman" w:hAnsi="Times New Roman" w:cs="Times New Roman" w:eastAsia="Times New Roman" w:hint="default"/>
        </w:rPr>
        <w:t>2</w:t>
      </w:r>
      <w:r>
        <w:rPr/>
        <w:t>、经营租赁方式租入的固定资产改良支出，按剩余租赁期与租赁资产尚可使用年限两 者中较短的期限平均摊销。</w:t>
      </w:r>
    </w:p>
    <w:p>
      <w:pPr>
        <w:spacing w:after="0" w:line="331" w:lineRule="auto"/>
        <w:jc w:val="left"/>
        <w:sectPr>
          <w:pgSz w:w="11910" w:h="16840"/>
          <w:pgMar w:header="400" w:footer="982" w:top="1100" w:bottom="1180" w:left="1660" w:right="1660"/>
        </w:sectPr>
      </w:pPr>
    </w:p>
    <w:p>
      <w:pPr>
        <w:spacing w:line="240" w:lineRule="auto" w:before="12"/>
        <w:rPr>
          <w:rFonts w:ascii="宋体" w:hAnsi="宋体" w:cs="宋体" w:eastAsia="宋体" w:hint="default"/>
          <w:sz w:val="28"/>
          <w:szCs w:val="28"/>
        </w:rPr>
      </w:pPr>
    </w:p>
    <w:p>
      <w:pPr>
        <w:spacing w:line="340" w:lineRule="auto" w:before="35"/>
        <w:ind w:left="560" w:right="136" w:firstLine="2"/>
        <w:jc w:val="left"/>
        <w:rPr>
          <w:rFonts w:ascii="宋体" w:hAnsi="宋体" w:cs="宋体" w:eastAsia="宋体" w:hint="default"/>
          <w:sz w:val="21"/>
          <w:szCs w:val="21"/>
        </w:rPr>
      </w:pPr>
      <w:r>
        <w:rPr>
          <w:rFonts w:ascii="宋体" w:hAnsi="宋体" w:cs="宋体" w:eastAsia="宋体" w:hint="default"/>
          <w:b/>
          <w:bCs/>
          <w:sz w:val="21"/>
          <w:szCs w:val="21"/>
        </w:rPr>
        <w:t>（十四）除存货、投资性房地产及金融资产外的其他主要资产的减值</w:t>
      </w:r>
      <w:r>
        <w:rPr>
          <w:rFonts w:ascii="宋体" w:hAnsi="宋体" w:cs="宋体" w:eastAsia="宋体" w:hint="default"/>
          <w:b/>
          <w:bCs/>
          <w:w w:val="99"/>
          <w:sz w:val="21"/>
          <w:szCs w:val="21"/>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、长期股权投资</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成本法核算的、在活跃市场中没有报价、公允价值不能可靠计量的长期股权投资，其减</w:t>
      </w:r>
    </w:p>
    <w:p>
      <w:pPr>
        <w:pStyle w:val="BodyText"/>
        <w:spacing w:line="348" w:lineRule="auto" w:before="36"/>
        <w:ind w:right="134"/>
        <w:jc w:val="both"/>
      </w:pPr>
      <w:r>
        <w:rPr>
          <w:spacing w:val="2"/>
        </w:rPr>
        <w:t>值损失是根据其账面价值与按类似金融资产当时市场收益率对未来现金流量折现确定的现</w:t>
      </w:r>
      <w:r>
        <w:rPr>
          <w:spacing w:val="-85"/>
        </w:rPr>
        <w:t> </w:t>
      </w:r>
      <w:r>
        <w:rPr>
          <w:spacing w:val="-85"/>
        </w:rPr>
      </w:r>
      <w:r>
        <w:rPr/>
        <w:t>值之间的差额进行确定。</w:t>
      </w:r>
    </w:p>
    <w:p>
      <w:pPr>
        <w:pStyle w:val="BodyText"/>
        <w:spacing w:line="348" w:lineRule="auto" w:before="31"/>
        <w:ind w:right="130" w:firstLine="420"/>
        <w:jc w:val="left"/>
      </w:pPr>
      <w:r>
        <w:rPr>
          <w:spacing w:val="-3"/>
        </w:rPr>
        <w:t>其他长期股权投资，如果可收回金额的计量结果表明，该长期股权投资的可收回金额低</w:t>
      </w:r>
      <w:r>
        <w:rPr/>
        <w:t> 于其账面价值的，将差额确认为减值损失。</w:t>
      </w:r>
    </w:p>
    <w:p>
      <w:pPr>
        <w:spacing w:line="340" w:lineRule="auto" w:before="30"/>
        <w:ind w:left="559" w:right="135" w:firstLine="0"/>
        <w:jc w:val="left"/>
        <w:rPr>
          <w:rFonts w:ascii="宋体" w:hAnsi="宋体" w:cs="宋体" w:eastAsia="宋体" w:hint="default"/>
          <w:sz w:val="21"/>
          <w:szCs w:val="21"/>
        </w:rPr>
      </w:pPr>
      <w:r>
        <w:rPr>
          <w:rFonts w:ascii="宋体" w:hAnsi="宋体" w:cs="宋体" w:eastAsia="宋体" w:hint="default"/>
          <w:sz w:val="21"/>
          <w:szCs w:val="21"/>
        </w:rPr>
        <w:t>长期股权投资减值损失一经确认，不再转回。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、固定资产、在建工程、无形资产、商誉等长期非金融资产</w:t>
      </w:r>
      <w:r>
        <w:rPr>
          <w:rFonts w:ascii="宋体" w:hAnsi="宋体" w:cs="宋体" w:eastAsia="宋体" w:hint="default"/>
          <w:b/>
          <w:bCs/>
          <w:w w:val="99"/>
          <w:sz w:val="21"/>
          <w:szCs w:val="21"/>
        </w:rPr>
        <w:t> </w:t>
      </w:r>
      <w:r>
        <w:rPr>
          <w:rFonts w:ascii="宋体" w:hAnsi="宋体" w:cs="宋体" w:eastAsia="宋体" w:hint="default"/>
          <w:spacing w:val="-3"/>
          <w:sz w:val="21"/>
          <w:szCs w:val="21"/>
        </w:rPr>
        <w:t>对于固定资产、在建工程、无形资产等长期非金融资产，公司在每年末判断相关资产是</w:t>
      </w:r>
    </w:p>
    <w:p>
      <w:pPr>
        <w:pStyle w:val="BodyText"/>
        <w:spacing w:line="350" w:lineRule="auto" w:before="36"/>
        <w:ind w:left="559" w:right="135" w:hanging="420"/>
        <w:jc w:val="left"/>
      </w:pPr>
      <w:r>
        <w:rPr/>
        <w:t>否存在可能发生减值的迹象。 </w:t>
      </w:r>
      <w:r>
        <w:rPr>
          <w:spacing w:val="-3"/>
        </w:rPr>
        <w:t>因企业合并所形成的商誉和使用寿命不确定的无形资产，无论是否存在减值迹象，每年</w:t>
      </w:r>
    </w:p>
    <w:p>
      <w:pPr>
        <w:pStyle w:val="BodyText"/>
        <w:spacing w:line="348" w:lineRule="auto" w:before="28"/>
        <w:ind w:left="559" w:right="135" w:hanging="420"/>
        <w:jc w:val="left"/>
      </w:pPr>
      <w:r>
        <w:rPr/>
        <w:t>都进行减值测试。 </w:t>
      </w:r>
      <w:r>
        <w:rPr>
          <w:spacing w:val="-3"/>
        </w:rPr>
        <w:t>资产存在减值迹象的，估计其可收回金额。可收回金额根据资产的公允价值减去处置费</w:t>
      </w:r>
    </w:p>
    <w:p>
      <w:pPr>
        <w:pStyle w:val="BodyText"/>
        <w:spacing w:line="348" w:lineRule="auto" w:before="31"/>
        <w:ind w:left="559" w:right="135" w:hanging="420"/>
        <w:jc w:val="left"/>
      </w:pPr>
      <w:r>
        <w:rPr/>
        <w:t>用后的净额与资产预计未来现金流量的现值两者之间较高者确定。 </w:t>
      </w:r>
      <w:r>
        <w:rPr>
          <w:spacing w:val="-3"/>
        </w:rPr>
        <w:t>当资产的可收回金额低于其账面价值的，将资产的账面价值减记至可收回金额，减记的</w:t>
      </w:r>
    </w:p>
    <w:p>
      <w:pPr>
        <w:pStyle w:val="BodyText"/>
        <w:spacing w:line="350" w:lineRule="auto" w:before="30"/>
        <w:ind w:left="559" w:right="135" w:hanging="420"/>
        <w:jc w:val="left"/>
      </w:pPr>
      <w:r>
        <w:rPr/>
        <w:t>金额确认为资产减值损失，计入当期损益，同时计提相应的资产减值准备。 </w:t>
      </w:r>
      <w:r>
        <w:rPr>
          <w:spacing w:val="-3"/>
        </w:rPr>
        <w:t>资产减值损失确认后，减值资产的折旧或者摊销费用在未来期间作相应调整，以使该资</w:t>
      </w:r>
    </w:p>
    <w:p>
      <w:pPr>
        <w:pStyle w:val="BodyText"/>
        <w:spacing w:line="348" w:lineRule="auto" w:before="28"/>
        <w:ind w:left="559" w:right="135" w:hanging="420"/>
        <w:jc w:val="left"/>
      </w:pPr>
      <w:r>
        <w:rPr>
          <w:spacing w:val="-3"/>
        </w:rPr>
        <w:t>产在剩余使用寿命内，系统地分摊调整后的资产账面价值（扣除预计净残值）。</w:t>
      </w:r>
      <w:r>
        <w:rPr/>
        <w:t> </w:t>
      </w:r>
      <w:r>
        <w:rPr>
          <w:spacing w:val="-3"/>
        </w:rPr>
        <w:t>固定资产、在建工程、无形资产等长期非金融资产资产减值损失一经确认，在以后会计</w:t>
      </w:r>
    </w:p>
    <w:p>
      <w:pPr>
        <w:pStyle w:val="BodyText"/>
        <w:spacing w:line="348" w:lineRule="auto" w:before="31"/>
        <w:ind w:left="559" w:right="445" w:hanging="420"/>
        <w:jc w:val="left"/>
      </w:pPr>
      <w:r>
        <w:rPr/>
        <w:t>期间不再转回。 有迹象表明一项资产可能发生减值的，企业以单项资产为基础估计其可收回金额。</w:t>
      </w:r>
    </w:p>
    <w:p>
      <w:pPr>
        <w:pStyle w:val="Heading4"/>
        <w:spacing w:line="240" w:lineRule="auto" w:before="30"/>
        <w:ind w:left="562" w:right="1090"/>
        <w:jc w:val="left"/>
        <w:rPr>
          <w:b w:val="0"/>
          <w:bCs w:val="0"/>
        </w:rPr>
      </w:pPr>
      <w:r>
        <w:rPr/>
        <w:t>（十五）长期股权投资的核算</w:t>
      </w:r>
      <w:r>
        <w:rPr>
          <w:b w:val="0"/>
          <w:bCs w:val="0"/>
        </w:rPr>
      </w:r>
    </w:p>
    <w:p>
      <w:pPr>
        <w:pStyle w:val="Heading4"/>
        <w:spacing w:line="240" w:lineRule="auto" w:before="126"/>
        <w:ind w:left="562" w:right="1090"/>
        <w:jc w:val="left"/>
        <w:rPr>
          <w:b w:val="0"/>
          <w:bCs w:val="0"/>
        </w:rPr>
      </w:pPr>
      <w:r>
        <w:rPr>
          <w:rFonts w:ascii="Times New Roman" w:hAnsi="Times New Roman" w:cs="Times New Roman" w:eastAsia="Times New Roman" w:hint="default"/>
        </w:rPr>
        <w:t>1</w:t>
      </w:r>
      <w:r>
        <w:rPr/>
        <w:t>、初始计量</w:t>
      </w:r>
      <w:r>
        <w:rPr>
          <w:b w:val="0"/>
          <w:bCs w:val="0"/>
        </w:rPr>
      </w:r>
    </w:p>
    <w:p>
      <w:pPr>
        <w:pStyle w:val="BodyText"/>
        <w:spacing w:line="328" w:lineRule="auto" w:before="109"/>
        <w:ind w:left="559" w:right="135"/>
        <w:jc w:val="left"/>
      </w:pPr>
      <w:r>
        <w:rPr/>
        <w:t>（</w:t>
      </w:r>
      <w:r>
        <w:rPr>
          <w:rFonts w:ascii="Times New Roman" w:hAnsi="Times New Roman" w:cs="Times New Roman" w:eastAsia="Times New Roman" w:hint="default"/>
        </w:rPr>
        <w:t>1</w:t>
      </w:r>
      <w:r>
        <w:rPr/>
        <w:t>）企业合并形成的长期股权投资 </w:t>
      </w:r>
      <w:r>
        <w:rPr>
          <w:spacing w:val="-3"/>
        </w:rPr>
        <w:t>同一控制下的企业合并：公司以支付现金、转让非现金资产或承担债务方式以及以发行</w:t>
      </w:r>
    </w:p>
    <w:p>
      <w:pPr>
        <w:pStyle w:val="BodyText"/>
        <w:spacing w:line="350" w:lineRule="auto" w:before="48"/>
        <w:ind w:left="139" w:right="136"/>
        <w:jc w:val="both"/>
      </w:pPr>
      <w:r>
        <w:rPr>
          <w:spacing w:val="-3"/>
        </w:rPr>
        <w:t>权益性证券作为合并对价的，在合并日按照取得被合并方所有者权益账面价值的份额作为长</w:t>
      </w:r>
      <w:r>
        <w:rPr>
          <w:spacing w:val="-79"/>
        </w:rPr>
        <w:t> </w:t>
      </w:r>
      <w:r>
        <w:rPr>
          <w:spacing w:val="-79"/>
        </w:rPr>
      </w:r>
      <w:r>
        <w:rPr>
          <w:spacing w:val="-3"/>
        </w:rPr>
        <w:t>期股权投资的初始投资成本。长期股权投资初始投资成本与支付合并对价之间的差额，调整</w:t>
      </w:r>
      <w:r>
        <w:rPr>
          <w:spacing w:val="-79"/>
        </w:rPr>
        <w:t> </w:t>
      </w:r>
      <w:r>
        <w:rPr>
          <w:spacing w:val="-79"/>
        </w:rPr>
      </w:r>
      <w:r>
        <w:rPr>
          <w:spacing w:val="-3"/>
        </w:rPr>
        <w:t>资本公积；资本公积不足冲减的，调整留存收益。合并发生的各项直接相关费用，包括为进</w:t>
      </w:r>
      <w:r>
        <w:rPr>
          <w:spacing w:val="-80"/>
        </w:rPr>
        <w:t> </w:t>
      </w:r>
      <w:r>
        <w:rPr>
          <w:spacing w:val="-80"/>
        </w:rPr>
      </w:r>
      <w:r>
        <w:rPr/>
        <w:t>行合并而支付的审计费用、评估费用、法律服务费用等，于发生时计入当期损益。</w:t>
      </w:r>
    </w:p>
    <w:p>
      <w:pPr>
        <w:pStyle w:val="BodyText"/>
        <w:spacing w:line="328" w:lineRule="auto" w:before="28"/>
        <w:ind w:left="139" w:right="120" w:firstLine="420"/>
        <w:jc w:val="left"/>
      </w:pPr>
      <w:r>
        <w:rPr/>
        <w:t>非同一控制下的企业合并：公司在购买日按照《企业会计准则第</w:t>
      </w:r>
      <w:r>
        <w:rPr>
          <w:spacing w:val="-48"/>
        </w:rPr>
        <w:t> </w:t>
      </w:r>
      <w:r>
        <w:rPr>
          <w:rFonts w:ascii="Times New Roman" w:hAnsi="Times New Roman" w:cs="Times New Roman" w:eastAsia="Times New Roman" w:hint="default"/>
        </w:rPr>
        <w:t>20</w:t>
      </w:r>
      <w:r>
        <w:rPr>
          <w:rFonts w:ascii="Times New Roman" w:hAnsi="Times New Roman" w:cs="Times New Roman" w:eastAsia="Times New Roman" w:hint="default"/>
          <w:spacing w:val="5"/>
        </w:rPr>
        <w:t> </w:t>
      </w:r>
      <w:r>
        <w:rPr/>
        <w:t>号——企业合并》 确定的合并成本作为长期股权投资的初始投资成本。</w:t>
      </w:r>
    </w:p>
    <w:p>
      <w:pPr>
        <w:pStyle w:val="BodyText"/>
        <w:spacing w:line="328" w:lineRule="auto" w:before="48"/>
        <w:ind w:left="559" w:right="235"/>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w:t>
      </w:r>
    </w:p>
    <w:p>
      <w:pPr>
        <w:spacing w:after="0" w:line="328" w:lineRule="auto"/>
        <w:jc w:val="left"/>
        <w:sectPr>
          <w:pgSz w:w="11910" w:h="16840"/>
          <w:pgMar w:header="400" w:footer="982" w:top="1100" w:bottom="1180" w:left="1660" w:right="1660"/>
        </w:sectPr>
      </w:pPr>
    </w:p>
    <w:p>
      <w:pPr>
        <w:spacing w:line="240" w:lineRule="auto" w:before="12"/>
        <w:rPr>
          <w:rFonts w:ascii="宋体" w:hAnsi="宋体" w:cs="宋体" w:eastAsia="宋体" w:hint="default"/>
          <w:sz w:val="28"/>
          <w:szCs w:val="28"/>
        </w:rPr>
      </w:pPr>
    </w:p>
    <w:p>
      <w:pPr>
        <w:pStyle w:val="BodyText"/>
        <w:spacing w:line="348" w:lineRule="auto" w:before="35"/>
        <w:ind w:right="196" w:firstLine="420"/>
        <w:jc w:val="both"/>
      </w:pPr>
      <w:r>
        <w:rPr>
          <w:spacing w:val="-3"/>
        </w:rPr>
        <w:t>以发行权益性证券取得的长期股权投资，按照发行权益性证券的公允价值作为初始投资</w:t>
      </w:r>
      <w:r>
        <w:rPr/>
        <w:t> 成本。</w:t>
      </w:r>
    </w:p>
    <w:p>
      <w:pPr>
        <w:pStyle w:val="BodyText"/>
        <w:spacing w:line="348" w:lineRule="auto" w:before="31"/>
        <w:ind w:right="196" w:firstLine="420"/>
        <w:jc w:val="both"/>
      </w:pPr>
      <w:r>
        <w:rPr>
          <w:spacing w:val="-3"/>
        </w:rPr>
        <w:t>投资者投入的长期股权投资，按照投资合同或协议约定的价值（扣除已宣告但尚未发放</w:t>
      </w:r>
      <w:r>
        <w:rPr/>
        <w:t> 的现金股利或利润）作为初始投资成本，但合同或协议约定价值不公允的除外。</w:t>
      </w:r>
    </w:p>
    <w:p>
      <w:pPr>
        <w:pStyle w:val="BodyText"/>
        <w:spacing w:line="350" w:lineRule="auto" w:before="30"/>
        <w:ind w:right="194" w:firstLine="420"/>
        <w:jc w:val="both"/>
      </w:pPr>
      <w:r>
        <w:rPr>
          <w:spacing w:val="2"/>
        </w:rPr>
        <w:t>在非货币性资产交换具备商业实质和换入资产或换出资产的公允价值能够可靠计量的</w:t>
      </w:r>
      <w:r>
        <w:rPr/>
        <w:t> </w:t>
      </w:r>
      <w:r>
        <w:rPr>
          <w:spacing w:val="-3"/>
        </w:rPr>
        <w:t>前提下，非货币性资产交换换入的长期股权投资以换出资产的公允价值为基础确定其初始投</w:t>
      </w:r>
      <w:r>
        <w:rPr>
          <w:spacing w:val="-79"/>
        </w:rPr>
        <w:t> </w:t>
      </w:r>
      <w:r>
        <w:rPr>
          <w:spacing w:val="-79"/>
        </w:rPr>
      </w:r>
      <w:r>
        <w:rPr>
          <w:spacing w:val="-3"/>
        </w:rPr>
        <w:t>资成本，除非有确凿证据表明换入资产的公允价值更加可靠；不满足上述前提的非货币性资</w:t>
      </w:r>
      <w:r>
        <w:rPr>
          <w:spacing w:val="-79"/>
        </w:rPr>
        <w:t> </w:t>
      </w:r>
      <w:r>
        <w:rPr>
          <w:spacing w:val="-79"/>
        </w:rPr>
      </w:r>
      <w:r>
        <w:rPr>
          <w:spacing w:val="2"/>
        </w:rPr>
        <w:t>产交换，以换出资产的账面价值和应支付的相关税费作为换入长期股权投资的初始投资成</w:t>
      </w:r>
      <w:r>
        <w:rPr>
          <w:spacing w:val="-85"/>
        </w:rPr>
        <w:t> </w:t>
      </w:r>
      <w:r>
        <w:rPr>
          <w:spacing w:val="-85"/>
        </w:rPr>
      </w:r>
      <w:r>
        <w:rPr/>
        <w:t>本。</w:t>
      </w:r>
    </w:p>
    <w:p>
      <w:pPr>
        <w:spacing w:line="340" w:lineRule="auto" w:before="28"/>
        <w:ind w:left="560" w:right="190" w:firstLine="0"/>
        <w:jc w:val="left"/>
        <w:rPr>
          <w:rFonts w:ascii="宋体" w:hAnsi="宋体" w:cs="宋体" w:eastAsia="宋体" w:hint="default"/>
          <w:sz w:val="21"/>
          <w:szCs w:val="21"/>
        </w:rPr>
      </w:pPr>
      <w:r>
        <w:rPr>
          <w:rFonts w:ascii="宋体" w:hAnsi="宋体" w:cs="宋体" w:eastAsia="宋体" w:hint="default"/>
          <w:sz w:val="21"/>
          <w:szCs w:val="21"/>
        </w:rPr>
        <w:t>通过债务重组取得的长期股权投资，其初始投资成本按照公允价值为基础确定。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、被投资单位具有共同控制、重大影响的依据</w:t>
      </w:r>
      <w:r>
        <w:rPr>
          <w:rFonts w:ascii="宋体" w:hAnsi="宋体" w:cs="宋体" w:eastAsia="宋体" w:hint="default"/>
          <w:b/>
          <w:bCs/>
          <w:w w:val="99"/>
          <w:sz w:val="21"/>
          <w:szCs w:val="21"/>
        </w:rPr>
        <w:t> </w:t>
      </w:r>
      <w:r>
        <w:rPr>
          <w:rFonts w:ascii="宋体" w:hAnsi="宋体" w:cs="宋体" w:eastAsia="宋体" w:hint="default"/>
          <w:spacing w:val="-3"/>
          <w:sz w:val="21"/>
          <w:szCs w:val="21"/>
        </w:rPr>
        <w:t>按照合同约定对某项经济活动所共有的控制，仅在与该项经济活动相关的重要财务和经</w:t>
      </w:r>
    </w:p>
    <w:p>
      <w:pPr>
        <w:pStyle w:val="BodyText"/>
        <w:spacing w:line="350" w:lineRule="auto" w:before="36"/>
        <w:ind w:right="196"/>
        <w:jc w:val="both"/>
      </w:pPr>
      <w:r>
        <w:rPr>
          <w:spacing w:val="-3"/>
        </w:rPr>
        <w:t>营决策需要分享控制权的投资方一致同意时存在，则视为与其他方对被投资单位实施共同控</w:t>
      </w:r>
      <w:r>
        <w:rPr>
          <w:spacing w:val="-79"/>
        </w:rPr>
        <w:t> </w:t>
      </w:r>
      <w:r>
        <w:rPr>
          <w:spacing w:val="-79"/>
        </w:rPr>
      </w:r>
      <w:r>
        <w:rPr>
          <w:spacing w:val="-3"/>
        </w:rPr>
        <w:t>制；对一个企业的财务和经营决策有参与决策的权力，但并不能够控制或者与其他方一起共</w:t>
      </w:r>
      <w:r>
        <w:rPr>
          <w:spacing w:val="-79"/>
        </w:rPr>
        <w:t> </w:t>
      </w:r>
      <w:r>
        <w:rPr>
          <w:spacing w:val="-79"/>
        </w:rPr>
      </w:r>
      <w:r>
        <w:rPr/>
        <w:t>同控制这些政策的制定，则视为投资企业能够对被投资单位施加重大影响。</w:t>
      </w:r>
    </w:p>
    <w:p>
      <w:pPr>
        <w:spacing w:line="328" w:lineRule="auto" w:before="28"/>
        <w:ind w:left="559" w:right="19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、后续计量及收益确认</w:t>
      </w:r>
      <w:r>
        <w:rPr>
          <w:rFonts w:ascii="宋体" w:hAnsi="宋体" w:cs="宋体" w:eastAsia="宋体" w:hint="default"/>
          <w:b/>
          <w:bCs/>
          <w:w w:val="99"/>
          <w:sz w:val="21"/>
          <w:szCs w:val="21"/>
        </w:rPr>
        <w:t> </w:t>
      </w:r>
      <w:r>
        <w:rPr>
          <w:rFonts w:ascii="宋体" w:hAnsi="宋体" w:cs="宋体" w:eastAsia="宋体" w:hint="default"/>
          <w:spacing w:val="-3"/>
          <w:sz w:val="21"/>
          <w:szCs w:val="21"/>
        </w:rPr>
        <w:t>公司能够对被投资单位施加重大影响或共同控制的，初始投资成本大于投资时应享有被</w:t>
      </w:r>
    </w:p>
    <w:p>
      <w:pPr>
        <w:pStyle w:val="BodyText"/>
        <w:spacing w:line="348" w:lineRule="auto" w:before="48"/>
        <w:ind w:left="139" w:right="196"/>
        <w:jc w:val="both"/>
      </w:pPr>
      <w:r>
        <w:rPr>
          <w:spacing w:val="-3"/>
        </w:rPr>
        <w:t>投资单位可辨认净资产公允价值份额的差额，不调整长期股权投资的初始投资成本；初始投</w:t>
      </w:r>
      <w:r>
        <w:rPr>
          <w:spacing w:val="-79"/>
        </w:rPr>
        <w:t> </w:t>
      </w:r>
      <w:r>
        <w:rPr>
          <w:spacing w:val="-79"/>
        </w:rPr>
      </w:r>
      <w:r>
        <w:rPr/>
        <w:t>资成本小于投资时应享有被投资单位可辨认净资产公允价值份额的差额，计入当期损益。</w:t>
      </w:r>
    </w:p>
    <w:p>
      <w:pPr>
        <w:pStyle w:val="BodyText"/>
        <w:spacing w:line="350" w:lineRule="auto" w:before="30"/>
        <w:ind w:left="139" w:right="196" w:firstLine="420"/>
        <w:jc w:val="both"/>
      </w:pPr>
      <w:r>
        <w:rPr>
          <w:spacing w:val="-3"/>
        </w:rPr>
        <w:t>公司对子公司的长期股权投资，采用成本法核算，编制合并财务报表时按照权益法进行</w:t>
      </w:r>
      <w:r>
        <w:rPr/>
        <w:t> 调整。</w:t>
      </w:r>
    </w:p>
    <w:p>
      <w:pPr>
        <w:pStyle w:val="BodyText"/>
        <w:spacing w:line="348" w:lineRule="auto" w:before="28"/>
        <w:ind w:left="139" w:right="196" w:firstLine="420"/>
        <w:jc w:val="both"/>
      </w:pPr>
      <w:r>
        <w:rPr>
          <w:spacing w:val="-3"/>
        </w:rPr>
        <w:t>对被投资单位不具有共同控制或重大影响，并且在活跃市场中没有报价、公允价值不能</w:t>
      </w:r>
      <w:r>
        <w:rPr/>
        <w:t> 可靠计量的长期股权投资，采用成本法核算。</w:t>
      </w:r>
    </w:p>
    <w:p>
      <w:pPr>
        <w:pStyle w:val="BodyText"/>
        <w:spacing w:line="348" w:lineRule="auto" w:before="31"/>
        <w:ind w:left="559" w:right="190"/>
        <w:jc w:val="left"/>
      </w:pPr>
      <w:r>
        <w:rPr/>
        <w:t>对被投资单位具有共同控制或重大影响的长期股权投资，采用权益法核算。 </w:t>
      </w:r>
      <w:r>
        <w:rPr>
          <w:spacing w:val="2"/>
        </w:rPr>
        <w:t>成本法下公司确认投资收益，仅限于被投资单位接受投资后产生的累积净利润的分配</w:t>
      </w:r>
    </w:p>
    <w:p>
      <w:pPr>
        <w:pStyle w:val="BodyText"/>
        <w:spacing w:line="350" w:lineRule="auto" w:before="30"/>
        <w:ind w:left="559" w:right="85" w:hanging="420"/>
        <w:jc w:val="left"/>
      </w:pPr>
      <w:r>
        <w:rPr/>
        <w:t>额，所获得的利润或现金股利超过上述数额的部分作为初始投资成本的收回。 权益法下在公司确认应分担被投资单位发生的亏损时，按照以下顺序进行处理：首先，</w:t>
      </w:r>
    </w:p>
    <w:p>
      <w:pPr>
        <w:pStyle w:val="BodyText"/>
        <w:spacing w:line="350" w:lineRule="auto" w:before="28"/>
        <w:ind w:left="139" w:right="196"/>
        <w:jc w:val="both"/>
      </w:pPr>
      <w:r>
        <w:rPr>
          <w:spacing w:val="-3"/>
        </w:rPr>
        <w:t>冲减长期股权投资的账面价值。其次，长期股权投资的账面价值不足以冲减的，以其他实质</w:t>
      </w:r>
      <w:r>
        <w:rPr>
          <w:spacing w:val="-81"/>
        </w:rPr>
        <w:t> </w:t>
      </w:r>
      <w:r>
        <w:rPr>
          <w:spacing w:val="-81"/>
        </w:rPr>
      </w:r>
      <w:r>
        <w:rPr>
          <w:spacing w:val="-3"/>
        </w:rPr>
        <w:t>上构成对被投资单位净投资的长期权益账面价值为限继续确认投资损失，冲减长期应收项目</w:t>
      </w:r>
      <w:r>
        <w:rPr>
          <w:spacing w:val="-79"/>
        </w:rPr>
        <w:t> </w:t>
      </w:r>
      <w:r>
        <w:rPr>
          <w:spacing w:val="-79"/>
        </w:rPr>
      </w:r>
      <w:r>
        <w:rPr>
          <w:spacing w:val="-3"/>
        </w:rPr>
        <w:t>等的账面价值。最后，经过上述处理，按照投资合同或协议约定企业仍承担额外义务的，按</w:t>
      </w:r>
      <w:r>
        <w:rPr>
          <w:spacing w:val="-80"/>
        </w:rPr>
        <w:t> </w:t>
      </w:r>
      <w:r>
        <w:rPr>
          <w:spacing w:val="-80"/>
        </w:rPr>
      </w:r>
      <w:r>
        <w:rPr/>
        <w:t>预计承担的义务确认预计负债，计入当期投资损失。</w:t>
      </w:r>
    </w:p>
    <w:p>
      <w:pPr>
        <w:pStyle w:val="BodyText"/>
        <w:spacing w:line="350" w:lineRule="auto" w:before="28"/>
        <w:ind w:left="139" w:right="196" w:firstLine="420"/>
        <w:jc w:val="both"/>
      </w:pPr>
      <w:r>
        <w:rPr>
          <w:spacing w:val="-3"/>
        </w:rPr>
        <w:t>被投资单位以后期间实现盈利的，公司在扣除未确认的亏损分担额后，按与上述相反的</w:t>
      </w:r>
      <w:r>
        <w:rPr/>
        <w:t> </w:t>
      </w:r>
      <w:r>
        <w:rPr>
          <w:spacing w:val="-3"/>
        </w:rPr>
        <w:t>顺序处理，减记已确认预计负债的账面余额、恢复其他实质上构成对被投资单位净投资的长</w:t>
      </w:r>
      <w:r>
        <w:rPr>
          <w:spacing w:val="-79"/>
        </w:rPr>
        <w:t> </w:t>
      </w:r>
      <w:r>
        <w:rPr>
          <w:spacing w:val="-79"/>
        </w:rPr>
      </w:r>
      <w:r>
        <w:rPr/>
        <w:t>期权益及长期股权投资的账面价值，同时确认投资收益。</w:t>
      </w:r>
    </w:p>
    <w:p>
      <w:pPr>
        <w:spacing w:after="0" w:line="350" w:lineRule="auto"/>
        <w:jc w:val="both"/>
        <w:sectPr>
          <w:pgSz w:w="11910" w:h="16840"/>
          <w:pgMar w:header="400" w:footer="982" w:top="1100" w:bottom="1180" w:left="1660" w:right="1600"/>
        </w:sectPr>
      </w:pPr>
    </w:p>
    <w:p>
      <w:pPr>
        <w:spacing w:line="240" w:lineRule="auto" w:before="12"/>
        <w:rPr>
          <w:rFonts w:ascii="宋体" w:hAnsi="宋体" w:cs="宋体" w:eastAsia="宋体" w:hint="default"/>
          <w:sz w:val="28"/>
          <w:szCs w:val="28"/>
        </w:rPr>
      </w:pPr>
    </w:p>
    <w:p>
      <w:pPr>
        <w:pStyle w:val="BodyText"/>
        <w:spacing w:line="350" w:lineRule="auto" w:before="35"/>
        <w:ind w:right="136" w:firstLine="420"/>
        <w:jc w:val="both"/>
      </w:pPr>
      <w:r>
        <w:rPr>
          <w:spacing w:val="-3"/>
        </w:rPr>
        <w:t>被投资单位除净损益以外所有者权益其他变动的处理：对于被投资单位除净损益以外所</w:t>
      </w:r>
      <w:r>
        <w:rPr/>
        <w:t> </w:t>
      </w:r>
      <w:r>
        <w:rPr>
          <w:spacing w:val="-3"/>
        </w:rPr>
        <w:t>有者权益的其他变动，在持股比例不变的情况下，公司按照持股比例计算应享有或承担的部</w:t>
      </w:r>
      <w:r>
        <w:rPr>
          <w:spacing w:val="-79"/>
        </w:rPr>
        <w:t> </w:t>
      </w:r>
      <w:r>
        <w:rPr>
          <w:spacing w:val="-79"/>
        </w:rPr>
      </w:r>
      <w:r>
        <w:rPr>
          <w:spacing w:val="-3"/>
        </w:rPr>
        <w:t>分，调整长期股权投资的账面价值，同时增加或减少资本公积（其他资本公积）。</w:t>
      </w:r>
    </w:p>
    <w:p>
      <w:pPr>
        <w:pStyle w:val="Heading4"/>
        <w:spacing w:line="240" w:lineRule="auto" w:before="28"/>
        <w:ind w:left="562" w:right="1090"/>
        <w:jc w:val="left"/>
        <w:rPr>
          <w:b w:val="0"/>
          <w:bCs w:val="0"/>
        </w:rPr>
      </w:pPr>
      <w:r>
        <w:rPr/>
        <w:t>（十六）收入确认原则</w:t>
      </w:r>
      <w:r>
        <w:rPr>
          <w:b w:val="0"/>
          <w:bCs w:val="0"/>
        </w:rPr>
      </w:r>
    </w:p>
    <w:p>
      <w:pPr>
        <w:pStyle w:val="BodyText"/>
        <w:spacing w:line="331" w:lineRule="auto" w:before="125"/>
        <w:ind w:left="560" w:right="135" w:firstLine="2"/>
        <w:jc w:val="left"/>
      </w:pPr>
      <w:r>
        <w:rPr>
          <w:rFonts w:ascii="Times New Roman" w:hAnsi="Times New Roman" w:cs="Times New Roman" w:eastAsia="Times New Roman" w:hint="default"/>
          <w:b/>
          <w:bCs/>
        </w:rPr>
        <w:t>1</w:t>
      </w:r>
      <w:r>
        <w:rPr>
          <w:rFonts w:ascii="宋体" w:hAnsi="宋体" w:cs="宋体" w:eastAsia="宋体" w:hint="default"/>
          <w:b/>
          <w:bCs/>
        </w:rPr>
        <w:t>、销售商品</w:t>
      </w:r>
      <w:r>
        <w:rPr>
          <w:rFonts w:ascii="宋体" w:hAnsi="宋体" w:cs="宋体" w:eastAsia="宋体" w:hint="default"/>
          <w:b/>
          <w:bCs/>
          <w:spacing w:val="1"/>
          <w:w w:val="99"/>
        </w:rPr>
        <w:t> </w:t>
      </w:r>
      <w:r>
        <w:rPr>
          <w:spacing w:val="-3"/>
        </w:rPr>
        <w:t>公司已将商品所有权上的主要风险和报酬转移给购买方；公司既没有保留与所有权相联</w:t>
      </w:r>
    </w:p>
    <w:p>
      <w:pPr>
        <w:pStyle w:val="BodyText"/>
        <w:spacing w:line="350" w:lineRule="auto" w:before="45"/>
        <w:ind w:right="136"/>
        <w:jc w:val="both"/>
      </w:pPr>
      <w:r>
        <w:rPr>
          <w:spacing w:val="-3"/>
        </w:rPr>
        <w:t>系的继续管理权，也没有对已售出的商品实施有效控制；收入的金额能够可靠地计量；相关</w:t>
      </w:r>
      <w:r>
        <w:rPr>
          <w:spacing w:val="-81"/>
        </w:rPr>
        <w:t> </w:t>
      </w:r>
      <w:r>
        <w:rPr>
          <w:spacing w:val="-81"/>
        </w:rPr>
      </w:r>
      <w:r>
        <w:rPr>
          <w:spacing w:val="-3"/>
        </w:rPr>
        <w:t>的经济利益很可能流入企业；相关的已发生或将发生的成本能够可靠地计量时，确认商品销</w:t>
      </w:r>
      <w:r>
        <w:rPr>
          <w:spacing w:val="-79"/>
        </w:rPr>
        <w:t> </w:t>
      </w:r>
      <w:r>
        <w:rPr>
          <w:spacing w:val="-79"/>
        </w:rPr>
      </w:r>
      <w:r>
        <w:rPr/>
        <w:t>售收入实现。</w:t>
      </w:r>
    </w:p>
    <w:p>
      <w:pPr>
        <w:pStyle w:val="BodyText"/>
        <w:spacing w:line="348" w:lineRule="auto" w:before="28"/>
        <w:ind w:left="560" w:right="135" w:firstLine="2"/>
        <w:jc w:val="left"/>
      </w:pPr>
      <w:r>
        <w:rPr>
          <w:rFonts w:ascii="宋体" w:hAnsi="宋体" w:cs="宋体" w:eastAsia="宋体" w:hint="default"/>
          <w:b/>
          <w:bCs/>
        </w:rPr>
        <w:t>２、提供劳务</w:t>
      </w:r>
      <w:r>
        <w:rPr>
          <w:rFonts w:ascii="宋体" w:hAnsi="宋体" w:cs="宋体" w:eastAsia="宋体" w:hint="default"/>
          <w:b/>
          <w:bCs/>
          <w:w w:val="99"/>
        </w:rPr>
        <w:t> </w:t>
      </w:r>
      <w:r>
        <w:rPr>
          <w:spacing w:val="-3"/>
        </w:rPr>
        <w:t>在资产负债表日提供劳务交易的结果能够可靠估计的，采用完工百分比法确认提供劳务</w:t>
      </w:r>
    </w:p>
    <w:p>
      <w:pPr>
        <w:pStyle w:val="BodyText"/>
        <w:spacing w:line="348" w:lineRule="auto" w:before="31"/>
        <w:ind w:left="560" w:right="1074" w:hanging="420"/>
        <w:jc w:val="left"/>
      </w:pPr>
      <w:r>
        <w:rPr/>
        <w:t>收入。提供劳务交易的完工进度，依据已完工作的测量确定。 在资产负债表日提供劳务交易结果不能够可靠估计的，分别下列情况处理：</w:t>
      </w:r>
    </w:p>
    <w:p>
      <w:pPr>
        <w:pStyle w:val="BodyText"/>
        <w:spacing w:line="331" w:lineRule="auto" w:before="30"/>
        <w:ind w:right="136" w:firstLine="420"/>
        <w:jc w:val="both"/>
      </w:pPr>
      <w:r>
        <w:rPr/>
        <w:t>（</w:t>
      </w:r>
      <w:r>
        <w:rPr>
          <w:rFonts w:ascii="Times New Roman" w:hAnsi="Times New Roman" w:cs="Times New Roman" w:eastAsia="Times New Roman" w:hint="default"/>
        </w:rPr>
        <w:t>1</w:t>
      </w:r>
      <w:r>
        <w:rPr/>
        <w:t>）已经发生的劳务成本预计能够得到补偿的，按照已经发生的劳务成本金额确认提 供劳务收入，并按相同金额结转劳务成本。</w:t>
      </w:r>
    </w:p>
    <w:p>
      <w:pPr>
        <w:pStyle w:val="BodyText"/>
        <w:spacing w:line="328" w:lineRule="auto" w:before="45"/>
        <w:ind w:right="136" w:firstLine="420"/>
        <w:jc w:val="both"/>
      </w:pPr>
      <w:r>
        <w:rPr/>
        <w:t>（</w:t>
      </w:r>
      <w:r>
        <w:rPr>
          <w:rFonts w:ascii="Times New Roman" w:hAnsi="Times New Roman" w:cs="Times New Roman" w:eastAsia="Times New Roman" w:hint="default"/>
        </w:rPr>
        <w:t>2</w:t>
      </w:r>
      <w:r>
        <w:rPr/>
        <w:t>）已经发生的劳务成本预计不能够得到补偿的，将已经发生的劳务成本计入当期损 益，不确认提供劳务收入。</w:t>
      </w:r>
    </w:p>
    <w:p>
      <w:pPr>
        <w:spacing w:line="328" w:lineRule="auto" w:before="48"/>
        <w:ind w:left="559" w:right="1285"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、让渡资产使用权</w:t>
      </w:r>
      <w:r>
        <w:rPr>
          <w:rFonts w:ascii="宋体" w:hAnsi="宋体" w:cs="宋体" w:eastAsia="宋体" w:hint="default"/>
          <w:b/>
          <w:bCs/>
          <w:spacing w:val="1"/>
          <w:w w:val="99"/>
          <w:sz w:val="21"/>
          <w:szCs w:val="21"/>
        </w:rPr>
        <w:t> </w:t>
      </w:r>
      <w:r>
        <w:rPr>
          <w:rFonts w:ascii="宋体" w:hAnsi="宋体" w:cs="宋体" w:eastAsia="宋体" w:hint="default"/>
          <w:sz w:val="21"/>
          <w:szCs w:val="21"/>
        </w:rPr>
        <w:t>与交易相关的经济利益很可能流入企业，收入的金额能够可靠地计量时。</w:t>
      </w:r>
    </w:p>
    <w:p>
      <w:pPr>
        <w:spacing w:line="350" w:lineRule="auto" w:before="47"/>
        <w:ind w:left="559" w:right="135" w:firstLine="2"/>
        <w:jc w:val="left"/>
        <w:rPr>
          <w:rFonts w:ascii="宋体" w:hAnsi="宋体" w:cs="宋体" w:eastAsia="宋体" w:hint="default"/>
          <w:sz w:val="21"/>
          <w:szCs w:val="21"/>
        </w:rPr>
      </w:pPr>
      <w:r>
        <w:rPr>
          <w:rFonts w:ascii="宋体" w:hAnsi="宋体" w:cs="宋体" w:eastAsia="宋体" w:hint="default"/>
          <w:b/>
          <w:bCs/>
          <w:sz w:val="21"/>
          <w:szCs w:val="21"/>
        </w:rPr>
        <w:t>（十七）确认递延所得税资产的依据</w:t>
      </w:r>
      <w:r>
        <w:rPr>
          <w:rFonts w:ascii="宋体" w:hAnsi="宋体" w:cs="宋体" w:eastAsia="宋体" w:hint="default"/>
          <w:b/>
          <w:bCs/>
          <w:w w:val="99"/>
          <w:sz w:val="21"/>
          <w:szCs w:val="21"/>
        </w:rPr>
        <w:t> </w:t>
      </w:r>
      <w:r>
        <w:rPr>
          <w:rFonts w:ascii="宋体" w:hAnsi="宋体" w:cs="宋体" w:eastAsia="宋体" w:hint="default"/>
          <w:spacing w:val="-3"/>
          <w:sz w:val="21"/>
          <w:szCs w:val="21"/>
        </w:rPr>
        <w:t>公司以很可能取得用来抵扣可抵扣暂时性差异的应纳税所得额为限，确认由可抵扣暂时</w:t>
      </w:r>
    </w:p>
    <w:p>
      <w:pPr>
        <w:pStyle w:val="BodyText"/>
        <w:spacing w:line="240" w:lineRule="auto" w:before="28"/>
        <w:ind w:left="139" w:right="0"/>
        <w:jc w:val="both"/>
      </w:pPr>
      <w:r>
        <w:rPr/>
        <w:t>性差异产生的递延所得税资产。</w:t>
      </w:r>
    </w:p>
    <w:p>
      <w:pPr>
        <w:pStyle w:val="Heading4"/>
        <w:spacing w:line="240" w:lineRule="auto" w:before="125"/>
        <w:ind w:left="561" w:right="135"/>
        <w:jc w:val="left"/>
        <w:rPr>
          <w:b w:val="0"/>
          <w:bCs w:val="0"/>
        </w:rPr>
      </w:pPr>
      <w:r>
        <w:rPr/>
        <w:t>（十八）本年主要会计政策、会计估计的变更和重大会计差错更正及其影响</w:t>
      </w:r>
      <w:r>
        <w:rPr>
          <w:b w:val="0"/>
          <w:bCs w:val="0"/>
        </w:rPr>
      </w:r>
    </w:p>
    <w:p>
      <w:pPr>
        <w:spacing w:line="338" w:lineRule="auto" w:before="126"/>
        <w:ind w:left="559" w:right="4225"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、会计政策变更</w:t>
      </w:r>
      <w:r>
        <w:rPr>
          <w:rFonts w:ascii="宋体" w:hAnsi="宋体" w:cs="宋体" w:eastAsia="宋体" w:hint="default"/>
          <w:b/>
          <w:bCs/>
          <w:spacing w:val="1"/>
          <w:w w:val="99"/>
          <w:sz w:val="21"/>
          <w:szCs w:val="21"/>
        </w:rPr>
        <w:t> </w:t>
      </w:r>
      <w:r>
        <w:rPr>
          <w:rFonts w:ascii="宋体" w:hAnsi="宋体" w:cs="宋体" w:eastAsia="宋体" w:hint="default"/>
          <w:sz w:val="21"/>
          <w:szCs w:val="21"/>
        </w:rPr>
        <w:t>本公司本年度未发生会计政策变更。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、重要会计估计变更</w:t>
      </w:r>
      <w:r>
        <w:rPr>
          <w:rFonts w:ascii="宋体" w:hAnsi="宋体" w:cs="宋体" w:eastAsia="宋体" w:hint="default"/>
          <w:b/>
          <w:bCs/>
          <w:spacing w:val="1"/>
          <w:w w:val="99"/>
          <w:sz w:val="21"/>
          <w:szCs w:val="21"/>
        </w:rPr>
        <w:t> </w:t>
      </w:r>
      <w:r>
        <w:rPr>
          <w:rFonts w:ascii="宋体" w:hAnsi="宋体" w:cs="宋体" w:eastAsia="宋体" w:hint="default"/>
          <w:sz w:val="21"/>
          <w:szCs w:val="21"/>
        </w:rPr>
        <w:t>本公司本年度未发生会计估计变更。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、重大会计差错更正</w:t>
      </w:r>
      <w:r>
        <w:rPr>
          <w:rFonts w:ascii="宋体" w:hAnsi="宋体" w:cs="宋体" w:eastAsia="宋体" w:hint="default"/>
          <w:b/>
          <w:bCs/>
          <w:spacing w:val="1"/>
          <w:w w:val="99"/>
          <w:sz w:val="21"/>
          <w:szCs w:val="21"/>
        </w:rPr>
        <w:t> </w:t>
      </w:r>
      <w:r>
        <w:rPr>
          <w:rFonts w:ascii="宋体" w:hAnsi="宋体" w:cs="宋体" w:eastAsia="宋体" w:hint="default"/>
          <w:sz w:val="21"/>
          <w:szCs w:val="21"/>
        </w:rPr>
        <w:t>本公司本年度未发生重大会计差错更正。</w:t>
      </w:r>
    </w:p>
    <w:p>
      <w:pPr>
        <w:spacing w:after="0" w:line="338" w:lineRule="auto"/>
        <w:jc w:val="left"/>
        <w:rPr>
          <w:rFonts w:ascii="宋体" w:hAnsi="宋体" w:cs="宋体" w:eastAsia="宋体" w:hint="default"/>
          <w:sz w:val="21"/>
          <w:szCs w:val="21"/>
        </w:rPr>
        <w:sectPr>
          <w:pgSz w:w="11910" w:h="16840"/>
          <w:pgMar w:header="400" w:footer="982" w:top="1100" w:bottom="1180" w:left="1660" w:right="1660"/>
        </w:sectPr>
      </w:pPr>
    </w:p>
    <w:p>
      <w:pPr>
        <w:spacing w:line="240" w:lineRule="auto" w:before="12"/>
        <w:rPr>
          <w:rFonts w:ascii="宋体" w:hAnsi="宋体" w:cs="宋体" w:eastAsia="宋体" w:hint="default"/>
          <w:sz w:val="28"/>
          <w:szCs w:val="28"/>
        </w:rPr>
      </w:pPr>
    </w:p>
    <w:p>
      <w:pPr>
        <w:pStyle w:val="Heading4"/>
        <w:spacing w:line="240" w:lineRule="auto" w:before="35"/>
        <w:ind w:left="562" w:right="190"/>
        <w:jc w:val="left"/>
        <w:rPr>
          <w:b w:val="0"/>
          <w:bCs w:val="0"/>
        </w:rPr>
      </w:pPr>
      <w:r>
        <w:rPr/>
        <w:t>四、税项</w:t>
      </w:r>
      <w:r>
        <w:rPr>
          <w:b w:val="0"/>
          <w:bCs w:val="0"/>
        </w:rPr>
      </w:r>
    </w:p>
    <w:p>
      <w:pPr>
        <w:pStyle w:val="BodyText"/>
        <w:spacing w:line="331" w:lineRule="auto" w:before="125"/>
        <w:ind w:right="195" w:firstLine="419"/>
        <w:jc w:val="both"/>
      </w:pPr>
      <w:r>
        <w:rPr>
          <w:rFonts w:ascii="Times New Roman" w:hAnsi="Times New Roman" w:cs="Times New Roman" w:eastAsia="Times New Roman" w:hint="default"/>
          <w:spacing w:val="-2"/>
        </w:rPr>
        <w:t>1</w:t>
      </w:r>
      <w:r>
        <w:rPr>
          <w:spacing w:val="-2"/>
        </w:rPr>
        <w:t>、增值税：商品销售执行</w:t>
      </w:r>
      <w:r>
        <w:rPr>
          <w:spacing w:val="-50"/>
        </w:rPr>
        <w:t> </w:t>
      </w:r>
      <w:r>
        <w:rPr>
          <w:rFonts w:ascii="Times New Roman" w:hAnsi="Times New Roman" w:cs="Times New Roman" w:eastAsia="Times New Roman" w:hint="default"/>
          <w:spacing w:val="-1"/>
        </w:rPr>
        <w:t>17</w:t>
      </w:r>
      <w:r>
        <w:rPr>
          <w:spacing w:val="-1"/>
        </w:rPr>
        <w:t>％税率，以抵扣进项税额后计缴。自行开发软件的销项税</w:t>
      </w:r>
      <w:r>
        <w:rPr/>
        <w:t> 率为 </w:t>
      </w:r>
      <w:r>
        <w:rPr>
          <w:rFonts w:ascii="Times New Roman" w:hAnsi="Times New Roman" w:cs="Times New Roman" w:eastAsia="Times New Roman" w:hint="default"/>
        </w:rPr>
        <w:t>17%</w:t>
      </w:r>
      <w:r>
        <w:rPr/>
        <w:t>，根据“国发</w:t>
      </w:r>
      <w:r>
        <w:rPr>
          <w:rFonts w:ascii="Times New Roman" w:hAnsi="Times New Roman" w:cs="Times New Roman" w:eastAsia="Times New Roman" w:hint="default"/>
        </w:rPr>
        <w:t>[2000]18 </w:t>
      </w:r>
      <w:r>
        <w:rPr/>
        <w:t>号”文《鼓励软件产业和集成电路产业发展的若干政策》 的规定，对增值税一般纳税人销售其自行开发生产的软件产品，</w:t>
      </w:r>
      <w:r>
        <w:rPr>
          <w:rFonts w:ascii="Times New Roman" w:hAnsi="Times New Roman" w:cs="Times New Roman" w:eastAsia="Times New Roman" w:hint="default"/>
        </w:rPr>
        <w:t>2010 </w:t>
      </w:r>
      <w:r>
        <w:rPr/>
        <w:t>年前按</w:t>
      </w:r>
      <w:r>
        <w:rPr>
          <w:spacing w:val="-44"/>
        </w:rPr>
        <w:t> </w:t>
      </w:r>
      <w:r>
        <w:rPr>
          <w:rFonts w:ascii="Times New Roman" w:hAnsi="Times New Roman" w:cs="Times New Roman" w:eastAsia="Times New Roman" w:hint="default"/>
        </w:rPr>
        <w:t>17</w:t>
      </w:r>
      <w:r>
        <w:rPr/>
        <w:t>％的法定税 率征收增值税，以实际税负超过</w:t>
      </w:r>
      <w:r>
        <w:rPr>
          <w:spacing w:val="-55"/>
        </w:rPr>
        <w:t> </w:t>
      </w:r>
      <w:r>
        <w:rPr>
          <w:rFonts w:ascii="Times New Roman" w:hAnsi="Times New Roman" w:cs="Times New Roman" w:eastAsia="Times New Roman" w:hint="default"/>
        </w:rPr>
        <w:t>3</w:t>
      </w:r>
      <w:r>
        <w:rPr/>
        <w:t>％的部分即征即退，自行开发软件实际税负为</w:t>
      </w:r>
      <w:r>
        <w:rPr>
          <w:spacing w:val="-55"/>
        </w:rPr>
        <w:t> </w:t>
      </w:r>
      <w:r>
        <w:rPr>
          <w:rFonts w:ascii="Times New Roman" w:hAnsi="Times New Roman" w:cs="Times New Roman" w:eastAsia="Times New Roman" w:hint="default"/>
        </w:rPr>
        <w:t>3%</w:t>
      </w:r>
      <w:r>
        <w:rPr/>
        <w:t>。</w:t>
      </w:r>
    </w:p>
    <w:p>
      <w:pPr>
        <w:pStyle w:val="BodyText"/>
        <w:spacing w:line="240" w:lineRule="auto" w:before="22"/>
        <w:ind w:left="560" w:right="190"/>
        <w:jc w:val="left"/>
      </w:pPr>
      <w:r>
        <w:rPr>
          <w:rFonts w:ascii="Times New Roman" w:hAnsi="Times New Roman" w:cs="Times New Roman" w:eastAsia="Times New Roman" w:hint="default"/>
        </w:rPr>
        <w:t>2</w:t>
      </w:r>
      <w:r>
        <w:rPr/>
        <w:t>、营业税：按应税劳务收入的</w:t>
      </w:r>
      <w:r>
        <w:rPr>
          <w:spacing w:val="-57"/>
        </w:rPr>
        <w:t> </w:t>
      </w:r>
      <w:r>
        <w:rPr>
          <w:rFonts w:ascii="Times New Roman" w:hAnsi="Times New Roman" w:cs="Times New Roman" w:eastAsia="Times New Roman" w:hint="default"/>
        </w:rPr>
        <w:t>5</w:t>
      </w:r>
      <w:r>
        <w:rPr/>
        <w:t>％计缴。</w:t>
      </w:r>
    </w:p>
    <w:p>
      <w:pPr>
        <w:pStyle w:val="BodyText"/>
        <w:spacing w:line="331" w:lineRule="auto" w:before="109"/>
        <w:ind w:left="560" w:right="1399"/>
        <w:jc w:val="left"/>
      </w:pPr>
      <w:r>
        <w:rPr>
          <w:rFonts w:ascii="Times New Roman" w:hAnsi="Times New Roman" w:cs="Times New Roman" w:eastAsia="Times New Roman" w:hint="default"/>
        </w:rPr>
        <w:t>3</w:t>
      </w:r>
      <w:r>
        <w:rPr/>
        <w:t>、城建税：按应纳流转税额的</w:t>
      </w:r>
      <w:r>
        <w:rPr>
          <w:spacing w:val="-54"/>
        </w:rPr>
        <w:t> </w:t>
      </w:r>
      <w:r>
        <w:rPr>
          <w:rFonts w:ascii="Times New Roman" w:hAnsi="Times New Roman" w:cs="Times New Roman" w:eastAsia="Times New Roman" w:hint="default"/>
        </w:rPr>
        <w:t>7</w:t>
      </w:r>
      <w:r>
        <w:rPr/>
        <w:t>％计缴。 深圳广电银通金融电子科技有限公司按应纳流转税额的</w:t>
      </w:r>
      <w:r>
        <w:rPr>
          <w:spacing w:val="-55"/>
        </w:rPr>
        <w:t> </w:t>
      </w:r>
      <w:r>
        <w:rPr>
          <w:rFonts w:ascii="Times New Roman" w:hAnsi="Times New Roman" w:cs="Times New Roman" w:eastAsia="Times New Roman" w:hint="default"/>
        </w:rPr>
        <w:t>1</w:t>
      </w:r>
      <w:r>
        <w:rPr/>
        <w:t>％计缴城建税。 </w:t>
      </w:r>
      <w:r>
        <w:rPr>
          <w:rFonts w:ascii="Times New Roman" w:hAnsi="Times New Roman" w:cs="Times New Roman" w:eastAsia="Times New Roman" w:hint="default"/>
        </w:rPr>
        <w:t>4</w:t>
      </w:r>
      <w:r>
        <w:rPr/>
        <w:t>、教育费附加：按应纳流转税额的</w:t>
      </w:r>
      <w:r>
        <w:rPr>
          <w:spacing w:val="-56"/>
        </w:rPr>
        <w:t> </w:t>
      </w:r>
      <w:r>
        <w:rPr>
          <w:rFonts w:ascii="Times New Roman" w:hAnsi="Times New Roman" w:cs="Times New Roman" w:eastAsia="Times New Roman" w:hint="default"/>
        </w:rPr>
        <w:t>3</w:t>
      </w:r>
      <w:r>
        <w:rPr/>
        <w:t>％计缴。</w:t>
      </w:r>
    </w:p>
    <w:p>
      <w:pPr>
        <w:pStyle w:val="BodyText"/>
        <w:spacing w:line="240" w:lineRule="auto" w:before="20"/>
        <w:ind w:left="560" w:right="190"/>
        <w:jc w:val="left"/>
      </w:pPr>
      <w:r>
        <w:rPr>
          <w:rFonts w:ascii="Times New Roman" w:hAnsi="Times New Roman" w:cs="Times New Roman" w:eastAsia="Times New Roman" w:hint="default"/>
        </w:rPr>
        <w:t>5</w:t>
      </w:r>
      <w:r>
        <w:rPr/>
        <w:t>、所得税：</w:t>
      </w:r>
    </w:p>
    <w:p>
      <w:pPr>
        <w:pStyle w:val="BodyText"/>
        <w:spacing w:line="331" w:lineRule="auto" w:before="109"/>
        <w:ind w:right="197" w:firstLine="420"/>
        <w:jc w:val="both"/>
      </w:pPr>
      <w:r>
        <w:rPr>
          <w:spacing w:val="-2"/>
        </w:rPr>
        <w:t>根据财政部、国家税务总局财税〔</w:t>
      </w:r>
      <w:r>
        <w:rPr>
          <w:rFonts w:ascii="Times New Roman" w:hAnsi="Times New Roman" w:cs="Times New Roman" w:eastAsia="Times New Roman" w:hint="default"/>
          <w:spacing w:val="-2"/>
        </w:rPr>
        <w:t>2008</w:t>
      </w:r>
      <w:r>
        <w:rPr>
          <w:spacing w:val="-2"/>
        </w:rPr>
        <w:t>〕</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0"/>
        </w:rPr>
        <w:t> </w:t>
      </w:r>
      <w:r>
        <w:rPr>
          <w:spacing w:val="-1"/>
        </w:rPr>
        <w:t>号文的规定，国家规划布局内的重点软件生</w:t>
      </w:r>
      <w:r>
        <w:rPr/>
        <w:t> 产企业，如当年未享受免税优惠的，减按</w:t>
      </w:r>
      <w:r>
        <w:rPr>
          <w:spacing w:val="-55"/>
        </w:rPr>
        <w:t> </w:t>
      </w:r>
      <w:r>
        <w:rPr>
          <w:rFonts w:ascii="Times New Roman" w:hAnsi="Times New Roman" w:cs="Times New Roman" w:eastAsia="Times New Roman" w:hint="default"/>
        </w:rPr>
        <w:t>10</w:t>
      </w:r>
      <w:r>
        <w:rPr/>
        <w:t>％的税率征收企业所得税。</w:t>
      </w:r>
    </w:p>
    <w:p>
      <w:pPr>
        <w:pStyle w:val="BodyText"/>
        <w:spacing w:line="331" w:lineRule="auto" w:before="20"/>
        <w:ind w:right="195" w:firstLine="420"/>
        <w:jc w:val="both"/>
      </w:pPr>
      <w:r>
        <w:rPr/>
        <w:t>经国家发展和改革委员会、工业和信息化部、商务部和国家税务总局</w:t>
      </w:r>
      <w:r>
        <w:rPr>
          <w:spacing w:val="-46"/>
        </w:rPr>
        <w:t> </w:t>
      </w:r>
      <w:r>
        <w:rPr>
          <w:rFonts w:ascii="Times New Roman" w:hAnsi="Times New Roman" w:cs="Times New Roman" w:eastAsia="Times New Roman" w:hint="default"/>
        </w:rPr>
        <w:t>ZR-2008-0125</w:t>
      </w:r>
      <w:r>
        <w:rPr>
          <w:rFonts w:ascii="Times New Roman" w:hAnsi="Times New Roman" w:cs="Times New Roman" w:eastAsia="Times New Roman" w:hint="default"/>
          <w:spacing w:val="7"/>
        </w:rPr>
        <w:t> </w:t>
      </w:r>
      <w:r>
        <w:rPr/>
        <w:t>核 准，本公司从</w:t>
      </w:r>
      <w:r>
        <w:rPr>
          <w:spacing w:val="-5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日至</w:t>
      </w:r>
      <w:r>
        <w:rPr>
          <w:spacing w:val="-5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日为重点软件企业。</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年度减按</w:t>
      </w:r>
      <w:r>
        <w:rPr>
          <w:spacing w:val="-51"/>
        </w:rPr>
        <w:t> </w:t>
      </w:r>
      <w:r>
        <w:rPr>
          <w:rFonts w:ascii="Times New Roman" w:hAnsi="Times New Roman" w:cs="Times New Roman" w:eastAsia="Times New Roman" w:hint="default"/>
        </w:rPr>
        <w:t>10% </w:t>
      </w:r>
      <w:r>
        <w:rPr/>
        <w:t>的税率征收企业所得税。</w:t>
      </w:r>
    </w:p>
    <w:p>
      <w:pPr>
        <w:pStyle w:val="BodyText"/>
        <w:spacing w:line="331" w:lineRule="auto" w:before="45"/>
        <w:ind w:right="195" w:firstLine="420"/>
        <w:jc w:val="both"/>
      </w:pPr>
      <w:r>
        <w:rPr/>
        <w:t>深圳广电银通金融电子科技有限公司 </w:t>
      </w:r>
      <w:r>
        <w:rPr>
          <w:rFonts w:ascii="Times New Roman" w:hAnsi="Times New Roman" w:cs="Times New Roman" w:eastAsia="Times New Roman" w:hint="default"/>
          <w:spacing w:val="-1"/>
        </w:rPr>
        <w:t>2007</w:t>
      </w:r>
      <w:r>
        <w:rPr>
          <w:rFonts w:ascii="Times New Roman" w:hAnsi="Times New Roman" w:cs="Times New Roman" w:eastAsia="Times New Roman" w:hint="default"/>
        </w:rPr>
        <w:t> </w:t>
      </w:r>
      <w:r>
        <w:rPr>
          <w:spacing w:val="-1"/>
        </w:rPr>
        <w:t>年按</w:t>
      </w:r>
      <w:r>
        <w:rPr>
          <w:spacing w:val="-42"/>
        </w:rPr>
        <w:t> </w:t>
      </w:r>
      <w:r>
        <w:rPr>
          <w:rFonts w:ascii="Times New Roman" w:hAnsi="Times New Roman" w:cs="Times New Roman" w:eastAsia="Times New Roman" w:hint="default"/>
          <w:spacing w:val="-7"/>
        </w:rPr>
        <w:t>15%</w:t>
      </w:r>
      <w:r>
        <w:rPr>
          <w:spacing w:val="-7"/>
        </w:rPr>
        <w:t>的税率征收企业所得税，《中华人</w:t>
      </w:r>
      <w:r>
        <w:rPr/>
        <w:t> 民共和国企业所得税法》于</w:t>
      </w:r>
      <w:r>
        <w:rPr>
          <w:spacing w:val="-5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日起实施，税率在新税法施行后</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年内逐步过渡 到法定税率，即</w:t>
      </w:r>
      <w:r>
        <w:rPr>
          <w:spacing w:val="-53"/>
        </w:rPr>
        <w:t> </w:t>
      </w:r>
      <w:r>
        <w:rPr>
          <w:rFonts w:ascii="Times New Roman" w:hAnsi="Times New Roman" w:cs="Times New Roman" w:eastAsia="Times New Roman" w:hint="default"/>
        </w:rPr>
        <w:t>2008 </w:t>
      </w:r>
      <w:r>
        <w:rPr/>
        <w:t>年按</w:t>
      </w:r>
      <w:r>
        <w:rPr>
          <w:spacing w:val="-53"/>
        </w:rPr>
        <w:t> </w:t>
      </w:r>
      <w:r>
        <w:rPr>
          <w:rFonts w:ascii="Times New Roman" w:hAnsi="Times New Roman" w:cs="Times New Roman" w:eastAsia="Times New Roman" w:hint="default"/>
        </w:rPr>
        <w:t>18%</w:t>
      </w:r>
      <w:r>
        <w:rPr/>
        <w:t>税率，</w:t>
      </w:r>
      <w:r>
        <w:rPr>
          <w:rFonts w:ascii="Times New Roman" w:hAnsi="Times New Roman" w:cs="Times New Roman" w:eastAsia="Times New Roman" w:hint="default"/>
        </w:rPr>
        <w:t>2009 </w:t>
      </w:r>
      <w:r>
        <w:rPr/>
        <w:t>年按</w:t>
      </w:r>
      <w:r>
        <w:rPr>
          <w:spacing w:val="-55"/>
        </w:rPr>
        <w:t> </w:t>
      </w:r>
      <w:r>
        <w:rPr>
          <w:rFonts w:ascii="Times New Roman" w:hAnsi="Times New Roman" w:cs="Times New Roman" w:eastAsia="Times New Roman" w:hint="default"/>
        </w:rPr>
        <w:t>20%</w:t>
      </w:r>
      <w:r>
        <w:rPr/>
        <w:t>税率，</w:t>
      </w:r>
      <w:r>
        <w:rPr>
          <w:rFonts w:ascii="Times New Roman" w:hAnsi="Times New Roman" w:cs="Times New Roman" w:eastAsia="Times New Roman" w:hint="default"/>
        </w:rPr>
        <w:t>2010 </w:t>
      </w:r>
      <w:r>
        <w:rPr/>
        <w:t>年按</w:t>
      </w:r>
      <w:r>
        <w:rPr>
          <w:spacing w:val="-53"/>
        </w:rPr>
        <w:t> </w:t>
      </w:r>
      <w:r>
        <w:rPr>
          <w:rFonts w:ascii="Times New Roman" w:hAnsi="Times New Roman" w:cs="Times New Roman" w:eastAsia="Times New Roman" w:hint="default"/>
        </w:rPr>
        <w:t>22%</w:t>
      </w:r>
      <w:r>
        <w:rPr/>
        <w:t>税率，</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年按</w:t>
      </w:r>
      <w:r>
        <w:rPr>
          <w:spacing w:val="1"/>
        </w:rPr>
        <w:t> </w:t>
      </w:r>
      <w:r>
        <w:rPr>
          <w:rFonts w:ascii="Times New Roman" w:hAnsi="Times New Roman" w:cs="Times New Roman" w:eastAsia="Times New Roman" w:hint="default"/>
        </w:rPr>
        <w:t>24%</w:t>
      </w:r>
      <w:r>
        <w:rPr/>
        <w:t>税率执行，</w:t>
      </w:r>
      <w:r>
        <w:rPr>
          <w:rFonts w:ascii="Times New Roman" w:hAnsi="Times New Roman" w:cs="Times New Roman" w:eastAsia="Times New Roman" w:hint="default"/>
        </w:rPr>
        <w:t>2012 </w:t>
      </w:r>
      <w:r>
        <w:rPr/>
        <w:t>年按</w:t>
      </w:r>
      <w:r>
        <w:rPr>
          <w:spacing w:val="-61"/>
        </w:rPr>
        <w:t> </w:t>
      </w:r>
      <w:r>
        <w:rPr>
          <w:rFonts w:ascii="Times New Roman" w:hAnsi="Times New Roman" w:cs="Times New Roman" w:eastAsia="Times New Roman" w:hint="default"/>
        </w:rPr>
        <w:t>25%</w:t>
      </w:r>
      <w:r>
        <w:rPr/>
        <w:t>税率征收企业所得税。</w:t>
      </w:r>
    </w:p>
    <w:p>
      <w:pPr>
        <w:pStyle w:val="BodyText"/>
        <w:spacing w:line="240" w:lineRule="auto" w:before="20"/>
        <w:ind w:left="559" w:right="190"/>
        <w:jc w:val="left"/>
      </w:pPr>
      <w:r>
        <w:rPr/>
        <w:t>广州穗通金融服务有限公司按</w:t>
      </w:r>
      <w:r>
        <w:rPr>
          <w:spacing w:val="-55"/>
        </w:rPr>
        <w:t> </w:t>
      </w:r>
      <w:r>
        <w:rPr>
          <w:rFonts w:ascii="Times New Roman" w:hAnsi="Times New Roman" w:cs="Times New Roman" w:eastAsia="Times New Roman" w:hint="default"/>
        </w:rPr>
        <w:t>25%</w:t>
      </w:r>
      <w:r>
        <w:rPr/>
        <w:t>的税率征收企业所得税。</w:t>
      </w:r>
    </w:p>
    <w:p>
      <w:pPr>
        <w:pStyle w:val="BodyText"/>
        <w:spacing w:line="328" w:lineRule="auto" w:before="110"/>
        <w:ind w:left="559" w:right="190"/>
        <w:jc w:val="left"/>
      </w:pPr>
      <w:r>
        <w:rPr>
          <w:rFonts w:ascii="Times New Roman" w:hAnsi="Times New Roman" w:cs="Times New Roman" w:eastAsia="Times New Roman" w:hint="default"/>
        </w:rPr>
        <w:t>GRG Banking Equipment</w:t>
      </w:r>
      <w:r>
        <w:rPr/>
        <w:t>（</w:t>
      </w:r>
      <w:r>
        <w:rPr>
          <w:rFonts w:ascii="Times New Roman" w:hAnsi="Times New Roman" w:cs="Times New Roman" w:eastAsia="Times New Roman" w:hint="default"/>
        </w:rPr>
        <w:t>HK</w:t>
      </w:r>
      <w:r>
        <w:rPr/>
        <w:t>）</w:t>
      </w:r>
      <w:r>
        <w:rPr>
          <w:rFonts w:ascii="Times New Roman" w:hAnsi="Times New Roman" w:cs="Times New Roman" w:eastAsia="Times New Roman" w:hint="default"/>
        </w:rPr>
        <w:t>Co.,Limited </w:t>
      </w:r>
      <w:r>
        <w:rPr/>
        <w:t>按</w:t>
      </w:r>
      <w:r>
        <w:rPr>
          <w:spacing w:val="-71"/>
        </w:rPr>
        <w:t> </w:t>
      </w:r>
      <w:r>
        <w:rPr>
          <w:rFonts w:ascii="Times New Roman" w:hAnsi="Times New Roman" w:cs="Times New Roman" w:eastAsia="Times New Roman" w:hint="default"/>
        </w:rPr>
        <w:t>16.5%</w:t>
      </w:r>
      <w:r>
        <w:rPr/>
        <w:t>的税率征收企业所得税。 </w:t>
      </w:r>
      <w:r>
        <w:rPr>
          <w:rFonts w:ascii="Times New Roman" w:hAnsi="Times New Roman" w:cs="Times New Roman" w:eastAsia="Times New Roman" w:hint="default"/>
        </w:rPr>
        <w:t>6</w:t>
      </w:r>
      <w:r>
        <w:rPr/>
        <w:t>、其他税项：按国家有关规定计缴。</w:t>
      </w:r>
    </w:p>
    <w:p>
      <w:pPr>
        <w:spacing w:line="240" w:lineRule="auto" w:before="5"/>
        <w:rPr>
          <w:rFonts w:ascii="宋体" w:hAnsi="宋体" w:cs="宋体" w:eastAsia="宋体" w:hint="default"/>
          <w:sz w:val="32"/>
          <w:szCs w:val="32"/>
        </w:rPr>
      </w:pPr>
    </w:p>
    <w:p>
      <w:pPr>
        <w:pStyle w:val="Heading4"/>
        <w:spacing w:line="240" w:lineRule="auto"/>
        <w:ind w:left="562" w:right="190"/>
        <w:jc w:val="left"/>
        <w:rPr>
          <w:b w:val="0"/>
          <w:bCs w:val="0"/>
        </w:rPr>
      </w:pPr>
      <w:r>
        <w:rPr/>
        <w:t>五、企业合并及合并财务报表</w:t>
      </w:r>
      <w:r>
        <w:rPr>
          <w:b w:val="0"/>
          <w:bCs w:val="0"/>
        </w:rPr>
      </w:r>
    </w:p>
    <w:p>
      <w:pPr>
        <w:pStyle w:val="BodyText"/>
        <w:spacing w:line="328" w:lineRule="auto" w:before="125"/>
        <w:ind w:left="139" w:right="104" w:firstLine="420"/>
        <w:jc w:val="both"/>
      </w:pPr>
      <w:r>
        <w:rPr/>
        <w:t>合并财务报表按照</w:t>
      </w:r>
      <w:r>
        <w:rPr>
          <w:spacing w:val="-54"/>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月颁布的《企业会计准则第</w:t>
      </w:r>
      <w:r>
        <w:rPr>
          <w:spacing w:val="-54"/>
        </w:rPr>
        <w:t> </w:t>
      </w:r>
      <w:r>
        <w:rPr>
          <w:rFonts w:ascii="Times New Roman" w:hAnsi="Times New Roman" w:cs="Times New Roman" w:eastAsia="Times New Roman" w:hint="default"/>
        </w:rPr>
        <w:t>33</w:t>
      </w:r>
      <w:r>
        <w:rPr>
          <w:rFonts w:ascii="Times New Roman" w:hAnsi="Times New Roman" w:cs="Times New Roman" w:eastAsia="Times New Roman" w:hint="default"/>
          <w:spacing w:val="-2"/>
        </w:rPr>
        <w:t> </w:t>
      </w:r>
      <w:r>
        <w:rPr/>
        <w:t>号—合并财务报表》执行。 公司所控制的全部子公司均纳入合并财务报表的合并范围。</w:t>
      </w:r>
    </w:p>
    <w:p>
      <w:pPr>
        <w:pStyle w:val="BodyText"/>
        <w:spacing w:line="350" w:lineRule="auto" w:before="48"/>
        <w:ind w:left="139" w:right="196" w:firstLine="420"/>
        <w:jc w:val="both"/>
      </w:pPr>
      <w:r>
        <w:rPr>
          <w:spacing w:val="-3"/>
        </w:rPr>
        <w:t>合并财务报表以母公司和纳入合并范围的子公司的个别财务报表为基础，根据其他有关</w:t>
      </w:r>
      <w:r>
        <w:rPr/>
        <w:t> </w:t>
      </w:r>
      <w:r>
        <w:rPr>
          <w:spacing w:val="-3"/>
        </w:rPr>
        <w:t>资料为依据，按照权益法调整对子公司的长期股权投资后，由母公司编制。合并时对内部权</w:t>
      </w:r>
      <w:r>
        <w:rPr>
          <w:spacing w:val="-81"/>
        </w:rPr>
        <w:t> </w:t>
      </w:r>
      <w:r>
        <w:rPr>
          <w:spacing w:val="-81"/>
        </w:rPr>
      </w:r>
      <w:r>
        <w:rPr>
          <w:spacing w:val="-3"/>
        </w:rPr>
        <w:t>益性投资与子公司所有者权益、内部投资收益与子公司利润分配、内部交易事项、内部债权</w:t>
      </w:r>
      <w:r>
        <w:rPr>
          <w:spacing w:val="-81"/>
        </w:rPr>
        <w:t> </w:t>
      </w:r>
      <w:r>
        <w:rPr>
          <w:spacing w:val="-81"/>
        </w:rPr>
      </w:r>
      <w:r>
        <w:rPr/>
        <w:t>债务进行抵销。</w:t>
      </w:r>
    </w:p>
    <w:p>
      <w:pPr>
        <w:pStyle w:val="BodyText"/>
        <w:spacing w:line="348" w:lineRule="auto" w:before="28"/>
        <w:ind w:left="139" w:right="102" w:firstLine="420"/>
        <w:jc w:val="both"/>
      </w:pPr>
      <w:r>
        <w:rPr/>
        <w:t>合并成本大于合并中取得的被购买方可辨认净资产公允价值份额的差额，确认为商誉。 合并成本小于合并中取得的被购买方可辨认净资产公允价值份额的，其差额计入当期损益。</w:t>
      </w:r>
    </w:p>
    <w:p>
      <w:pPr>
        <w:pStyle w:val="BodyText"/>
        <w:spacing w:line="240" w:lineRule="auto" w:before="31"/>
        <w:ind w:left="559" w:right="190"/>
        <w:jc w:val="left"/>
      </w:pPr>
      <w:r>
        <w:rPr/>
        <w:t>子公司所采用的会计政策与母公司保持一致。</w:t>
      </w:r>
    </w:p>
    <w:p>
      <w:pPr>
        <w:spacing w:after="0" w:line="240" w:lineRule="auto"/>
        <w:jc w:val="left"/>
        <w:sectPr>
          <w:pgSz w:w="11910" w:h="16840"/>
          <w:pgMar w:header="400" w:footer="982" w:top="1100" w:bottom="1180" w:left="1660" w:right="1600"/>
        </w:sectPr>
      </w:pPr>
    </w:p>
    <w:p>
      <w:pPr>
        <w:spacing w:line="240" w:lineRule="auto" w:before="12"/>
        <w:rPr>
          <w:rFonts w:ascii="宋体" w:hAnsi="宋体" w:cs="宋体" w:eastAsia="宋体" w:hint="default"/>
          <w:sz w:val="28"/>
          <w:szCs w:val="28"/>
        </w:rPr>
      </w:pPr>
    </w:p>
    <w:p>
      <w:pPr>
        <w:pStyle w:val="BodyText"/>
        <w:spacing w:line="240" w:lineRule="auto" w:before="35"/>
        <w:ind w:left="1440" w:right="901"/>
        <w:jc w:val="left"/>
      </w:pPr>
      <w:r>
        <w:rPr/>
        <w:t>本节所列数据除非特别注明，金额单位为万元；如非特别注明币种，币种为人民币。</w:t>
      </w:r>
    </w:p>
    <w:p>
      <w:pPr>
        <w:pStyle w:val="Heading4"/>
        <w:spacing w:line="240" w:lineRule="auto" w:before="125"/>
        <w:ind w:left="1442" w:right="901"/>
        <w:jc w:val="left"/>
        <w:rPr>
          <w:b w:val="0"/>
          <w:bCs w:val="0"/>
        </w:rPr>
      </w:pPr>
      <w:r>
        <w:rPr/>
        <w:t>（一）子公司情况</w:t>
      </w:r>
      <w:r>
        <w:rPr>
          <w:b w:val="0"/>
          <w:bCs w:val="0"/>
        </w:rPr>
      </w:r>
    </w:p>
    <w:p>
      <w:pPr>
        <w:pStyle w:val="BodyText"/>
        <w:spacing w:line="240" w:lineRule="auto" w:before="126"/>
        <w:ind w:left="1439" w:right="901"/>
        <w:jc w:val="left"/>
      </w:pPr>
      <w:r>
        <w:rPr>
          <w:rFonts w:ascii="Times New Roman" w:hAnsi="Times New Roman" w:cs="Times New Roman" w:eastAsia="Times New Roman" w:hint="default"/>
        </w:rPr>
        <w:t>1</w:t>
      </w:r>
      <w:r>
        <w:rPr/>
        <w:t>、通过非同一控制下的企业合并取得的子公司</w:t>
      </w:r>
    </w:p>
    <w:p>
      <w:pPr>
        <w:spacing w:line="240" w:lineRule="auto" w:before="2"/>
        <w:rPr>
          <w:rFonts w:ascii="宋体" w:hAnsi="宋体" w:cs="宋体" w:eastAsia="宋体"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900"/>
        <w:gridCol w:w="720"/>
        <w:gridCol w:w="612"/>
        <w:gridCol w:w="720"/>
        <w:gridCol w:w="840"/>
        <w:gridCol w:w="1680"/>
        <w:gridCol w:w="1008"/>
        <w:gridCol w:w="1112"/>
        <w:gridCol w:w="900"/>
        <w:gridCol w:w="900"/>
        <w:gridCol w:w="720"/>
      </w:tblGrid>
      <w:tr>
        <w:trPr>
          <w:trHeight w:val="94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4" w:right="173" w:hanging="92"/>
              <w:jc w:val="left"/>
              <w:rPr>
                <w:rFonts w:ascii="宋体" w:hAnsi="宋体" w:cs="宋体" w:eastAsia="宋体" w:hint="default"/>
                <w:sz w:val="18"/>
                <w:szCs w:val="18"/>
              </w:rPr>
            </w:pPr>
            <w:r>
              <w:rPr>
                <w:rFonts w:ascii="宋体" w:hAnsi="宋体" w:cs="宋体" w:eastAsia="宋体" w:hint="default"/>
                <w:b/>
                <w:bCs/>
                <w:sz w:val="18"/>
                <w:szCs w:val="18"/>
              </w:rPr>
              <w:t>子公司</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名称</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8" w:right="80" w:hanging="144"/>
              <w:jc w:val="left"/>
              <w:rPr>
                <w:rFonts w:ascii="宋体" w:hAnsi="宋体" w:cs="宋体" w:eastAsia="宋体" w:hint="default"/>
                <w:sz w:val="18"/>
                <w:szCs w:val="18"/>
              </w:rPr>
            </w:pPr>
            <w:r>
              <w:rPr>
                <w:rFonts w:ascii="宋体" w:hAnsi="宋体" w:cs="宋体" w:eastAsia="宋体" w:hint="default"/>
                <w:b/>
                <w:bCs/>
                <w:sz w:val="18"/>
                <w:szCs w:val="18"/>
              </w:rPr>
              <w:t>子公司</w:t>
            </w:r>
            <w:r>
              <w:rPr>
                <w:rFonts w:ascii="宋体" w:hAnsi="宋体" w:cs="宋体" w:eastAsia="宋体" w:hint="default"/>
                <w:b/>
                <w:bCs/>
                <w:spacing w:val="1"/>
                <w:w w:val="99"/>
                <w:sz w:val="18"/>
                <w:szCs w:val="18"/>
              </w:rPr>
              <w:t> </w:t>
            </w:r>
            <w:r>
              <w:rPr>
                <w:rFonts w:ascii="宋体" w:hAnsi="宋体" w:cs="宋体" w:eastAsia="宋体" w:hint="default"/>
                <w:b/>
                <w:bCs/>
                <w:sz w:val="18"/>
                <w:szCs w:val="18"/>
              </w:rPr>
              <w:t>类型</w:t>
            </w:r>
            <w:r>
              <w:rPr>
                <w:rFonts w:ascii="宋体" w:hAnsi="宋体" w:cs="宋体" w:eastAsia="宋体" w:hint="default"/>
                <w:sz w:val="18"/>
                <w:szCs w:val="18"/>
              </w:rPr>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74" w:right="171"/>
              <w:jc w:val="left"/>
              <w:rPr>
                <w:rFonts w:ascii="宋体" w:hAnsi="宋体" w:cs="宋体" w:eastAsia="宋体" w:hint="default"/>
                <w:sz w:val="18"/>
                <w:szCs w:val="18"/>
              </w:rPr>
            </w:pPr>
            <w:r>
              <w:rPr>
                <w:rFonts w:ascii="宋体" w:hAnsi="宋体" w:cs="宋体" w:eastAsia="宋体" w:hint="default"/>
                <w:b/>
                <w:bCs/>
                <w:sz w:val="18"/>
                <w:szCs w:val="18"/>
              </w:rPr>
              <w:t>业务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性质</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472" w:right="0"/>
              <w:jc w:val="left"/>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6" w:right="44"/>
              <w:jc w:val="left"/>
              <w:rPr>
                <w:rFonts w:ascii="宋体" w:hAnsi="宋体" w:cs="宋体" w:eastAsia="宋体" w:hint="default"/>
                <w:sz w:val="18"/>
                <w:szCs w:val="18"/>
              </w:rPr>
            </w:pPr>
            <w:r>
              <w:rPr>
                <w:rFonts w:ascii="宋体" w:hAnsi="宋体" w:cs="宋体" w:eastAsia="宋体" w:hint="default"/>
                <w:b/>
                <w:bCs/>
                <w:sz w:val="18"/>
                <w:szCs w:val="18"/>
              </w:rPr>
              <w:t>本公司年末</w:t>
            </w:r>
            <w:r>
              <w:rPr>
                <w:rFonts w:ascii="宋体" w:hAnsi="宋体" w:cs="宋体" w:eastAsia="宋体" w:hint="default"/>
                <w:b/>
                <w:bCs/>
                <w:spacing w:val="1"/>
                <w:w w:val="99"/>
                <w:sz w:val="18"/>
                <w:szCs w:val="18"/>
              </w:rPr>
              <w:t> </w:t>
            </w:r>
            <w:r>
              <w:rPr>
                <w:rFonts w:ascii="宋体" w:hAnsi="宋体" w:cs="宋体" w:eastAsia="宋体" w:hint="default"/>
                <w:b/>
                <w:bCs/>
                <w:sz w:val="18"/>
                <w:szCs w:val="18"/>
              </w:rPr>
              <w:t>实际投资额</w:t>
            </w:r>
            <w:r>
              <w:rPr>
                <w:rFonts w:ascii="宋体" w:hAnsi="宋体" w:cs="宋体" w:eastAsia="宋体" w:hint="default"/>
                <w:sz w:val="18"/>
                <w:szCs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9" w:right="7"/>
              <w:jc w:val="center"/>
              <w:rPr>
                <w:rFonts w:ascii="宋体" w:hAnsi="宋体" w:cs="宋体" w:eastAsia="宋体" w:hint="default"/>
                <w:sz w:val="18"/>
                <w:szCs w:val="18"/>
              </w:rPr>
            </w:pPr>
            <w:r>
              <w:rPr>
                <w:rFonts w:ascii="宋体" w:hAnsi="宋体" w:cs="宋体" w:eastAsia="宋体" w:hint="default"/>
                <w:b/>
                <w:bCs/>
                <w:sz w:val="18"/>
                <w:szCs w:val="18"/>
              </w:rPr>
              <w:t>实质上构成对</w:t>
            </w:r>
            <w:r>
              <w:rPr>
                <w:rFonts w:ascii="宋体" w:hAnsi="宋体" w:cs="宋体" w:eastAsia="宋体" w:hint="default"/>
                <w:b/>
                <w:bCs/>
                <w:w w:val="99"/>
                <w:sz w:val="18"/>
                <w:szCs w:val="18"/>
              </w:rPr>
              <w:t> </w:t>
            </w:r>
            <w:r>
              <w:rPr>
                <w:rFonts w:ascii="宋体" w:hAnsi="宋体" w:cs="宋体" w:eastAsia="宋体" w:hint="default"/>
                <w:b/>
                <w:bCs/>
                <w:sz w:val="18"/>
                <w:szCs w:val="18"/>
              </w:rPr>
              <w:t>子公司的净投</w:t>
            </w:r>
            <w:r>
              <w:rPr>
                <w:rFonts w:ascii="宋体" w:hAnsi="宋体" w:cs="宋体" w:eastAsia="宋体" w:hint="default"/>
                <w:b/>
                <w:bCs/>
                <w:w w:val="99"/>
                <w:sz w:val="18"/>
                <w:szCs w:val="18"/>
              </w:rPr>
              <w:t> </w:t>
            </w:r>
            <w:r>
              <w:rPr>
                <w:rFonts w:ascii="宋体" w:hAnsi="宋体" w:cs="宋体" w:eastAsia="宋体" w:hint="default"/>
                <w:b/>
                <w:bCs/>
                <w:sz w:val="18"/>
                <w:szCs w:val="18"/>
              </w:rPr>
              <w:t>资的余额</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84" w:right="83"/>
              <w:jc w:val="center"/>
              <w:rPr>
                <w:rFonts w:ascii="宋体" w:hAnsi="宋体" w:cs="宋体" w:eastAsia="宋体" w:hint="default"/>
                <w:sz w:val="18"/>
                <w:szCs w:val="18"/>
              </w:rPr>
            </w:pPr>
            <w:r>
              <w:rPr>
                <w:rFonts w:ascii="宋体" w:hAnsi="宋体" w:cs="宋体" w:eastAsia="宋体" w:hint="default"/>
                <w:b/>
                <w:bCs/>
                <w:sz w:val="18"/>
                <w:szCs w:val="18"/>
              </w:rPr>
              <w:t>本公司合</w:t>
            </w:r>
            <w:r>
              <w:rPr>
                <w:rFonts w:ascii="宋体" w:hAnsi="宋体" w:cs="宋体" w:eastAsia="宋体" w:hint="default"/>
                <w:b/>
                <w:bCs/>
                <w:w w:val="99"/>
                <w:sz w:val="18"/>
                <w:szCs w:val="18"/>
              </w:rPr>
              <w:t> </w:t>
            </w:r>
            <w:r>
              <w:rPr>
                <w:rFonts w:ascii="宋体" w:hAnsi="宋体" w:cs="宋体" w:eastAsia="宋体" w:hint="default"/>
                <w:b/>
                <w:bCs/>
                <w:sz w:val="18"/>
                <w:szCs w:val="18"/>
              </w:rPr>
              <w:t>计持股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b/>
                <w:bCs/>
                <w:sz w:val="18"/>
                <w:szCs w:val="18"/>
              </w:rPr>
              <w:t>本公司合</w:t>
            </w:r>
            <w:r>
              <w:rPr>
                <w:rFonts w:ascii="宋体" w:hAnsi="宋体" w:cs="宋体" w:eastAsia="宋体" w:hint="default"/>
                <w:sz w:val="18"/>
                <w:szCs w:val="18"/>
              </w:rPr>
            </w:r>
          </w:p>
          <w:p>
            <w:pPr>
              <w:pStyle w:val="TableParagraph"/>
              <w:spacing w:line="237" w:lineRule="auto" w:before="1"/>
              <w:ind w:left="84" w:right="83"/>
              <w:jc w:val="center"/>
              <w:rPr>
                <w:rFonts w:ascii="宋体" w:hAnsi="宋体" w:cs="宋体" w:eastAsia="宋体" w:hint="default"/>
                <w:sz w:val="18"/>
                <w:szCs w:val="18"/>
              </w:rPr>
            </w:pPr>
            <w:r>
              <w:rPr>
                <w:rFonts w:ascii="宋体" w:hAnsi="宋体" w:cs="宋体" w:eastAsia="宋体" w:hint="default"/>
                <w:b/>
                <w:bCs/>
                <w:sz w:val="18"/>
                <w:szCs w:val="18"/>
              </w:rPr>
              <w:t>计享有的</w:t>
            </w:r>
            <w:r>
              <w:rPr>
                <w:rFonts w:ascii="宋体" w:hAnsi="宋体" w:cs="宋体" w:eastAsia="宋体" w:hint="default"/>
                <w:b/>
                <w:bCs/>
                <w:w w:val="99"/>
                <w:sz w:val="18"/>
                <w:szCs w:val="18"/>
              </w:rPr>
              <w:t> </w:t>
            </w:r>
            <w:r>
              <w:rPr>
                <w:rFonts w:ascii="宋体" w:hAnsi="宋体" w:cs="宋体" w:eastAsia="宋体" w:hint="default"/>
                <w:b/>
                <w:bCs/>
                <w:sz w:val="18"/>
                <w:szCs w:val="18"/>
              </w:rPr>
              <w:t>表决权</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2" w:right="83"/>
              <w:jc w:val="left"/>
              <w:rPr>
                <w:rFonts w:ascii="宋体" w:hAnsi="宋体" w:cs="宋体" w:eastAsia="宋体" w:hint="default"/>
                <w:sz w:val="18"/>
                <w:szCs w:val="18"/>
              </w:rPr>
            </w:pPr>
            <w:r>
              <w:rPr>
                <w:rFonts w:ascii="宋体" w:hAnsi="宋体" w:cs="宋体" w:eastAsia="宋体" w:hint="default"/>
                <w:b/>
                <w:bCs/>
                <w:sz w:val="18"/>
                <w:szCs w:val="18"/>
              </w:rPr>
              <w:t>是否合</w:t>
            </w:r>
            <w:r>
              <w:rPr>
                <w:rFonts w:ascii="宋体" w:hAnsi="宋体" w:cs="宋体" w:eastAsia="宋体" w:hint="default"/>
                <w:b/>
                <w:bCs/>
                <w:spacing w:val="1"/>
                <w:w w:val="99"/>
                <w:sz w:val="18"/>
                <w:szCs w:val="18"/>
              </w:rPr>
              <w:t> </w:t>
            </w:r>
            <w:r>
              <w:rPr>
                <w:rFonts w:ascii="宋体" w:hAnsi="宋体" w:cs="宋体" w:eastAsia="宋体" w:hint="default"/>
                <w:b/>
                <w:bCs/>
                <w:sz w:val="18"/>
                <w:szCs w:val="18"/>
              </w:rPr>
              <w:t>并报表</w:t>
            </w:r>
            <w:r>
              <w:rPr>
                <w:rFonts w:ascii="宋体" w:hAnsi="宋体" w:cs="宋体" w:eastAsia="宋体" w:hint="default"/>
                <w:sz w:val="18"/>
                <w:szCs w:val="18"/>
              </w:rPr>
            </w:r>
          </w:p>
        </w:tc>
      </w:tr>
      <w:tr>
        <w:trPr>
          <w:trHeight w:val="237" w:hRule="exact"/>
        </w:trPr>
        <w:tc>
          <w:tcPr>
            <w:tcW w:w="90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612"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840" w:type="dxa"/>
            <w:tcBorders>
              <w:top w:val="single" w:sz="4" w:space="0" w:color="000000"/>
              <w:left w:val="single" w:sz="4" w:space="0" w:color="000000"/>
              <w:bottom w:val="nil" w:sz="6" w:space="0" w:color="auto"/>
              <w:right w:val="single" w:sz="4" w:space="0" w:color="000000"/>
            </w:tcBorders>
          </w:tcPr>
          <w:p>
            <w:pPr/>
          </w:p>
        </w:tc>
        <w:tc>
          <w:tcPr>
            <w:tcW w:w="168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right="-5"/>
              <w:jc w:val="left"/>
              <w:rPr>
                <w:rFonts w:ascii="宋体" w:hAnsi="宋体" w:cs="宋体" w:eastAsia="宋体" w:hint="default"/>
                <w:sz w:val="18"/>
                <w:szCs w:val="18"/>
              </w:rPr>
            </w:pPr>
            <w:r>
              <w:rPr>
                <w:rFonts w:ascii="宋体" w:hAnsi="宋体" w:cs="宋体" w:eastAsia="宋体" w:hint="default"/>
                <w:spacing w:val="6"/>
                <w:sz w:val="18"/>
                <w:szCs w:val="18"/>
              </w:rPr>
              <w:t>研发、生产经营金融</w:t>
            </w:r>
            <w:r>
              <w:rPr>
                <w:rFonts w:ascii="宋体" w:hAnsi="宋体" w:cs="宋体" w:eastAsia="宋体" w:hint="default"/>
                <w:sz w:val="18"/>
                <w:szCs w:val="18"/>
              </w:rPr>
            </w:r>
          </w:p>
        </w:tc>
        <w:tc>
          <w:tcPr>
            <w:tcW w:w="1008" w:type="dxa"/>
            <w:tcBorders>
              <w:top w:val="single" w:sz="4" w:space="0" w:color="000000"/>
              <w:left w:val="single" w:sz="4" w:space="0" w:color="000000"/>
              <w:bottom w:val="nil" w:sz="6" w:space="0" w:color="auto"/>
              <w:right w:val="single" w:sz="4" w:space="0" w:color="000000"/>
            </w:tcBorders>
          </w:tcPr>
          <w:p>
            <w:pPr/>
          </w:p>
        </w:tc>
        <w:tc>
          <w:tcPr>
            <w:tcW w:w="1112"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r>
      <w:tr>
        <w:trPr>
          <w:trHeight w:val="934" w:hRule="exact"/>
        </w:trPr>
        <w:tc>
          <w:tcPr>
            <w:tcW w:w="90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79" w:right="0"/>
              <w:jc w:val="both"/>
              <w:rPr>
                <w:rFonts w:ascii="宋体" w:hAnsi="宋体" w:cs="宋体" w:eastAsia="宋体" w:hint="default"/>
                <w:sz w:val="18"/>
                <w:szCs w:val="18"/>
              </w:rPr>
            </w:pPr>
            <w:r>
              <w:rPr>
                <w:rFonts w:ascii="宋体" w:hAnsi="宋体" w:cs="宋体" w:eastAsia="宋体" w:hint="default"/>
                <w:sz w:val="18"/>
                <w:szCs w:val="18"/>
              </w:rPr>
              <w:t>深圳广电</w:t>
            </w:r>
          </w:p>
          <w:p>
            <w:pPr>
              <w:pStyle w:val="TableParagraph"/>
              <w:spacing w:line="237" w:lineRule="auto" w:before="1"/>
              <w:ind w:left="79" w:right="89"/>
              <w:jc w:val="both"/>
              <w:rPr>
                <w:rFonts w:ascii="宋体" w:hAnsi="宋体" w:cs="宋体" w:eastAsia="宋体" w:hint="default"/>
                <w:sz w:val="18"/>
                <w:szCs w:val="18"/>
              </w:rPr>
            </w:pPr>
            <w:r>
              <w:rPr>
                <w:rFonts w:ascii="宋体" w:hAnsi="宋体" w:cs="宋体" w:eastAsia="宋体" w:hint="default"/>
                <w:sz w:val="18"/>
                <w:szCs w:val="18"/>
              </w:rPr>
              <w:t>银通金融 电子科技 有限公司</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169" w:right="179"/>
              <w:jc w:val="both"/>
              <w:rPr>
                <w:rFonts w:ascii="宋体" w:hAnsi="宋体" w:cs="宋体" w:eastAsia="宋体" w:hint="default"/>
                <w:sz w:val="18"/>
                <w:szCs w:val="18"/>
              </w:rPr>
            </w:pPr>
            <w:r>
              <w:rPr>
                <w:rFonts w:ascii="宋体" w:hAnsi="宋体" w:cs="宋体" w:eastAsia="宋体" w:hint="default"/>
                <w:sz w:val="18"/>
                <w:szCs w:val="18"/>
              </w:rPr>
              <w:t>全资 子公 司</w:t>
            </w:r>
          </w:p>
        </w:tc>
        <w:tc>
          <w:tcPr>
            <w:tcW w:w="61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深圳</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2" w:lineRule="exact" w:before="88"/>
              <w:ind w:left="46"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维</w:t>
            </w:r>
          </w:p>
          <w:p>
            <w:pPr>
              <w:pStyle w:val="TableParagraph"/>
              <w:spacing w:line="234" w:lineRule="exact" w:before="15"/>
              <w:ind w:left="259" w:right="89" w:hanging="180"/>
              <w:jc w:val="left"/>
              <w:rPr>
                <w:rFonts w:ascii="宋体" w:hAnsi="宋体" w:cs="宋体" w:eastAsia="宋体" w:hint="default"/>
                <w:sz w:val="18"/>
                <w:szCs w:val="18"/>
              </w:rPr>
            </w:pPr>
            <w:r>
              <w:rPr>
                <w:rFonts w:ascii="宋体" w:hAnsi="宋体" w:cs="宋体" w:eastAsia="宋体" w:hint="default"/>
                <w:sz w:val="18"/>
                <w:szCs w:val="18"/>
              </w:rPr>
              <w:t>护及运 营</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3" w:right="0"/>
              <w:jc w:val="left"/>
              <w:rPr>
                <w:rFonts w:ascii="Times New Roman" w:hAnsi="Times New Roman" w:cs="Times New Roman" w:eastAsia="Times New Roman" w:hint="default"/>
                <w:sz w:val="18"/>
                <w:szCs w:val="18"/>
              </w:rPr>
            </w:pPr>
            <w:r>
              <w:rPr>
                <w:rFonts w:ascii="Times New Roman"/>
                <w:sz w:val="18"/>
              </w:rPr>
              <w:t>6,500.00</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0"/>
              <w:jc w:val="both"/>
              <w:rPr>
                <w:rFonts w:ascii="宋体" w:hAnsi="宋体" w:cs="宋体" w:eastAsia="宋体" w:hint="default"/>
                <w:sz w:val="18"/>
                <w:szCs w:val="18"/>
              </w:rPr>
            </w:pPr>
            <w:r>
              <w:rPr>
                <w:rFonts w:ascii="宋体" w:hAnsi="宋体" w:cs="宋体" w:eastAsia="宋体" w:hint="default"/>
                <w:spacing w:val="6"/>
                <w:sz w:val="18"/>
                <w:szCs w:val="18"/>
              </w:rPr>
              <w:t>电子设备、从事金融</w:t>
            </w:r>
            <w:r>
              <w:rPr>
                <w:rFonts w:ascii="宋体" w:hAnsi="宋体" w:cs="宋体" w:eastAsia="宋体" w:hint="default"/>
                <w:sz w:val="18"/>
                <w:szCs w:val="18"/>
              </w:rPr>
            </w:r>
          </w:p>
          <w:p>
            <w:pPr>
              <w:pStyle w:val="TableParagraph"/>
              <w:spacing w:line="237" w:lineRule="auto" w:before="1"/>
              <w:ind w:right="-5"/>
              <w:jc w:val="both"/>
              <w:rPr>
                <w:rFonts w:ascii="宋体" w:hAnsi="宋体" w:cs="宋体" w:eastAsia="宋体" w:hint="default"/>
                <w:sz w:val="18"/>
                <w:szCs w:val="18"/>
              </w:rPr>
            </w:pPr>
            <w:r>
              <w:rPr>
                <w:rFonts w:ascii="宋体" w:hAnsi="宋体" w:cs="宋体" w:eastAsia="宋体" w:hint="default"/>
                <w:spacing w:val="6"/>
                <w:sz w:val="18"/>
                <w:szCs w:val="18"/>
              </w:rPr>
              <w:t>电子系统软件开发、 金融电子系统集成， 并提供相关的技术支</w:t>
            </w:r>
            <w:r>
              <w:rPr>
                <w:rFonts w:ascii="宋体" w:hAnsi="宋体" w:cs="宋体" w:eastAsia="宋体" w:hint="default"/>
                <w:sz w:val="18"/>
                <w:szCs w:val="18"/>
              </w:rPr>
            </w:r>
          </w:p>
        </w:tc>
        <w:tc>
          <w:tcPr>
            <w:tcW w:w="10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83" w:right="0"/>
              <w:jc w:val="left"/>
              <w:rPr>
                <w:rFonts w:ascii="Times New Roman" w:hAnsi="Times New Roman" w:cs="Times New Roman" w:eastAsia="Times New Roman" w:hint="default"/>
                <w:sz w:val="18"/>
                <w:szCs w:val="18"/>
              </w:rPr>
            </w:pPr>
            <w:r>
              <w:rPr>
                <w:rFonts w:ascii="Times New Roman"/>
                <w:sz w:val="18"/>
              </w:rPr>
              <w:t>9,647.93</w:t>
            </w:r>
          </w:p>
        </w:tc>
        <w:tc>
          <w:tcPr>
            <w:tcW w:w="111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4" w:right="0"/>
              <w:jc w:val="left"/>
              <w:rPr>
                <w:rFonts w:ascii="Times New Roman" w:hAnsi="Times New Roman" w:cs="Times New Roman" w:eastAsia="Times New Roman" w:hint="default"/>
                <w:sz w:val="18"/>
                <w:szCs w:val="18"/>
              </w:rPr>
            </w:pPr>
            <w:r>
              <w:rPr>
                <w:rFonts w:ascii="Times New Roman"/>
                <w:sz w:val="18"/>
              </w:rPr>
              <w:t>9,647.93</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4" w:right="0"/>
              <w:jc w:val="left"/>
              <w:rPr>
                <w:rFonts w:ascii="Times New Roman" w:hAnsi="Times New Roman" w:cs="Times New Roman" w:eastAsia="Times New Roman" w:hint="default"/>
                <w:sz w:val="18"/>
                <w:szCs w:val="18"/>
              </w:rPr>
            </w:pPr>
            <w:r>
              <w:rPr>
                <w:rFonts w:ascii="Times New Roman"/>
                <w:sz w:val="18"/>
              </w:rPr>
              <w:t>100%</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4" w:right="0"/>
              <w:jc w:val="left"/>
              <w:rPr>
                <w:rFonts w:ascii="Times New Roman" w:hAnsi="Times New Roman" w:cs="Times New Roman" w:eastAsia="Times New Roman" w:hint="default"/>
                <w:sz w:val="18"/>
                <w:szCs w:val="18"/>
              </w:rPr>
            </w:pPr>
            <w:r>
              <w:rPr>
                <w:rFonts w:ascii="Times New Roman"/>
                <w:sz w:val="18"/>
              </w:rPr>
              <w:t>100%</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40" w:hRule="exact"/>
        </w:trPr>
        <w:tc>
          <w:tcPr>
            <w:tcW w:w="90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612"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840" w:type="dxa"/>
            <w:tcBorders>
              <w:top w:val="nil" w:sz="6" w:space="0" w:color="auto"/>
              <w:left w:val="single" w:sz="4" w:space="0" w:color="000000"/>
              <w:bottom w:val="single" w:sz="4" w:space="0" w:color="000000"/>
              <w:right w:val="single" w:sz="4" w:space="0" w:color="000000"/>
            </w:tcBorders>
          </w:tcPr>
          <w:p>
            <w:pPr/>
          </w:p>
        </w:tc>
        <w:tc>
          <w:tcPr>
            <w:tcW w:w="1680"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right="0"/>
              <w:jc w:val="left"/>
              <w:rPr>
                <w:rFonts w:ascii="宋体" w:hAnsi="宋体" w:cs="宋体" w:eastAsia="宋体" w:hint="default"/>
                <w:sz w:val="18"/>
                <w:szCs w:val="18"/>
              </w:rPr>
            </w:pPr>
            <w:r>
              <w:rPr>
                <w:rFonts w:ascii="宋体" w:hAnsi="宋体" w:cs="宋体" w:eastAsia="宋体" w:hint="default"/>
                <w:sz w:val="18"/>
                <w:szCs w:val="18"/>
              </w:rPr>
              <w:t>持和服务。</w:t>
            </w:r>
          </w:p>
        </w:tc>
        <w:tc>
          <w:tcPr>
            <w:tcW w:w="1008" w:type="dxa"/>
            <w:tcBorders>
              <w:top w:val="nil" w:sz="6" w:space="0" w:color="auto"/>
              <w:left w:val="single" w:sz="4" w:space="0" w:color="000000"/>
              <w:bottom w:val="single" w:sz="4" w:space="0" w:color="000000"/>
              <w:right w:val="single" w:sz="4" w:space="0" w:color="000000"/>
            </w:tcBorders>
          </w:tcPr>
          <w:p>
            <w:pPr/>
          </w:p>
        </w:tc>
        <w:tc>
          <w:tcPr>
            <w:tcW w:w="1112"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6"/>
          <w:szCs w:val="16"/>
        </w:rPr>
      </w:pPr>
    </w:p>
    <w:p>
      <w:pPr>
        <w:pStyle w:val="BodyText"/>
        <w:spacing w:line="240" w:lineRule="auto" w:before="35"/>
        <w:ind w:left="1440" w:right="901"/>
        <w:jc w:val="left"/>
      </w:pPr>
      <w:r>
        <w:rPr>
          <w:rFonts w:ascii="Times New Roman" w:hAnsi="Times New Roman" w:cs="Times New Roman" w:eastAsia="Times New Roman" w:hint="default"/>
        </w:rPr>
        <w:t>2</w:t>
      </w:r>
      <w:r>
        <w:rPr/>
        <w:t>、非企业合并方式取得的子公司</w:t>
      </w:r>
    </w:p>
    <w:p>
      <w:pPr>
        <w:spacing w:line="240" w:lineRule="auto" w:before="3"/>
        <w:rPr>
          <w:rFonts w:ascii="宋体" w:hAnsi="宋体" w:cs="宋体" w:eastAsia="宋体"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900"/>
        <w:gridCol w:w="720"/>
        <w:gridCol w:w="612"/>
        <w:gridCol w:w="720"/>
        <w:gridCol w:w="840"/>
        <w:gridCol w:w="1680"/>
        <w:gridCol w:w="1008"/>
        <w:gridCol w:w="1112"/>
        <w:gridCol w:w="900"/>
        <w:gridCol w:w="900"/>
        <w:gridCol w:w="720"/>
      </w:tblGrid>
      <w:tr>
        <w:trPr>
          <w:trHeight w:val="94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264" w:right="173" w:hanging="92"/>
              <w:jc w:val="left"/>
              <w:rPr>
                <w:rFonts w:ascii="宋体" w:hAnsi="宋体" w:cs="宋体" w:eastAsia="宋体" w:hint="default"/>
                <w:sz w:val="18"/>
                <w:szCs w:val="18"/>
              </w:rPr>
            </w:pPr>
            <w:r>
              <w:rPr>
                <w:rFonts w:ascii="宋体" w:hAnsi="宋体" w:cs="宋体" w:eastAsia="宋体" w:hint="default"/>
                <w:b/>
                <w:bCs/>
                <w:sz w:val="18"/>
                <w:szCs w:val="18"/>
              </w:rPr>
              <w:t>子公司</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名称</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228" w:right="80" w:hanging="144"/>
              <w:jc w:val="left"/>
              <w:rPr>
                <w:rFonts w:ascii="宋体" w:hAnsi="宋体" w:cs="宋体" w:eastAsia="宋体" w:hint="default"/>
                <w:sz w:val="18"/>
                <w:szCs w:val="18"/>
              </w:rPr>
            </w:pPr>
            <w:r>
              <w:rPr>
                <w:rFonts w:ascii="宋体" w:hAnsi="宋体" w:cs="宋体" w:eastAsia="宋体" w:hint="default"/>
                <w:b/>
                <w:bCs/>
                <w:sz w:val="18"/>
                <w:szCs w:val="18"/>
              </w:rPr>
              <w:t>子公司</w:t>
            </w:r>
            <w:r>
              <w:rPr>
                <w:rFonts w:ascii="宋体" w:hAnsi="宋体" w:cs="宋体" w:eastAsia="宋体" w:hint="default"/>
                <w:b/>
                <w:bCs/>
                <w:spacing w:val="1"/>
                <w:w w:val="99"/>
                <w:sz w:val="18"/>
                <w:szCs w:val="18"/>
              </w:rPr>
              <w:t> </w:t>
            </w:r>
            <w:r>
              <w:rPr>
                <w:rFonts w:ascii="宋体" w:hAnsi="宋体" w:cs="宋体" w:eastAsia="宋体" w:hint="default"/>
                <w:b/>
                <w:bCs/>
                <w:sz w:val="18"/>
                <w:szCs w:val="18"/>
              </w:rPr>
              <w:t>类型</w:t>
            </w:r>
            <w:r>
              <w:rPr>
                <w:rFonts w:ascii="宋体" w:hAnsi="宋体" w:cs="宋体" w:eastAsia="宋体" w:hint="default"/>
                <w:sz w:val="18"/>
                <w:szCs w:val="18"/>
              </w:rPr>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74" w:right="171"/>
              <w:jc w:val="left"/>
              <w:rPr>
                <w:rFonts w:ascii="宋体" w:hAnsi="宋体" w:cs="宋体" w:eastAsia="宋体" w:hint="default"/>
                <w:sz w:val="18"/>
                <w:szCs w:val="18"/>
              </w:rPr>
            </w:pPr>
            <w:r>
              <w:rPr>
                <w:rFonts w:ascii="宋体" w:hAnsi="宋体" w:cs="宋体" w:eastAsia="宋体" w:hint="default"/>
                <w:b/>
                <w:bCs/>
                <w:sz w:val="18"/>
                <w:szCs w:val="18"/>
              </w:rPr>
              <w:t>业务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性质</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b/>
                <w:bCs/>
                <w:w w:val="95"/>
                <w:sz w:val="18"/>
                <w:szCs w:val="18"/>
              </w:rPr>
              <w:t>注册资本</w:t>
            </w:r>
            <w:r>
              <w:rPr>
                <w:rFonts w:ascii="宋体" w:hAnsi="宋体" w:cs="宋体" w:eastAsia="宋体" w:hint="default"/>
                <w:sz w:val="18"/>
                <w:szCs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46" w:right="44"/>
              <w:jc w:val="left"/>
              <w:rPr>
                <w:rFonts w:ascii="宋体" w:hAnsi="宋体" w:cs="宋体" w:eastAsia="宋体" w:hint="default"/>
                <w:sz w:val="18"/>
                <w:szCs w:val="18"/>
              </w:rPr>
            </w:pPr>
            <w:r>
              <w:rPr>
                <w:rFonts w:ascii="宋体" w:hAnsi="宋体" w:cs="宋体" w:eastAsia="宋体" w:hint="default"/>
                <w:b/>
                <w:bCs/>
                <w:sz w:val="18"/>
                <w:szCs w:val="18"/>
              </w:rPr>
              <w:t>本公司年末</w:t>
            </w:r>
            <w:r>
              <w:rPr>
                <w:rFonts w:ascii="宋体" w:hAnsi="宋体" w:cs="宋体" w:eastAsia="宋体" w:hint="default"/>
                <w:b/>
                <w:bCs/>
                <w:spacing w:val="1"/>
                <w:w w:val="99"/>
                <w:sz w:val="18"/>
                <w:szCs w:val="18"/>
              </w:rPr>
              <w:t> </w:t>
            </w:r>
            <w:r>
              <w:rPr>
                <w:rFonts w:ascii="宋体" w:hAnsi="宋体" w:cs="宋体" w:eastAsia="宋体" w:hint="default"/>
                <w:b/>
                <w:bCs/>
                <w:sz w:val="18"/>
                <w:szCs w:val="18"/>
              </w:rPr>
              <w:t>实际投资额</w:t>
            </w:r>
            <w:r>
              <w:rPr>
                <w:rFonts w:ascii="宋体" w:hAnsi="宋体" w:cs="宋体" w:eastAsia="宋体" w:hint="default"/>
                <w:sz w:val="18"/>
                <w:szCs w:val="18"/>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9" w:right="7"/>
              <w:jc w:val="center"/>
              <w:rPr>
                <w:rFonts w:ascii="宋体" w:hAnsi="宋体" w:cs="宋体" w:eastAsia="宋体" w:hint="default"/>
                <w:sz w:val="18"/>
                <w:szCs w:val="18"/>
              </w:rPr>
            </w:pPr>
            <w:r>
              <w:rPr>
                <w:rFonts w:ascii="宋体" w:hAnsi="宋体" w:cs="宋体" w:eastAsia="宋体" w:hint="default"/>
                <w:b/>
                <w:bCs/>
                <w:sz w:val="18"/>
                <w:szCs w:val="18"/>
              </w:rPr>
              <w:t>实质上构成对</w:t>
            </w:r>
            <w:r>
              <w:rPr>
                <w:rFonts w:ascii="宋体" w:hAnsi="宋体" w:cs="宋体" w:eastAsia="宋体" w:hint="default"/>
                <w:b/>
                <w:bCs/>
                <w:w w:val="99"/>
                <w:sz w:val="18"/>
                <w:szCs w:val="18"/>
              </w:rPr>
              <w:t> </w:t>
            </w:r>
            <w:r>
              <w:rPr>
                <w:rFonts w:ascii="宋体" w:hAnsi="宋体" w:cs="宋体" w:eastAsia="宋体" w:hint="default"/>
                <w:b/>
                <w:bCs/>
                <w:sz w:val="18"/>
                <w:szCs w:val="18"/>
              </w:rPr>
              <w:t>子公司的净投</w:t>
            </w:r>
            <w:r>
              <w:rPr>
                <w:rFonts w:ascii="宋体" w:hAnsi="宋体" w:cs="宋体" w:eastAsia="宋体" w:hint="default"/>
                <w:b/>
                <w:bCs/>
                <w:w w:val="99"/>
                <w:sz w:val="18"/>
                <w:szCs w:val="18"/>
              </w:rPr>
              <w:t> </w:t>
            </w:r>
            <w:r>
              <w:rPr>
                <w:rFonts w:ascii="宋体" w:hAnsi="宋体" w:cs="宋体" w:eastAsia="宋体" w:hint="default"/>
                <w:b/>
                <w:bCs/>
                <w:sz w:val="18"/>
                <w:szCs w:val="18"/>
              </w:rPr>
              <w:t>资的余额</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84" w:right="83"/>
              <w:jc w:val="center"/>
              <w:rPr>
                <w:rFonts w:ascii="宋体" w:hAnsi="宋体" w:cs="宋体" w:eastAsia="宋体" w:hint="default"/>
                <w:sz w:val="18"/>
                <w:szCs w:val="18"/>
              </w:rPr>
            </w:pPr>
            <w:r>
              <w:rPr>
                <w:rFonts w:ascii="宋体" w:hAnsi="宋体" w:cs="宋体" w:eastAsia="宋体" w:hint="default"/>
                <w:b/>
                <w:bCs/>
                <w:sz w:val="18"/>
                <w:szCs w:val="18"/>
              </w:rPr>
              <w:t>本公司合</w:t>
            </w:r>
            <w:r>
              <w:rPr>
                <w:rFonts w:ascii="宋体" w:hAnsi="宋体" w:cs="宋体" w:eastAsia="宋体" w:hint="default"/>
                <w:b/>
                <w:bCs/>
                <w:w w:val="99"/>
                <w:sz w:val="18"/>
                <w:szCs w:val="18"/>
              </w:rPr>
              <w:t> </w:t>
            </w:r>
            <w:r>
              <w:rPr>
                <w:rFonts w:ascii="宋体" w:hAnsi="宋体" w:cs="宋体" w:eastAsia="宋体" w:hint="default"/>
                <w:b/>
                <w:bCs/>
                <w:sz w:val="18"/>
                <w:szCs w:val="18"/>
              </w:rPr>
              <w:t>计持股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b/>
                <w:bCs/>
                <w:sz w:val="18"/>
                <w:szCs w:val="18"/>
              </w:rPr>
              <w:t>本公司合</w:t>
            </w:r>
            <w:r>
              <w:rPr>
                <w:rFonts w:ascii="宋体" w:hAnsi="宋体" w:cs="宋体" w:eastAsia="宋体" w:hint="default"/>
                <w:sz w:val="18"/>
                <w:szCs w:val="18"/>
              </w:rPr>
            </w:r>
          </w:p>
          <w:p>
            <w:pPr>
              <w:pStyle w:val="TableParagraph"/>
              <w:spacing w:line="237" w:lineRule="auto"/>
              <w:ind w:left="84" w:right="83"/>
              <w:jc w:val="center"/>
              <w:rPr>
                <w:rFonts w:ascii="宋体" w:hAnsi="宋体" w:cs="宋体" w:eastAsia="宋体" w:hint="default"/>
                <w:sz w:val="18"/>
                <w:szCs w:val="18"/>
              </w:rPr>
            </w:pPr>
            <w:r>
              <w:rPr>
                <w:rFonts w:ascii="宋体" w:hAnsi="宋体" w:cs="宋体" w:eastAsia="宋体" w:hint="default"/>
                <w:b/>
                <w:bCs/>
                <w:sz w:val="18"/>
                <w:szCs w:val="18"/>
              </w:rPr>
              <w:t>计享有的</w:t>
            </w:r>
            <w:r>
              <w:rPr>
                <w:rFonts w:ascii="宋体" w:hAnsi="宋体" w:cs="宋体" w:eastAsia="宋体" w:hint="default"/>
                <w:b/>
                <w:bCs/>
                <w:w w:val="99"/>
                <w:sz w:val="18"/>
                <w:szCs w:val="18"/>
              </w:rPr>
              <w:t> </w:t>
            </w:r>
            <w:r>
              <w:rPr>
                <w:rFonts w:ascii="宋体" w:hAnsi="宋体" w:cs="宋体" w:eastAsia="宋体" w:hint="default"/>
                <w:b/>
                <w:bCs/>
                <w:sz w:val="18"/>
                <w:szCs w:val="18"/>
              </w:rPr>
              <w:t>表决权</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82" w:right="83"/>
              <w:jc w:val="left"/>
              <w:rPr>
                <w:rFonts w:ascii="宋体" w:hAnsi="宋体" w:cs="宋体" w:eastAsia="宋体" w:hint="default"/>
                <w:sz w:val="18"/>
                <w:szCs w:val="18"/>
              </w:rPr>
            </w:pPr>
            <w:r>
              <w:rPr>
                <w:rFonts w:ascii="宋体" w:hAnsi="宋体" w:cs="宋体" w:eastAsia="宋体" w:hint="default"/>
                <w:b/>
                <w:bCs/>
                <w:sz w:val="18"/>
                <w:szCs w:val="18"/>
              </w:rPr>
              <w:t>是否合</w:t>
            </w:r>
            <w:r>
              <w:rPr>
                <w:rFonts w:ascii="宋体" w:hAnsi="宋体" w:cs="宋体" w:eastAsia="宋体" w:hint="default"/>
                <w:b/>
                <w:bCs/>
                <w:spacing w:val="1"/>
                <w:w w:val="99"/>
                <w:sz w:val="18"/>
                <w:szCs w:val="18"/>
              </w:rPr>
              <w:t> </w:t>
            </w:r>
            <w:r>
              <w:rPr>
                <w:rFonts w:ascii="宋体" w:hAnsi="宋体" w:cs="宋体" w:eastAsia="宋体" w:hint="default"/>
                <w:b/>
                <w:bCs/>
                <w:sz w:val="18"/>
                <w:szCs w:val="18"/>
              </w:rPr>
              <w:t>并报表</w:t>
            </w:r>
            <w:r>
              <w:rPr>
                <w:rFonts w:ascii="宋体" w:hAnsi="宋体" w:cs="宋体" w:eastAsia="宋体" w:hint="default"/>
                <w:sz w:val="18"/>
                <w:szCs w:val="18"/>
              </w:rPr>
            </w:r>
          </w:p>
        </w:tc>
      </w:tr>
      <w:tr>
        <w:trPr>
          <w:trHeight w:val="944"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79" w:right="89"/>
              <w:jc w:val="both"/>
              <w:rPr>
                <w:rFonts w:ascii="宋体" w:hAnsi="宋体" w:cs="宋体" w:eastAsia="宋体" w:hint="default"/>
                <w:sz w:val="18"/>
                <w:szCs w:val="18"/>
              </w:rPr>
            </w:pPr>
            <w:r>
              <w:rPr>
                <w:rFonts w:ascii="宋体" w:hAnsi="宋体" w:cs="宋体" w:eastAsia="宋体" w:hint="default"/>
                <w:sz w:val="18"/>
                <w:szCs w:val="18"/>
              </w:rPr>
              <w:t>广州穗通 金融服务 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69" w:right="179"/>
              <w:jc w:val="both"/>
              <w:rPr>
                <w:rFonts w:ascii="宋体" w:hAnsi="宋体" w:cs="宋体" w:eastAsia="宋体" w:hint="default"/>
                <w:sz w:val="18"/>
                <w:szCs w:val="18"/>
              </w:rPr>
            </w:pPr>
            <w:r>
              <w:rPr>
                <w:rFonts w:ascii="宋体" w:hAnsi="宋体" w:cs="宋体" w:eastAsia="宋体" w:hint="default"/>
                <w:sz w:val="18"/>
                <w:szCs w:val="18"/>
              </w:rPr>
              <w:t>控股 子公 司</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广州</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9" w:right="0"/>
              <w:jc w:val="both"/>
              <w:rPr>
                <w:rFonts w:ascii="宋体" w:hAnsi="宋体" w:cs="宋体" w:eastAsia="宋体" w:hint="default"/>
                <w:sz w:val="18"/>
                <w:szCs w:val="18"/>
              </w:rPr>
            </w:pPr>
            <w:r>
              <w:rPr>
                <w:rFonts w:ascii="宋体" w:hAnsi="宋体" w:cs="宋体" w:eastAsia="宋体" w:hint="default"/>
                <w:sz w:val="18"/>
                <w:szCs w:val="18"/>
              </w:rPr>
              <w:t>现金及</w:t>
            </w:r>
          </w:p>
          <w:p>
            <w:pPr>
              <w:pStyle w:val="TableParagraph"/>
              <w:spacing w:line="237" w:lineRule="auto" w:before="1"/>
              <w:ind w:left="79" w:right="89"/>
              <w:jc w:val="both"/>
              <w:rPr>
                <w:rFonts w:ascii="宋体" w:hAnsi="宋体" w:cs="宋体" w:eastAsia="宋体" w:hint="default"/>
                <w:sz w:val="18"/>
                <w:szCs w:val="18"/>
              </w:rPr>
            </w:pPr>
            <w:r>
              <w:rPr>
                <w:rFonts w:ascii="宋体" w:hAnsi="宋体" w:cs="宋体" w:eastAsia="宋体" w:hint="default"/>
                <w:sz w:val="18"/>
                <w:szCs w:val="18"/>
              </w:rPr>
              <w:t>有价证 券的清 分处理</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93" w:right="0"/>
              <w:jc w:val="left"/>
              <w:rPr>
                <w:rFonts w:ascii="Times New Roman" w:hAnsi="Times New Roman" w:cs="Times New Roman" w:eastAsia="Times New Roman" w:hint="default"/>
                <w:sz w:val="18"/>
                <w:szCs w:val="18"/>
              </w:rPr>
            </w:pPr>
            <w:r>
              <w:rPr>
                <w:rFonts w:ascii="Times New Roman"/>
                <w:sz w:val="18"/>
              </w:rPr>
              <w:t>3,000.00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both"/>
              <w:rPr>
                <w:rFonts w:ascii="宋体" w:hAnsi="宋体" w:cs="宋体" w:eastAsia="宋体" w:hint="default"/>
                <w:sz w:val="18"/>
                <w:szCs w:val="18"/>
              </w:rPr>
            </w:pPr>
            <w:r>
              <w:rPr>
                <w:rFonts w:ascii="宋体" w:hAnsi="宋体" w:cs="宋体" w:eastAsia="宋体" w:hint="default"/>
                <w:spacing w:val="6"/>
                <w:sz w:val="18"/>
                <w:szCs w:val="18"/>
              </w:rPr>
              <w:t>受银行委托对自动柜</w:t>
            </w:r>
            <w:r>
              <w:rPr>
                <w:rFonts w:ascii="宋体" w:hAnsi="宋体" w:cs="宋体" w:eastAsia="宋体" w:hint="default"/>
                <w:sz w:val="18"/>
                <w:szCs w:val="18"/>
              </w:rPr>
            </w:r>
          </w:p>
          <w:p>
            <w:pPr>
              <w:pStyle w:val="TableParagraph"/>
              <w:spacing w:line="237" w:lineRule="auto" w:before="1"/>
              <w:ind w:right="-32"/>
              <w:jc w:val="both"/>
              <w:rPr>
                <w:rFonts w:ascii="宋体" w:hAnsi="宋体" w:cs="宋体" w:eastAsia="宋体" w:hint="default"/>
                <w:sz w:val="18"/>
                <w:szCs w:val="18"/>
              </w:rPr>
            </w:pPr>
            <w:r>
              <w:rPr>
                <w:rFonts w:ascii="宋体" w:hAnsi="宋体" w:cs="宋体" w:eastAsia="宋体" w:hint="default"/>
                <w:spacing w:val="24"/>
                <w:sz w:val="18"/>
                <w:szCs w:val="18"/>
              </w:rPr>
              <w:t>员机进行</w:t>
            </w:r>
            <w:r>
              <w:rPr>
                <w:rFonts w:ascii="宋体" w:hAnsi="宋体" w:cs="宋体" w:eastAsia="宋体" w:hint="default"/>
                <w:spacing w:val="-57"/>
                <w:sz w:val="18"/>
                <w:szCs w:val="18"/>
              </w:rPr>
              <w:t> </w:t>
            </w:r>
            <w:r>
              <w:rPr>
                <w:rFonts w:ascii="宋体" w:hAnsi="宋体" w:cs="宋体" w:eastAsia="宋体" w:hint="default"/>
                <w:sz w:val="18"/>
                <w:szCs w:val="18"/>
              </w:rPr>
              <w:t>维</w:t>
            </w:r>
            <w:r>
              <w:rPr>
                <w:rFonts w:ascii="宋体" w:hAnsi="宋体" w:cs="宋体" w:eastAsia="宋体" w:hint="default"/>
                <w:spacing w:val="-57"/>
                <w:sz w:val="18"/>
                <w:szCs w:val="18"/>
              </w:rPr>
              <w:t> </w:t>
            </w:r>
            <w:r>
              <w:rPr>
                <w:rFonts w:ascii="宋体" w:hAnsi="宋体" w:cs="宋体" w:eastAsia="宋体" w:hint="default"/>
                <w:spacing w:val="21"/>
                <w:sz w:val="18"/>
                <w:szCs w:val="18"/>
              </w:rPr>
              <w:t>护及管</w:t>
            </w:r>
            <w:r>
              <w:rPr>
                <w:rFonts w:ascii="宋体" w:hAnsi="宋体" w:cs="宋体" w:eastAsia="宋体" w:hint="default"/>
                <w:spacing w:val="-58"/>
                <w:sz w:val="18"/>
                <w:szCs w:val="18"/>
              </w:rPr>
              <w:t> </w:t>
            </w:r>
            <w:r>
              <w:rPr>
                <w:rFonts w:ascii="宋体" w:hAnsi="宋体" w:cs="宋体" w:eastAsia="宋体" w:hint="default"/>
                <w:spacing w:val="6"/>
                <w:sz w:val="18"/>
                <w:szCs w:val="18"/>
              </w:rPr>
              <w:t>理，对现金及有价证</w:t>
            </w:r>
            <w:r>
              <w:rPr>
                <w:rFonts w:ascii="宋体" w:hAnsi="宋体" w:cs="宋体" w:eastAsia="宋体" w:hint="default"/>
                <w:spacing w:val="6"/>
                <w:sz w:val="18"/>
                <w:szCs w:val="18"/>
              </w:rPr>
              <w:t> </w:t>
            </w:r>
            <w:r>
              <w:rPr>
                <w:rFonts w:ascii="宋体" w:hAnsi="宋体" w:cs="宋体" w:eastAsia="宋体" w:hint="default"/>
                <w:sz w:val="18"/>
                <w:szCs w:val="18"/>
              </w:rPr>
              <w:t>券提供清分处理服务</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83" w:right="0"/>
              <w:jc w:val="left"/>
              <w:rPr>
                <w:rFonts w:ascii="Times New Roman" w:hAnsi="Times New Roman" w:cs="Times New Roman" w:eastAsia="Times New Roman" w:hint="default"/>
                <w:sz w:val="18"/>
                <w:szCs w:val="18"/>
              </w:rPr>
            </w:pPr>
            <w:r>
              <w:rPr>
                <w:rFonts w:ascii="Times New Roman"/>
                <w:sz w:val="18"/>
              </w:rPr>
              <w:t>1,530.00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
              <w:jc w:val="center"/>
              <w:rPr>
                <w:rFonts w:ascii="Times New Roman" w:hAnsi="Times New Roman" w:cs="Times New Roman" w:eastAsia="Times New Roman" w:hint="default"/>
                <w:sz w:val="18"/>
                <w:szCs w:val="18"/>
              </w:rPr>
            </w:pPr>
            <w:r>
              <w:rPr>
                <w:rFonts w:ascii="Times New Roman"/>
                <w:sz w:val="18"/>
              </w:rPr>
              <w:t>1,530.00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
              <w:jc w:val="center"/>
              <w:rPr>
                <w:rFonts w:ascii="Times New Roman" w:hAnsi="Times New Roman" w:cs="Times New Roman" w:eastAsia="Times New Roman" w:hint="default"/>
                <w:sz w:val="18"/>
                <w:szCs w:val="18"/>
              </w:rPr>
            </w:pPr>
            <w:r>
              <w:rPr>
                <w:rFonts w:ascii="Times New Roman"/>
                <w:sz w:val="18"/>
              </w:rPr>
              <w:t>51.00%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
              <w:jc w:val="center"/>
              <w:rPr>
                <w:rFonts w:ascii="Times New Roman" w:hAnsi="Times New Roman" w:cs="Times New Roman" w:eastAsia="Times New Roman" w:hint="default"/>
                <w:sz w:val="18"/>
                <w:szCs w:val="18"/>
              </w:rPr>
            </w:pPr>
            <w:r>
              <w:rPr>
                <w:rFonts w:ascii="Times New Roman"/>
                <w:sz w:val="18"/>
              </w:rPr>
              <w:t>51.00%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847" w:hRule="exact"/>
        </w:trPr>
        <w:tc>
          <w:tcPr>
            <w:tcW w:w="900" w:type="dxa"/>
            <w:tcBorders>
              <w:top w:val="single" w:sz="4" w:space="0" w:color="000000"/>
              <w:left w:val="single" w:sz="4" w:space="0" w:color="000000"/>
              <w:bottom w:val="nil" w:sz="6" w:space="0" w:color="auto"/>
              <w:right w:val="single" w:sz="4" w:space="0" w:color="000000"/>
            </w:tcBorders>
          </w:tcPr>
          <w:p>
            <w:pPr>
              <w:pStyle w:val="TableParagraph"/>
              <w:spacing w:line="202" w:lineRule="exact"/>
              <w:ind w:right="10"/>
              <w:jc w:val="center"/>
              <w:rPr>
                <w:rFonts w:ascii="Times New Roman" w:hAnsi="Times New Roman" w:cs="Times New Roman" w:eastAsia="Times New Roman" w:hint="default"/>
                <w:sz w:val="18"/>
                <w:szCs w:val="18"/>
              </w:rPr>
            </w:pPr>
            <w:r>
              <w:rPr>
                <w:rFonts w:ascii="Times New Roman"/>
                <w:sz w:val="18"/>
              </w:rPr>
              <w:t>GRG</w:t>
            </w:r>
          </w:p>
          <w:p>
            <w:pPr>
              <w:pStyle w:val="TableParagraph"/>
              <w:spacing w:line="240" w:lineRule="auto"/>
              <w:ind w:left="14" w:right="23" w:hanging="3"/>
              <w:jc w:val="center"/>
              <w:rPr>
                <w:rFonts w:ascii="Times New Roman" w:hAnsi="Times New Roman" w:cs="Times New Roman" w:eastAsia="Times New Roman" w:hint="default"/>
                <w:sz w:val="18"/>
                <w:szCs w:val="18"/>
              </w:rPr>
            </w:pPr>
            <w:r>
              <w:rPr>
                <w:rFonts w:ascii="Times New Roman"/>
                <w:sz w:val="18"/>
              </w:rPr>
              <w:t>Banking Equipment( HK)</w:t>
            </w:r>
          </w:p>
        </w:tc>
        <w:tc>
          <w:tcPr>
            <w:tcW w:w="720" w:type="dxa"/>
            <w:tcBorders>
              <w:top w:val="single" w:sz="4" w:space="0" w:color="000000"/>
              <w:left w:val="single" w:sz="4" w:space="0" w:color="000000"/>
              <w:bottom w:val="nil" w:sz="6" w:space="0" w:color="auto"/>
              <w:right w:val="single" w:sz="4" w:space="0" w:color="000000"/>
            </w:tcBorders>
          </w:tcPr>
          <w:p>
            <w:pPr>
              <w:pStyle w:val="TableParagraph"/>
              <w:spacing w:line="237" w:lineRule="auto" w:before="138"/>
              <w:ind w:left="169" w:right="179"/>
              <w:jc w:val="both"/>
              <w:rPr>
                <w:rFonts w:ascii="宋体" w:hAnsi="宋体" w:cs="宋体" w:eastAsia="宋体" w:hint="default"/>
                <w:sz w:val="18"/>
                <w:szCs w:val="18"/>
              </w:rPr>
            </w:pPr>
            <w:r>
              <w:rPr>
                <w:rFonts w:ascii="宋体" w:hAnsi="宋体" w:cs="宋体" w:eastAsia="宋体" w:hint="default"/>
                <w:sz w:val="18"/>
                <w:szCs w:val="18"/>
              </w:rPr>
              <w:t>全资 子公 司</w:t>
            </w:r>
          </w:p>
        </w:tc>
        <w:tc>
          <w:tcPr>
            <w:tcW w:w="61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10"/>
              <w:jc w:val="center"/>
              <w:rPr>
                <w:rFonts w:ascii="宋体" w:hAnsi="宋体" w:cs="宋体" w:eastAsia="宋体" w:hint="default"/>
                <w:sz w:val="18"/>
                <w:szCs w:val="18"/>
              </w:rPr>
            </w:pPr>
            <w:r>
              <w:rPr>
                <w:rFonts w:ascii="宋体" w:hAnsi="宋体" w:cs="宋体" w:eastAsia="宋体" w:hint="default"/>
                <w:sz w:val="18"/>
                <w:szCs w:val="18"/>
              </w:rPr>
              <w:t>香港</w:t>
            </w:r>
          </w:p>
        </w:tc>
        <w:tc>
          <w:tcPr>
            <w:tcW w:w="7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32" w:lineRule="exact"/>
              <w:ind w:left="169" w:right="89" w:hanging="90"/>
              <w:jc w:val="left"/>
              <w:rPr>
                <w:rFonts w:ascii="宋体" w:hAnsi="宋体" w:cs="宋体" w:eastAsia="宋体" w:hint="default"/>
                <w:sz w:val="18"/>
                <w:szCs w:val="18"/>
              </w:rPr>
            </w:pPr>
            <w:r>
              <w:rPr>
                <w:rFonts w:ascii="宋体" w:hAnsi="宋体" w:cs="宋体" w:eastAsia="宋体" w:hint="default"/>
                <w:sz w:val="18"/>
                <w:szCs w:val="18"/>
              </w:rPr>
              <w:t>投资及 贸易</w:t>
            </w:r>
          </w:p>
        </w:tc>
        <w:tc>
          <w:tcPr>
            <w:tcW w:w="84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14"/>
              <w:jc w:val="right"/>
              <w:rPr>
                <w:rFonts w:ascii="Times New Roman" w:hAnsi="Times New Roman" w:cs="Times New Roman" w:eastAsia="Times New Roman" w:hint="default"/>
                <w:sz w:val="18"/>
                <w:szCs w:val="18"/>
              </w:rPr>
            </w:pPr>
            <w:r>
              <w:rPr>
                <w:rFonts w:ascii="宋体" w:hAnsi="宋体" w:cs="宋体" w:eastAsia="宋体" w:hint="default"/>
                <w:sz w:val="18"/>
                <w:szCs w:val="18"/>
              </w:rPr>
              <w:t>美元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p>
        </w:tc>
        <w:tc>
          <w:tcPr>
            <w:tcW w:w="168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投资及贸易</w:t>
            </w:r>
          </w:p>
        </w:tc>
        <w:tc>
          <w:tcPr>
            <w:tcW w:w="100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1,237.698</w:t>
            </w:r>
          </w:p>
        </w:tc>
        <w:tc>
          <w:tcPr>
            <w:tcW w:w="111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1,237.698</w:t>
            </w:r>
          </w:p>
        </w:tc>
        <w:tc>
          <w:tcPr>
            <w:tcW w:w="90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6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98" w:hRule="exact"/>
        </w:trPr>
        <w:tc>
          <w:tcPr>
            <w:tcW w:w="900" w:type="dxa"/>
            <w:tcBorders>
              <w:top w:val="nil" w:sz="6" w:space="0" w:color="auto"/>
              <w:left w:val="single" w:sz="4" w:space="0" w:color="000000"/>
              <w:bottom w:val="single" w:sz="4" w:space="0" w:color="000000"/>
              <w:right w:val="single" w:sz="4" w:space="0" w:color="000000"/>
            </w:tcBorders>
          </w:tcPr>
          <w:p>
            <w:pPr>
              <w:pStyle w:val="TableParagraph"/>
              <w:spacing w:line="188" w:lineRule="exact"/>
              <w:ind w:left="3" w:right="0"/>
              <w:jc w:val="left"/>
              <w:rPr>
                <w:rFonts w:ascii="Times New Roman" w:hAnsi="Times New Roman" w:cs="Times New Roman" w:eastAsia="Times New Roman" w:hint="default"/>
                <w:sz w:val="18"/>
                <w:szCs w:val="18"/>
              </w:rPr>
            </w:pPr>
            <w:r>
              <w:rPr>
                <w:rFonts w:ascii="Times New Roman"/>
                <w:sz w:val="18"/>
              </w:rPr>
              <w:t>Co.,Limited</w:t>
            </w:r>
          </w:p>
        </w:tc>
        <w:tc>
          <w:tcPr>
            <w:tcW w:w="720" w:type="dxa"/>
            <w:tcBorders>
              <w:top w:val="nil" w:sz="6" w:space="0" w:color="auto"/>
              <w:left w:val="single" w:sz="4" w:space="0" w:color="000000"/>
              <w:bottom w:val="single" w:sz="4" w:space="0" w:color="000000"/>
              <w:right w:val="single" w:sz="4" w:space="0" w:color="000000"/>
            </w:tcBorders>
          </w:tcPr>
          <w:p>
            <w:pPr/>
          </w:p>
        </w:tc>
        <w:tc>
          <w:tcPr>
            <w:tcW w:w="612"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840" w:type="dxa"/>
            <w:tcBorders>
              <w:top w:val="nil" w:sz="6" w:space="0" w:color="auto"/>
              <w:left w:val="single" w:sz="4" w:space="0" w:color="000000"/>
              <w:bottom w:val="single" w:sz="4" w:space="0" w:color="000000"/>
              <w:right w:val="single" w:sz="4" w:space="0" w:color="000000"/>
            </w:tcBorders>
          </w:tcPr>
          <w:p>
            <w:pPr/>
          </w:p>
        </w:tc>
        <w:tc>
          <w:tcPr>
            <w:tcW w:w="1680" w:type="dxa"/>
            <w:tcBorders>
              <w:top w:val="nil" w:sz="6" w:space="0" w:color="auto"/>
              <w:left w:val="single" w:sz="4" w:space="0" w:color="000000"/>
              <w:bottom w:val="single" w:sz="4" w:space="0" w:color="000000"/>
              <w:right w:val="single" w:sz="4" w:space="0" w:color="000000"/>
            </w:tcBorders>
          </w:tcPr>
          <w:p>
            <w:pPr/>
          </w:p>
        </w:tc>
        <w:tc>
          <w:tcPr>
            <w:tcW w:w="1008" w:type="dxa"/>
            <w:tcBorders>
              <w:top w:val="nil" w:sz="6" w:space="0" w:color="auto"/>
              <w:left w:val="single" w:sz="4" w:space="0" w:color="000000"/>
              <w:bottom w:val="single" w:sz="4" w:space="0" w:color="000000"/>
              <w:right w:val="single" w:sz="4" w:space="0" w:color="000000"/>
            </w:tcBorders>
          </w:tcPr>
          <w:p>
            <w:pPr/>
          </w:p>
        </w:tc>
        <w:tc>
          <w:tcPr>
            <w:tcW w:w="1112"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22"/>
          <w:szCs w:val="22"/>
        </w:rPr>
      </w:pPr>
    </w:p>
    <w:p>
      <w:pPr>
        <w:spacing w:line="350" w:lineRule="auto" w:before="35"/>
        <w:ind w:left="1439" w:right="5510" w:firstLine="2"/>
        <w:jc w:val="left"/>
        <w:rPr>
          <w:rFonts w:ascii="宋体" w:hAnsi="宋体" w:cs="宋体" w:eastAsia="宋体" w:hint="default"/>
          <w:sz w:val="21"/>
          <w:szCs w:val="21"/>
        </w:rPr>
      </w:pPr>
      <w:r>
        <w:rPr>
          <w:rFonts w:ascii="宋体" w:hAnsi="宋体" w:cs="宋体" w:eastAsia="宋体" w:hint="default"/>
          <w:b/>
          <w:bCs/>
          <w:sz w:val="21"/>
          <w:szCs w:val="21"/>
        </w:rPr>
        <w:t>（二）本期发生增减变动子公司情况</w:t>
      </w:r>
      <w:r>
        <w:rPr>
          <w:rFonts w:ascii="宋体" w:hAnsi="宋体" w:cs="宋体" w:eastAsia="宋体" w:hint="default"/>
          <w:b/>
          <w:bCs/>
          <w:w w:val="99"/>
          <w:sz w:val="21"/>
          <w:szCs w:val="21"/>
        </w:rPr>
        <w:t> </w:t>
      </w:r>
      <w:r>
        <w:rPr>
          <w:rFonts w:ascii="宋体" w:hAnsi="宋体" w:cs="宋体" w:eastAsia="宋体" w:hint="default"/>
          <w:sz w:val="21"/>
          <w:szCs w:val="21"/>
        </w:rPr>
        <w:t>本期新增子公司两家： </w:t>
      </w:r>
      <w:r>
        <w:rPr>
          <w:rFonts w:ascii="Times New Roman" w:hAnsi="Times New Roman" w:cs="Times New Roman" w:eastAsia="Times New Roman" w:hint="default"/>
          <w:sz w:val="21"/>
          <w:szCs w:val="21"/>
        </w:rPr>
        <w:t>1</w:t>
      </w:r>
      <w:r>
        <w:rPr>
          <w:rFonts w:ascii="宋体" w:hAnsi="宋体" w:cs="宋体" w:eastAsia="宋体" w:hint="default"/>
          <w:sz w:val="21"/>
          <w:szCs w:val="21"/>
        </w:rPr>
        <w:t>、广州穗通金融服务有限公司</w:t>
      </w:r>
    </w:p>
    <w:p>
      <w:pPr>
        <w:pStyle w:val="BodyText"/>
        <w:spacing w:line="340" w:lineRule="auto" w:before="2"/>
        <w:ind w:left="1019" w:right="901" w:firstLine="420"/>
        <w:jc w:val="left"/>
      </w:pPr>
      <w:r>
        <w:rPr/>
        <w:t>经</w:t>
      </w:r>
      <w:r>
        <w:rPr>
          <w:spacing w:val="-5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日第一届董事会第二十次（临时）会议决议通过，为进一步加深与 </w:t>
      </w:r>
      <w:r>
        <w:rPr>
          <w:spacing w:val="-8"/>
        </w:rPr>
        <w:t>银行的合作，促进本公司</w:t>
      </w:r>
      <w:r>
        <w:rPr/>
        <w:t> </w:t>
      </w:r>
      <w:r>
        <w:rPr>
          <w:rFonts w:ascii="Times New Roman" w:hAnsi="Times New Roman" w:cs="Times New Roman" w:eastAsia="Times New Roman" w:hint="default"/>
          <w:spacing w:val="-8"/>
          <w:w w:val="99"/>
        </w:rPr>
        <w:t>ATM</w:t>
      </w:r>
      <w:r>
        <w:rPr>
          <w:rFonts w:ascii="Times New Roman" w:hAnsi="Times New Roman" w:cs="Times New Roman" w:eastAsia="Times New Roman" w:hint="default"/>
          <w:spacing w:val="20"/>
          <w:w w:val="99"/>
        </w:rPr>
        <w:t> </w:t>
      </w:r>
      <w:r>
        <w:rPr>
          <w:spacing w:val="-4"/>
        </w:rPr>
        <w:t>产品销售以及营运业务的发展，进一步提升公司市场占有率，</w:t>
      </w:r>
      <w:r>
        <w:rPr/>
        <w:t> </w:t>
      </w:r>
      <w:r>
        <w:rPr>
          <w:spacing w:val="-6"/>
        </w:rPr>
        <w:t>同时培养公司新的利润增长点，公司拟与广州汇卓投资有限公司（以下简称“广州汇卓”）、</w:t>
      </w:r>
      <w:r>
        <w:rPr>
          <w:spacing w:val="-69"/>
        </w:rPr>
        <w:t> </w:t>
      </w:r>
      <w:r>
        <w:rPr>
          <w:spacing w:val="-69"/>
        </w:rPr>
      </w:r>
      <w:r>
        <w:rPr>
          <w:spacing w:val="-3"/>
        </w:rPr>
        <w:t>广州市东亚有限公司（以下简称“广州东亚”）和广州市穗保安全押运公司（以下简称“广</w:t>
      </w:r>
      <w:r>
        <w:rPr>
          <w:spacing w:val="-84"/>
        </w:rPr>
        <w:t> </w:t>
      </w:r>
      <w:r>
        <w:rPr>
          <w:spacing w:val="-84"/>
        </w:rPr>
      </w:r>
      <w:r>
        <w:rPr>
          <w:spacing w:val="-3"/>
        </w:rPr>
        <w:t>州穗保”）出资设立合资公司，合资公司将通过承接银行的外包业务获取外包服务收益。</w:t>
      </w:r>
    </w:p>
    <w:p>
      <w:pPr>
        <w:pStyle w:val="BodyText"/>
        <w:spacing w:line="240" w:lineRule="auto" w:before="38"/>
        <w:ind w:left="1439" w:right="901"/>
        <w:jc w:val="left"/>
        <w:rPr>
          <w:rFonts w:ascii="Times New Roman" w:hAnsi="Times New Roman" w:cs="Times New Roman" w:eastAsia="Times New Roman" w:hint="default"/>
        </w:rPr>
      </w:pPr>
      <w:r>
        <w:rPr/>
        <w:t>合资公司注册资本为 </w:t>
      </w:r>
      <w:r>
        <w:rPr>
          <w:rFonts w:ascii="Times New Roman" w:hAnsi="Times New Roman" w:cs="Times New Roman" w:eastAsia="Times New Roman" w:hint="default"/>
        </w:rPr>
        <w:t>3</w:t>
      </w:r>
      <w:r>
        <w:rPr>
          <w:rFonts w:ascii="Times New Roman" w:hAnsi="Times New Roman" w:cs="Times New Roman" w:eastAsia="Times New Roman" w:hint="default"/>
          <w:spacing w:val="-1"/>
        </w:rPr>
        <w:t>,0</w:t>
      </w:r>
      <w:r>
        <w:rPr>
          <w:rFonts w:ascii="Times New Roman" w:hAnsi="Times New Roman" w:cs="Times New Roman" w:eastAsia="Times New Roman" w:hint="default"/>
        </w:rPr>
        <w:t>00 </w:t>
      </w:r>
      <w:r>
        <w:rPr>
          <w:rFonts w:ascii="Times New Roman" w:hAnsi="Times New Roman" w:cs="Times New Roman" w:eastAsia="Times New Roman" w:hint="default"/>
          <w:spacing w:val="-1"/>
        </w:rPr>
        <w:t> </w:t>
      </w:r>
      <w:r>
        <w:rPr/>
        <w:t>万</w:t>
      </w:r>
      <w:r>
        <w:rPr>
          <w:spacing w:val="-24"/>
        </w:rPr>
        <w:t>元</w:t>
      </w:r>
      <w:r>
        <w:rPr/>
        <w:t>（人民币</w:t>
      </w:r>
      <w:r>
        <w:rPr>
          <w:spacing w:val="-24"/>
        </w:rPr>
        <w:t>，</w:t>
      </w:r>
      <w:r>
        <w:rPr/>
        <w:t>下同</w:t>
      </w:r>
      <w:r>
        <w:rPr>
          <w:spacing w:val="-105"/>
        </w:rPr>
        <w:t>）</w:t>
      </w:r>
      <w:r>
        <w:rPr>
          <w:spacing w:val="-24"/>
        </w:rPr>
        <w:t>，</w:t>
      </w:r>
      <w:r>
        <w:rPr/>
        <w:t>其中公司出资</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w:t>
      </w:r>
      <w:r>
        <w:rPr>
          <w:rFonts w:ascii="Times New Roman" w:hAnsi="Times New Roman" w:cs="Times New Roman" w:eastAsia="Times New Roman" w:hint="default"/>
        </w:rPr>
        <w:t>5</w:t>
      </w:r>
      <w:r>
        <w:rPr>
          <w:rFonts w:ascii="Times New Roman" w:hAnsi="Times New Roman" w:cs="Times New Roman" w:eastAsia="Times New Roman" w:hint="default"/>
          <w:spacing w:val="-1"/>
        </w:rPr>
        <w:t>3</w:t>
      </w:r>
      <w:r>
        <w:rPr>
          <w:rFonts w:ascii="Times New Roman" w:hAnsi="Times New Roman" w:cs="Times New Roman" w:eastAsia="Times New Roman" w:hint="default"/>
        </w:rPr>
        <w:t>0  </w:t>
      </w:r>
      <w:r>
        <w:rPr/>
        <w:t>万元</w:t>
      </w:r>
      <w:r>
        <w:rPr>
          <w:spacing w:val="-24"/>
        </w:rPr>
        <w:t>，</w:t>
      </w:r>
      <w:r>
        <w:rPr/>
        <w:t>占比</w:t>
      </w:r>
      <w:r>
        <w:rPr>
          <w:spacing w:val="-53"/>
        </w:rPr>
        <w:t> </w:t>
      </w:r>
      <w:r>
        <w:rPr>
          <w:rFonts w:ascii="Times New Roman" w:hAnsi="Times New Roman" w:cs="Times New Roman" w:eastAsia="Times New Roman" w:hint="default"/>
        </w:rPr>
        <w:t>51</w:t>
      </w:r>
    </w:p>
    <w:p>
      <w:pPr>
        <w:pStyle w:val="BodyText"/>
        <w:spacing w:line="331" w:lineRule="auto" w:before="109"/>
        <w:ind w:left="1019" w:right="1014" w:hanging="1"/>
        <w:jc w:val="both"/>
      </w:pPr>
      <w:r>
        <w:rPr>
          <w:spacing w:val="-3"/>
        </w:rPr>
        <w:t>％；广州汇卓出资</w:t>
      </w:r>
      <w:r>
        <w:rPr>
          <w:spacing w:val="-55"/>
        </w:rPr>
        <w:t> </w:t>
      </w:r>
      <w:r>
        <w:rPr>
          <w:rFonts w:ascii="Times New Roman" w:hAnsi="Times New Roman" w:cs="Times New Roman" w:eastAsia="Times New Roman" w:hint="default"/>
        </w:rPr>
        <w:t>870</w:t>
      </w:r>
      <w:r>
        <w:rPr>
          <w:rFonts w:ascii="Times New Roman" w:hAnsi="Times New Roman" w:cs="Times New Roman" w:eastAsia="Times New Roman" w:hint="default"/>
          <w:spacing w:val="49"/>
        </w:rPr>
        <w:t> </w:t>
      </w:r>
      <w:r>
        <w:rPr>
          <w:spacing w:val="-4"/>
        </w:rPr>
        <w:t>万元，占比</w:t>
      </w:r>
      <w:r>
        <w:rPr>
          <w:spacing w:val="-55"/>
        </w:rPr>
        <w:t> </w:t>
      </w:r>
      <w:r>
        <w:rPr>
          <w:rFonts w:ascii="Times New Roman" w:hAnsi="Times New Roman" w:cs="Times New Roman" w:eastAsia="Times New Roman" w:hint="default"/>
        </w:rPr>
        <w:t>29</w:t>
      </w:r>
      <w:r>
        <w:rPr/>
        <w:t>％；广州东亚出资</w:t>
      </w:r>
      <w:r>
        <w:rPr>
          <w:spacing w:val="-55"/>
        </w:rPr>
        <w:t> </w:t>
      </w:r>
      <w:r>
        <w:rPr>
          <w:rFonts w:ascii="Times New Roman" w:hAnsi="Times New Roman" w:cs="Times New Roman" w:eastAsia="Times New Roman" w:hint="default"/>
        </w:rPr>
        <w:t>360</w:t>
      </w:r>
      <w:r>
        <w:rPr>
          <w:rFonts w:ascii="Times New Roman" w:hAnsi="Times New Roman" w:cs="Times New Roman" w:eastAsia="Times New Roman" w:hint="default"/>
          <w:spacing w:val="49"/>
        </w:rPr>
        <w:t> </w:t>
      </w:r>
      <w:r>
        <w:rPr>
          <w:spacing w:val="-4"/>
        </w:rPr>
        <w:t>万元，占比</w:t>
      </w:r>
      <w:r>
        <w:rPr>
          <w:spacing w:val="-55"/>
        </w:rPr>
        <w:t> </w:t>
      </w:r>
      <w:r>
        <w:rPr>
          <w:rFonts w:ascii="Times New Roman" w:hAnsi="Times New Roman" w:cs="Times New Roman" w:eastAsia="Times New Roman" w:hint="default"/>
          <w:spacing w:val="-3"/>
        </w:rPr>
        <w:t>12</w:t>
      </w:r>
      <w:r>
        <w:rPr>
          <w:spacing w:val="-3"/>
        </w:rPr>
        <w:t>％；广州穗保出</w:t>
      </w:r>
      <w:r>
        <w:rPr/>
        <w:t> 资 </w:t>
      </w:r>
      <w:r>
        <w:rPr>
          <w:rFonts w:ascii="Times New Roman" w:hAnsi="Times New Roman" w:cs="Times New Roman" w:eastAsia="Times New Roman" w:hint="default"/>
        </w:rPr>
        <w:t>240 </w:t>
      </w:r>
      <w:r>
        <w:rPr>
          <w:spacing w:val="-7"/>
        </w:rPr>
        <w:t>万元，占比</w:t>
      </w:r>
      <w:r>
        <w:rPr>
          <w:spacing w:val="-77"/>
        </w:rPr>
        <w:t> </w:t>
      </w:r>
      <w:r>
        <w:rPr>
          <w:rFonts w:ascii="Times New Roman" w:hAnsi="Times New Roman" w:cs="Times New Roman" w:eastAsia="Times New Roman" w:hint="default"/>
          <w:spacing w:val="-3"/>
        </w:rPr>
        <w:t>8</w:t>
      </w:r>
      <w:r>
        <w:rPr>
          <w:spacing w:val="-3"/>
        </w:rPr>
        <w:t>％。合资公司成立后因业务发展需要增加投资时，合资公司各投资方按</w:t>
      </w:r>
      <w:r>
        <w:rPr/>
        <w:t> 同样比例增加出资额，出资总额以 </w:t>
      </w:r>
      <w:r>
        <w:rPr>
          <w:rFonts w:ascii="Times New Roman" w:hAnsi="Times New Roman" w:cs="Times New Roman" w:eastAsia="Times New Roman" w:hint="default"/>
        </w:rPr>
        <w:t>7,500</w:t>
      </w:r>
      <w:r>
        <w:rPr>
          <w:rFonts w:ascii="Times New Roman" w:hAnsi="Times New Roman" w:cs="Times New Roman" w:eastAsia="Times New Roman" w:hint="default"/>
          <w:spacing w:val="-4"/>
        </w:rPr>
        <w:t> </w:t>
      </w:r>
      <w:r>
        <w:rPr/>
        <w:t>万元为限。</w:t>
      </w:r>
    </w:p>
    <w:p>
      <w:pPr>
        <w:pStyle w:val="BodyText"/>
        <w:spacing w:line="240" w:lineRule="auto" w:before="20"/>
        <w:ind w:left="1439" w:right="901"/>
        <w:jc w:val="left"/>
      </w:pPr>
      <w:r>
        <w:rPr/>
        <w:t>合资公司名称为广州穗通金融服务有限公司，于</w:t>
      </w:r>
      <w:r>
        <w:rPr>
          <w:spacing w:val="-5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日成立，注册资本为</w:t>
      </w:r>
    </w:p>
    <w:p>
      <w:pPr>
        <w:pStyle w:val="BodyText"/>
        <w:spacing w:line="331" w:lineRule="auto" w:before="109"/>
        <w:ind w:left="1020" w:right="1015" w:hanging="1"/>
        <w:jc w:val="both"/>
      </w:pPr>
      <w:r>
        <w:rPr>
          <w:rFonts w:ascii="Times New Roman" w:hAnsi="Times New Roman" w:cs="Times New Roman" w:eastAsia="Times New Roman" w:hint="default"/>
        </w:rPr>
        <w:t>3,000 </w:t>
      </w:r>
      <w:r>
        <w:rPr/>
        <w:t>万元，其中公司出资 </w:t>
      </w:r>
      <w:r>
        <w:rPr>
          <w:rFonts w:ascii="Times New Roman" w:hAnsi="Times New Roman" w:cs="Times New Roman" w:eastAsia="Times New Roman" w:hint="default"/>
        </w:rPr>
        <w:t>1,530 </w:t>
      </w:r>
      <w:r>
        <w:rPr/>
        <w:t>万元，占比 </w:t>
      </w:r>
      <w:r>
        <w:rPr>
          <w:rFonts w:ascii="Times New Roman" w:hAnsi="Times New Roman" w:cs="Times New Roman" w:eastAsia="Times New Roman" w:hint="default"/>
        </w:rPr>
        <w:t>51</w:t>
      </w:r>
      <w:r>
        <w:rPr/>
        <w:t>％；广州汇卓出资 </w:t>
      </w:r>
      <w:r>
        <w:rPr>
          <w:rFonts w:ascii="Times New Roman" w:hAnsi="Times New Roman" w:cs="Times New Roman" w:eastAsia="Times New Roman" w:hint="default"/>
        </w:rPr>
        <w:t>870 </w:t>
      </w:r>
      <w:r>
        <w:rPr/>
        <w:t>万元，占比</w:t>
      </w:r>
      <w:r>
        <w:rPr>
          <w:spacing w:val="-55"/>
        </w:rPr>
        <w:t> </w:t>
      </w:r>
      <w:r>
        <w:rPr>
          <w:rFonts w:ascii="Times New Roman" w:hAnsi="Times New Roman" w:cs="Times New Roman" w:eastAsia="Times New Roman" w:hint="default"/>
        </w:rPr>
        <w:t>29</w:t>
      </w:r>
      <w:r>
        <w:rPr/>
        <w:t>％； 广州东亚出资</w:t>
      </w:r>
      <w:r>
        <w:rPr>
          <w:spacing w:val="-51"/>
        </w:rPr>
        <w:t> </w:t>
      </w:r>
      <w:r>
        <w:rPr>
          <w:rFonts w:ascii="Times New Roman" w:hAnsi="Times New Roman" w:cs="Times New Roman" w:eastAsia="Times New Roman" w:hint="default"/>
        </w:rPr>
        <w:t>360</w:t>
      </w:r>
      <w:r>
        <w:rPr>
          <w:rFonts w:ascii="Times New Roman" w:hAnsi="Times New Roman" w:cs="Times New Roman" w:eastAsia="Times New Roman" w:hint="default"/>
          <w:spacing w:val="51"/>
        </w:rPr>
        <w:t> </w:t>
      </w:r>
      <w:r>
        <w:rPr/>
        <w:t>万元，占比</w:t>
      </w:r>
      <w:r>
        <w:rPr>
          <w:spacing w:val="-51"/>
        </w:rPr>
        <w:t> </w:t>
      </w:r>
      <w:r>
        <w:rPr>
          <w:rFonts w:ascii="Times New Roman" w:hAnsi="Times New Roman" w:cs="Times New Roman" w:eastAsia="Times New Roman" w:hint="default"/>
        </w:rPr>
        <w:t>12</w:t>
      </w:r>
      <w:r>
        <w:rPr/>
        <w:t>％；广州穗保出资</w:t>
      </w:r>
      <w:r>
        <w:rPr>
          <w:spacing w:val="-51"/>
        </w:rPr>
        <w:t> </w:t>
      </w:r>
      <w:r>
        <w:rPr>
          <w:rFonts w:ascii="Times New Roman" w:hAnsi="Times New Roman" w:cs="Times New Roman" w:eastAsia="Times New Roman" w:hint="default"/>
        </w:rPr>
        <w:t>240</w:t>
      </w:r>
      <w:r>
        <w:rPr>
          <w:rFonts w:ascii="Times New Roman" w:hAnsi="Times New Roman" w:cs="Times New Roman" w:eastAsia="Times New Roman" w:hint="default"/>
          <w:spacing w:val="51"/>
        </w:rPr>
        <w:t> </w:t>
      </w:r>
      <w:r>
        <w:rPr/>
        <w:t>万元，占比</w:t>
      </w:r>
      <w:r>
        <w:rPr>
          <w:spacing w:val="-51"/>
        </w:rPr>
        <w:t> </w:t>
      </w:r>
      <w:r>
        <w:rPr>
          <w:rFonts w:ascii="Times New Roman" w:hAnsi="Times New Roman" w:cs="Times New Roman" w:eastAsia="Times New Roman" w:hint="default"/>
        </w:rPr>
        <w:t>8</w:t>
      </w:r>
      <w:r>
        <w:rPr/>
        <w:t>％。注册地址为广州</w:t>
      </w:r>
    </w:p>
    <w:p>
      <w:pPr>
        <w:spacing w:after="0" w:line="331" w:lineRule="auto"/>
        <w:jc w:val="both"/>
        <w:sectPr>
          <w:pgSz w:w="11910" w:h="16840"/>
          <w:pgMar w:header="400" w:footer="982" w:top="1100" w:bottom="1180" w:left="780" w:right="780"/>
        </w:sectPr>
      </w:pPr>
    </w:p>
    <w:p>
      <w:pPr>
        <w:spacing w:line="240" w:lineRule="auto" w:before="12"/>
        <w:rPr>
          <w:rFonts w:ascii="宋体" w:hAnsi="宋体" w:cs="宋体" w:eastAsia="宋体" w:hint="default"/>
          <w:sz w:val="28"/>
          <w:szCs w:val="28"/>
        </w:rPr>
      </w:pPr>
    </w:p>
    <w:p>
      <w:pPr>
        <w:pStyle w:val="BodyText"/>
        <w:spacing w:line="240" w:lineRule="auto" w:before="35"/>
        <w:ind w:left="360" w:right="269"/>
        <w:jc w:val="left"/>
      </w:pPr>
      <w:r>
        <w:rPr/>
        <w:t>市天河区黄埔大道西平云路</w:t>
      </w:r>
      <w:r>
        <w:rPr>
          <w:spacing w:val="-50"/>
        </w:rPr>
        <w:t> </w:t>
      </w:r>
      <w:r>
        <w:rPr>
          <w:rFonts w:ascii="Times New Roman" w:hAnsi="Times New Roman" w:cs="Times New Roman" w:eastAsia="Times New Roman" w:hint="default"/>
        </w:rPr>
        <w:t>163</w:t>
      </w:r>
      <w:r>
        <w:rPr>
          <w:rFonts w:ascii="Times New Roman" w:hAnsi="Times New Roman" w:cs="Times New Roman" w:eastAsia="Times New Roman" w:hint="default"/>
          <w:spacing w:val="3"/>
        </w:rPr>
        <w:t> </w:t>
      </w:r>
      <w:r>
        <w:rPr>
          <w:spacing w:val="-4"/>
        </w:rPr>
        <w:t>号通讯车间大楼七楼东面，法定代表人为赵友永，取得广州</w:t>
      </w:r>
    </w:p>
    <w:p>
      <w:pPr>
        <w:pStyle w:val="BodyText"/>
        <w:spacing w:line="331" w:lineRule="auto" w:before="109"/>
        <w:ind w:left="359" w:right="368"/>
        <w:jc w:val="left"/>
      </w:pPr>
      <w:r>
        <w:rPr/>
        <w:t>市工商行政管理局签发注册号为</w:t>
      </w:r>
      <w:r>
        <w:rPr>
          <w:spacing w:val="-46"/>
        </w:rPr>
        <w:t> </w:t>
      </w:r>
      <w:r>
        <w:rPr>
          <w:rFonts w:ascii="Times New Roman" w:hAnsi="Times New Roman" w:cs="Times New Roman" w:eastAsia="Times New Roman" w:hint="default"/>
          <w:spacing w:val="-3"/>
        </w:rPr>
        <w:t>4401011112159</w:t>
      </w:r>
      <w:r>
        <w:rPr>
          <w:rFonts w:ascii="Times New Roman" w:hAnsi="Times New Roman" w:cs="Times New Roman" w:eastAsia="Times New Roman" w:hint="default"/>
          <w:spacing w:val="5"/>
        </w:rPr>
        <w:t> </w:t>
      </w:r>
      <w:r>
        <w:rPr>
          <w:spacing w:val="-4"/>
        </w:rPr>
        <w:t>的企业法人营业执照，经营范围为：受银行</w:t>
      </w:r>
      <w:r>
        <w:rPr>
          <w:spacing w:val="-103"/>
        </w:rPr>
        <w:t> </w:t>
      </w:r>
      <w:r>
        <w:rPr>
          <w:spacing w:val="-103"/>
        </w:rPr>
      </w:r>
      <w:r>
        <w:rPr/>
        <w:t>委托对自动柜员机进行维护及管理，对现金及有价证券提供清分处理服务。</w:t>
      </w:r>
    </w:p>
    <w:p>
      <w:pPr>
        <w:pStyle w:val="BodyText"/>
        <w:spacing w:line="240" w:lineRule="auto" w:before="45"/>
        <w:ind w:left="779" w:right="269"/>
        <w:jc w:val="left"/>
      </w:pPr>
      <w:r>
        <w:rPr/>
        <w:t>2、GRG Banking Equipment(HK)</w:t>
      </w:r>
      <w:r>
        <w:rPr>
          <w:spacing w:val="-18"/>
        </w:rPr>
        <w:t> </w:t>
      </w:r>
      <w:r>
        <w:rPr/>
        <w:t>Co.,Limited</w:t>
      </w:r>
    </w:p>
    <w:p>
      <w:pPr>
        <w:pStyle w:val="BodyText"/>
        <w:spacing w:line="331" w:lineRule="auto" w:before="125"/>
        <w:ind w:left="359" w:right="364" w:firstLine="419"/>
        <w:jc w:val="both"/>
      </w:pPr>
      <w:r>
        <w:rPr/>
        <w:t>经 </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18</w:t>
      </w:r>
      <w:r>
        <w:rPr>
          <w:rFonts w:ascii="Times New Roman" w:hAnsi="Times New Roman" w:cs="Times New Roman" w:eastAsia="Times New Roman" w:hint="default"/>
          <w:spacing w:val="10"/>
        </w:rPr>
        <w:t> </w:t>
      </w:r>
      <w:r>
        <w:rPr/>
        <w:t>日召开的第一届董事会第十六次</w:t>
      </w:r>
      <w:r>
        <w:rPr>
          <w:rFonts w:ascii="Times New Roman" w:hAnsi="Times New Roman" w:cs="Times New Roman" w:eastAsia="Times New Roman" w:hint="default"/>
        </w:rPr>
        <w:t>(</w:t>
      </w:r>
      <w:r>
        <w:rPr/>
        <w:t>临时</w:t>
      </w:r>
      <w:r>
        <w:rPr>
          <w:rFonts w:ascii="Times New Roman" w:hAnsi="Times New Roman" w:cs="Times New Roman" w:eastAsia="Times New Roman" w:hint="default"/>
        </w:rPr>
        <w:t>)</w:t>
      </w:r>
      <w:r>
        <w:rPr/>
        <w:t>会议审议通过，公司拟与</w:t>
      </w:r>
      <w:r>
        <w:rPr>
          <w:spacing w:val="2"/>
        </w:rPr>
        <w:t> </w:t>
      </w:r>
      <w:r>
        <w:rPr>
          <w:rFonts w:ascii="Times New Roman" w:hAnsi="Times New Roman" w:cs="Times New Roman" w:eastAsia="Times New Roman" w:hint="default"/>
          <w:spacing w:val="-1"/>
        </w:rPr>
        <w:t>Global</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
          <w:w w:val="99"/>
        </w:rPr>
        <w:t>Cash</w:t>
      </w:r>
      <w:r>
        <w:rPr>
          <w:rFonts w:ascii="Times New Roman" w:hAnsi="Times New Roman" w:cs="Times New Roman" w:eastAsia="Times New Roman" w:hint="default"/>
          <w:spacing w:val="11"/>
          <w:w w:val="99"/>
        </w:rPr>
        <w:t> </w:t>
      </w:r>
      <w:r>
        <w:rPr>
          <w:rFonts w:ascii="Times New Roman" w:hAnsi="Times New Roman" w:cs="Times New Roman" w:eastAsia="Times New Roman" w:hint="default"/>
          <w:spacing w:val="-1"/>
          <w:w w:val="99"/>
        </w:rPr>
        <w:t>Services</w:t>
      </w:r>
      <w:r>
        <w:rPr>
          <w:rFonts w:ascii="Times New Roman" w:hAnsi="Times New Roman" w:cs="Times New Roman" w:eastAsia="Times New Roman" w:hint="default"/>
          <w:spacing w:val="11"/>
          <w:w w:val="99"/>
        </w:rPr>
        <w:t> </w:t>
      </w:r>
      <w:r>
        <w:rPr>
          <w:rFonts w:ascii="Times New Roman" w:hAnsi="Times New Roman" w:cs="Times New Roman" w:eastAsia="Times New Roman" w:hint="default"/>
          <w:spacing w:val="-4"/>
          <w:w w:val="99"/>
        </w:rPr>
        <w:t>Pty.</w:t>
      </w:r>
      <w:r>
        <w:rPr>
          <w:rFonts w:ascii="Times New Roman" w:hAnsi="Times New Roman" w:cs="Times New Roman" w:eastAsia="Times New Roman" w:hint="default"/>
          <w:spacing w:val="11"/>
          <w:w w:val="99"/>
        </w:rPr>
        <w:t> </w:t>
      </w:r>
      <w:r>
        <w:rPr>
          <w:rFonts w:ascii="Times New Roman" w:hAnsi="Times New Roman" w:cs="Times New Roman" w:eastAsia="Times New Roman" w:hint="default"/>
          <w:spacing w:val="-4"/>
          <w:w w:val="99"/>
        </w:rPr>
        <w:t>Ltd</w:t>
      </w:r>
      <w:r>
        <w:rPr>
          <w:spacing w:val="-4"/>
          <w:w w:val="99"/>
        </w:rPr>
        <w:t>（以下简称“</w:t>
      </w:r>
      <w:r>
        <w:rPr>
          <w:rFonts w:ascii="Times New Roman" w:hAnsi="Times New Roman" w:cs="Times New Roman" w:eastAsia="Times New Roman" w:hint="default"/>
          <w:spacing w:val="-4"/>
          <w:w w:val="99"/>
        </w:rPr>
        <w:t>GCS</w:t>
      </w:r>
      <w:r>
        <w:rPr>
          <w:spacing w:val="-4"/>
          <w:w w:val="99"/>
        </w:rPr>
        <w:t>”）合资组建广电运通国际有限公司，合资公</w:t>
      </w:r>
      <w:r>
        <w:rPr>
          <w:spacing w:val="-102"/>
          <w:w w:val="99"/>
        </w:rPr>
        <w:t> </w:t>
      </w:r>
      <w:r>
        <w:rPr>
          <w:spacing w:val="-102"/>
          <w:w w:val="99"/>
        </w:rPr>
      </w:r>
      <w:r>
        <w:rPr/>
        <w:t>司注册地香港，投资比例为本公司占比 </w:t>
      </w:r>
      <w:r>
        <w:rPr>
          <w:rFonts w:ascii="Times New Roman" w:hAnsi="Times New Roman" w:cs="Times New Roman" w:eastAsia="Times New Roman" w:hint="default"/>
        </w:rPr>
        <w:t>60%</w:t>
      </w:r>
      <w:r>
        <w:rPr/>
        <w:t>，</w:t>
      </w:r>
      <w:r>
        <w:rPr>
          <w:rFonts w:ascii="Times New Roman" w:hAnsi="Times New Roman" w:cs="Times New Roman" w:eastAsia="Times New Roman" w:hint="default"/>
        </w:rPr>
        <w:t>GCS </w:t>
      </w:r>
      <w:r>
        <w:rPr/>
        <w:t>占比</w:t>
      </w:r>
      <w:r>
        <w:rPr>
          <w:spacing w:val="-59"/>
        </w:rPr>
        <w:t> </w:t>
      </w:r>
      <w:r>
        <w:rPr>
          <w:rFonts w:ascii="Times New Roman" w:hAnsi="Times New Roman" w:cs="Times New Roman" w:eastAsia="Times New Roman" w:hint="default"/>
        </w:rPr>
        <w:t>40%</w:t>
      </w:r>
      <w:r>
        <w:rPr/>
        <w:t>，合资各方均以现金（美元） 出资。</w:t>
      </w:r>
      <w:r>
        <w:rPr>
          <w:rFonts w:ascii="Times New Roman" w:hAnsi="Times New Roman" w:cs="Times New Roman" w:eastAsia="Times New Roman" w:hint="default"/>
        </w:rPr>
        <w:t>GCS</w:t>
      </w:r>
      <w:r>
        <w:rPr>
          <w:rFonts w:ascii="Times New Roman" w:hAnsi="Times New Roman" w:cs="Times New Roman" w:eastAsia="Times New Roman" w:hint="default"/>
          <w:spacing w:val="1"/>
        </w:rPr>
        <w:t> </w:t>
      </w:r>
      <w:r>
        <w:rPr/>
        <w:t>因受全球金融风暴的影响拟退出运通国际。经协商，双方签订补充协议，改变</w:t>
      </w:r>
      <w:r>
        <w:rPr>
          <w:spacing w:val="1"/>
        </w:rPr>
        <w:t> </w:t>
      </w:r>
      <w:r>
        <w:rPr/>
        <w:t>合作方式，同意 </w:t>
      </w:r>
      <w:r>
        <w:rPr>
          <w:rFonts w:ascii="Times New Roman" w:hAnsi="Times New Roman" w:cs="Times New Roman" w:eastAsia="Times New Roman" w:hint="default"/>
        </w:rPr>
        <w:t>GCS </w:t>
      </w:r>
      <w:r>
        <w:rPr/>
        <w:t>退出运通国际，由本公司拥有运通国际</w:t>
      </w:r>
      <w:r>
        <w:rPr>
          <w:spacing w:val="-36"/>
        </w:rPr>
        <w:t> </w:t>
      </w:r>
      <w:r>
        <w:rPr>
          <w:rFonts w:ascii="Times New Roman" w:hAnsi="Times New Roman" w:cs="Times New Roman" w:eastAsia="Times New Roman" w:hint="default"/>
        </w:rPr>
        <w:t>100</w:t>
      </w:r>
      <w:r>
        <w:rPr/>
        <w:t>％的股权，公司将原合资 协议中明确的目标市场的独家代理权授予 </w:t>
      </w:r>
      <w:r>
        <w:rPr>
          <w:rFonts w:ascii="Times New Roman" w:hAnsi="Times New Roman" w:cs="Times New Roman" w:eastAsia="Times New Roman" w:hint="default"/>
        </w:rPr>
        <w:t>GCS</w:t>
      </w:r>
      <w:r>
        <w:rPr>
          <w:rFonts w:ascii="Times New Roman" w:hAnsi="Times New Roman" w:cs="Times New Roman" w:eastAsia="Times New Roman" w:hint="default"/>
          <w:spacing w:val="-3"/>
        </w:rPr>
        <w:t> </w:t>
      </w:r>
      <w:r>
        <w:rPr/>
        <w:t>下属子公司，经营目标不变。</w:t>
      </w:r>
    </w:p>
    <w:p>
      <w:pPr>
        <w:pStyle w:val="BodyText"/>
        <w:spacing w:line="240" w:lineRule="auto" w:before="20"/>
        <w:ind w:left="780" w:right="269"/>
        <w:jc w:val="left"/>
      </w:pPr>
      <w:r>
        <w:rPr>
          <w:rFonts w:ascii="Times New Roman" w:hAnsi="Times New Roman" w:cs="Times New Roman" w:eastAsia="Times New Roman" w:hint="default"/>
        </w:rPr>
        <w:t>GRG</w:t>
      </w:r>
      <w:r>
        <w:rPr>
          <w:rFonts w:ascii="Times New Roman" w:hAnsi="Times New Roman" w:cs="Times New Roman" w:eastAsia="Times New Roman" w:hint="default"/>
          <w:spacing w:val="14"/>
        </w:rPr>
        <w:t> </w:t>
      </w:r>
      <w:r>
        <w:rPr>
          <w:rFonts w:ascii="Times New Roman" w:hAnsi="Times New Roman" w:cs="Times New Roman" w:eastAsia="Times New Roman" w:hint="default"/>
        </w:rPr>
        <w:t>Banking</w:t>
      </w:r>
      <w:r>
        <w:rPr>
          <w:rFonts w:ascii="Times New Roman" w:hAnsi="Times New Roman" w:cs="Times New Roman" w:eastAsia="Times New Roman" w:hint="default"/>
          <w:spacing w:val="13"/>
        </w:rPr>
        <w:t> </w:t>
      </w:r>
      <w:r>
        <w:rPr>
          <w:rFonts w:ascii="Times New Roman" w:hAnsi="Times New Roman" w:cs="Times New Roman" w:eastAsia="Times New Roman" w:hint="default"/>
        </w:rPr>
        <w:t>Equipment(HK)</w:t>
      </w:r>
      <w:r>
        <w:rPr>
          <w:rFonts w:ascii="Times New Roman" w:hAnsi="Times New Roman" w:cs="Times New Roman" w:eastAsia="Times New Roman" w:hint="default"/>
          <w:spacing w:val="14"/>
        </w:rPr>
        <w:t> </w:t>
      </w:r>
      <w:r>
        <w:rPr>
          <w:rFonts w:ascii="Times New Roman" w:hAnsi="Times New Roman" w:cs="Times New Roman" w:eastAsia="Times New Roman" w:hint="default"/>
        </w:rPr>
        <w:t>Co.,Limited</w:t>
      </w:r>
      <w:r>
        <w:rPr>
          <w:rFonts w:ascii="Times New Roman" w:hAnsi="Times New Roman" w:cs="Times New Roman" w:eastAsia="Times New Roman" w:hint="default"/>
          <w:spacing w:val="-2"/>
        </w:rPr>
        <w:t> </w:t>
      </w:r>
      <w:r>
        <w:rPr/>
        <w:t>成立于</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t>日，注册资本为美元</w:t>
      </w:r>
    </w:p>
    <w:p>
      <w:pPr>
        <w:pStyle w:val="BodyText"/>
        <w:spacing w:line="240" w:lineRule="auto" w:before="110"/>
        <w:ind w:left="359" w:right="269"/>
        <w:jc w:val="left"/>
      </w:pPr>
      <w:r>
        <w:rPr>
          <w:rFonts w:ascii="Times New Roman" w:hAnsi="Times New Roman" w:cs="Times New Roman" w:eastAsia="Times New Roman" w:hint="default"/>
        </w:rPr>
        <w:t>30.00</w:t>
      </w:r>
      <w:r>
        <w:rPr>
          <w:rFonts w:ascii="Times New Roman" w:hAnsi="Times New Roman" w:cs="Times New Roman" w:eastAsia="Times New Roman" w:hint="default"/>
          <w:spacing w:val="-2"/>
        </w:rPr>
        <w:t> </w:t>
      </w:r>
      <w:r>
        <w:rPr/>
        <w:t>万元，投资总额为美元</w:t>
      </w:r>
      <w:r>
        <w:rPr>
          <w:spacing w:val="-55"/>
        </w:rPr>
        <w:t> </w:t>
      </w:r>
      <w:r>
        <w:rPr>
          <w:rFonts w:ascii="Times New Roman" w:hAnsi="Times New Roman" w:cs="Times New Roman" w:eastAsia="Times New Roman" w:hint="default"/>
        </w:rPr>
        <w:t>300.00</w:t>
      </w:r>
      <w:r>
        <w:rPr>
          <w:rFonts w:ascii="Times New Roman" w:hAnsi="Times New Roman" w:cs="Times New Roman" w:eastAsia="Times New Roman" w:hint="default"/>
          <w:spacing w:val="-3"/>
        </w:rPr>
        <w:t> </w:t>
      </w:r>
      <w:r>
        <w:rPr/>
        <w:t>万元。其中本公司出资美元</w:t>
      </w:r>
      <w:r>
        <w:rPr>
          <w:spacing w:val="-55"/>
        </w:rPr>
        <w:t> </w:t>
      </w:r>
      <w:r>
        <w:rPr>
          <w:rFonts w:ascii="Times New Roman" w:hAnsi="Times New Roman" w:cs="Times New Roman" w:eastAsia="Times New Roman" w:hint="default"/>
        </w:rPr>
        <w:t>300.00</w:t>
      </w:r>
      <w:r>
        <w:rPr>
          <w:rFonts w:ascii="Times New Roman" w:hAnsi="Times New Roman" w:cs="Times New Roman" w:eastAsia="Times New Roman" w:hint="default"/>
          <w:spacing w:val="-3"/>
        </w:rPr>
        <w:t> </w:t>
      </w:r>
      <w:r>
        <w:rPr/>
        <w:t>万元，占比</w:t>
      </w:r>
      <w:r>
        <w:rPr>
          <w:spacing w:val="-55"/>
        </w:rPr>
        <w:t> </w:t>
      </w:r>
      <w:r>
        <w:rPr>
          <w:rFonts w:ascii="Times New Roman" w:hAnsi="Times New Roman" w:cs="Times New Roman" w:eastAsia="Times New Roman" w:hint="default"/>
        </w:rPr>
        <w:t>100%</w:t>
      </w:r>
      <w:r>
        <w:rPr/>
        <w:t>。</w:t>
      </w:r>
    </w:p>
    <w:p>
      <w:pPr>
        <w:pStyle w:val="BodyText"/>
        <w:spacing w:line="240" w:lineRule="auto" w:before="109"/>
        <w:ind w:left="359" w:right="269"/>
        <w:jc w:val="left"/>
      </w:pPr>
      <w:r>
        <w:rPr/>
        <w:t>注册地址为香港上环德辅道中</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4</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号东协商业大厦</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7 </w:t>
      </w:r>
      <w:r>
        <w:rPr/>
        <w:t>楼</w:t>
      </w:r>
      <w:r>
        <w:rPr>
          <w:spacing w:val="-53"/>
        </w:rPr>
        <w:t> </w:t>
      </w:r>
      <w:r>
        <w:rPr>
          <w:rFonts w:ascii="Times New Roman" w:hAnsi="Times New Roman" w:cs="Times New Roman" w:eastAsia="Times New Roman" w:hint="default"/>
          <w:spacing w:val="-1"/>
        </w:rPr>
        <w:t>17</w:t>
      </w:r>
      <w:r>
        <w:rPr>
          <w:rFonts w:ascii="Times New Roman" w:hAnsi="Times New Roman" w:cs="Times New Roman" w:eastAsia="Times New Roman" w:hint="default"/>
        </w:rPr>
        <w:t>02 </w:t>
      </w:r>
      <w:r>
        <w:rPr>
          <w:spacing w:val="-2"/>
        </w:rPr>
        <w:t>室</w:t>
      </w:r>
      <w:r>
        <w:rPr>
          <w:spacing w:val="-94"/>
        </w:rPr>
        <w:t>，</w:t>
      </w:r>
      <w:r>
        <w:rPr/>
        <w:t>取得</w:t>
      </w:r>
      <w:r>
        <w:rPr>
          <w:spacing w:val="-2"/>
        </w:rPr>
        <w:t>香</w:t>
      </w:r>
      <w:r>
        <w:rPr/>
        <w:t>港公司注册处签发</w:t>
      </w:r>
    </w:p>
    <w:p>
      <w:pPr>
        <w:pStyle w:val="BodyText"/>
        <w:spacing w:line="240" w:lineRule="auto" w:before="109"/>
        <w:ind w:left="359" w:right="269"/>
        <w:jc w:val="left"/>
      </w:pPr>
      <w:r>
        <w:rPr/>
        <w:t>注册号为</w:t>
      </w:r>
      <w:r>
        <w:rPr>
          <w:spacing w:val="-59"/>
        </w:rPr>
        <w:t> </w:t>
      </w:r>
      <w:r>
        <w:rPr>
          <w:rFonts w:ascii="Times New Roman" w:hAnsi="Times New Roman" w:cs="Times New Roman" w:eastAsia="Times New Roman" w:hint="default"/>
        </w:rPr>
        <w:t>39935822-000-10-08-4</w:t>
      </w:r>
      <w:r>
        <w:rPr>
          <w:rFonts w:ascii="Times New Roman" w:hAnsi="Times New Roman" w:cs="Times New Roman" w:eastAsia="Times New Roman" w:hint="default"/>
          <w:spacing w:val="-6"/>
        </w:rPr>
        <w:t> </w:t>
      </w:r>
      <w:r>
        <w:rPr/>
        <w:t>的公司注册证书，经营范围为：投资及贸易。</w:t>
      </w:r>
    </w:p>
    <w:p>
      <w:pPr>
        <w:pStyle w:val="Heading4"/>
        <w:spacing w:line="240" w:lineRule="auto" w:before="110"/>
        <w:ind w:left="781" w:right="269"/>
        <w:jc w:val="left"/>
        <w:rPr>
          <w:b w:val="0"/>
          <w:bCs w:val="0"/>
        </w:rPr>
      </w:pPr>
      <w:r>
        <w:rPr/>
        <w:t>（三）本期没有纳入合并范围但母公司拥有其半数或半数以下表决权的子公司。</w:t>
      </w:r>
      <w:r>
        <w:rPr>
          <w:b w:val="0"/>
          <w:bCs w:val="0"/>
        </w:rPr>
      </w:r>
    </w:p>
    <w:p>
      <w:pPr>
        <w:pStyle w:val="Heading4"/>
        <w:spacing w:line="240" w:lineRule="auto" w:before="125"/>
        <w:ind w:left="781" w:right="269"/>
        <w:jc w:val="left"/>
        <w:rPr>
          <w:b w:val="0"/>
          <w:bCs w:val="0"/>
        </w:rPr>
      </w:pPr>
      <w:r>
        <w:rPr/>
        <w:t>（四）本期没有母公司拥有半数以上表决权，但未能对其形成控制的被投资单位。</w:t>
      </w:r>
      <w:r>
        <w:rPr>
          <w:b w:val="0"/>
          <w:bCs w:val="0"/>
        </w:rPr>
      </w:r>
    </w:p>
    <w:p>
      <w:pPr>
        <w:spacing w:line="350" w:lineRule="auto" w:before="125"/>
        <w:ind w:left="779" w:right="3994" w:firstLine="2"/>
        <w:jc w:val="left"/>
        <w:rPr>
          <w:rFonts w:ascii="宋体" w:hAnsi="宋体" w:cs="宋体" w:eastAsia="宋体" w:hint="default"/>
          <w:sz w:val="21"/>
          <w:szCs w:val="21"/>
        </w:rPr>
      </w:pPr>
      <w:r>
        <w:rPr>
          <w:rFonts w:ascii="宋体" w:hAnsi="宋体" w:cs="宋体" w:eastAsia="宋体" w:hint="default"/>
          <w:b/>
          <w:bCs/>
          <w:sz w:val="21"/>
          <w:szCs w:val="21"/>
        </w:rPr>
        <w:t>（五）本期合并报表范围的变更情况</w:t>
      </w:r>
      <w:r>
        <w:rPr>
          <w:rFonts w:ascii="宋体" w:hAnsi="宋体" w:cs="宋体" w:eastAsia="宋体" w:hint="default"/>
          <w:b/>
          <w:bCs/>
          <w:w w:val="99"/>
          <w:sz w:val="21"/>
          <w:szCs w:val="21"/>
        </w:rPr>
        <w:t> </w:t>
      </w:r>
      <w:r>
        <w:rPr>
          <w:rFonts w:ascii="宋体" w:hAnsi="宋体" w:cs="宋体" w:eastAsia="宋体" w:hint="default"/>
          <w:sz w:val="21"/>
          <w:szCs w:val="21"/>
        </w:rPr>
        <w:t>与上期相比本期新增合并单位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家，原因为：</w:t>
      </w:r>
    </w:p>
    <w:p>
      <w:pPr>
        <w:spacing w:line="240" w:lineRule="auto" w:before="12"/>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2881"/>
        <w:gridCol w:w="1603"/>
        <w:gridCol w:w="1277"/>
        <w:gridCol w:w="1429"/>
        <w:gridCol w:w="1614"/>
      </w:tblGrid>
      <w:tr>
        <w:trPr>
          <w:trHeight w:val="360"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b/>
                <w:bCs/>
                <w:sz w:val="21"/>
                <w:szCs w:val="21"/>
              </w:rPr>
              <w:t>子公司名称</w:t>
            </w:r>
            <w:r>
              <w:rPr>
                <w:rFonts w:ascii="宋体" w:hAnsi="宋体" w:cs="宋体" w:eastAsia="宋体" w:hint="default"/>
                <w:sz w:val="21"/>
                <w:szCs w:val="21"/>
              </w:rPr>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hAnsi="宋体" w:cs="宋体" w:eastAsia="宋体" w:hint="default"/>
                <w:b/>
                <w:bCs/>
                <w:sz w:val="21"/>
                <w:szCs w:val="21"/>
              </w:rPr>
              <w:t>合计持股比例</w:t>
            </w:r>
            <w:r>
              <w:rPr>
                <w:rFonts w:ascii="宋体" w:hAnsi="宋体" w:cs="宋体" w:eastAsia="宋体"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
              <w:jc w:val="center"/>
              <w:rPr>
                <w:rFonts w:ascii="宋体" w:hAnsi="宋体" w:cs="宋体" w:eastAsia="宋体" w:hint="default"/>
                <w:sz w:val="21"/>
                <w:szCs w:val="21"/>
              </w:rPr>
            </w:pPr>
            <w:r>
              <w:rPr>
                <w:rFonts w:ascii="宋体" w:hAnsi="宋体" w:cs="宋体" w:eastAsia="宋体" w:hint="default"/>
                <w:b/>
                <w:bCs/>
                <w:sz w:val="21"/>
                <w:szCs w:val="21"/>
              </w:rPr>
              <w:t>年末净资产</w:t>
            </w:r>
            <w:r>
              <w:rPr>
                <w:rFonts w:ascii="宋体" w:hAnsi="宋体" w:cs="宋体" w:eastAsia="宋体" w:hint="default"/>
                <w:sz w:val="21"/>
                <w:szCs w:val="21"/>
              </w:rPr>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hAnsi="宋体" w:cs="宋体" w:eastAsia="宋体" w:hint="default"/>
                <w:b/>
                <w:bCs/>
                <w:sz w:val="21"/>
                <w:szCs w:val="21"/>
              </w:rPr>
              <w:t>本期净利润</w:t>
            </w:r>
            <w:r>
              <w:rPr>
                <w:rFonts w:ascii="宋体" w:hAnsi="宋体" w:cs="宋体" w:eastAsia="宋体" w:hint="default"/>
                <w:sz w:val="21"/>
                <w:szCs w:val="21"/>
              </w:rPr>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
              <w:jc w:val="center"/>
              <w:rPr>
                <w:rFonts w:ascii="宋体" w:hAnsi="宋体" w:cs="宋体" w:eastAsia="宋体" w:hint="default"/>
                <w:sz w:val="21"/>
                <w:szCs w:val="21"/>
              </w:rPr>
            </w:pPr>
            <w:r>
              <w:rPr>
                <w:rFonts w:ascii="宋体" w:hAnsi="宋体" w:cs="宋体" w:eastAsia="宋体" w:hint="default"/>
                <w:b/>
                <w:bCs/>
                <w:sz w:val="21"/>
                <w:szCs w:val="21"/>
              </w:rPr>
              <w:t>本期合并原因</w:t>
            </w:r>
            <w:r>
              <w:rPr>
                <w:rFonts w:ascii="宋体" w:hAnsi="宋体" w:cs="宋体" w:eastAsia="宋体" w:hint="default"/>
                <w:sz w:val="21"/>
                <w:szCs w:val="21"/>
              </w:rPr>
            </w:r>
          </w:p>
        </w:tc>
      </w:tr>
      <w:tr>
        <w:trPr>
          <w:trHeight w:val="360"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1"/>
              <w:jc w:val="center"/>
              <w:rPr>
                <w:rFonts w:ascii="宋体" w:hAnsi="宋体" w:cs="宋体" w:eastAsia="宋体" w:hint="default"/>
                <w:sz w:val="21"/>
                <w:szCs w:val="21"/>
              </w:rPr>
            </w:pPr>
            <w:r>
              <w:rPr>
                <w:rFonts w:ascii="宋体" w:hAnsi="宋体" w:cs="宋体" w:eastAsia="宋体" w:hint="default"/>
                <w:sz w:val="21"/>
                <w:szCs w:val="21"/>
              </w:rPr>
              <w:t>广州穗通金融服务有限公司</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21"/>
                <w:szCs w:val="21"/>
              </w:rPr>
            </w:pPr>
            <w:r>
              <w:rPr>
                <w:rFonts w:ascii="Times New Roman"/>
                <w:sz w:val="21"/>
              </w:rPr>
              <w:t>51.00%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3,000.00</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投资设立</w:t>
            </w:r>
          </w:p>
        </w:tc>
      </w:tr>
      <w:tr>
        <w:trPr>
          <w:trHeight w:val="360"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8"/>
              <w:jc w:val="center"/>
              <w:rPr>
                <w:rFonts w:ascii="宋体" w:hAnsi="宋体" w:cs="宋体" w:eastAsia="宋体" w:hint="default"/>
                <w:sz w:val="21"/>
                <w:szCs w:val="21"/>
              </w:rPr>
            </w:pPr>
            <w:r>
              <w:rPr>
                <w:rFonts w:ascii="宋体"/>
                <w:sz w:val="21"/>
              </w:rPr>
              <w:t>GRG.International.Co.</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1,230.03</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0.35</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1"/>
                <w:szCs w:val="21"/>
              </w:rPr>
            </w:pPr>
            <w:r>
              <w:rPr>
                <w:rFonts w:ascii="宋体" w:hAnsi="宋体" w:cs="宋体" w:eastAsia="宋体" w:hint="default"/>
                <w:sz w:val="21"/>
                <w:szCs w:val="21"/>
              </w:rPr>
              <w:t>投资设立</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4"/>
        <w:spacing w:line="240" w:lineRule="auto" w:before="35"/>
        <w:ind w:left="782" w:right="269"/>
        <w:jc w:val="left"/>
        <w:rPr>
          <w:b w:val="0"/>
          <w:bCs w:val="0"/>
        </w:rPr>
      </w:pPr>
      <w:r>
        <w:rPr/>
        <w:t>（六）子公司向母公司转移资金的能力没有受到严格限制的情况。</w:t>
      </w:r>
      <w:r>
        <w:rPr>
          <w:b w:val="0"/>
          <w:bCs w:val="0"/>
        </w:rPr>
      </w:r>
    </w:p>
    <w:p>
      <w:pPr>
        <w:pStyle w:val="Heading4"/>
        <w:spacing w:line="240" w:lineRule="auto" w:before="125"/>
        <w:ind w:left="782" w:right="269"/>
        <w:jc w:val="left"/>
        <w:rPr>
          <w:b w:val="0"/>
          <w:bCs w:val="0"/>
        </w:rPr>
      </w:pPr>
      <w:r>
        <w:rPr/>
        <w:t>（七）少数股东权益和少数股东损益</w:t>
      </w:r>
      <w:r>
        <w:rPr>
          <w:b w:val="0"/>
          <w:bCs w:val="0"/>
        </w:rPr>
      </w:r>
    </w:p>
    <w:p>
      <w:pPr>
        <w:pStyle w:val="BodyText"/>
        <w:spacing w:line="240" w:lineRule="auto" w:before="125"/>
        <w:ind w:left="779" w:right="269"/>
        <w:jc w:val="left"/>
      </w:pPr>
      <w:r>
        <w:rPr>
          <w:rFonts w:ascii="Times New Roman" w:hAnsi="Times New Roman" w:cs="Times New Roman" w:eastAsia="Times New Roman" w:hint="default"/>
        </w:rPr>
        <w:t>1</w:t>
      </w:r>
      <w:r>
        <w:rPr/>
        <w:t>、少数股东权益</w:t>
      </w:r>
    </w:p>
    <w:p>
      <w:pPr>
        <w:spacing w:line="240" w:lineRule="auto" w:before="3"/>
        <w:rPr>
          <w:rFonts w:ascii="宋体" w:hAnsi="宋体" w:cs="宋体" w:eastAsia="宋体" w:hint="default"/>
          <w:sz w:val="13"/>
          <w:szCs w:val="13"/>
        </w:rPr>
      </w:pPr>
    </w:p>
    <w:tbl>
      <w:tblPr>
        <w:tblW w:w="0" w:type="auto"/>
        <w:jc w:val="left"/>
        <w:tblInd w:w="575" w:type="dxa"/>
        <w:tblLayout w:type="fixed"/>
        <w:tblCellMar>
          <w:top w:w="0" w:type="dxa"/>
          <w:left w:w="0" w:type="dxa"/>
          <w:bottom w:w="0" w:type="dxa"/>
          <w:right w:w="0" w:type="dxa"/>
        </w:tblCellMar>
        <w:tblLook w:val="01E0"/>
      </w:tblPr>
      <w:tblGrid>
        <w:gridCol w:w="3316"/>
        <w:gridCol w:w="1768"/>
        <w:gridCol w:w="1768"/>
      </w:tblGrid>
      <w:tr>
        <w:trPr>
          <w:trHeight w:val="322" w:hRule="exact"/>
        </w:trPr>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子公司</w:t>
            </w:r>
            <w:r>
              <w:rPr>
                <w:rFonts w:ascii="宋体" w:hAnsi="宋体" w:cs="宋体" w:eastAsia="宋体" w:hint="default"/>
                <w:sz w:val="21"/>
                <w:szCs w:val="21"/>
              </w:rPr>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Times New Roman" w:hAnsi="Times New Roman" w:cs="Times New Roman" w:eastAsia="Times New Roman" w:hint="default"/>
                <w:sz w:val="21"/>
                <w:szCs w:val="21"/>
              </w:rPr>
            </w:pPr>
            <w:r>
              <w:rPr>
                <w:rFonts w:ascii="Times New Roman"/>
                <w:b/>
                <w:sz w:val="21"/>
              </w:rPr>
              <w:t>2008-12-31</w:t>
            </w:r>
            <w:r>
              <w:rPr>
                <w:rFonts w:ascii="Times New Roman"/>
                <w:sz w:val="21"/>
              </w:rPr>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b/>
                <w:sz w:val="21"/>
              </w:rPr>
              <w:t>2007-12-31</w:t>
            </w:r>
            <w:r>
              <w:rPr>
                <w:rFonts w:ascii="Times New Roman"/>
                <w:sz w:val="21"/>
              </w:rPr>
            </w:r>
          </w:p>
        </w:tc>
      </w:tr>
      <w:tr>
        <w:trPr>
          <w:trHeight w:val="323" w:hRule="exact"/>
        </w:trPr>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广州穗通金融服务有限公司</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1,470.00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0.00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before="35"/>
        <w:ind w:left="780" w:right="269"/>
        <w:jc w:val="left"/>
      </w:pPr>
      <w:r>
        <w:rPr/>
        <w:t>2、少数股东损益</w:t>
      </w:r>
    </w:p>
    <w:p>
      <w:pPr>
        <w:spacing w:line="240" w:lineRule="auto" w:before="4"/>
        <w:rPr>
          <w:rFonts w:ascii="宋体" w:hAnsi="宋体" w:cs="宋体" w:eastAsia="宋体" w:hint="default"/>
          <w:sz w:val="14"/>
          <w:szCs w:val="14"/>
        </w:rPr>
      </w:pPr>
    </w:p>
    <w:tbl>
      <w:tblPr>
        <w:tblW w:w="0" w:type="auto"/>
        <w:jc w:val="left"/>
        <w:tblInd w:w="575" w:type="dxa"/>
        <w:tblLayout w:type="fixed"/>
        <w:tblCellMar>
          <w:top w:w="0" w:type="dxa"/>
          <w:left w:w="0" w:type="dxa"/>
          <w:bottom w:w="0" w:type="dxa"/>
          <w:right w:w="0" w:type="dxa"/>
        </w:tblCellMar>
        <w:tblLook w:val="01E0"/>
      </w:tblPr>
      <w:tblGrid>
        <w:gridCol w:w="3316"/>
        <w:gridCol w:w="1768"/>
        <w:gridCol w:w="1768"/>
      </w:tblGrid>
      <w:tr>
        <w:trPr>
          <w:trHeight w:val="323" w:hRule="exact"/>
        </w:trPr>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子公司</w:t>
            </w:r>
            <w:r>
              <w:rPr>
                <w:rFonts w:ascii="宋体" w:hAnsi="宋体" w:cs="宋体" w:eastAsia="宋体" w:hint="default"/>
                <w:sz w:val="21"/>
                <w:szCs w:val="21"/>
              </w:rPr>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322" w:hRule="exact"/>
        </w:trPr>
        <w:tc>
          <w:tcPr>
            <w:tcW w:w="33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广州穗通金融服务有限公司</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0.00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0.00</w:t>
            </w:r>
          </w:p>
        </w:tc>
      </w:tr>
    </w:tbl>
    <w:p>
      <w:pPr>
        <w:spacing w:after="0" w:line="240" w:lineRule="auto"/>
        <w:jc w:val="center"/>
        <w:rPr>
          <w:rFonts w:ascii="Times New Roman" w:hAnsi="Times New Roman" w:cs="Times New Roman" w:eastAsia="Times New Roman" w:hint="default"/>
          <w:sz w:val="21"/>
          <w:szCs w:val="21"/>
        </w:rPr>
        <w:sectPr>
          <w:pgSz w:w="11910" w:h="16840"/>
          <w:pgMar w:header="400" w:footer="982" w:top="1100" w:bottom="1180" w:left="1440" w:right="1420"/>
        </w:sectPr>
      </w:pPr>
    </w:p>
    <w:p>
      <w:pPr>
        <w:spacing w:line="240" w:lineRule="auto" w:before="12"/>
        <w:rPr>
          <w:rFonts w:ascii="宋体" w:hAnsi="宋体" w:cs="宋体" w:eastAsia="宋体" w:hint="default"/>
          <w:sz w:val="28"/>
          <w:szCs w:val="28"/>
        </w:rPr>
      </w:pPr>
    </w:p>
    <w:p>
      <w:pPr>
        <w:pStyle w:val="Heading4"/>
        <w:spacing w:line="240" w:lineRule="auto" w:before="35"/>
        <w:ind w:left="1120" w:right="711"/>
        <w:jc w:val="left"/>
        <w:rPr>
          <w:b w:val="0"/>
          <w:bCs w:val="0"/>
        </w:rPr>
      </w:pPr>
      <w:r>
        <w:rPr/>
        <w:t>六、合并财务报表主要项目注释</w:t>
      </w:r>
      <w:r>
        <w:rPr>
          <w:b w:val="0"/>
          <w:bCs w:val="0"/>
        </w:rPr>
      </w:r>
    </w:p>
    <w:p>
      <w:pPr>
        <w:pStyle w:val="BodyText"/>
        <w:spacing w:line="240" w:lineRule="auto" w:before="125"/>
        <w:ind w:left="1120" w:right="711"/>
        <w:jc w:val="left"/>
      </w:pPr>
      <w:r>
        <w:rPr/>
        <w:t>（以下金额单位若未特别注明者均为人民币元）</w:t>
      </w:r>
    </w:p>
    <w:p>
      <w:pPr>
        <w:pStyle w:val="Heading4"/>
        <w:spacing w:line="240" w:lineRule="auto" w:before="126"/>
        <w:ind w:left="1120" w:right="711"/>
        <w:jc w:val="left"/>
        <w:rPr>
          <w:b w:val="0"/>
          <w:bCs w:val="0"/>
        </w:rPr>
      </w:pPr>
      <w:r>
        <w:rPr/>
        <w:t>（一）</w:t>
      </w:r>
      <w:r>
        <w:rPr>
          <w:spacing w:val="-16"/>
        </w:rPr>
        <w:t> </w:t>
      </w:r>
      <w:r>
        <w:rPr/>
        <w:t>货币资金</w:t>
      </w:r>
      <w:r>
        <w:rPr>
          <w:b w:val="0"/>
          <w:bCs w:val="0"/>
        </w:rPr>
      </w:r>
    </w:p>
    <w:p>
      <w:pPr>
        <w:spacing w:line="240" w:lineRule="auto" w:before="4"/>
        <w:rPr>
          <w:rFonts w:ascii="宋体" w:hAnsi="宋体" w:cs="宋体" w:eastAsia="宋体" w:hint="default"/>
          <w:b/>
          <w:bCs/>
          <w:sz w:val="14"/>
          <w:szCs w:val="14"/>
        </w:rPr>
      </w:pPr>
    </w:p>
    <w:tbl>
      <w:tblPr>
        <w:tblW w:w="0" w:type="auto"/>
        <w:jc w:val="left"/>
        <w:tblInd w:w="103" w:type="dxa"/>
        <w:tblLayout w:type="fixed"/>
        <w:tblCellMar>
          <w:top w:w="0" w:type="dxa"/>
          <w:left w:w="0" w:type="dxa"/>
          <w:bottom w:w="0" w:type="dxa"/>
          <w:right w:w="0" w:type="dxa"/>
        </w:tblCellMar>
        <w:tblLook w:val="01E0"/>
      </w:tblPr>
      <w:tblGrid>
        <w:gridCol w:w="1368"/>
        <w:gridCol w:w="1372"/>
        <w:gridCol w:w="1108"/>
        <w:gridCol w:w="1529"/>
        <w:gridCol w:w="1476"/>
        <w:gridCol w:w="1108"/>
        <w:gridCol w:w="1529"/>
      </w:tblGrid>
      <w:tr>
        <w:trPr>
          <w:trHeight w:val="350" w:hRule="exact"/>
        </w:trPr>
        <w:tc>
          <w:tcPr>
            <w:tcW w:w="1368" w:type="dxa"/>
            <w:vMerge w:val="restart"/>
            <w:tcBorders>
              <w:top w:val="single" w:sz="4" w:space="0" w:color="000000"/>
              <w:left w:val="single" w:sz="4" w:space="0" w:color="000000"/>
              <w:right w:val="single" w:sz="4" w:space="0" w:color="000000"/>
            </w:tcBorders>
          </w:tcPr>
          <w:p>
            <w:pPr>
              <w:pStyle w:val="TableParagraph"/>
              <w:tabs>
                <w:tab w:pos="784" w:val="left" w:leader="none"/>
              </w:tabs>
              <w:spacing w:line="240" w:lineRule="auto" w:before="168"/>
              <w:ind w:left="362" w:right="0"/>
              <w:jc w:val="left"/>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40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c>
          <w:tcPr>
            <w:tcW w:w="41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年初数</w:t>
            </w:r>
            <w:r>
              <w:rPr>
                <w:rFonts w:ascii="宋体" w:hAnsi="宋体" w:cs="宋体" w:eastAsia="宋体" w:hint="default"/>
                <w:sz w:val="21"/>
                <w:szCs w:val="21"/>
              </w:rPr>
            </w:r>
          </w:p>
        </w:tc>
      </w:tr>
      <w:tr>
        <w:trPr>
          <w:trHeight w:val="349" w:hRule="exact"/>
        </w:trPr>
        <w:tc>
          <w:tcPr>
            <w:tcW w:w="1368" w:type="dxa"/>
            <w:vMerge/>
            <w:tcBorders>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57" w:right="0"/>
              <w:jc w:val="left"/>
              <w:rPr>
                <w:rFonts w:ascii="宋体" w:hAnsi="宋体" w:cs="宋体" w:eastAsia="宋体" w:hint="default"/>
                <w:sz w:val="21"/>
                <w:szCs w:val="21"/>
              </w:rPr>
            </w:pPr>
            <w:r>
              <w:rPr>
                <w:rFonts w:ascii="宋体" w:hAnsi="宋体" w:cs="宋体" w:eastAsia="宋体" w:hint="default"/>
                <w:b/>
                <w:bCs/>
                <w:sz w:val="21"/>
                <w:szCs w:val="21"/>
              </w:rPr>
              <w:t>原币金额</w:t>
            </w:r>
            <w:r>
              <w:rPr>
                <w:rFonts w:ascii="宋体" w:hAnsi="宋体" w:cs="宋体" w:eastAsia="宋体" w:hint="default"/>
                <w:sz w:val="21"/>
                <w:szCs w:val="21"/>
              </w:rPr>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5"/>
              <w:jc w:val="right"/>
              <w:rPr>
                <w:rFonts w:ascii="宋体" w:hAnsi="宋体" w:cs="宋体" w:eastAsia="宋体" w:hint="default"/>
                <w:sz w:val="21"/>
                <w:szCs w:val="21"/>
              </w:rPr>
            </w:pPr>
            <w:r>
              <w:rPr>
                <w:rFonts w:ascii="宋体" w:hAnsi="宋体" w:cs="宋体" w:eastAsia="宋体" w:hint="default"/>
                <w:b/>
                <w:bCs/>
                <w:sz w:val="21"/>
                <w:szCs w:val="21"/>
              </w:rPr>
              <w:t>折算汇率</w:t>
            </w:r>
            <w:r>
              <w:rPr>
                <w:rFonts w:ascii="宋体" w:hAnsi="宋体" w:cs="宋体" w:eastAsia="宋体"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2" w:right="0"/>
              <w:jc w:val="left"/>
              <w:rPr>
                <w:rFonts w:ascii="宋体" w:hAnsi="宋体" w:cs="宋体" w:eastAsia="宋体" w:hint="default"/>
                <w:sz w:val="21"/>
                <w:szCs w:val="21"/>
              </w:rPr>
            </w:pPr>
            <w:r>
              <w:rPr>
                <w:rFonts w:ascii="宋体" w:hAnsi="宋体" w:cs="宋体" w:eastAsia="宋体" w:hint="default"/>
                <w:b/>
                <w:bCs/>
                <w:sz w:val="21"/>
                <w:szCs w:val="21"/>
              </w:rPr>
              <w:t>人民币金额</w:t>
            </w:r>
            <w:r>
              <w:rPr>
                <w:rFonts w:ascii="宋体" w:hAnsi="宋体" w:cs="宋体" w:eastAsia="宋体" w:hint="default"/>
                <w:sz w:val="21"/>
                <w:szCs w:val="21"/>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0" w:right="0"/>
              <w:jc w:val="left"/>
              <w:rPr>
                <w:rFonts w:ascii="宋体" w:hAnsi="宋体" w:cs="宋体" w:eastAsia="宋体" w:hint="default"/>
                <w:sz w:val="21"/>
                <w:szCs w:val="21"/>
              </w:rPr>
            </w:pPr>
            <w:r>
              <w:rPr>
                <w:rFonts w:ascii="宋体" w:hAnsi="宋体" w:cs="宋体" w:eastAsia="宋体" w:hint="default"/>
                <w:b/>
                <w:bCs/>
                <w:sz w:val="21"/>
                <w:szCs w:val="21"/>
              </w:rPr>
              <w:t>原币金额</w:t>
            </w:r>
            <w:r>
              <w:rPr>
                <w:rFonts w:ascii="宋体" w:hAnsi="宋体" w:cs="宋体" w:eastAsia="宋体" w:hint="default"/>
                <w:sz w:val="21"/>
                <w:szCs w:val="21"/>
              </w:rPr>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5"/>
              <w:jc w:val="right"/>
              <w:rPr>
                <w:rFonts w:ascii="宋体" w:hAnsi="宋体" w:cs="宋体" w:eastAsia="宋体" w:hint="default"/>
                <w:sz w:val="21"/>
                <w:szCs w:val="21"/>
              </w:rPr>
            </w:pPr>
            <w:r>
              <w:rPr>
                <w:rFonts w:ascii="宋体" w:hAnsi="宋体" w:cs="宋体" w:eastAsia="宋体" w:hint="default"/>
                <w:b/>
                <w:bCs/>
                <w:sz w:val="21"/>
                <w:szCs w:val="21"/>
              </w:rPr>
              <w:t>折算汇率</w:t>
            </w:r>
            <w:r>
              <w:rPr>
                <w:rFonts w:ascii="宋体" w:hAnsi="宋体" w:cs="宋体" w:eastAsia="宋体"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2" w:right="0"/>
              <w:jc w:val="left"/>
              <w:rPr>
                <w:rFonts w:ascii="宋体" w:hAnsi="宋体" w:cs="宋体" w:eastAsia="宋体" w:hint="default"/>
                <w:sz w:val="21"/>
                <w:szCs w:val="21"/>
              </w:rPr>
            </w:pPr>
            <w:r>
              <w:rPr>
                <w:rFonts w:ascii="宋体" w:hAnsi="宋体" w:cs="宋体" w:eastAsia="宋体" w:hint="default"/>
                <w:b/>
                <w:bCs/>
                <w:sz w:val="21"/>
                <w:szCs w:val="21"/>
              </w:rPr>
              <w:t>人民币金额</w:t>
            </w:r>
            <w:r>
              <w:rPr>
                <w:rFonts w:ascii="宋体" w:hAnsi="宋体" w:cs="宋体" w:eastAsia="宋体" w:hint="default"/>
                <w:sz w:val="21"/>
                <w:szCs w:val="21"/>
              </w:rPr>
            </w:r>
          </w:p>
        </w:tc>
      </w:tr>
      <w:tr>
        <w:trPr>
          <w:trHeight w:val="35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1372"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3"/>
              <w:jc w:val="right"/>
              <w:rPr>
                <w:rFonts w:ascii="宋体" w:hAnsi="宋体" w:cs="宋体" w:eastAsia="宋体" w:hint="default"/>
                <w:sz w:val="21"/>
                <w:szCs w:val="21"/>
              </w:rPr>
            </w:pPr>
            <w:r>
              <w:rPr>
                <w:rFonts w:ascii="宋体" w:hAnsi="宋体" w:cs="宋体" w:eastAsia="宋体" w:hint="default"/>
                <w:sz w:val="21"/>
                <w:szCs w:val="21"/>
              </w:rPr>
              <w:t>人民币</w:t>
            </w:r>
          </w:p>
        </w:tc>
        <w:tc>
          <w:tcPr>
            <w:tcW w:w="1372"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47,998.26</w:t>
            </w:r>
          </w:p>
        </w:tc>
        <w:tc>
          <w:tcPr>
            <w:tcW w:w="1476"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8,951.10</w:t>
            </w:r>
          </w:p>
        </w:tc>
      </w:tr>
      <w:tr>
        <w:trPr>
          <w:trHeight w:val="349"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372"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3"/>
              <w:jc w:val="right"/>
              <w:rPr>
                <w:rFonts w:ascii="宋体" w:hAnsi="宋体" w:cs="宋体" w:eastAsia="宋体" w:hint="default"/>
                <w:sz w:val="21"/>
                <w:szCs w:val="21"/>
              </w:rPr>
            </w:pPr>
            <w:r>
              <w:rPr>
                <w:rFonts w:ascii="宋体" w:hAnsi="宋体" w:cs="宋体" w:eastAsia="宋体" w:hint="default"/>
                <w:sz w:val="21"/>
                <w:szCs w:val="21"/>
              </w:rPr>
              <w:t>人民币</w:t>
            </w:r>
          </w:p>
        </w:tc>
        <w:tc>
          <w:tcPr>
            <w:tcW w:w="1372"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1"/>
                <w:szCs w:val="21"/>
              </w:rPr>
            </w:pPr>
            <w:r>
              <w:rPr>
                <w:rFonts w:ascii="Times New Roman"/>
                <w:spacing w:val="-1"/>
                <w:sz w:val="21"/>
              </w:rPr>
              <w:t>948,766,015.89</w:t>
            </w:r>
          </w:p>
        </w:tc>
        <w:tc>
          <w:tcPr>
            <w:tcW w:w="1476"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1"/>
                <w:szCs w:val="21"/>
              </w:rPr>
            </w:pPr>
            <w:r>
              <w:rPr>
                <w:rFonts w:ascii="Times New Roman"/>
                <w:spacing w:val="-1"/>
                <w:sz w:val="21"/>
              </w:rPr>
              <w:t>771,164,388.61</w:t>
            </w:r>
          </w:p>
        </w:tc>
      </w:tr>
      <w:tr>
        <w:trPr>
          <w:trHeight w:val="34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spacing w:val="-1"/>
                <w:sz w:val="21"/>
              </w:rPr>
              <w:t>2,423,278.71</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1"/>
                <w:szCs w:val="21"/>
              </w:rPr>
            </w:pPr>
            <w:r>
              <w:rPr>
                <w:rFonts w:ascii="Times New Roman"/>
                <w:spacing w:val="-1"/>
                <w:sz w:val="21"/>
              </w:rPr>
              <w:t>6.8346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1"/>
                <w:szCs w:val="21"/>
              </w:rPr>
            </w:pPr>
            <w:r>
              <w:rPr>
                <w:rFonts w:ascii="Times New Roman"/>
                <w:spacing w:val="-1"/>
                <w:sz w:val="21"/>
              </w:rPr>
              <w:t>16,562,146.60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67,257.69</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1"/>
                <w:szCs w:val="21"/>
              </w:rPr>
            </w:pPr>
            <w:r>
              <w:rPr>
                <w:rFonts w:ascii="Times New Roman"/>
                <w:spacing w:val="-1"/>
                <w:sz w:val="21"/>
              </w:rPr>
              <w:t>7.3046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1"/>
                <w:szCs w:val="21"/>
              </w:rPr>
            </w:pPr>
            <w:r>
              <w:rPr>
                <w:rFonts w:ascii="Times New Roman"/>
                <w:spacing w:val="-1"/>
                <w:sz w:val="21"/>
              </w:rPr>
              <w:t>491,290.52</w:t>
            </w:r>
          </w:p>
        </w:tc>
      </w:tr>
      <w:tr>
        <w:trPr>
          <w:trHeight w:val="35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899,739.89</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9.6590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spacing w:val="-1"/>
                <w:sz w:val="21"/>
              </w:rPr>
              <w:t>8,690,587.60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spacing w:val="-1"/>
                <w:sz w:val="21"/>
              </w:rPr>
              <w:t>1,199,437.85</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10.6669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12,794,283.60</w:t>
            </w:r>
          </w:p>
        </w:tc>
      </w:tr>
      <w:tr>
        <w:trPr>
          <w:trHeight w:val="35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372"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1"/>
                <w:szCs w:val="21"/>
              </w:rPr>
            </w:pPr>
            <w:r>
              <w:rPr>
                <w:rFonts w:ascii="Times New Roman"/>
                <w:spacing w:val="-1"/>
                <w:sz w:val="21"/>
              </w:rPr>
              <w:t>974,018,750.09</w:t>
            </w:r>
          </w:p>
        </w:tc>
        <w:tc>
          <w:tcPr>
            <w:tcW w:w="1476"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1"/>
                <w:szCs w:val="21"/>
              </w:rPr>
            </w:pPr>
            <w:r>
              <w:rPr>
                <w:rFonts w:ascii="Times New Roman"/>
                <w:spacing w:val="-1"/>
                <w:sz w:val="21"/>
              </w:rPr>
              <w:t>784,449,962.73</w:t>
            </w:r>
          </w:p>
        </w:tc>
      </w:tr>
      <w:tr>
        <w:trPr>
          <w:trHeight w:val="349"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tabs>
                <w:tab w:pos="783" w:val="left" w:leader="none"/>
              </w:tabs>
              <w:spacing w:line="274" w:lineRule="exact"/>
              <w:ind w:left="36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372"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1"/>
                <w:szCs w:val="21"/>
              </w:rPr>
            </w:pPr>
            <w:r>
              <w:rPr>
                <w:rFonts w:ascii="Times New Roman"/>
                <w:spacing w:val="-1"/>
                <w:sz w:val="21"/>
              </w:rPr>
              <w:t>974,066,748.35</w:t>
            </w:r>
          </w:p>
        </w:tc>
        <w:tc>
          <w:tcPr>
            <w:tcW w:w="1476"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1"/>
                <w:szCs w:val="21"/>
              </w:rPr>
            </w:pPr>
            <w:r>
              <w:rPr>
                <w:rFonts w:ascii="Times New Roman"/>
                <w:spacing w:val="-1"/>
                <w:sz w:val="21"/>
              </w:rPr>
              <w:t>784,458,913.83</w:t>
            </w:r>
          </w:p>
        </w:tc>
      </w:tr>
    </w:tbl>
    <w:p>
      <w:pPr>
        <w:spacing w:line="240" w:lineRule="auto" w:before="4"/>
        <w:rPr>
          <w:rFonts w:ascii="宋体" w:hAnsi="宋体" w:cs="宋体" w:eastAsia="宋体" w:hint="default"/>
          <w:b/>
          <w:bCs/>
          <w:sz w:val="25"/>
          <w:szCs w:val="25"/>
        </w:rPr>
      </w:pPr>
    </w:p>
    <w:p>
      <w:pPr>
        <w:pStyle w:val="BodyText"/>
        <w:spacing w:line="240" w:lineRule="auto" w:before="35"/>
        <w:ind w:left="1120" w:right="711"/>
        <w:jc w:val="left"/>
      </w:pPr>
      <w:r>
        <w:rPr/>
        <w:t>1、其中受限制的货币资金明细如下：</w:t>
      </w:r>
    </w:p>
    <w:p>
      <w:pPr>
        <w:spacing w:line="240" w:lineRule="auto" w:before="10"/>
        <w:rPr>
          <w:rFonts w:ascii="宋体" w:hAnsi="宋体" w:cs="宋体" w:eastAsia="宋体" w:hint="default"/>
          <w:sz w:val="12"/>
          <w:szCs w:val="12"/>
        </w:rPr>
      </w:pPr>
    </w:p>
    <w:tbl>
      <w:tblPr>
        <w:tblW w:w="0" w:type="auto"/>
        <w:jc w:val="left"/>
        <w:tblInd w:w="980" w:type="dxa"/>
        <w:tblLayout w:type="fixed"/>
        <w:tblCellMar>
          <w:top w:w="0" w:type="dxa"/>
          <w:left w:w="0" w:type="dxa"/>
          <w:bottom w:w="0" w:type="dxa"/>
          <w:right w:w="0" w:type="dxa"/>
        </w:tblCellMar>
        <w:tblLook w:val="01E0"/>
      </w:tblPr>
      <w:tblGrid>
        <w:gridCol w:w="3324"/>
        <w:gridCol w:w="2204"/>
        <w:gridCol w:w="2206"/>
      </w:tblGrid>
      <w:tr>
        <w:trPr>
          <w:trHeight w:val="322" w:hRule="exact"/>
        </w:trPr>
        <w:tc>
          <w:tcPr>
            <w:tcW w:w="3324"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年初数</w:t>
            </w:r>
            <w:r>
              <w:rPr>
                <w:rFonts w:ascii="宋体" w:hAnsi="宋体" w:cs="宋体" w:eastAsia="宋体" w:hint="default"/>
                <w:sz w:val="21"/>
                <w:szCs w:val="21"/>
              </w:rPr>
            </w:r>
          </w:p>
        </w:tc>
      </w:tr>
      <w:tr>
        <w:trPr>
          <w:trHeight w:val="323"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131"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2,874,000.00</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2,874,000.00</w:t>
            </w:r>
          </w:p>
        </w:tc>
      </w:tr>
      <w:tr>
        <w:trPr>
          <w:trHeight w:val="32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131" w:right="0"/>
              <w:jc w:val="left"/>
              <w:rPr>
                <w:rFonts w:ascii="宋体" w:hAnsi="宋体" w:cs="宋体" w:eastAsia="宋体" w:hint="default"/>
                <w:sz w:val="21"/>
                <w:szCs w:val="21"/>
              </w:rPr>
            </w:pPr>
            <w:r>
              <w:rPr>
                <w:rFonts w:ascii="宋体" w:hAnsi="宋体" w:cs="宋体" w:eastAsia="宋体" w:hint="default"/>
                <w:sz w:val="21"/>
                <w:szCs w:val="21"/>
              </w:rPr>
              <w:t>押汇保证金</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20,975,700.00</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5,067,711.90</w:t>
            </w:r>
          </w:p>
        </w:tc>
      </w:tr>
    </w:tbl>
    <w:p>
      <w:pPr>
        <w:pStyle w:val="BodyText"/>
        <w:spacing w:line="331" w:lineRule="auto" w:before="93"/>
        <w:ind w:left="700" w:right="711" w:firstLine="420"/>
        <w:jc w:val="left"/>
      </w:pPr>
      <w:r>
        <w:rPr>
          <w:rFonts w:ascii="Times New Roman" w:hAnsi="Times New Roman" w:cs="Times New Roman" w:eastAsia="Times New Roman" w:hint="default"/>
        </w:rPr>
        <w:t>2</w:t>
      </w:r>
      <w:r>
        <w:rPr/>
        <w:t>、货币资金年末数比年初数增加</w:t>
      </w:r>
      <w:r>
        <w:rPr>
          <w:spacing w:val="-59"/>
        </w:rPr>
        <w:t> </w:t>
      </w:r>
      <w:r>
        <w:rPr>
          <w:rFonts w:ascii="Times New Roman" w:hAnsi="Times New Roman" w:cs="Times New Roman" w:eastAsia="Times New Roman" w:hint="default"/>
        </w:rPr>
        <w:t>189,607,834.52</w:t>
      </w:r>
      <w:r>
        <w:rPr>
          <w:rFonts w:ascii="Times New Roman" w:hAnsi="Times New Roman" w:cs="Times New Roman" w:eastAsia="Times New Roman" w:hint="default"/>
          <w:spacing w:val="-7"/>
        </w:rPr>
        <w:t> </w:t>
      </w:r>
      <w:r>
        <w:rPr/>
        <w:t>元，增加比例为</w:t>
      </w:r>
      <w:r>
        <w:rPr>
          <w:spacing w:val="-59"/>
        </w:rPr>
        <w:t> </w:t>
      </w:r>
      <w:r>
        <w:rPr>
          <w:rFonts w:ascii="Times New Roman" w:hAnsi="Times New Roman" w:cs="Times New Roman" w:eastAsia="Times New Roman" w:hint="default"/>
        </w:rPr>
        <w:t>24.17%</w:t>
      </w:r>
      <w:r>
        <w:rPr/>
        <w:t>，变动原因主 要为：经营活动产生现金流。</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4"/>
        <w:spacing w:line="240" w:lineRule="auto"/>
        <w:ind w:left="1120" w:right="711"/>
        <w:jc w:val="left"/>
        <w:rPr>
          <w:b w:val="0"/>
          <w:bCs w:val="0"/>
        </w:rPr>
      </w:pPr>
      <w:r>
        <w:rPr/>
        <w:t>（二）</w:t>
      </w:r>
      <w:r>
        <w:rPr>
          <w:spacing w:val="-16"/>
        </w:rPr>
        <w:t> </w:t>
      </w:r>
      <w:r>
        <w:rPr/>
        <w:t>应收票据</w:t>
      </w:r>
      <w:r>
        <w:rPr>
          <w:b w:val="0"/>
          <w:bCs w:val="0"/>
        </w:rPr>
      </w:r>
    </w:p>
    <w:p>
      <w:pPr>
        <w:spacing w:line="240" w:lineRule="auto" w:before="6"/>
        <w:rPr>
          <w:rFonts w:ascii="宋体" w:hAnsi="宋体" w:cs="宋体" w:eastAsia="宋体" w:hint="default"/>
          <w:b/>
          <w:bCs/>
          <w:sz w:val="14"/>
          <w:szCs w:val="14"/>
        </w:rPr>
      </w:pPr>
    </w:p>
    <w:tbl>
      <w:tblPr>
        <w:tblW w:w="0" w:type="auto"/>
        <w:jc w:val="left"/>
        <w:tblInd w:w="1230" w:type="dxa"/>
        <w:tblLayout w:type="fixed"/>
        <w:tblCellMar>
          <w:top w:w="0" w:type="dxa"/>
          <w:left w:w="0" w:type="dxa"/>
          <w:bottom w:w="0" w:type="dxa"/>
          <w:right w:w="0" w:type="dxa"/>
        </w:tblCellMar>
        <w:tblLook w:val="01E0"/>
      </w:tblPr>
      <w:tblGrid>
        <w:gridCol w:w="2790"/>
        <w:gridCol w:w="2340"/>
        <w:gridCol w:w="2105"/>
      </w:tblGrid>
      <w:tr>
        <w:trPr>
          <w:trHeight w:val="322" w:hRule="exact"/>
        </w:trPr>
        <w:tc>
          <w:tcPr>
            <w:tcW w:w="279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种</w:t>
              <w:tab/>
            </w:r>
            <w:r>
              <w:rPr>
                <w:rFonts w:ascii="宋体" w:hAnsi="宋体" w:cs="宋体" w:eastAsia="宋体" w:hint="default"/>
                <w:b/>
                <w:bCs/>
                <w:sz w:val="21"/>
                <w:szCs w:val="21"/>
              </w:rPr>
              <w:t>类</w:t>
            </w:r>
            <w:r>
              <w:rPr>
                <w:rFonts w:ascii="宋体" w:hAnsi="宋体" w:cs="宋体" w:eastAsia="宋体" w:hint="default"/>
                <w:sz w:val="21"/>
                <w:szCs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年初数</w:t>
            </w:r>
            <w:r>
              <w:rPr>
                <w:rFonts w:ascii="宋体" w:hAnsi="宋体" w:cs="宋体" w:eastAsia="宋体" w:hint="default"/>
                <w:sz w:val="21"/>
                <w:szCs w:val="21"/>
              </w:rPr>
            </w:r>
          </w:p>
        </w:tc>
      </w:tr>
      <w:tr>
        <w:trPr>
          <w:trHeight w:val="322" w:hRule="exact"/>
        </w:trPr>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银行承兑汇票</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5,220,000.00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3" w:hRule="exact"/>
        </w:trPr>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商业承兑汇票</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2" w:hRule="exact"/>
        </w:trPr>
        <w:tc>
          <w:tcPr>
            <w:tcW w:w="2790"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5,220,000.00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0.00</w:t>
            </w:r>
          </w:p>
        </w:tc>
      </w:tr>
    </w:tbl>
    <w:p>
      <w:pPr>
        <w:pStyle w:val="BodyText"/>
        <w:spacing w:line="240" w:lineRule="auto" w:before="93"/>
        <w:ind w:left="1120" w:right="0"/>
        <w:jc w:val="left"/>
      </w:pPr>
      <w:r>
        <w:rPr>
          <w:rFonts w:ascii="Times New Roman" w:hAnsi="Times New Roman" w:cs="Times New Roman" w:eastAsia="Times New Roman" w:hint="default"/>
        </w:rPr>
        <w:t>1</w:t>
      </w:r>
      <w:r>
        <w:rPr/>
        <w:t>、年末已贴现未到期的商业承兑汇票金额为</w:t>
      </w:r>
      <w:r>
        <w:rPr>
          <w:spacing w:val="-7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5"/>
        </w:rPr>
        <w:t> </w:t>
      </w:r>
      <w:r>
        <w:rPr/>
        <w:t>元，已贴现未到期的银行承兑汇票金</w:t>
      </w:r>
    </w:p>
    <w:p>
      <w:pPr>
        <w:pStyle w:val="BodyText"/>
        <w:spacing w:line="240" w:lineRule="auto" w:before="110"/>
        <w:ind w:left="700" w:right="711"/>
        <w:jc w:val="left"/>
      </w:pPr>
      <w:r>
        <w:rPr/>
        <w:t>额为</w:t>
      </w:r>
      <w:r>
        <w:rPr>
          <w:spacing w:val="-56"/>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w:t>
      </w:r>
    </w:p>
    <w:p>
      <w:pPr>
        <w:pStyle w:val="BodyText"/>
        <w:spacing w:line="240" w:lineRule="auto" w:before="109"/>
        <w:ind w:left="1120" w:right="711"/>
        <w:jc w:val="left"/>
      </w:pPr>
      <w:r>
        <w:rPr/>
        <w:t>2、年末已背书未到期的应收票据</w:t>
      </w:r>
    </w:p>
    <w:p>
      <w:pPr>
        <w:spacing w:line="240" w:lineRule="auto" w:before="4"/>
        <w:rPr>
          <w:rFonts w:ascii="宋体" w:hAnsi="宋体" w:cs="宋体" w:eastAsia="宋体" w:hint="default"/>
          <w:sz w:val="14"/>
          <w:szCs w:val="14"/>
        </w:rPr>
      </w:pPr>
    </w:p>
    <w:tbl>
      <w:tblPr>
        <w:tblW w:w="0" w:type="auto"/>
        <w:jc w:val="left"/>
        <w:tblInd w:w="1030" w:type="dxa"/>
        <w:tblLayout w:type="fixed"/>
        <w:tblCellMar>
          <w:top w:w="0" w:type="dxa"/>
          <w:left w:w="0" w:type="dxa"/>
          <w:bottom w:w="0" w:type="dxa"/>
          <w:right w:w="0" w:type="dxa"/>
        </w:tblCellMar>
        <w:tblLook w:val="01E0"/>
      </w:tblPr>
      <w:tblGrid>
        <w:gridCol w:w="2057"/>
        <w:gridCol w:w="1800"/>
        <w:gridCol w:w="2160"/>
        <w:gridCol w:w="1620"/>
      </w:tblGrid>
      <w:tr>
        <w:trPr>
          <w:trHeight w:val="323"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票据类型</w:t>
            </w:r>
            <w:r>
              <w:rPr>
                <w:rFonts w:ascii="宋体" w:hAnsi="宋体" w:cs="宋体" w:eastAsia="宋体" w:hint="default"/>
                <w:sz w:val="21"/>
                <w:szCs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到期日区间</w:t>
            </w:r>
            <w:r>
              <w:rPr>
                <w:rFonts w:ascii="宋体" w:hAnsi="宋体" w:cs="宋体" w:eastAsia="宋体" w:hint="default"/>
                <w:sz w:val="21"/>
                <w:szCs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金</w:t>
              <w:tab/>
            </w:r>
            <w:r>
              <w:rPr>
                <w:rFonts w:ascii="宋体" w:hAnsi="宋体" w:cs="宋体" w:eastAsia="宋体" w:hint="default"/>
                <w:b/>
                <w:bCs/>
                <w:sz w:val="21"/>
                <w:szCs w:val="21"/>
              </w:rPr>
              <w:t>额</w:t>
            </w:r>
            <w:r>
              <w:rPr>
                <w:rFonts w:ascii="宋体" w:hAnsi="宋体" w:cs="宋体" w:eastAsia="宋体"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tabs>
                <w:tab w:pos="911" w:val="left" w:leader="none"/>
              </w:tabs>
              <w:spacing w:line="260" w:lineRule="exact"/>
              <w:ind w:left="488" w:right="0"/>
              <w:jc w:val="left"/>
              <w:rPr>
                <w:rFonts w:ascii="宋体" w:hAnsi="宋体" w:cs="宋体" w:eastAsia="宋体" w:hint="default"/>
                <w:sz w:val="21"/>
                <w:szCs w:val="21"/>
              </w:rPr>
            </w:pPr>
            <w:r>
              <w:rPr>
                <w:rFonts w:ascii="宋体" w:hAnsi="宋体" w:cs="宋体" w:eastAsia="宋体" w:hint="default"/>
                <w:b/>
                <w:bCs/>
                <w:w w:val="95"/>
                <w:sz w:val="21"/>
                <w:szCs w:val="21"/>
              </w:rPr>
              <w:t>备</w:t>
              <w:tab/>
            </w:r>
            <w:r>
              <w:rPr>
                <w:rFonts w:ascii="宋体" w:hAnsi="宋体" w:cs="宋体" w:eastAsia="宋体" w:hint="default"/>
                <w:b/>
                <w:bCs/>
                <w:sz w:val="21"/>
                <w:szCs w:val="21"/>
              </w:rPr>
              <w:t>注</w:t>
            </w:r>
            <w:r>
              <w:rPr>
                <w:rFonts w:ascii="宋体" w:hAnsi="宋体" w:cs="宋体" w:eastAsia="宋体" w:hint="default"/>
                <w:sz w:val="21"/>
                <w:szCs w:val="21"/>
              </w:rPr>
            </w:r>
          </w:p>
        </w:tc>
      </w:tr>
      <w:tr>
        <w:trPr>
          <w:trHeight w:val="322"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银行承兑汇票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6 </w:t>
            </w:r>
            <w:r>
              <w:rPr>
                <w:rFonts w:ascii="宋体" w:hAnsi="宋体" w:cs="宋体" w:eastAsia="宋体" w:hint="default"/>
                <w:sz w:val="21"/>
                <w:szCs w:val="21"/>
              </w:rPr>
              <w:t>个月以内</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44" w:right="0"/>
              <w:jc w:val="left"/>
              <w:rPr>
                <w:rFonts w:ascii="Times New Roman" w:hAnsi="Times New Roman" w:cs="Times New Roman" w:eastAsia="Times New Roman" w:hint="default"/>
                <w:sz w:val="21"/>
                <w:szCs w:val="21"/>
              </w:rPr>
            </w:pPr>
            <w:r>
              <w:rPr>
                <w:rFonts w:ascii="Times New Roman"/>
                <w:sz w:val="21"/>
              </w:rPr>
              <w:t>4,324,830.40</w:t>
            </w: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6"/>
          <w:szCs w:val="16"/>
        </w:rPr>
      </w:pPr>
    </w:p>
    <w:p>
      <w:pPr>
        <w:pStyle w:val="BodyText"/>
        <w:spacing w:line="240" w:lineRule="auto" w:before="35"/>
        <w:ind w:left="1120" w:right="711"/>
        <w:jc w:val="left"/>
      </w:pPr>
      <w:r>
        <w:rPr/>
        <w:t>3、年末应收票据中无应收关联方票据。</w:t>
      </w:r>
    </w:p>
    <w:p>
      <w:pPr>
        <w:pStyle w:val="BodyText"/>
        <w:spacing w:line="328" w:lineRule="auto" w:before="126"/>
        <w:ind w:left="700" w:right="706" w:firstLine="420"/>
        <w:jc w:val="left"/>
      </w:pPr>
      <w:r>
        <w:rPr/>
        <w:t>4、应收票据年末数比年初数增加 </w:t>
      </w:r>
      <w:r>
        <w:rPr>
          <w:rFonts w:ascii="Times New Roman" w:hAnsi="Times New Roman" w:cs="Times New Roman" w:eastAsia="Times New Roman" w:hint="default"/>
        </w:rPr>
        <w:t>5,220,000.00</w:t>
      </w:r>
      <w:r>
        <w:rPr>
          <w:rFonts w:ascii="Times New Roman" w:hAnsi="Times New Roman" w:cs="Times New Roman" w:eastAsia="Times New Roman" w:hint="default"/>
          <w:spacing w:val="3"/>
        </w:rPr>
        <w:t> </w:t>
      </w:r>
      <w:r>
        <w:rPr/>
        <w:t>元，增加原因主要为：收取银行承兑汇 票未到期，也未进行贴现及背书。</w:t>
      </w:r>
    </w:p>
    <w:p>
      <w:pPr>
        <w:spacing w:after="0" w:line="328" w:lineRule="auto"/>
        <w:jc w:val="left"/>
        <w:sectPr>
          <w:pgSz w:w="11910" w:h="16840"/>
          <w:pgMar w:header="400" w:footer="982" w:top="1100" w:bottom="1180" w:left="1100" w:right="1080"/>
        </w:sectPr>
      </w:pPr>
    </w:p>
    <w:p>
      <w:pPr>
        <w:spacing w:line="240" w:lineRule="auto" w:before="12"/>
        <w:rPr>
          <w:rFonts w:ascii="宋体" w:hAnsi="宋体" w:cs="宋体" w:eastAsia="宋体" w:hint="default"/>
          <w:sz w:val="28"/>
          <w:szCs w:val="28"/>
        </w:rPr>
      </w:pPr>
    </w:p>
    <w:p>
      <w:pPr>
        <w:spacing w:line="348" w:lineRule="auto" w:before="35"/>
        <w:ind w:left="1459" w:right="7350" w:firstLine="2"/>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19"/>
          <w:sz w:val="21"/>
          <w:szCs w:val="21"/>
        </w:rPr>
        <w:t> </w:t>
      </w:r>
      <w:r>
        <w:rPr>
          <w:rFonts w:ascii="宋体" w:hAnsi="宋体" w:cs="宋体" w:eastAsia="宋体" w:hint="default"/>
          <w:b/>
          <w:bCs/>
          <w:sz w:val="21"/>
          <w:szCs w:val="21"/>
        </w:rPr>
        <w:t>应收账款</w:t>
      </w:r>
      <w:r>
        <w:rPr>
          <w:rFonts w:ascii="宋体" w:hAnsi="宋体" w:cs="宋体" w:eastAsia="宋体" w:hint="default"/>
          <w:b/>
          <w:bCs/>
          <w:spacing w:val="1"/>
          <w:w w:val="99"/>
          <w:sz w:val="21"/>
          <w:szCs w:val="21"/>
        </w:rPr>
        <w:t> </w:t>
      </w:r>
      <w:r>
        <w:rPr>
          <w:rFonts w:ascii="宋体" w:hAnsi="宋体" w:cs="宋体" w:eastAsia="宋体" w:hint="default"/>
          <w:sz w:val="21"/>
          <w:szCs w:val="21"/>
        </w:rPr>
        <w:t>1、应收账款构成</w:t>
      </w:r>
    </w:p>
    <w:p>
      <w:pPr>
        <w:spacing w:line="240" w:lineRule="auto" w:before="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1085"/>
        <w:gridCol w:w="1514"/>
        <w:gridCol w:w="840"/>
        <w:gridCol w:w="1358"/>
        <w:gridCol w:w="900"/>
        <w:gridCol w:w="1591"/>
        <w:gridCol w:w="784"/>
        <w:gridCol w:w="1358"/>
        <w:gridCol w:w="742"/>
      </w:tblGrid>
      <w:tr>
        <w:trPr>
          <w:trHeight w:val="322" w:hRule="exact"/>
        </w:trPr>
        <w:tc>
          <w:tcPr>
            <w:tcW w:w="108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tabs>
                <w:tab w:pos="643" w:val="left" w:leader="none"/>
              </w:tabs>
              <w:spacing w:line="240" w:lineRule="auto"/>
              <w:ind w:left="220" w:right="0"/>
              <w:jc w:val="left"/>
              <w:rPr>
                <w:rFonts w:ascii="宋体" w:hAnsi="宋体" w:cs="宋体" w:eastAsia="宋体" w:hint="default"/>
                <w:sz w:val="21"/>
                <w:szCs w:val="21"/>
              </w:rPr>
            </w:pPr>
            <w:r>
              <w:rPr>
                <w:rFonts w:ascii="宋体" w:hAnsi="宋体" w:cs="宋体" w:eastAsia="宋体" w:hint="default"/>
                <w:b/>
                <w:bCs/>
                <w:w w:val="95"/>
                <w:sz w:val="21"/>
                <w:szCs w:val="21"/>
              </w:rPr>
              <w:t>账</w:t>
              <w:tab/>
            </w:r>
            <w:r>
              <w:rPr>
                <w:rFonts w:ascii="宋体" w:hAnsi="宋体" w:cs="宋体" w:eastAsia="宋体" w:hint="default"/>
                <w:b/>
                <w:bCs/>
                <w:sz w:val="21"/>
                <w:szCs w:val="21"/>
              </w:rPr>
              <w:t>龄</w:t>
            </w:r>
            <w:r>
              <w:rPr>
                <w:rFonts w:ascii="宋体" w:hAnsi="宋体" w:cs="宋体" w:eastAsia="宋体" w:hint="default"/>
                <w:sz w:val="21"/>
                <w:szCs w:val="21"/>
              </w:rPr>
            </w:r>
          </w:p>
        </w:tc>
        <w:tc>
          <w:tcPr>
            <w:tcW w:w="4613" w:type="dxa"/>
            <w:gridSpan w:val="4"/>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c>
          <w:tcPr>
            <w:tcW w:w="4475" w:type="dxa"/>
            <w:gridSpan w:val="4"/>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年初数</w:t>
            </w:r>
            <w:r>
              <w:rPr>
                <w:rFonts w:ascii="宋体" w:hAnsi="宋体" w:cs="宋体" w:eastAsia="宋体" w:hint="default"/>
                <w:sz w:val="21"/>
                <w:szCs w:val="21"/>
              </w:rPr>
            </w:r>
          </w:p>
        </w:tc>
      </w:tr>
      <w:tr>
        <w:trPr>
          <w:trHeight w:val="698" w:hRule="exact"/>
        </w:trPr>
        <w:tc>
          <w:tcPr>
            <w:tcW w:w="1085" w:type="dxa"/>
            <w:vMerge/>
            <w:tcBorders>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330"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7"/>
              <w:ind w:left="204" w:right="96" w:hanging="106"/>
              <w:jc w:val="left"/>
              <w:rPr>
                <w:rFonts w:ascii="宋体" w:hAnsi="宋体" w:cs="宋体" w:eastAsia="宋体" w:hint="default"/>
                <w:sz w:val="21"/>
                <w:szCs w:val="21"/>
              </w:rPr>
            </w:pPr>
            <w:r>
              <w:rPr>
                <w:rFonts w:ascii="宋体" w:hAnsi="宋体" w:cs="宋体" w:eastAsia="宋体" w:hint="default"/>
                <w:b/>
                <w:bCs/>
                <w:sz w:val="21"/>
                <w:szCs w:val="21"/>
              </w:rPr>
              <w:t>占总额</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251"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7"/>
              <w:ind w:left="234" w:right="20" w:hanging="212"/>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368"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7"/>
              <w:ind w:left="175" w:right="67" w:hanging="105"/>
              <w:jc w:val="left"/>
              <w:rPr>
                <w:rFonts w:ascii="宋体" w:hAnsi="宋体" w:cs="宋体" w:eastAsia="宋体" w:hint="default"/>
                <w:sz w:val="21"/>
                <w:szCs w:val="21"/>
              </w:rPr>
            </w:pPr>
            <w:r>
              <w:rPr>
                <w:rFonts w:ascii="宋体" w:hAnsi="宋体" w:cs="宋体" w:eastAsia="宋体" w:hint="default"/>
                <w:b/>
                <w:bCs/>
                <w:sz w:val="21"/>
                <w:szCs w:val="21"/>
              </w:rPr>
              <w:t>占总额</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250"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7"/>
              <w:ind w:left="49" w:right="47"/>
              <w:jc w:val="left"/>
              <w:rPr>
                <w:rFonts w:ascii="宋体" w:hAnsi="宋体" w:cs="宋体" w:eastAsia="宋体" w:hint="default"/>
                <w:sz w:val="21"/>
                <w:szCs w:val="21"/>
              </w:rPr>
            </w:pPr>
            <w:r>
              <w:rPr>
                <w:rFonts w:ascii="宋体" w:hAnsi="宋体" w:cs="宋体" w:eastAsia="宋体" w:hint="default"/>
                <w:b/>
                <w:bCs/>
                <w:sz w:val="21"/>
                <w:szCs w:val="21"/>
              </w:rPr>
              <w:t>坏账准</w:t>
            </w:r>
            <w:r>
              <w:rPr>
                <w:rFonts w:ascii="宋体" w:hAnsi="宋体" w:cs="宋体" w:eastAsia="宋体" w:hint="default"/>
                <w:b/>
                <w:bCs/>
                <w:spacing w:val="1"/>
                <w:w w:val="99"/>
                <w:sz w:val="21"/>
                <w:szCs w:val="21"/>
              </w:rPr>
              <w:t> </w:t>
            </w:r>
            <w:r>
              <w:rPr>
                <w:rFonts w:ascii="宋体" w:hAnsi="宋体" w:cs="宋体" w:eastAsia="宋体" w:hint="default"/>
                <w:b/>
                <w:bCs/>
                <w:sz w:val="21"/>
                <w:szCs w:val="21"/>
              </w:rPr>
              <w:t>备比例</w:t>
            </w:r>
            <w:r>
              <w:rPr>
                <w:rFonts w:ascii="宋体" w:hAnsi="宋体" w:cs="宋体" w:eastAsia="宋体" w:hint="default"/>
                <w:sz w:val="21"/>
                <w:szCs w:val="21"/>
              </w:rPr>
            </w:r>
          </w:p>
        </w:tc>
      </w:tr>
      <w:tr>
        <w:trPr>
          <w:trHeight w:val="323"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324,260,230.98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92.37%</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1,621,301.14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1"/>
                <w:sz w:val="21"/>
              </w:rPr>
              <w:t>0.50%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265,766,590.29</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1"/>
                <w:sz w:val="21"/>
              </w:rPr>
              <w:t>92.68%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pacing w:val="-1"/>
                <w:sz w:val="21"/>
              </w:rPr>
              <w:t>1,328,832.95</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0.50%</w:t>
            </w:r>
          </w:p>
        </w:tc>
      </w:tr>
      <w:tr>
        <w:trPr>
          <w:trHeight w:val="32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17,844,042.11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1"/>
                <w:sz w:val="21"/>
              </w:rPr>
              <w:t>5.08%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2"/>
                <w:sz w:val="21"/>
              </w:rPr>
              <w:t>892,202.11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5.00%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1"/>
                <w:sz w:val="21"/>
              </w:rPr>
              <w:t>19,164,853.65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6.68%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958,242.68</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4"/>
              <w:jc w:val="right"/>
              <w:rPr>
                <w:rFonts w:ascii="Times New Roman" w:hAnsi="Times New Roman" w:cs="Times New Roman" w:eastAsia="Times New Roman" w:hint="default"/>
                <w:sz w:val="21"/>
                <w:szCs w:val="21"/>
              </w:rPr>
            </w:pPr>
            <w:r>
              <w:rPr>
                <w:rFonts w:ascii="Times New Roman"/>
                <w:spacing w:val="-1"/>
                <w:sz w:val="21"/>
              </w:rPr>
              <w:t>5.00%</w:t>
            </w:r>
          </w:p>
        </w:tc>
      </w:tr>
      <w:tr>
        <w:trPr>
          <w:trHeight w:val="32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4"/>
              <w:jc w:val="right"/>
              <w:rPr>
                <w:rFonts w:ascii="Times New Roman" w:hAnsi="Times New Roman" w:cs="Times New Roman" w:eastAsia="Times New Roman" w:hint="default"/>
                <w:sz w:val="21"/>
                <w:szCs w:val="21"/>
              </w:rPr>
            </w:pPr>
            <w:r>
              <w:rPr>
                <w:rFonts w:ascii="Times New Roman"/>
                <w:spacing w:val="-1"/>
                <w:sz w:val="21"/>
              </w:rPr>
              <w:t>8,196,413.65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2.33%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819,641.37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4"/>
              <w:jc w:val="right"/>
              <w:rPr>
                <w:rFonts w:ascii="Times New Roman" w:hAnsi="Times New Roman" w:cs="Times New Roman" w:eastAsia="Times New Roman" w:hint="default"/>
                <w:sz w:val="21"/>
                <w:szCs w:val="21"/>
              </w:rPr>
            </w:pPr>
            <w:r>
              <w:rPr>
                <w:rFonts w:ascii="Times New Roman"/>
                <w:spacing w:val="-1"/>
                <w:sz w:val="21"/>
              </w:rPr>
              <w:t>10.00%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1,524,070.00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0.53%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1"/>
                <w:sz w:val="21"/>
              </w:rPr>
              <w:t>152,407.00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3"/>
              <w:jc w:val="right"/>
              <w:rPr>
                <w:rFonts w:ascii="Times New Roman" w:hAnsi="Times New Roman" w:cs="Times New Roman" w:eastAsia="Times New Roman" w:hint="default"/>
                <w:sz w:val="21"/>
                <w:szCs w:val="21"/>
              </w:rPr>
            </w:pPr>
            <w:r>
              <w:rPr>
                <w:rFonts w:ascii="Times New Roman"/>
                <w:spacing w:val="-1"/>
                <w:sz w:val="21"/>
              </w:rPr>
              <w:t>10.00%</w:t>
            </w:r>
          </w:p>
        </w:tc>
      </w:tr>
      <w:tr>
        <w:trPr>
          <w:trHeight w:val="323"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pacing w:val="-1"/>
                <w:sz w:val="21"/>
              </w:rPr>
              <w:t>683,220.00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1"/>
                <w:sz w:val="21"/>
              </w:rPr>
              <w:t>0.19%</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pacing w:val="-1"/>
                <w:sz w:val="21"/>
              </w:rPr>
              <w:t>204,966.00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30.00%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pacing w:val="-1"/>
                <w:sz w:val="21"/>
              </w:rPr>
              <w:t>316,000.00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2"/>
                <w:sz w:val="21"/>
              </w:rPr>
              <w:t>0.11%</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pacing w:val="-1"/>
                <w:sz w:val="21"/>
              </w:rPr>
              <w:t>94,800.00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1"/>
                <w:sz w:val="21"/>
              </w:rPr>
              <w:t>30.00%</w:t>
            </w:r>
          </w:p>
        </w:tc>
      </w:tr>
      <w:tr>
        <w:trPr>
          <w:trHeight w:val="32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2"/>
                <w:sz w:val="21"/>
              </w:rPr>
              <w:t>116,000.00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1"/>
                <w:sz w:val="21"/>
              </w:rPr>
              <w:t>0.03%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58,000.00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50.00%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pacing w:val="-1"/>
                <w:sz w:val="21"/>
              </w:rPr>
              <w:t>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1"/>
                <w:sz w:val="21"/>
              </w:rPr>
              <w:t>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1"/>
                <w:sz w:val="21"/>
              </w:rPr>
              <w:t>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1"/>
                <w:sz w:val="21"/>
              </w:rPr>
              <w:t>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pacing w:val="-1"/>
                <w:sz w:val="21"/>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1"/>
                <w:sz w:val="21"/>
              </w:rPr>
              <w:t>0.00%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pacing w:val="-1"/>
                <w:sz w:val="21"/>
              </w:rPr>
              <w:t>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1"/>
                <w:sz w:val="21"/>
              </w:rPr>
              <w:t>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pacing w:val="-1"/>
                <w:sz w:val="21"/>
              </w:rPr>
              <w:t>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3"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1"/>
                <w:sz w:val="21"/>
              </w:rPr>
              <w:t>351,099,906.74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1"/>
                <w:sz w:val="21"/>
              </w:rPr>
              <w:t>100.00%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1"/>
                <w:sz w:val="21"/>
              </w:rPr>
              <w:t>3,596,110.62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1.02%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1"/>
                <w:sz w:val="21"/>
              </w:rPr>
              <w:t>286,771,513.94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100.00%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4"/>
              <w:jc w:val="right"/>
              <w:rPr>
                <w:rFonts w:ascii="Times New Roman" w:hAnsi="Times New Roman" w:cs="Times New Roman" w:eastAsia="Times New Roman" w:hint="default"/>
                <w:sz w:val="21"/>
                <w:szCs w:val="21"/>
              </w:rPr>
            </w:pPr>
            <w:r>
              <w:rPr>
                <w:rFonts w:ascii="Times New Roman"/>
                <w:spacing w:val="-1"/>
                <w:sz w:val="21"/>
              </w:rPr>
              <w:t>2,534,282.63</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0.88%</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0"/>
          <w:szCs w:val="10"/>
        </w:rPr>
      </w:pPr>
    </w:p>
    <w:tbl>
      <w:tblPr>
        <w:tblW w:w="0" w:type="auto"/>
        <w:jc w:val="left"/>
        <w:tblInd w:w="217" w:type="dxa"/>
        <w:tblLayout w:type="fixed"/>
        <w:tblCellMar>
          <w:top w:w="0" w:type="dxa"/>
          <w:left w:w="0" w:type="dxa"/>
          <w:bottom w:w="0" w:type="dxa"/>
          <w:right w:w="0" w:type="dxa"/>
        </w:tblCellMar>
        <w:tblLook w:val="01E0"/>
      </w:tblPr>
      <w:tblGrid>
        <w:gridCol w:w="2066"/>
        <w:gridCol w:w="1358"/>
        <w:gridCol w:w="728"/>
        <w:gridCol w:w="1225"/>
        <w:gridCol w:w="721"/>
        <w:gridCol w:w="1344"/>
        <w:gridCol w:w="714"/>
        <w:gridCol w:w="1147"/>
        <w:gridCol w:w="635"/>
      </w:tblGrid>
      <w:tr>
        <w:trPr>
          <w:trHeight w:val="311" w:hRule="exact"/>
        </w:trPr>
        <w:tc>
          <w:tcPr>
            <w:tcW w:w="206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03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b/>
                <w:bCs/>
                <w:sz w:val="18"/>
                <w:szCs w:val="18"/>
              </w:rPr>
              <w:t>年末数</w:t>
            </w:r>
            <w:r>
              <w:rPr>
                <w:rFonts w:ascii="宋体" w:hAnsi="宋体" w:cs="宋体" w:eastAsia="宋体" w:hint="default"/>
                <w:sz w:val="18"/>
                <w:szCs w:val="18"/>
              </w:rPr>
            </w:r>
          </w:p>
        </w:tc>
        <w:tc>
          <w:tcPr>
            <w:tcW w:w="38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center"/>
              <w:rPr>
                <w:rFonts w:ascii="宋体" w:hAnsi="宋体" w:cs="宋体" w:eastAsia="宋体" w:hint="default"/>
                <w:sz w:val="18"/>
                <w:szCs w:val="18"/>
              </w:rPr>
            </w:pPr>
            <w:r>
              <w:rPr>
                <w:rFonts w:ascii="宋体" w:hAnsi="宋体" w:cs="宋体" w:eastAsia="宋体" w:hint="default"/>
                <w:b/>
                <w:bCs/>
                <w:sz w:val="18"/>
                <w:szCs w:val="18"/>
              </w:rPr>
              <w:t>年初数</w:t>
            </w:r>
            <w:r>
              <w:rPr>
                <w:rFonts w:ascii="宋体" w:hAnsi="宋体" w:cs="宋体" w:eastAsia="宋体" w:hint="default"/>
                <w:sz w:val="18"/>
                <w:szCs w:val="18"/>
              </w:rPr>
            </w:r>
          </w:p>
        </w:tc>
      </w:tr>
      <w:tr>
        <w:trPr>
          <w:trHeight w:val="499" w:hRule="exact"/>
        </w:trPr>
        <w:tc>
          <w:tcPr>
            <w:tcW w:w="2066" w:type="dxa"/>
            <w:vMerge/>
            <w:tcBorders>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11"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
              <w:ind w:left="177" w:right="85" w:hanging="90"/>
              <w:jc w:val="left"/>
              <w:rPr>
                <w:rFonts w:ascii="宋体" w:hAnsi="宋体" w:cs="宋体" w:eastAsia="宋体" w:hint="default"/>
                <w:sz w:val="18"/>
                <w:szCs w:val="18"/>
              </w:rPr>
            </w:pPr>
            <w:r>
              <w:rPr>
                <w:rFonts w:ascii="宋体" w:hAnsi="宋体" w:cs="宋体" w:eastAsia="宋体" w:hint="default"/>
                <w:b/>
                <w:bCs/>
                <w:sz w:val="18"/>
                <w:szCs w:val="18"/>
              </w:rPr>
              <w:t>占总额</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4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
              <w:ind w:left="83" w:right="82"/>
              <w:jc w:val="left"/>
              <w:rPr>
                <w:rFonts w:ascii="宋体" w:hAnsi="宋体" w:cs="宋体" w:eastAsia="宋体" w:hint="default"/>
                <w:sz w:val="18"/>
                <w:szCs w:val="18"/>
              </w:rPr>
            </w:pPr>
            <w:r>
              <w:rPr>
                <w:rFonts w:ascii="宋体" w:hAnsi="宋体" w:cs="宋体" w:eastAsia="宋体" w:hint="default"/>
                <w:b/>
                <w:bCs/>
                <w:sz w:val="18"/>
                <w:szCs w:val="18"/>
              </w:rPr>
              <w:t>坏账准</w:t>
            </w:r>
            <w:r>
              <w:rPr>
                <w:rFonts w:ascii="宋体" w:hAnsi="宋体" w:cs="宋体" w:eastAsia="宋体" w:hint="default"/>
                <w:b/>
                <w:bCs/>
                <w:spacing w:val="1"/>
                <w:w w:val="99"/>
                <w:sz w:val="18"/>
                <w:szCs w:val="18"/>
              </w:rPr>
              <w:t> </w:t>
            </w:r>
            <w:r>
              <w:rPr>
                <w:rFonts w:ascii="宋体" w:hAnsi="宋体" w:cs="宋体" w:eastAsia="宋体" w:hint="default"/>
                <w:b/>
                <w:bCs/>
                <w:sz w:val="18"/>
                <w:szCs w:val="18"/>
              </w:rPr>
              <w:t>备比例</w:t>
            </w:r>
            <w:r>
              <w:rPr>
                <w:rFonts w:ascii="宋体" w:hAnsi="宋体" w:cs="宋体" w:eastAsia="宋体" w:hint="default"/>
                <w:sz w:val="18"/>
                <w:szCs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04"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
              <w:ind w:left="170" w:right="78" w:hanging="90"/>
              <w:jc w:val="left"/>
              <w:rPr>
                <w:rFonts w:ascii="宋体" w:hAnsi="宋体" w:cs="宋体" w:eastAsia="宋体" w:hint="default"/>
                <w:sz w:val="18"/>
                <w:szCs w:val="18"/>
              </w:rPr>
            </w:pPr>
            <w:r>
              <w:rPr>
                <w:rFonts w:ascii="宋体" w:hAnsi="宋体" w:cs="宋体" w:eastAsia="宋体" w:hint="default"/>
                <w:b/>
                <w:bCs/>
                <w:sz w:val="18"/>
                <w:szCs w:val="18"/>
              </w:rPr>
              <w:t>占总额</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0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
              <w:ind w:left="39" w:right="39" w:firstLine="1"/>
              <w:jc w:val="left"/>
              <w:rPr>
                <w:rFonts w:ascii="宋体" w:hAnsi="宋体" w:cs="宋体" w:eastAsia="宋体" w:hint="default"/>
                <w:sz w:val="18"/>
                <w:szCs w:val="18"/>
              </w:rPr>
            </w:pPr>
            <w:r>
              <w:rPr>
                <w:rFonts w:ascii="宋体" w:hAnsi="宋体" w:cs="宋体" w:eastAsia="宋体" w:hint="default"/>
                <w:b/>
                <w:bCs/>
                <w:sz w:val="18"/>
                <w:szCs w:val="18"/>
              </w:rPr>
              <w:t>坏账准</w:t>
            </w:r>
            <w:r>
              <w:rPr>
                <w:rFonts w:ascii="宋体" w:hAnsi="宋体" w:cs="宋体" w:eastAsia="宋体" w:hint="default"/>
                <w:b/>
                <w:bCs/>
                <w:spacing w:val="1"/>
                <w:w w:val="99"/>
                <w:sz w:val="18"/>
                <w:szCs w:val="18"/>
              </w:rPr>
              <w:t> </w:t>
            </w:r>
            <w:r>
              <w:rPr>
                <w:rFonts w:ascii="宋体" w:hAnsi="宋体" w:cs="宋体" w:eastAsia="宋体" w:hint="default"/>
                <w:b/>
                <w:bCs/>
                <w:sz w:val="18"/>
                <w:szCs w:val="18"/>
              </w:rPr>
              <w:t>备比例</w:t>
            </w:r>
            <w:r>
              <w:rPr>
                <w:rFonts w:ascii="宋体" w:hAnsi="宋体" w:cs="宋体" w:eastAsia="宋体" w:hint="default"/>
                <w:sz w:val="18"/>
                <w:szCs w:val="18"/>
              </w:rPr>
            </w:r>
          </w:p>
        </w:tc>
      </w:tr>
      <w:tr>
        <w:trPr>
          <w:trHeight w:val="572"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40"/>
              <w:ind w:right="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、单项金额重大并已单独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计提坏账准备的款项</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6"/>
              <w:jc w:val="right"/>
              <w:rPr>
                <w:rFonts w:ascii="宋体" w:hAnsi="宋体" w:cs="宋体" w:eastAsia="宋体" w:hint="default"/>
                <w:sz w:val="18"/>
                <w:szCs w:val="18"/>
              </w:rPr>
            </w:pPr>
            <w:r>
              <w:rPr>
                <w:rFonts w:ascii="宋体"/>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7"/>
              <w:jc w:val="right"/>
              <w:rPr>
                <w:rFonts w:ascii="宋体" w:hAnsi="宋体" w:cs="宋体" w:eastAsia="宋体" w:hint="default"/>
                <w:sz w:val="18"/>
                <w:szCs w:val="18"/>
              </w:rPr>
            </w:pPr>
            <w:r>
              <w:rPr>
                <w:rFonts w:ascii="宋体"/>
                <w:sz w:val="18"/>
              </w:rPr>
              <w:t>0.00%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6"/>
              <w:jc w:val="right"/>
              <w:rPr>
                <w:rFonts w:ascii="宋体" w:hAnsi="宋体" w:cs="宋体" w:eastAsia="宋体" w:hint="default"/>
                <w:sz w:val="18"/>
                <w:szCs w:val="18"/>
              </w:rPr>
            </w:pPr>
            <w:r>
              <w:rPr>
                <w:rFonts w:ascii="宋体"/>
                <w:sz w:val="18"/>
              </w:rPr>
              <w:t>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7"/>
              <w:jc w:val="right"/>
              <w:rPr>
                <w:rFonts w:ascii="宋体" w:hAnsi="宋体" w:cs="宋体" w:eastAsia="宋体" w:hint="default"/>
                <w:sz w:val="18"/>
                <w:szCs w:val="18"/>
              </w:rPr>
            </w:pPr>
            <w:r>
              <w:rPr>
                <w:rFonts w:ascii="宋体"/>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6"/>
              <w:jc w:val="right"/>
              <w:rPr>
                <w:rFonts w:ascii="宋体" w:hAnsi="宋体" w:cs="宋体" w:eastAsia="宋体" w:hint="default"/>
                <w:sz w:val="18"/>
                <w:szCs w:val="18"/>
              </w:rPr>
            </w:pPr>
            <w:r>
              <w:rPr>
                <w:rFonts w:ascii="宋体"/>
                <w:sz w:val="18"/>
              </w:rPr>
              <w:t>0.00</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6"/>
              <w:jc w:val="right"/>
              <w:rPr>
                <w:rFonts w:ascii="宋体" w:hAnsi="宋体" w:cs="宋体" w:eastAsia="宋体" w:hint="default"/>
                <w:sz w:val="18"/>
                <w:szCs w:val="18"/>
              </w:rPr>
            </w:pPr>
            <w:r>
              <w:rPr>
                <w:rFonts w:ascii="宋体"/>
                <w:sz w:val="18"/>
              </w:rPr>
              <w:t>0.00%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6"/>
              <w:jc w:val="right"/>
              <w:rPr>
                <w:rFonts w:ascii="宋体" w:hAnsi="宋体" w:cs="宋体" w:eastAsia="宋体" w:hint="default"/>
                <w:sz w:val="18"/>
                <w:szCs w:val="18"/>
              </w:rPr>
            </w:pPr>
            <w:r>
              <w:rPr>
                <w:rFonts w:ascii="宋体"/>
                <w:sz w:val="18"/>
              </w:rPr>
              <w:t>0.00</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7"/>
              <w:jc w:val="right"/>
              <w:rPr>
                <w:rFonts w:ascii="宋体" w:hAnsi="宋体" w:cs="宋体" w:eastAsia="宋体" w:hint="default"/>
                <w:sz w:val="18"/>
                <w:szCs w:val="18"/>
              </w:rPr>
            </w:pPr>
            <w:r>
              <w:rPr>
                <w:rFonts w:ascii="宋体"/>
                <w:sz w:val="18"/>
              </w:rPr>
              <w:t>0.00%</w:t>
            </w:r>
          </w:p>
        </w:tc>
      </w:tr>
      <w:tr>
        <w:trPr>
          <w:trHeight w:val="614"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61"/>
              <w:ind w:right="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、单项金额非重大并已单</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独计提坏账准备的款项</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6"/>
              <w:jc w:val="right"/>
              <w:rPr>
                <w:rFonts w:ascii="宋体" w:hAnsi="宋体" w:cs="宋体" w:eastAsia="宋体" w:hint="default"/>
                <w:sz w:val="18"/>
                <w:szCs w:val="18"/>
              </w:rPr>
            </w:pPr>
            <w:r>
              <w:rPr>
                <w:rFonts w:ascii="宋体"/>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7"/>
              <w:jc w:val="right"/>
              <w:rPr>
                <w:rFonts w:ascii="宋体" w:hAnsi="宋体" w:cs="宋体" w:eastAsia="宋体" w:hint="default"/>
                <w:sz w:val="18"/>
                <w:szCs w:val="18"/>
              </w:rPr>
            </w:pPr>
            <w:r>
              <w:rPr>
                <w:rFonts w:ascii="宋体"/>
                <w:sz w:val="18"/>
              </w:rPr>
              <w:t>0.00%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6"/>
              <w:jc w:val="right"/>
              <w:rPr>
                <w:rFonts w:ascii="宋体" w:hAnsi="宋体" w:cs="宋体" w:eastAsia="宋体" w:hint="default"/>
                <w:sz w:val="18"/>
                <w:szCs w:val="18"/>
              </w:rPr>
            </w:pPr>
            <w:r>
              <w:rPr>
                <w:rFonts w:ascii="宋体"/>
                <w:sz w:val="18"/>
              </w:rPr>
              <w:t>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7"/>
              <w:jc w:val="right"/>
              <w:rPr>
                <w:rFonts w:ascii="宋体" w:hAnsi="宋体" w:cs="宋体" w:eastAsia="宋体" w:hint="default"/>
                <w:sz w:val="18"/>
                <w:szCs w:val="18"/>
              </w:rPr>
            </w:pPr>
            <w:r>
              <w:rPr>
                <w:rFonts w:ascii="宋体"/>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6"/>
              <w:jc w:val="right"/>
              <w:rPr>
                <w:rFonts w:ascii="宋体" w:hAnsi="宋体" w:cs="宋体" w:eastAsia="宋体" w:hint="default"/>
                <w:sz w:val="18"/>
                <w:szCs w:val="18"/>
              </w:rPr>
            </w:pPr>
            <w:r>
              <w:rPr>
                <w:rFonts w:ascii="宋体"/>
                <w:sz w:val="18"/>
              </w:rPr>
              <w:t>0.00</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6"/>
              <w:jc w:val="right"/>
              <w:rPr>
                <w:rFonts w:ascii="宋体" w:hAnsi="宋体" w:cs="宋体" w:eastAsia="宋体" w:hint="default"/>
                <w:sz w:val="18"/>
                <w:szCs w:val="18"/>
              </w:rPr>
            </w:pPr>
            <w:r>
              <w:rPr>
                <w:rFonts w:ascii="宋体"/>
                <w:sz w:val="18"/>
              </w:rPr>
              <w:t>0.00%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6"/>
              <w:jc w:val="right"/>
              <w:rPr>
                <w:rFonts w:ascii="宋体" w:hAnsi="宋体" w:cs="宋体" w:eastAsia="宋体" w:hint="default"/>
                <w:sz w:val="18"/>
                <w:szCs w:val="18"/>
              </w:rPr>
            </w:pPr>
            <w:r>
              <w:rPr>
                <w:rFonts w:ascii="宋体"/>
                <w:sz w:val="18"/>
              </w:rPr>
              <w:t>0.00</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7"/>
              <w:jc w:val="right"/>
              <w:rPr>
                <w:rFonts w:ascii="宋体" w:hAnsi="宋体" w:cs="宋体" w:eastAsia="宋体" w:hint="default"/>
                <w:sz w:val="18"/>
                <w:szCs w:val="18"/>
              </w:rPr>
            </w:pPr>
            <w:r>
              <w:rPr>
                <w:rFonts w:ascii="宋体"/>
                <w:sz w:val="18"/>
              </w:rPr>
              <w:t>0.00%</w:t>
            </w:r>
          </w:p>
        </w:tc>
      </w:tr>
      <w:tr>
        <w:trPr>
          <w:trHeight w:val="544"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8"/>
              <w:ind w:right="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、其他按账龄段划分为类</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似信用风险特征的款项</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6"/>
              <w:jc w:val="right"/>
              <w:rPr>
                <w:rFonts w:ascii="宋体" w:hAnsi="宋体" w:cs="宋体" w:eastAsia="宋体" w:hint="default"/>
                <w:sz w:val="18"/>
                <w:szCs w:val="18"/>
              </w:rPr>
            </w:pPr>
            <w:r>
              <w:rPr>
                <w:rFonts w:ascii="宋体"/>
                <w:sz w:val="18"/>
              </w:rPr>
              <w:t>351,099,906.74</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7"/>
              <w:jc w:val="right"/>
              <w:rPr>
                <w:rFonts w:ascii="宋体" w:hAnsi="宋体" w:cs="宋体" w:eastAsia="宋体" w:hint="default"/>
                <w:sz w:val="18"/>
                <w:szCs w:val="18"/>
              </w:rPr>
            </w:pPr>
            <w:r>
              <w:rPr>
                <w:rFonts w:ascii="宋体"/>
                <w:sz w:val="18"/>
              </w:rPr>
              <w:t>100.00%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6"/>
              <w:jc w:val="right"/>
              <w:rPr>
                <w:rFonts w:ascii="宋体" w:hAnsi="宋体" w:cs="宋体" w:eastAsia="宋体" w:hint="default"/>
                <w:sz w:val="18"/>
                <w:szCs w:val="18"/>
              </w:rPr>
            </w:pPr>
            <w:r>
              <w:rPr>
                <w:rFonts w:ascii="宋体"/>
                <w:sz w:val="18"/>
              </w:rPr>
              <w:t>3,596,110.62</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7"/>
              <w:jc w:val="right"/>
              <w:rPr>
                <w:rFonts w:ascii="宋体" w:hAnsi="宋体" w:cs="宋体" w:eastAsia="宋体" w:hint="default"/>
                <w:sz w:val="18"/>
                <w:szCs w:val="18"/>
              </w:rPr>
            </w:pPr>
            <w:r>
              <w:rPr>
                <w:rFonts w:ascii="宋体"/>
                <w:sz w:val="18"/>
              </w:rPr>
              <w:t>1.02%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6"/>
              <w:jc w:val="right"/>
              <w:rPr>
                <w:rFonts w:ascii="宋体" w:hAnsi="宋体" w:cs="宋体" w:eastAsia="宋体" w:hint="default"/>
                <w:sz w:val="18"/>
                <w:szCs w:val="18"/>
              </w:rPr>
            </w:pPr>
            <w:r>
              <w:rPr>
                <w:rFonts w:ascii="宋体"/>
                <w:sz w:val="18"/>
              </w:rPr>
              <w:t>286,771,513.94</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6"/>
              <w:jc w:val="right"/>
              <w:rPr>
                <w:rFonts w:ascii="宋体" w:hAnsi="宋体" w:cs="宋体" w:eastAsia="宋体" w:hint="default"/>
                <w:sz w:val="18"/>
                <w:szCs w:val="18"/>
              </w:rPr>
            </w:pPr>
            <w:r>
              <w:rPr>
                <w:rFonts w:ascii="宋体"/>
                <w:sz w:val="18"/>
              </w:rPr>
              <w:t>100.00%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7"/>
              <w:jc w:val="right"/>
              <w:rPr>
                <w:rFonts w:ascii="宋体" w:hAnsi="宋体" w:cs="宋体" w:eastAsia="宋体" w:hint="default"/>
                <w:sz w:val="18"/>
                <w:szCs w:val="18"/>
              </w:rPr>
            </w:pPr>
            <w:r>
              <w:rPr>
                <w:rFonts w:ascii="宋体"/>
                <w:sz w:val="18"/>
              </w:rPr>
              <w:t>2,534,282.63</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7"/>
              <w:jc w:val="right"/>
              <w:rPr>
                <w:rFonts w:ascii="宋体" w:hAnsi="宋体" w:cs="宋体" w:eastAsia="宋体" w:hint="default"/>
                <w:sz w:val="18"/>
                <w:szCs w:val="18"/>
              </w:rPr>
            </w:pPr>
            <w:r>
              <w:rPr>
                <w:rFonts w:ascii="宋体"/>
                <w:sz w:val="18"/>
              </w:rPr>
              <w:t>0.88%</w:t>
            </w:r>
          </w:p>
        </w:tc>
      </w:tr>
      <w:tr>
        <w:trPr>
          <w:trHeight w:val="478"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left"/>
              <w:rPr>
                <w:rFonts w:ascii="宋体" w:hAnsi="宋体" w:cs="宋体" w:eastAsia="宋体" w:hint="default"/>
                <w:sz w:val="18"/>
                <w:szCs w:val="18"/>
              </w:rPr>
            </w:pPr>
            <w:r>
              <w:rPr>
                <w:rFonts w:ascii="宋体" w:hAnsi="宋体" w:cs="宋体" w:eastAsia="宋体" w:hint="default"/>
                <w:sz w:val="18"/>
                <w:szCs w:val="18"/>
              </w:rPr>
              <w:t>其中：单项金额重大</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6"/>
              <w:jc w:val="right"/>
              <w:rPr>
                <w:rFonts w:ascii="宋体" w:hAnsi="宋体" w:cs="宋体" w:eastAsia="宋体" w:hint="default"/>
                <w:sz w:val="18"/>
                <w:szCs w:val="18"/>
              </w:rPr>
            </w:pPr>
            <w:r>
              <w:rPr>
                <w:rFonts w:ascii="宋体"/>
                <w:sz w:val="18"/>
              </w:rPr>
              <w:t>107,098,722.13</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30.50%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6"/>
              <w:jc w:val="right"/>
              <w:rPr>
                <w:rFonts w:ascii="宋体" w:hAnsi="宋体" w:cs="宋体" w:eastAsia="宋体" w:hint="default"/>
                <w:sz w:val="18"/>
                <w:szCs w:val="18"/>
              </w:rPr>
            </w:pPr>
            <w:r>
              <w:rPr>
                <w:rFonts w:ascii="宋体"/>
                <w:sz w:val="18"/>
              </w:rPr>
              <w:t>563,132.61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0.53%</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6"/>
              <w:jc w:val="right"/>
              <w:rPr>
                <w:rFonts w:ascii="宋体" w:hAnsi="宋体" w:cs="宋体" w:eastAsia="宋体" w:hint="default"/>
                <w:sz w:val="18"/>
                <w:szCs w:val="18"/>
              </w:rPr>
            </w:pPr>
            <w:r>
              <w:rPr>
                <w:rFonts w:ascii="宋体"/>
                <w:sz w:val="18"/>
              </w:rPr>
              <w:t>198,458,191.55</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6"/>
              <w:jc w:val="right"/>
              <w:rPr>
                <w:rFonts w:ascii="宋体" w:hAnsi="宋体" w:cs="宋体" w:eastAsia="宋体" w:hint="default"/>
                <w:sz w:val="18"/>
                <w:szCs w:val="18"/>
              </w:rPr>
            </w:pPr>
            <w:r>
              <w:rPr>
                <w:rFonts w:ascii="宋体"/>
                <w:sz w:val="18"/>
              </w:rPr>
              <w:t>69.20%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992,290.96</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0.50%</w:t>
            </w:r>
          </w:p>
        </w:tc>
      </w:tr>
      <w:tr>
        <w:trPr>
          <w:trHeight w:val="391"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540" w:right="0"/>
              <w:jc w:val="left"/>
              <w:rPr>
                <w:rFonts w:ascii="宋体" w:hAnsi="宋体" w:cs="宋体" w:eastAsia="宋体" w:hint="default"/>
                <w:sz w:val="18"/>
                <w:szCs w:val="18"/>
              </w:rPr>
            </w:pPr>
            <w:r>
              <w:rPr>
                <w:rFonts w:ascii="宋体" w:hAnsi="宋体" w:cs="宋体" w:eastAsia="宋体" w:hint="default"/>
                <w:sz w:val="18"/>
                <w:szCs w:val="18"/>
              </w:rPr>
              <w:t>单项金额非重大</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244,001,184.61</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7"/>
              <w:jc w:val="right"/>
              <w:rPr>
                <w:rFonts w:ascii="宋体" w:hAnsi="宋体" w:cs="宋体" w:eastAsia="宋体" w:hint="default"/>
                <w:sz w:val="18"/>
                <w:szCs w:val="18"/>
              </w:rPr>
            </w:pPr>
            <w:r>
              <w:rPr>
                <w:rFonts w:ascii="宋体"/>
                <w:sz w:val="18"/>
              </w:rPr>
              <w:t>69.50%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3,032,978.01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7"/>
              <w:jc w:val="right"/>
              <w:rPr>
                <w:rFonts w:ascii="宋体" w:hAnsi="宋体" w:cs="宋体" w:eastAsia="宋体" w:hint="default"/>
                <w:sz w:val="18"/>
                <w:szCs w:val="18"/>
              </w:rPr>
            </w:pPr>
            <w:r>
              <w:rPr>
                <w:rFonts w:ascii="宋体"/>
                <w:sz w:val="18"/>
              </w:rPr>
              <w:t>1.24%</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88,313,322.39</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30.80%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7"/>
              <w:jc w:val="right"/>
              <w:rPr>
                <w:rFonts w:ascii="宋体" w:hAnsi="宋体" w:cs="宋体" w:eastAsia="宋体" w:hint="default"/>
                <w:sz w:val="18"/>
                <w:szCs w:val="18"/>
              </w:rPr>
            </w:pPr>
            <w:r>
              <w:rPr>
                <w:rFonts w:ascii="宋体"/>
                <w:sz w:val="18"/>
              </w:rPr>
              <w:t>1,541,991.67</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7"/>
              <w:jc w:val="right"/>
              <w:rPr>
                <w:rFonts w:ascii="宋体" w:hAnsi="宋体" w:cs="宋体" w:eastAsia="宋体" w:hint="default"/>
                <w:sz w:val="18"/>
                <w:szCs w:val="18"/>
              </w:rPr>
            </w:pPr>
            <w:r>
              <w:rPr>
                <w:rFonts w:ascii="宋体"/>
                <w:sz w:val="18"/>
              </w:rPr>
              <w:t>5.00%</w:t>
            </w:r>
          </w:p>
        </w:tc>
      </w:tr>
      <w:tr>
        <w:trPr>
          <w:trHeight w:val="378"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5"/>
              <w:jc w:val="right"/>
              <w:rPr>
                <w:rFonts w:ascii="宋体" w:hAnsi="宋体" w:cs="宋体" w:eastAsia="宋体" w:hint="default"/>
                <w:sz w:val="18"/>
                <w:szCs w:val="18"/>
              </w:rPr>
            </w:pPr>
            <w:r>
              <w:rPr>
                <w:rFonts w:ascii="宋体"/>
                <w:sz w:val="18"/>
              </w:rPr>
              <w:t>351,099,906.74</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7"/>
              <w:jc w:val="right"/>
              <w:rPr>
                <w:rFonts w:ascii="宋体" w:hAnsi="宋体" w:cs="宋体" w:eastAsia="宋体" w:hint="default"/>
                <w:sz w:val="18"/>
                <w:szCs w:val="18"/>
              </w:rPr>
            </w:pPr>
            <w:r>
              <w:rPr>
                <w:rFonts w:ascii="宋体"/>
                <w:sz w:val="18"/>
              </w:rPr>
              <w:t>100.00%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7"/>
              <w:jc w:val="right"/>
              <w:rPr>
                <w:rFonts w:ascii="宋体" w:hAnsi="宋体" w:cs="宋体" w:eastAsia="宋体" w:hint="default"/>
                <w:sz w:val="18"/>
                <w:szCs w:val="18"/>
              </w:rPr>
            </w:pPr>
            <w:r>
              <w:rPr>
                <w:rFonts w:ascii="宋体"/>
                <w:sz w:val="18"/>
              </w:rPr>
              <w:t>3,596,110.62</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7"/>
              <w:jc w:val="right"/>
              <w:rPr>
                <w:rFonts w:ascii="宋体" w:hAnsi="宋体" w:cs="宋体" w:eastAsia="宋体" w:hint="default"/>
                <w:sz w:val="18"/>
                <w:szCs w:val="18"/>
              </w:rPr>
            </w:pPr>
            <w:r>
              <w:rPr>
                <w:rFonts w:ascii="宋体"/>
                <w:sz w:val="18"/>
              </w:rPr>
              <w:t>1.02%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6"/>
              <w:jc w:val="right"/>
              <w:rPr>
                <w:rFonts w:ascii="宋体" w:hAnsi="宋体" w:cs="宋体" w:eastAsia="宋体" w:hint="default"/>
                <w:sz w:val="18"/>
                <w:szCs w:val="18"/>
              </w:rPr>
            </w:pPr>
            <w:r>
              <w:rPr>
                <w:rFonts w:ascii="宋体"/>
                <w:sz w:val="18"/>
              </w:rPr>
              <w:t>286,771,513.94</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7"/>
              <w:jc w:val="right"/>
              <w:rPr>
                <w:rFonts w:ascii="宋体" w:hAnsi="宋体" w:cs="宋体" w:eastAsia="宋体" w:hint="default"/>
                <w:sz w:val="18"/>
                <w:szCs w:val="18"/>
              </w:rPr>
            </w:pPr>
            <w:r>
              <w:rPr>
                <w:rFonts w:ascii="宋体"/>
                <w:sz w:val="18"/>
              </w:rPr>
              <w:t>100.00%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5"/>
              <w:jc w:val="right"/>
              <w:rPr>
                <w:rFonts w:ascii="宋体" w:hAnsi="宋体" w:cs="宋体" w:eastAsia="宋体" w:hint="default"/>
                <w:sz w:val="18"/>
                <w:szCs w:val="18"/>
              </w:rPr>
            </w:pPr>
            <w:r>
              <w:rPr>
                <w:rFonts w:ascii="宋体"/>
                <w:sz w:val="18"/>
              </w:rPr>
              <w:t>2,534,282.63</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7"/>
              <w:jc w:val="right"/>
              <w:rPr>
                <w:rFonts w:ascii="宋体" w:hAnsi="宋体" w:cs="宋体" w:eastAsia="宋体" w:hint="default"/>
                <w:sz w:val="18"/>
                <w:szCs w:val="18"/>
              </w:rPr>
            </w:pPr>
            <w:r>
              <w:rPr>
                <w:rFonts w:ascii="宋体"/>
                <w:sz w:val="18"/>
              </w:rPr>
              <w:t>0.88%</w:t>
            </w:r>
          </w:p>
        </w:tc>
      </w:tr>
    </w:tbl>
    <w:p>
      <w:pPr>
        <w:pStyle w:val="BodyText"/>
        <w:spacing w:line="240" w:lineRule="auto" w:before="93"/>
        <w:ind w:left="1460" w:right="0"/>
        <w:jc w:val="left"/>
      </w:pPr>
      <w:r>
        <w:rPr/>
        <w:t>2、应收账款坏账准备的变动如下：</w:t>
      </w:r>
    </w:p>
    <w:p>
      <w:pPr>
        <w:spacing w:line="240" w:lineRule="auto" w:before="4"/>
        <w:rPr>
          <w:rFonts w:ascii="宋体" w:hAnsi="宋体" w:cs="宋体" w:eastAsia="宋体" w:hint="default"/>
          <w:sz w:val="14"/>
          <w:szCs w:val="14"/>
        </w:rPr>
      </w:pPr>
    </w:p>
    <w:tbl>
      <w:tblPr>
        <w:tblW w:w="0" w:type="auto"/>
        <w:jc w:val="left"/>
        <w:tblInd w:w="935" w:type="dxa"/>
        <w:tblLayout w:type="fixed"/>
        <w:tblCellMar>
          <w:top w:w="0" w:type="dxa"/>
          <w:left w:w="0" w:type="dxa"/>
          <w:bottom w:w="0" w:type="dxa"/>
          <w:right w:w="0" w:type="dxa"/>
        </w:tblCellMar>
        <w:tblLook w:val="01E0"/>
      </w:tblPr>
      <w:tblGrid>
        <w:gridCol w:w="1885"/>
        <w:gridCol w:w="1541"/>
        <w:gridCol w:w="1319"/>
        <w:gridCol w:w="1093"/>
        <w:gridCol w:w="1126"/>
        <w:gridCol w:w="1542"/>
      </w:tblGrid>
      <w:tr>
        <w:trPr>
          <w:trHeight w:val="322" w:hRule="exact"/>
        </w:trPr>
        <w:tc>
          <w:tcPr>
            <w:tcW w:w="1885" w:type="dxa"/>
            <w:vMerge w:val="restart"/>
            <w:tcBorders>
              <w:top w:val="single" w:sz="4" w:space="0" w:color="000000"/>
              <w:left w:val="single" w:sz="4" w:space="0" w:color="000000"/>
              <w:right w:val="single" w:sz="4" w:space="0" w:color="000000"/>
            </w:tcBorders>
          </w:tcPr>
          <w:p>
            <w:pPr/>
          </w:p>
        </w:tc>
        <w:tc>
          <w:tcPr>
            <w:tcW w:w="1541" w:type="dxa"/>
            <w:vMerge w:val="restart"/>
            <w:tcBorders>
              <w:top w:val="single" w:sz="4" w:space="0" w:color="000000"/>
              <w:left w:val="single" w:sz="4" w:space="0" w:color="000000"/>
              <w:right w:val="single" w:sz="4" w:space="0" w:color="000000"/>
            </w:tcBorders>
          </w:tcPr>
          <w:p>
            <w:pPr>
              <w:pStyle w:val="TableParagraph"/>
              <w:spacing w:line="240" w:lineRule="auto" w:before="141"/>
              <w:ind w:left="133" w:right="0"/>
              <w:jc w:val="left"/>
              <w:rPr>
                <w:rFonts w:ascii="宋体" w:hAnsi="宋体" w:cs="宋体" w:eastAsia="宋体" w:hint="default"/>
                <w:sz w:val="21"/>
                <w:szCs w:val="21"/>
              </w:rPr>
            </w:pPr>
            <w:r>
              <w:rPr>
                <w:rFonts w:ascii="宋体" w:hAnsi="宋体" w:cs="宋体" w:eastAsia="宋体" w:hint="default"/>
                <w:b/>
                <w:bCs/>
                <w:sz w:val="21"/>
                <w:szCs w:val="21"/>
              </w:rPr>
              <w:t>年初账面余额</w:t>
            </w:r>
            <w:r>
              <w:rPr>
                <w:rFonts w:ascii="宋体" w:hAnsi="宋体" w:cs="宋体" w:eastAsia="宋体" w:hint="default"/>
                <w:sz w:val="21"/>
                <w:szCs w:val="21"/>
              </w:rPr>
            </w:r>
          </w:p>
        </w:tc>
        <w:tc>
          <w:tcPr>
            <w:tcW w:w="1319" w:type="dxa"/>
            <w:vMerge w:val="restart"/>
            <w:tcBorders>
              <w:top w:val="single" w:sz="4" w:space="0" w:color="000000"/>
              <w:left w:val="single" w:sz="4" w:space="0" w:color="000000"/>
              <w:right w:val="single" w:sz="4" w:space="0" w:color="000000"/>
            </w:tcBorders>
          </w:tcPr>
          <w:p>
            <w:pPr>
              <w:pStyle w:val="TableParagraph"/>
              <w:spacing w:line="240" w:lineRule="auto" w:before="141"/>
              <w:ind w:left="127" w:right="0"/>
              <w:jc w:val="left"/>
              <w:rPr>
                <w:rFonts w:ascii="宋体" w:hAnsi="宋体" w:cs="宋体" w:eastAsia="宋体" w:hint="default"/>
                <w:sz w:val="21"/>
                <w:szCs w:val="21"/>
              </w:rPr>
            </w:pPr>
            <w:r>
              <w:rPr>
                <w:rFonts w:ascii="宋体" w:hAnsi="宋体" w:cs="宋体" w:eastAsia="宋体" w:hint="default"/>
                <w:b/>
                <w:bCs/>
                <w:sz w:val="21"/>
                <w:szCs w:val="21"/>
              </w:rPr>
              <w:t>本期计提额</w:t>
            </w:r>
            <w:r>
              <w:rPr>
                <w:rFonts w:ascii="宋体" w:hAnsi="宋体" w:cs="宋体" w:eastAsia="宋体" w:hint="default"/>
                <w:sz w:val="21"/>
                <w:szCs w:val="21"/>
              </w:rPr>
            </w:r>
          </w:p>
        </w:tc>
        <w:tc>
          <w:tcPr>
            <w:tcW w:w="22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77" w:right="0"/>
              <w:jc w:val="left"/>
              <w:rPr>
                <w:rFonts w:ascii="宋体" w:hAnsi="宋体" w:cs="宋体" w:eastAsia="宋体" w:hint="default"/>
                <w:sz w:val="21"/>
                <w:szCs w:val="21"/>
              </w:rPr>
            </w:pPr>
            <w:r>
              <w:rPr>
                <w:rFonts w:ascii="宋体" w:hAnsi="宋体" w:cs="宋体" w:eastAsia="宋体" w:hint="default"/>
                <w:b/>
                <w:bCs/>
                <w:sz w:val="21"/>
                <w:szCs w:val="21"/>
              </w:rPr>
              <w:t>本期减少额</w:t>
            </w:r>
            <w:r>
              <w:rPr>
                <w:rFonts w:ascii="宋体" w:hAnsi="宋体" w:cs="宋体" w:eastAsia="宋体" w:hint="default"/>
                <w:sz w:val="21"/>
                <w:szCs w:val="21"/>
              </w:rPr>
            </w:r>
          </w:p>
        </w:tc>
        <w:tc>
          <w:tcPr>
            <w:tcW w:w="1542" w:type="dxa"/>
            <w:vMerge w:val="restart"/>
            <w:tcBorders>
              <w:top w:val="single" w:sz="4" w:space="0" w:color="000000"/>
              <w:left w:val="single" w:sz="4" w:space="0" w:color="000000"/>
              <w:right w:val="single" w:sz="4" w:space="0" w:color="000000"/>
            </w:tcBorders>
          </w:tcPr>
          <w:p>
            <w:pPr>
              <w:pStyle w:val="TableParagraph"/>
              <w:spacing w:line="240" w:lineRule="auto" w:before="141"/>
              <w:ind w:left="132" w:right="0"/>
              <w:jc w:val="left"/>
              <w:rPr>
                <w:rFonts w:ascii="宋体" w:hAnsi="宋体" w:cs="宋体" w:eastAsia="宋体" w:hint="default"/>
                <w:sz w:val="21"/>
                <w:szCs w:val="21"/>
              </w:rPr>
            </w:pPr>
            <w:r>
              <w:rPr>
                <w:rFonts w:ascii="宋体" w:hAnsi="宋体" w:cs="宋体" w:eastAsia="宋体" w:hint="default"/>
                <w:b/>
                <w:bCs/>
                <w:sz w:val="21"/>
                <w:szCs w:val="21"/>
              </w:rPr>
              <w:t>年末账面余额</w:t>
            </w:r>
            <w:r>
              <w:rPr>
                <w:rFonts w:ascii="宋体" w:hAnsi="宋体" w:cs="宋体" w:eastAsia="宋体" w:hint="default"/>
                <w:sz w:val="21"/>
                <w:szCs w:val="21"/>
              </w:rPr>
            </w:r>
          </w:p>
        </w:tc>
      </w:tr>
      <w:tr>
        <w:trPr>
          <w:trHeight w:val="323" w:hRule="exact"/>
        </w:trPr>
        <w:tc>
          <w:tcPr>
            <w:tcW w:w="1885" w:type="dxa"/>
            <w:vMerge/>
            <w:tcBorders>
              <w:left w:val="single" w:sz="4" w:space="0" w:color="000000"/>
              <w:bottom w:val="single" w:sz="4" w:space="0" w:color="000000"/>
              <w:right w:val="single" w:sz="4" w:space="0" w:color="000000"/>
            </w:tcBorders>
          </w:tcPr>
          <w:p>
            <w:pPr/>
          </w:p>
        </w:tc>
        <w:tc>
          <w:tcPr>
            <w:tcW w:w="1541" w:type="dxa"/>
            <w:vMerge/>
            <w:tcBorders>
              <w:left w:val="single" w:sz="4" w:space="0" w:color="000000"/>
              <w:bottom w:val="single" w:sz="4" w:space="0" w:color="000000"/>
              <w:right w:val="single" w:sz="4" w:space="0" w:color="000000"/>
            </w:tcBorders>
          </w:tcPr>
          <w:p>
            <w:pPr/>
          </w:p>
        </w:tc>
        <w:tc>
          <w:tcPr>
            <w:tcW w:w="1319" w:type="dxa"/>
            <w:vMerge/>
            <w:tcBorders>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30" w:right="0"/>
              <w:jc w:val="left"/>
              <w:rPr>
                <w:rFonts w:ascii="宋体" w:hAnsi="宋体" w:cs="宋体" w:eastAsia="宋体" w:hint="default"/>
                <w:sz w:val="21"/>
                <w:szCs w:val="21"/>
              </w:rPr>
            </w:pPr>
            <w:r>
              <w:rPr>
                <w:rFonts w:ascii="宋体" w:hAnsi="宋体" w:cs="宋体" w:eastAsia="宋体" w:hint="default"/>
                <w:b/>
                <w:bCs/>
                <w:sz w:val="21"/>
                <w:szCs w:val="21"/>
              </w:rPr>
              <w:t>转回</w:t>
            </w:r>
            <w:r>
              <w:rPr>
                <w:rFonts w:ascii="宋体" w:hAnsi="宋体" w:cs="宋体" w:eastAsia="宋体" w:hint="default"/>
                <w:sz w:val="21"/>
                <w:szCs w:val="21"/>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46" w:right="0"/>
              <w:jc w:val="left"/>
              <w:rPr>
                <w:rFonts w:ascii="宋体" w:hAnsi="宋体" w:cs="宋体" w:eastAsia="宋体" w:hint="default"/>
                <w:sz w:val="21"/>
                <w:szCs w:val="21"/>
              </w:rPr>
            </w:pPr>
            <w:r>
              <w:rPr>
                <w:rFonts w:ascii="宋体" w:hAnsi="宋体" w:cs="宋体" w:eastAsia="宋体" w:hint="default"/>
                <w:b/>
                <w:bCs/>
                <w:sz w:val="21"/>
                <w:szCs w:val="21"/>
              </w:rPr>
              <w:t>转销</w:t>
            </w:r>
            <w:r>
              <w:rPr>
                <w:rFonts w:ascii="宋体" w:hAnsi="宋体" w:cs="宋体" w:eastAsia="宋体" w:hint="default"/>
                <w:sz w:val="21"/>
                <w:szCs w:val="21"/>
              </w:rPr>
            </w:r>
          </w:p>
        </w:tc>
        <w:tc>
          <w:tcPr>
            <w:tcW w:w="1542" w:type="dxa"/>
            <w:vMerge/>
            <w:tcBorders>
              <w:left w:val="single" w:sz="4" w:space="0" w:color="000000"/>
              <w:bottom w:val="single" w:sz="4" w:space="0" w:color="000000"/>
              <w:right w:val="single" w:sz="4" w:space="0" w:color="000000"/>
            </w:tcBorders>
          </w:tcPr>
          <w:p>
            <w:pPr/>
          </w:p>
        </w:tc>
      </w:tr>
      <w:tr>
        <w:trPr>
          <w:trHeight w:val="322" w:hRule="exact"/>
        </w:trPr>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2,793,419.06</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-259,136.43</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2,534,282.63</w:t>
            </w:r>
          </w:p>
        </w:tc>
      </w:tr>
      <w:tr>
        <w:trPr>
          <w:trHeight w:val="323" w:hRule="exact"/>
        </w:trPr>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2,534,282.63</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1,019,827.99</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-42,000.00</w:t>
            </w:r>
            <w:r>
              <w:rPr>
                <w:rFonts w:ascii="Times New Roman"/>
                <w:sz w:val="21"/>
              </w:rPr>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2"/>
                <w:sz w:val="21"/>
              </w:rPr>
              <w:t>3,596,110.62</w:t>
            </w:r>
            <w:r>
              <w:rPr>
                <w:rFonts w:ascii="Times New Roman"/>
                <w:sz w:val="21"/>
              </w:rPr>
            </w:r>
          </w:p>
        </w:tc>
      </w:tr>
    </w:tbl>
    <w:p>
      <w:pPr>
        <w:pStyle w:val="BodyText"/>
        <w:spacing w:line="240" w:lineRule="auto" w:before="93"/>
        <w:ind w:left="1460" w:right="0"/>
        <w:jc w:val="left"/>
      </w:pPr>
      <w:r>
        <w:rPr/>
        <w:t>3、本期没有实际核销的应收账款。</w:t>
      </w:r>
    </w:p>
    <w:p>
      <w:pPr>
        <w:pStyle w:val="BodyText"/>
        <w:spacing w:line="240" w:lineRule="auto" w:before="125"/>
        <w:ind w:left="1460" w:right="0"/>
        <w:jc w:val="left"/>
      </w:pPr>
      <w:r>
        <w:rPr/>
        <w:t>4、年末应收账款中无持本公司</w:t>
      </w:r>
      <w:r>
        <w:rPr>
          <w:spacing w:val="-56"/>
        </w:rPr>
        <w:t> </w:t>
      </w:r>
      <w:r>
        <w:rPr/>
        <w:t>5％以上（含</w:t>
      </w:r>
      <w:r>
        <w:rPr>
          <w:spacing w:val="-56"/>
        </w:rPr>
        <w:t> </w:t>
      </w:r>
      <w:r>
        <w:rPr/>
        <w:t>5％）表决权股份的股东单位款项。</w:t>
      </w:r>
    </w:p>
    <w:p>
      <w:pPr>
        <w:pStyle w:val="BodyText"/>
        <w:spacing w:line="240" w:lineRule="auto" w:before="125"/>
        <w:ind w:left="1460" w:right="0"/>
        <w:jc w:val="left"/>
      </w:pPr>
      <w:r>
        <w:rPr/>
        <w:t>5、年末应收账款中欠款金额前五名</w:t>
      </w:r>
    </w:p>
    <w:p>
      <w:pPr>
        <w:spacing w:line="240" w:lineRule="auto" w:before="6"/>
        <w:rPr>
          <w:rFonts w:ascii="宋体" w:hAnsi="宋体" w:cs="宋体" w:eastAsia="宋体" w:hint="default"/>
          <w:sz w:val="14"/>
          <w:szCs w:val="14"/>
        </w:rPr>
      </w:pPr>
    </w:p>
    <w:tbl>
      <w:tblPr>
        <w:tblW w:w="0" w:type="auto"/>
        <w:jc w:val="left"/>
        <w:tblInd w:w="920" w:type="dxa"/>
        <w:tblLayout w:type="fixed"/>
        <w:tblCellMar>
          <w:top w:w="0" w:type="dxa"/>
          <w:left w:w="0" w:type="dxa"/>
          <w:bottom w:w="0" w:type="dxa"/>
          <w:right w:w="0" w:type="dxa"/>
        </w:tblCellMar>
        <w:tblLook w:val="01E0"/>
      </w:tblPr>
      <w:tblGrid>
        <w:gridCol w:w="2416"/>
        <w:gridCol w:w="1980"/>
        <w:gridCol w:w="1680"/>
        <w:gridCol w:w="2460"/>
      </w:tblGrid>
      <w:tr>
        <w:trPr>
          <w:trHeight w:val="32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75" w:right="0"/>
              <w:jc w:val="left"/>
              <w:rPr>
                <w:rFonts w:ascii="宋体" w:hAnsi="宋体" w:cs="宋体" w:eastAsia="宋体" w:hint="default"/>
                <w:sz w:val="21"/>
                <w:szCs w:val="21"/>
              </w:rPr>
            </w:pPr>
            <w:r>
              <w:rPr>
                <w:rFonts w:ascii="宋体" w:hAnsi="宋体" w:cs="宋体" w:eastAsia="宋体" w:hint="default"/>
                <w:b/>
                <w:bCs/>
                <w:sz w:val="21"/>
                <w:szCs w:val="21"/>
              </w:rPr>
              <w:t>债务人名称</w:t>
            </w:r>
            <w:r>
              <w:rPr>
                <w:rFonts w:ascii="宋体" w:hAnsi="宋体" w:cs="宋体" w:eastAsia="宋体" w:hint="default"/>
                <w:sz w:val="21"/>
                <w:szCs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占应收账款总额的比例</w:t>
            </w:r>
            <w:r>
              <w:rPr>
                <w:rFonts w:ascii="宋体" w:hAnsi="宋体" w:cs="宋体" w:eastAsia="宋体" w:hint="default"/>
                <w:sz w:val="21"/>
                <w:szCs w:val="21"/>
              </w:rPr>
            </w:r>
          </w:p>
        </w:tc>
      </w:tr>
      <w:tr>
        <w:trPr>
          <w:trHeight w:val="32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农业银行总行</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78"/>
              <w:jc w:val="right"/>
              <w:rPr>
                <w:rFonts w:ascii="Times New Roman" w:hAnsi="Times New Roman" w:cs="Times New Roman" w:eastAsia="Times New Roman" w:hint="default"/>
                <w:sz w:val="21"/>
                <w:szCs w:val="21"/>
              </w:rPr>
            </w:pPr>
            <w:r>
              <w:rPr>
                <w:rFonts w:ascii="Times New Roman"/>
                <w:spacing w:val="-1"/>
                <w:sz w:val="21"/>
              </w:rPr>
              <w:t>31,708,015.50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9.03%</w:t>
            </w:r>
          </w:p>
        </w:tc>
      </w:tr>
      <w:tr>
        <w:trPr>
          <w:trHeight w:val="323"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交通银行总行</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78"/>
              <w:jc w:val="right"/>
              <w:rPr>
                <w:rFonts w:ascii="Times New Roman" w:hAnsi="Times New Roman" w:cs="Times New Roman" w:eastAsia="Times New Roman" w:hint="default"/>
                <w:sz w:val="21"/>
                <w:szCs w:val="21"/>
              </w:rPr>
            </w:pPr>
            <w:r>
              <w:rPr>
                <w:rFonts w:ascii="Times New Roman"/>
                <w:spacing w:val="-1"/>
                <w:sz w:val="21"/>
              </w:rPr>
              <w:t>24,178,519.00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6.89%</w:t>
            </w:r>
          </w:p>
        </w:tc>
      </w:tr>
      <w:tr>
        <w:trPr>
          <w:trHeight w:val="32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中国银行总行</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78"/>
              <w:jc w:val="right"/>
              <w:rPr>
                <w:rFonts w:ascii="Times New Roman" w:hAnsi="Times New Roman" w:cs="Times New Roman" w:eastAsia="Times New Roman" w:hint="default"/>
                <w:sz w:val="21"/>
                <w:szCs w:val="21"/>
              </w:rPr>
            </w:pPr>
            <w:r>
              <w:rPr>
                <w:rFonts w:ascii="Times New Roman"/>
                <w:spacing w:val="-1"/>
                <w:sz w:val="21"/>
              </w:rPr>
              <w:t>20,554,627.00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5.85%</w:t>
            </w:r>
          </w:p>
        </w:tc>
      </w:tr>
      <w:tr>
        <w:trPr>
          <w:trHeight w:val="32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内蒙古农行</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78"/>
              <w:jc w:val="right"/>
              <w:rPr>
                <w:rFonts w:ascii="Times New Roman" w:hAnsi="Times New Roman" w:cs="Times New Roman" w:eastAsia="Times New Roman" w:hint="default"/>
                <w:sz w:val="21"/>
                <w:szCs w:val="21"/>
              </w:rPr>
            </w:pPr>
            <w:r>
              <w:rPr>
                <w:rFonts w:ascii="Times New Roman"/>
                <w:spacing w:val="-1"/>
                <w:sz w:val="21"/>
              </w:rPr>
              <w:t>16,370,696.72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4.66%</w:t>
            </w:r>
          </w:p>
        </w:tc>
      </w:tr>
      <w:tr>
        <w:trPr>
          <w:trHeight w:val="323"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中国银行河南省分行</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78"/>
              <w:jc w:val="right"/>
              <w:rPr>
                <w:rFonts w:ascii="Times New Roman" w:hAnsi="Times New Roman" w:cs="Times New Roman" w:eastAsia="Times New Roman" w:hint="default"/>
                <w:sz w:val="21"/>
                <w:szCs w:val="21"/>
              </w:rPr>
            </w:pPr>
            <w:r>
              <w:rPr>
                <w:rFonts w:ascii="Times New Roman"/>
                <w:spacing w:val="-1"/>
                <w:sz w:val="21"/>
              </w:rPr>
              <w:t>14,286,863.91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4.07%</w:t>
            </w:r>
          </w:p>
        </w:tc>
      </w:tr>
      <w:tr>
        <w:trPr>
          <w:trHeight w:val="32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27"/>
              <w:jc w:val="right"/>
              <w:rPr>
                <w:rFonts w:ascii="Times New Roman" w:hAnsi="Times New Roman" w:cs="Times New Roman" w:eastAsia="Times New Roman" w:hint="default"/>
                <w:sz w:val="21"/>
                <w:szCs w:val="21"/>
              </w:rPr>
            </w:pPr>
            <w:r>
              <w:rPr>
                <w:rFonts w:ascii="Times New Roman"/>
                <w:spacing w:val="-1"/>
                <w:sz w:val="21"/>
              </w:rPr>
              <w:t>107,098,722.13</w:t>
            </w:r>
          </w:p>
        </w:tc>
        <w:tc>
          <w:tcPr>
            <w:tcW w:w="1680"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30.50%</w:t>
            </w:r>
          </w:p>
        </w:tc>
      </w:tr>
    </w:tbl>
    <w:p>
      <w:pPr>
        <w:spacing w:after="0" w:line="240" w:lineRule="auto"/>
        <w:jc w:val="center"/>
        <w:rPr>
          <w:rFonts w:ascii="Times New Roman" w:hAnsi="Times New Roman" w:cs="Times New Roman" w:eastAsia="Times New Roman" w:hint="default"/>
          <w:sz w:val="21"/>
          <w:szCs w:val="21"/>
        </w:rPr>
        <w:sectPr>
          <w:pgSz w:w="11910" w:h="16840"/>
          <w:pgMar w:header="400" w:footer="982" w:top="1100" w:bottom="1180" w:left="760" w:right="740"/>
        </w:sectPr>
      </w:pPr>
    </w:p>
    <w:p>
      <w:pPr>
        <w:spacing w:line="240" w:lineRule="auto" w:before="12"/>
        <w:rPr>
          <w:rFonts w:ascii="宋体" w:hAnsi="宋体" w:cs="宋体" w:eastAsia="宋体" w:hint="default"/>
          <w:sz w:val="28"/>
          <w:szCs w:val="28"/>
        </w:rPr>
      </w:pPr>
    </w:p>
    <w:p>
      <w:pPr>
        <w:pStyle w:val="BodyText"/>
        <w:spacing w:line="240" w:lineRule="auto" w:before="35"/>
        <w:ind w:left="1000" w:right="589"/>
        <w:jc w:val="left"/>
      </w:pPr>
      <w:r>
        <w:rPr/>
        <w:t>6、年末应收账款中无关联方应收账款。</w:t>
      </w:r>
    </w:p>
    <w:p>
      <w:pPr>
        <w:pStyle w:val="BodyText"/>
        <w:spacing w:line="240" w:lineRule="auto" w:before="125"/>
        <w:ind w:left="1000" w:right="589"/>
        <w:jc w:val="left"/>
      </w:pPr>
      <w:r>
        <w:rPr/>
        <w:t>7、年末应收账款中没有发生应收账款的转移。</w:t>
      </w:r>
    </w:p>
    <w:p>
      <w:pPr>
        <w:pStyle w:val="BodyText"/>
        <w:spacing w:line="240" w:lineRule="auto" w:before="126"/>
        <w:ind w:left="1000" w:right="589"/>
        <w:jc w:val="left"/>
      </w:pPr>
      <w:r>
        <w:rPr/>
        <w:t>8、年末应收账款中没有以应收账款为标的资产进行资产证券化的交易安排。</w:t>
      </w:r>
    </w:p>
    <w:p>
      <w:pPr>
        <w:pStyle w:val="BodyText"/>
        <w:spacing w:line="328" w:lineRule="auto" w:before="125"/>
        <w:ind w:left="580" w:right="589" w:firstLine="419"/>
        <w:jc w:val="left"/>
      </w:pPr>
      <w:r>
        <w:rPr/>
        <w:t>9、应收账款年末数比年初数增加 </w:t>
      </w:r>
      <w:r>
        <w:rPr>
          <w:rFonts w:ascii="Times New Roman" w:hAnsi="Times New Roman" w:cs="Times New Roman" w:eastAsia="Times New Roman" w:hint="default"/>
        </w:rPr>
        <w:t>64,328,392.80 </w:t>
      </w:r>
      <w:r>
        <w:rPr/>
        <w:t>元，增加比例为</w:t>
      </w:r>
      <w:r>
        <w:rPr>
          <w:spacing w:val="-69"/>
        </w:rPr>
        <w:t> </w:t>
      </w:r>
      <w:r>
        <w:rPr>
          <w:rFonts w:ascii="Times New Roman" w:hAnsi="Times New Roman" w:cs="Times New Roman" w:eastAsia="Times New Roman" w:hint="default"/>
        </w:rPr>
        <w:t>22.43%</w:t>
      </w:r>
      <w:r>
        <w:rPr/>
        <w:t>，变动主要原 因为：销售额的增加。</w:t>
      </w:r>
    </w:p>
    <w:p>
      <w:pPr>
        <w:pStyle w:val="BodyText"/>
        <w:spacing w:line="240" w:lineRule="auto" w:before="48"/>
        <w:ind w:left="1000" w:right="589"/>
        <w:jc w:val="left"/>
      </w:pPr>
      <w:r>
        <w:rPr/>
        <w:t>10、截止报告日止，应收账款期后回收额为</w:t>
      </w:r>
      <w:r>
        <w:rPr>
          <w:spacing w:val="-57"/>
        </w:rPr>
        <w:t> </w:t>
      </w:r>
      <w:r>
        <w:rPr>
          <w:rFonts w:ascii="Times New Roman" w:hAnsi="Times New Roman" w:cs="Times New Roman" w:eastAsia="Times New Roman" w:hint="default"/>
        </w:rPr>
        <w:t>128,092,882.13</w:t>
      </w:r>
      <w:r>
        <w:rPr>
          <w:rFonts w:ascii="Times New Roman" w:hAnsi="Times New Roman" w:cs="Times New Roman" w:eastAsia="Times New Roman" w:hint="default"/>
          <w:spacing w:val="-5"/>
        </w:rPr>
        <w:t> </w:t>
      </w:r>
      <w:r>
        <w:rPr/>
        <w:t>元。</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spacing w:line="350" w:lineRule="auto" w:before="0"/>
        <w:ind w:left="999" w:right="6900" w:firstLine="2"/>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19"/>
          <w:sz w:val="21"/>
          <w:szCs w:val="21"/>
        </w:rPr>
        <w:t> </w:t>
      </w:r>
      <w:r>
        <w:rPr>
          <w:rFonts w:ascii="宋体" w:hAnsi="宋体" w:cs="宋体" w:eastAsia="宋体" w:hint="default"/>
          <w:b/>
          <w:bCs/>
          <w:sz w:val="21"/>
          <w:szCs w:val="21"/>
        </w:rPr>
        <w:t>预付款项</w:t>
      </w:r>
      <w:r>
        <w:rPr>
          <w:rFonts w:ascii="宋体" w:hAnsi="宋体" w:cs="宋体" w:eastAsia="宋体" w:hint="default"/>
          <w:b/>
          <w:bCs/>
          <w:spacing w:val="1"/>
          <w:w w:val="99"/>
          <w:sz w:val="21"/>
          <w:szCs w:val="21"/>
        </w:rPr>
        <w:t> </w:t>
      </w:r>
      <w:r>
        <w:rPr>
          <w:rFonts w:ascii="宋体" w:hAnsi="宋体" w:cs="宋体" w:eastAsia="宋体" w:hint="default"/>
          <w:sz w:val="21"/>
          <w:szCs w:val="21"/>
        </w:rPr>
        <w:t>1、账龄分析</w:t>
      </w:r>
    </w:p>
    <w:p>
      <w:pPr>
        <w:spacing w:line="240" w:lineRule="auto" w:before="12"/>
        <w:rPr>
          <w:rFonts w:ascii="宋体" w:hAnsi="宋体" w:cs="宋体" w:eastAsia="宋体" w:hint="default"/>
          <w:sz w:val="6"/>
          <w:szCs w:val="6"/>
        </w:rPr>
      </w:pPr>
    </w:p>
    <w:tbl>
      <w:tblPr>
        <w:tblW w:w="0" w:type="auto"/>
        <w:jc w:val="left"/>
        <w:tblInd w:w="660" w:type="dxa"/>
        <w:tblLayout w:type="fixed"/>
        <w:tblCellMar>
          <w:top w:w="0" w:type="dxa"/>
          <w:left w:w="0" w:type="dxa"/>
          <w:bottom w:w="0" w:type="dxa"/>
          <w:right w:w="0" w:type="dxa"/>
        </w:tblCellMar>
        <w:tblLook w:val="01E0"/>
      </w:tblPr>
      <w:tblGrid>
        <w:gridCol w:w="1700"/>
        <w:gridCol w:w="1608"/>
        <w:gridCol w:w="1608"/>
        <w:gridCol w:w="1609"/>
        <w:gridCol w:w="1609"/>
      </w:tblGrid>
      <w:tr>
        <w:trPr>
          <w:trHeight w:val="322" w:hRule="exact"/>
        </w:trPr>
        <w:tc>
          <w:tcPr>
            <w:tcW w:w="1700" w:type="dxa"/>
            <w:vMerge w:val="restart"/>
            <w:tcBorders>
              <w:top w:val="single" w:sz="4" w:space="0" w:color="000000"/>
              <w:left w:val="single" w:sz="4" w:space="0" w:color="000000"/>
              <w:right w:val="single" w:sz="4" w:space="0" w:color="000000"/>
            </w:tcBorders>
          </w:tcPr>
          <w:p>
            <w:pPr>
              <w:pStyle w:val="TableParagraph"/>
              <w:tabs>
                <w:tab w:pos="1055" w:val="left" w:leader="none"/>
              </w:tabs>
              <w:spacing w:line="240" w:lineRule="auto" w:before="141"/>
              <w:ind w:left="422" w:right="0"/>
              <w:jc w:val="left"/>
              <w:rPr>
                <w:rFonts w:ascii="宋体" w:hAnsi="宋体" w:cs="宋体" w:eastAsia="宋体" w:hint="default"/>
                <w:sz w:val="21"/>
                <w:szCs w:val="21"/>
              </w:rPr>
            </w:pPr>
            <w:r>
              <w:rPr>
                <w:rFonts w:ascii="宋体" w:hAnsi="宋体" w:cs="宋体" w:eastAsia="宋体" w:hint="default"/>
                <w:b/>
                <w:bCs/>
                <w:w w:val="95"/>
                <w:sz w:val="21"/>
                <w:szCs w:val="21"/>
              </w:rPr>
              <w:t>账</w:t>
              <w:tab/>
            </w:r>
            <w:r>
              <w:rPr>
                <w:rFonts w:ascii="宋体" w:hAnsi="宋体" w:cs="宋体" w:eastAsia="宋体" w:hint="default"/>
                <w:b/>
                <w:bCs/>
                <w:sz w:val="21"/>
                <w:szCs w:val="21"/>
              </w:rPr>
              <w:t>龄</w:t>
            </w:r>
            <w:r>
              <w:rPr>
                <w:rFonts w:ascii="宋体" w:hAnsi="宋体" w:cs="宋体" w:eastAsia="宋体" w:hint="default"/>
                <w:sz w:val="21"/>
                <w:szCs w:val="21"/>
              </w:rPr>
            </w:r>
          </w:p>
        </w:tc>
        <w:tc>
          <w:tcPr>
            <w:tcW w:w="3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c>
          <w:tcPr>
            <w:tcW w:w="32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年初数</w:t>
            </w:r>
            <w:r>
              <w:rPr>
                <w:rFonts w:ascii="宋体" w:hAnsi="宋体" w:cs="宋体" w:eastAsia="宋体" w:hint="default"/>
                <w:sz w:val="21"/>
                <w:szCs w:val="21"/>
              </w:rPr>
            </w:r>
          </w:p>
        </w:tc>
      </w:tr>
      <w:tr>
        <w:trPr>
          <w:trHeight w:val="323" w:hRule="exact"/>
        </w:trPr>
        <w:tc>
          <w:tcPr>
            <w:tcW w:w="1700" w:type="dxa"/>
            <w:vMerge/>
            <w:tcBorders>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72" w:right="0"/>
              <w:jc w:val="left"/>
              <w:rPr>
                <w:rFonts w:ascii="宋体" w:hAnsi="宋体" w:cs="宋体" w:eastAsia="宋体" w:hint="default"/>
                <w:sz w:val="21"/>
                <w:szCs w:val="21"/>
              </w:rPr>
            </w:pPr>
            <w:r>
              <w:rPr>
                <w:rFonts w:ascii="宋体" w:hAnsi="宋体" w:cs="宋体" w:eastAsia="宋体" w:hint="default"/>
                <w:b/>
                <w:bCs/>
                <w:sz w:val="21"/>
                <w:szCs w:val="21"/>
              </w:rPr>
              <w:t>占总额比例</w:t>
            </w:r>
            <w:r>
              <w:rPr>
                <w:rFonts w:ascii="宋体" w:hAnsi="宋体" w:cs="宋体" w:eastAsia="宋体" w:hint="default"/>
                <w:sz w:val="21"/>
                <w:szCs w:val="21"/>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72" w:right="0"/>
              <w:jc w:val="left"/>
              <w:rPr>
                <w:rFonts w:ascii="宋体" w:hAnsi="宋体" w:cs="宋体" w:eastAsia="宋体" w:hint="default"/>
                <w:sz w:val="21"/>
                <w:szCs w:val="21"/>
              </w:rPr>
            </w:pPr>
            <w:r>
              <w:rPr>
                <w:rFonts w:ascii="宋体" w:hAnsi="宋体" w:cs="宋体" w:eastAsia="宋体" w:hint="default"/>
                <w:b/>
                <w:bCs/>
                <w:sz w:val="21"/>
                <w:szCs w:val="21"/>
              </w:rPr>
              <w:t>占总额比例</w:t>
            </w:r>
            <w:r>
              <w:rPr>
                <w:rFonts w:ascii="宋体" w:hAnsi="宋体" w:cs="宋体" w:eastAsia="宋体" w:hint="default"/>
                <w:sz w:val="21"/>
                <w:szCs w:val="21"/>
              </w:rPr>
            </w:r>
          </w:p>
        </w:tc>
      </w:tr>
      <w:tr>
        <w:trPr>
          <w:trHeight w:val="322"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8,312,749.71</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5,722,003.58</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93.45%</w:t>
            </w:r>
          </w:p>
        </w:tc>
      </w:tr>
      <w:tr>
        <w:trPr>
          <w:trHeight w:val="322"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401,308.98</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6.55%</w:t>
            </w:r>
          </w:p>
        </w:tc>
      </w:tr>
      <w:tr>
        <w:trPr>
          <w:trHeight w:val="32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8,312,749.71</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6,123,312.56</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100.00%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before="35"/>
        <w:ind w:left="1000" w:right="589"/>
        <w:jc w:val="left"/>
      </w:pPr>
      <w:r>
        <w:rPr/>
        <w:t>2、年末金额较大的预付款项</w:t>
      </w:r>
    </w:p>
    <w:p>
      <w:pPr>
        <w:spacing w:line="240" w:lineRule="auto" w:before="6"/>
        <w:rPr>
          <w:rFonts w:ascii="宋体" w:hAnsi="宋体" w:cs="宋体" w:eastAsia="宋体" w:hint="default"/>
          <w:sz w:val="14"/>
          <w:szCs w:val="14"/>
        </w:rPr>
      </w:pPr>
    </w:p>
    <w:tbl>
      <w:tblPr>
        <w:tblW w:w="0" w:type="auto"/>
        <w:jc w:val="left"/>
        <w:tblInd w:w="640" w:type="dxa"/>
        <w:tblLayout w:type="fixed"/>
        <w:tblCellMar>
          <w:top w:w="0" w:type="dxa"/>
          <w:left w:w="0" w:type="dxa"/>
          <w:bottom w:w="0" w:type="dxa"/>
          <w:right w:w="0" w:type="dxa"/>
        </w:tblCellMar>
        <w:tblLook w:val="01E0"/>
      </w:tblPr>
      <w:tblGrid>
        <w:gridCol w:w="2126"/>
        <w:gridCol w:w="1550"/>
        <w:gridCol w:w="1369"/>
        <w:gridCol w:w="1691"/>
        <w:gridCol w:w="1440"/>
      </w:tblGrid>
      <w:tr>
        <w:trPr>
          <w:trHeight w:val="322" w:hRule="exact"/>
        </w:trPr>
        <w:tc>
          <w:tcPr>
            <w:tcW w:w="2126" w:type="dxa"/>
            <w:vMerge w:val="restart"/>
            <w:tcBorders>
              <w:top w:val="single" w:sz="4" w:space="0" w:color="000000"/>
              <w:left w:val="single" w:sz="4" w:space="0" w:color="000000"/>
              <w:right w:val="single" w:sz="4" w:space="0" w:color="000000"/>
            </w:tcBorders>
          </w:tcPr>
          <w:p>
            <w:pPr>
              <w:pStyle w:val="TableParagraph"/>
              <w:spacing w:line="256" w:lineRule="auto" w:before="146"/>
              <w:ind w:left="103" w:right="101"/>
              <w:jc w:val="left"/>
              <w:rPr>
                <w:rFonts w:ascii="宋体" w:hAnsi="宋体" w:cs="宋体" w:eastAsia="宋体" w:hint="default"/>
                <w:sz w:val="21"/>
                <w:szCs w:val="21"/>
              </w:rPr>
            </w:pPr>
            <w:r>
              <w:rPr>
                <w:rFonts w:ascii="宋体" w:hAnsi="宋体" w:cs="宋体" w:eastAsia="宋体" w:hint="default"/>
                <w:spacing w:val="-9"/>
                <w:sz w:val="21"/>
                <w:szCs w:val="21"/>
              </w:rPr>
              <w:t>（</w:t>
            </w:r>
            <w:r>
              <w:rPr>
                <w:rFonts w:ascii="Times New Roman" w:hAnsi="Times New Roman" w:cs="Times New Roman" w:eastAsia="Times New Roman" w:hint="default"/>
                <w:spacing w:val="-9"/>
                <w:sz w:val="21"/>
                <w:szCs w:val="21"/>
              </w:rPr>
              <w:t>1</w:t>
            </w:r>
            <w:r>
              <w:rPr>
                <w:rFonts w:ascii="宋体" w:hAnsi="宋体" w:cs="宋体" w:eastAsia="宋体" w:hint="default"/>
                <w:spacing w:val="-9"/>
                <w:sz w:val="21"/>
                <w:szCs w:val="21"/>
              </w:rPr>
              <w:t>）前五名欠款单位</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合计及比例</w:t>
            </w:r>
          </w:p>
        </w:tc>
        <w:tc>
          <w:tcPr>
            <w:tcW w:w="29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c>
          <w:tcPr>
            <w:tcW w:w="31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年初数</w:t>
            </w:r>
            <w:r>
              <w:rPr>
                <w:rFonts w:ascii="宋体" w:hAnsi="宋体" w:cs="宋体" w:eastAsia="宋体" w:hint="default"/>
                <w:sz w:val="21"/>
                <w:szCs w:val="21"/>
              </w:rPr>
            </w:r>
          </w:p>
        </w:tc>
      </w:tr>
      <w:tr>
        <w:trPr>
          <w:trHeight w:val="322" w:hRule="exact"/>
        </w:trPr>
        <w:tc>
          <w:tcPr>
            <w:tcW w:w="2126" w:type="dxa"/>
            <w:vMerge/>
            <w:tcBorders>
              <w:left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360"/>
              <w:jc w:val="right"/>
              <w:rPr>
                <w:rFonts w:ascii="Times New Roman" w:hAnsi="Times New Roman" w:cs="Times New Roman" w:eastAsia="Times New Roman" w:hint="default"/>
                <w:sz w:val="21"/>
                <w:szCs w:val="21"/>
              </w:rPr>
            </w:pPr>
            <w:r>
              <w:rPr>
                <w:rFonts w:ascii="宋体" w:hAnsi="宋体" w:cs="宋体" w:eastAsia="宋体" w:hint="default"/>
                <w:b/>
                <w:bCs/>
                <w:sz w:val="21"/>
                <w:szCs w:val="21"/>
              </w:rPr>
              <w:t>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99"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323" w:hRule="exact"/>
        </w:trPr>
        <w:tc>
          <w:tcPr>
            <w:tcW w:w="2126" w:type="dxa"/>
            <w:vMerge/>
            <w:tcBorders>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3,060,465.53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51"/>
              <w:jc w:val="right"/>
              <w:rPr>
                <w:rFonts w:ascii="Times New Roman" w:hAnsi="Times New Roman" w:cs="Times New Roman" w:eastAsia="Times New Roman" w:hint="default"/>
                <w:sz w:val="21"/>
                <w:szCs w:val="21"/>
              </w:rPr>
            </w:pPr>
            <w:r>
              <w:rPr>
                <w:rFonts w:ascii="Times New Roman"/>
                <w:spacing w:val="-1"/>
                <w:sz w:val="21"/>
              </w:rPr>
              <w:t>36.82%</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5,818,716.57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91" w:right="0"/>
              <w:jc w:val="left"/>
              <w:rPr>
                <w:rFonts w:ascii="Times New Roman" w:hAnsi="Times New Roman" w:cs="Times New Roman" w:eastAsia="Times New Roman" w:hint="default"/>
                <w:sz w:val="21"/>
                <w:szCs w:val="21"/>
              </w:rPr>
            </w:pPr>
            <w:r>
              <w:rPr>
                <w:rFonts w:ascii="Times New Roman"/>
                <w:sz w:val="21"/>
              </w:rPr>
              <w:t>95.03%</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before="35"/>
        <w:ind w:left="1000" w:right="589"/>
        <w:jc w:val="left"/>
      </w:pPr>
      <w:r>
        <w:rPr/>
        <w:t>（2）预付款项主要单位：</w:t>
      </w:r>
    </w:p>
    <w:p>
      <w:pPr>
        <w:spacing w:line="240" w:lineRule="auto" w:before="6"/>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3790"/>
        <w:gridCol w:w="1498"/>
        <w:gridCol w:w="1346"/>
        <w:gridCol w:w="1080"/>
        <w:gridCol w:w="1535"/>
      </w:tblGrid>
      <w:tr>
        <w:trPr>
          <w:trHeight w:val="322" w:hRule="exact"/>
        </w:trPr>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与本公司关系</w:t>
            </w:r>
            <w:r>
              <w:rPr>
                <w:rFonts w:ascii="宋体" w:hAnsi="宋体" w:cs="宋体" w:eastAsia="宋体" w:hint="default"/>
                <w:sz w:val="21"/>
                <w:szCs w:val="21"/>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欠款金额</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b/>
                <w:bCs/>
                <w:sz w:val="21"/>
                <w:szCs w:val="21"/>
              </w:rPr>
              <w:t>欠款时间</w:t>
            </w:r>
            <w:r>
              <w:rPr>
                <w:rFonts w:ascii="宋体" w:hAnsi="宋体" w:cs="宋体" w:eastAsia="宋体" w:hint="default"/>
                <w:sz w:val="21"/>
                <w:szCs w:val="21"/>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欠款原因</w:t>
            </w:r>
            <w:r>
              <w:rPr>
                <w:rFonts w:ascii="宋体" w:hAnsi="宋体" w:cs="宋体" w:eastAsia="宋体" w:hint="default"/>
                <w:sz w:val="21"/>
                <w:szCs w:val="21"/>
              </w:rPr>
            </w:r>
          </w:p>
        </w:tc>
      </w:tr>
      <w:tr>
        <w:trPr>
          <w:trHeight w:val="322" w:hRule="exact"/>
        </w:trPr>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深圳意艾思静电科技有限公司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设备供应商</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799,126.00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合同未执行完</w:t>
            </w:r>
          </w:p>
        </w:tc>
      </w:tr>
      <w:tr>
        <w:trPr>
          <w:trHeight w:val="323" w:hRule="exact"/>
        </w:trPr>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东莞市威特隆仓储设备有限公司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设备供应商</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741,000.00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合同未执行完</w:t>
            </w:r>
          </w:p>
        </w:tc>
      </w:tr>
      <w:tr>
        <w:trPr>
          <w:trHeight w:val="322" w:hRule="exact"/>
        </w:trPr>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进口关税</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关税</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698,447.01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预缴关税</w:t>
            </w:r>
          </w:p>
        </w:tc>
      </w:tr>
      <w:tr>
        <w:trPr>
          <w:trHeight w:val="322" w:hRule="exact"/>
        </w:trPr>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万通安全有限公司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材料供应商</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454,092.52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合同未执行完</w:t>
            </w:r>
          </w:p>
        </w:tc>
      </w:tr>
      <w:tr>
        <w:trPr>
          <w:trHeight w:val="323" w:hRule="exact"/>
        </w:trPr>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深圳市宝安区沙井基信工业设备制造厂</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设备供应商</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367,800.00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合同未执行完</w:t>
            </w:r>
          </w:p>
        </w:tc>
      </w:tr>
      <w:tr>
        <w:trPr>
          <w:trHeight w:val="322" w:hRule="exact"/>
        </w:trPr>
        <w:tc>
          <w:tcPr>
            <w:tcW w:w="3790"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98"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3,060,465.53</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3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93"/>
        <w:ind w:left="1000" w:right="589"/>
        <w:jc w:val="left"/>
      </w:pPr>
      <w:r>
        <w:rPr/>
        <w:t>3、年末预付款项中无持本公司</w:t>
      </w:r>
      <w:r>
        <w:rPr>
          <w:spacing w:val="-56"/>
        </w:rPr>
        <w:t> </w:t>
      </w:r>
      <w:r>
        <w:rPr/>
        <w:t>5％以上（含</w:t>
      </w:r>
      <w:r>
        <w:rPr>
          <w:spacing w:val="-56"/>
        </w:rPr>
        <w:t> </w:t>
      </w:r>
      <w:r>
        <w:rPr/>
        <w:t>5％）表决权股份的股东单位欠款。</w:t>
      </w:r>
    </w:p>
    <w:p>
      <w:pPr>
        <w:pStyle w:val="BodyText"/>
        <w:spacing w:line="328" w:lineRule="auto" w:before="126"/>
        <w:ind w:left="579" w:right="589" w:firstLine="420"/>
        <w:jc w:val="left"/>
      </w:pPr>
      <w:r>
        <w:rPr/>
        <w:t>4、预付款项年末数比年初数增加</w:t>
      </w:r>
      <w:r>
        <w:rPr>
          <w:spacing w:val="-63"/>
        </w:rPr>
        <w:t> </w:t>
      </w:r>
      <w:r>
        <w:rPr>
          <w:rFonts w:ascii="Times New Roman" w:hAnsi="Times New Roman" w:cs="Times New Roman" w:eastAsia="Times New Roman" w:hint="default"/>
        </w:rPr>
        <w:t>2,189,437.15</w:t>
      </w:r>
      <w:r>
        <w:rPr>
          <w:rFonts w:ascii="Times New Roman" w:hAnsi="Times New Roman" w:cs="Times New Roman" w:eastAsia="Times New Roman" w:hint="default"/>
          <w:spacing w:val="-10"/>
        </w:rPr>
        <w:t> </w:t>
      </w:r>
      <w:r>
        <w:rPr>
          <w:spacing w:val="-3"/>
        </w:rPr>
        <w:t>元，增加比例为</w:t>
      </w:r>
      <w:r>
        <w:rPr>
          <w:spacing w:val="-63"/>
        </w:rPr>
        <w:t> </w:t>
      </w:r>
      <w:r>
        <w:rPr>
          <w:rFonts w:ascii="Times New Roman" w:hAnsi="Times New Roman" w:cs="Times New Roman" w:eastAsia="Times New Roman" w:hint="default"/>
        </w:rPr>
        <w:t>35.76</w:t>
      </w:r>
      <w:r>
        <w:rPr/>
        <w:t>％，变动原因主要 为：预付设备采购款增加。</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line="348" w:lineRule="auto" w:before="0"/>
        <w:ind w:left="999" w:right="6680" w:firstLine="2"/>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22"/>
          <w:sz w:val="21"/>
          <w:szCs w:val="21"/>
        </w:rPr>
        <w:t> </w:t>
      </w:r>
      <w:r>
        <w:rPr>
          <w:rFonts w:ascii="宋体" w:hAnsi="宋体" w:cs="宋体" w:eastAsia="宋体" w:hint="default"/>
          <w:b/>
          <w:bCs/>
          <w:sz w:val="21"/>
          <w:szCs w:val="21"/>
        </w:rPr>
        <w:t>其他应收款</w:t>
      </w:r>
      <w:r>
        <w:rPr>
          <w:rFonts w:ascii="宋体" w:hAnsi="宋体" w:cs="宋体" w:eastAsia="宋体" w:hint="default"/>
          <w:b/>
          <w:bCs/>
          <w:w w:val="99"/>
          <w:sz w:val="21"/>
          <w:szCs w:val="21"/>
        </w:rPr>
        <w:t> </w:t>
      </w:r>
      <w:r>
        <w:rPr>
          <w:rFonts w:ascii="宋体" w:hAnsi="宋体" w:cs="宋体" w:eastAsia="宋体" w:hint="default"/>
          <w:sz w:val="21"/>
          <w:szCs w:val="21"/>
        </w:rPr>
        <w:t>1、其他应收款构成</w:t>
      </w:r>
    </w:p>
    <w:p>
      <w:pPr>
        <w:spacing w:after="0" w:line="348" w:lineRule="auto"/>
        <w:jc w:val="left"/>
        <w:rPr>
          <w:rFonts w:ascii="宋体" w:hAnsi="宋体" w:cs="宋体" w:eastAsia="宋体" w:hint="default"/>
          <w:sz w:val="21"/>
          <w:szCs w:val="21"/>
        </w:rPr>
        <w:sectPr>
          <w:pgSz w:w="11910" w:h="16840"/>
          <w:pgMar w:header="400" w:footer="982" w:top="1100" w:bottom="1180" w:left="1220" w:right="1200"/>
        </w:sectPr>
      </w:pPr>
    </w:p>
    <w:p>
      <w:pPr>
        <w:spacing w:line="240" w:lineRule="auto" w:before="6"/>
        <w:rPr>
          <w:rFonts w:ascii="宋体" w:hAnsi="宋体" w:cs="宋体" w:eastAsia="宋体" w:hint="default"/>
          <w:sz w:val="24"/>
          <w:szCs w:val="24"/>
        </w:rPr>
      </w:pPr>
    </w:p>
    <w:tbl>
      <w:tblPr>
        <w:tblW w:w="0" w:type="auto"/>
        <w:jc w:val="left"/>
        <w:tblInd w:w="364" w:type="dxa"/>
        <w:tblLayout w:type="fixed"/>
        <w:tblCellMar>
          <w:top w:w="0" w:type="dxa"/>
          <w:left w:w="0" w:type="dxa"/>
          <w:bottom w:w="0" w:type="dxa"/>
          <w:right w:w="0" w:type="dxa"/>
        </w:tblCellMar>
        <w:tblLook w:val="01E0"/>
      </w:tblPr>
      <w:tblGrid>
        <w:gridCol w:w="1086"/>
        <w:gridCol w:w="1319"/>
        <w:gridCol w:w="900"/>
        <w:gridCol w:w="1158"/>
        <w:gridCol w:w="900"/>
        <w:gridCol w:w="1268"/>
        <w:gridCol w:w="798"/>
        <w:gridCol w:w="1037"/>
        <w:gridCol w:w="900"/>
      </w:tblGrid>
      <w:tr>
        <w:trPr>
          <w:trHeight w:val="322" w:hRule="exact"/>
        </w:trPr>
        <w:tc>
          <w:tcPr>
            <w:tcW w:w="108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tabs>
                <w:tab w:pos="643" w:val="left" w:leader="none"/>
              </w:tabs>
              <w:spacing w:line="240" w:lineRule="auto"/>
              <w:ind w:left="220" w:right="0"/>
              <w:jc w:val="left"/>
              <w:rPr>
                <w:rFonts w:ascii="宋体" w:hAnsi="宋体" w:cs="宋体" w:eastAsia="宋体" w:hint="default"/>
                <w:sz w:val="21"/>
                <w:szCs w:val="21"/>
              </w:rPr>
            </w:pPr>
            <w:r>
              <w:rPr>
                <w:rFonts w:ascii="宋体" w:hAnsi="宋体" w:cs="宋体" w:eastAsia="宋体" w:hint="default"/>
                <w:b/>
                <w:bCs/>
                <w:w w:val="95"/>
                <w:sz w:val="21"/>
                <w:szCs w:val="21"/>
              </w:rPr>
              <w:t>账</w:t>
              <w:tab/>
            </w:r>
            <w:r>
              <w:rPr>
                <w:rFonts w:ascii="宋体" w:hAnsi="宋体" w:cs="宋体" w:eastAsia="宋体" w:hint="default"/>
                <w:b/>
                <w:bCs/>
                <w:sz w:val="21"/>
                <w:szCs w:val="21"/>
              </w:rPr>
              <w:t>龄</w:t>
            </w:r>
            <w:r>
              <w:rPr>
                <w:rFonts w:ascii="宋体" w:hAnsi="宋体" w:cs="宋体" w:eastAsia="宋体" w:hint="default"/>
                <w:sz w:val="21"/>
                <w:szCs w:val="21"/>
              </w:rPr>
            </w:r>
          </w:p>
        </w:tc>
        <w:tc>
          <w:tcPr>
            <w:tcW w:w="42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c>
          <w:tcPr>
            <w:tcW w:w="4003" w:type="dxa"/>
            <w:gridSpan w:val="4"/>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年初数</w:t>
            </w:r>
            <w:r>
              <w:rPr>
                <w:rFonts w:ascii="宋体" w:hAnsi="宋体" w:cs="宋体" w:eastAsia="宋体" w:hint="default"/>
                <w:sz w:val="21"/>
                <w:szCs w:val="21"/>
              </w:rPr>
            </w:r>
          </w:p>
        </w:tc>
      </w:tr>
      <w:tr>
        <w:trPr>
          <w:trHeight w:val="635" w:hRule="exact"/>
        </w:trPr>
        <w:tc>
          <w:tcPr>
            <w:tcW w:w="1086" w:type="dxa"/>
            <w:vMerge/>
            <w:tcBorders>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1"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占总额比</w:t>
            </w:r>
            <w:r>
              <w:rPr>
                <w:rFonts w:ascii="宋体" w:hAnsi="宋体" w:cs="宋体" w:eastAsia="宋体" w:hint="default"/>
                <w:sz w:val="21"/>
                <w:szCs w:val="21"/>
              </w:rPr>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b/>
                <w:bCs/>
                <w:w w:val="99"/>
                <w:sz w:val="21"/>
                <w:szCs w:val="21"/>
              </w:rPr>
              <w:t>例</w:t>
            </w:r>
            <w:r>
              <w:rPr>
                <w:rFonts w:ascii="宋体" w:hAnsi="宋体" w:cs="宋体" w:eastAsia="宋体" w:hint="default"/>
                <w:sz w:val="21"/>
                <w:szCs w:val="21"/>
              </w:rPr>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51"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06"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占总额</w:t>
            </w:r>
            <w:r>
              <w:rPr>
                <w:rFonts w:ascii="宋体" w:hAnsi="宋体" w:cs="宋体" w:eastAsia="宋体" w:hint="default"/>
                <w:sz w:val="21"/>
                <w:szCs w:val="21"/>
              </w:rPr>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90"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322" w:hRule="exact"/>
        </w:trPr>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14,946,185.79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4"/>
              <w:jc w:val="right"/>
              <w:rPr>
                <w:rFonts w:ascii="Times New Roman" w:hAnsi="Times New Roman" w:cs="Times New Roman" w:eastAsia="Times New Roman" w:hint="default"/>
                <w:sz w:val="21"/>
                <w:szCs w:val="21"/>
              </w:rPr>
            </w:pPr>
            <w:r>
              <w:rPr>
                <w:rFonts w:ascii="Times New Roman"/>
                <w:spacing w:val="-1"/>
                <w:sz w:val="21"/>
              </w:rPr>
              <w:t>91.62%</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1"/>
                <w:sz w:val="21"/>
              </w:rPr>
              <w:t>60,509.92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0.40%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14,527,148.75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4"/>
              <w:jc w:val="right"/>
              <w:rPr>
                <w:rFonts w:ascii="Times New Roman" w:hAnsi="Times New Roman" w:cs="Times New Roman" w:eastAsia="Times New Roman" w:hint="default"/>
                <w:sz w:val="21"/>
                <w:szCs w:val="21"/>
              </w:rPr>
            </w:pPr>
            <w:r>
              <w:rPr>
                <w:rFonts w:ascii="Times New Roman"/>
                <w:spacing w:val="-1"/>
                <w:sz w:val="21"/>
              </w:rPr>
              <w:t>94.19%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65,330.50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0.45%</w:t>
            </w:r>
          </w:p>
        </w:tc>
      </w:tr>
      <w:tr>
        <w:trPr>
          <w:trHeight w:val="322" w:hRule="exact"/>
        </w:trPr>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1,133,868.31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6.95%</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1"/>
                <w:sz w:val="21"/>
              </w:rPr>
              <w:t>56,693.42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5.00%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1"/>
                <w:sz w:val="21"/>
              </w:rPr>
              <w:t>866,785.06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5.62%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2" w:right="0"/>
              <w:jc w:val="left"/>
              <w:rPr>
                <w:rFonts w:ascii="Times New Roman" w:hAnsi="Times New Roman" w:cs="Times New Roman" w:eastAsia="Times New Roman" w:hint="default"/>
                <w:sz w:val="21"/>
                <w:szCs w:val="21"/>
              </w:rPr>
            </w:pPr>
            <w:r>
              <w:rPr>
                <w:rFonts w:ascii="Times New Roman"/>
                <w:sz w:val="21"/>
              </w:rPr>
              <w:t>212,443.05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4"/>
              <w:jc w:val="right"/>
              <w:rPr>
                <w:rFonts w:ascii="Times New Roman" w:hAnsi="Times New Roman" w:cs="Times New Roman" w:eastAsia="Times New Roman" w:hint="default"/>
                <w:sz w:val="21"/>
                <w:szCs w:val="21"/>
              </w:rPr>
            </w:pPr>
            <w:r>
              <w:rPr>
                <w:rFonts w:ascii="Times New Roman"/>
                <w:spacing w:val="-1"/>
                <w:sz w:val="21"/>
              </w:rPr>
              <w:t>24.51%</w:t>
            </w:r>
          </w:p>
        </w:tc>
      </w:tr>
      <w:tr>
        <w:trPr>
          <w:trHeight w:val="323" w:hRule="exact"/>
        </w:trPr>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1"/>
                <w:sz w:val="21"/>
              </w:rPr>
              <w:t>203,851.60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1.25%</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180,588.76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4"/>
              <w:jc w:val="right"/>
              <w:rPr>
                <w:rFonts w:ascii="Times New Roman" w:hAnsi="Times New Roman" w:cs="Times New Roman" w:eastAsia="Times New Roman" w:hint="default"/>
                <w:sz w:val="21"/>
                <w:szCs w:val="21"/>
              </w:rPr>
            </w:pPr>
            <w:r>
              <w:rPr>
                <w:rFonts w:ascii="Times New Roman"/>
                <w:spacing w:val="-1"/>
                <w:sz w:val="21"/>
              </w:rPr>
              <w:t>88.59%</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1"/>
                <w:sz w:val="21"/>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pacing w:val="-1"/>
                <w:sz w:val="21"/>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2" w:hRule="exact"/>
        </w:trPr>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1"/>
                <w:sz w:val="21"/>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0.00%</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1"/>
                <w:sz w:val="21"/>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22,433.00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0.15%</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6,729.90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4"/>
              <w:jc w:val="right"/>
              <w:rPr>
                <w:rFonts w:ascii="Times New Roman" w:hAnsi="Times New Roman" w:cs="Times New Roman" w:eastAsia="Times New Roman" w:hint="default"/>
                <w:sz w:val="21"/>
                <w:szCs w:val="21"/>
              </w:rPr>
            </w:pPr>
            <w:r>
              <w:rPr>
                <w:rFonts w:ascii="Times New Roman"/>
                <w:spacing w:val="-1"/>
                <w:sz w:val="21"/>
              </w:rPr>
              <w:t>30.00%</w:t>
            </w:r>
          </w:p>
        </w:tc>
      </w:tr>
      <w:tr>
        <w:trPr>
          <w:trHeight w:val="322" w:hRule="exact"/>
        </w:trPr>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1"/>
                <w:sz w:val="21"/>
              </w:rPr>
              <w:t>22,433.00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1"/>
                <w:sz w:val="21"/>
              </w:rPr>
              <w:t>0.14%</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2"/>
                <w:sz w:val="21"/>
              </w:rPr>
              <w:t>11,216.50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4"/>
              <w:jc w:val="right"/>
              <w:rPr>
                <w:rFonts w:ascii="Times New Roman" w:hAnsi="Times New Roman" w:cs="Times New Roman" w:eastAsia="Times New Roman" w:hint="default"/>
                <w:sz w:val="21"/>
                <w:szCs w:val="21"/>
              </w:rPr>
            </w:pPr>
            <w:r>
              <w:rPr>
                <w:rFonts w:ascii="Times New Roman"/>
                <w:spacing w:val="-1"/>
                <w:sz w:val="21"/>
              </w:rPr>
              <w:t>50.00%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1"/>
                <w:sz w:val="21"/>
              </w:rPr>
              <w:t>1,500.00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0.01%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750.00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4"/>
              <w:jc w:val="right"/>
              <w:rPr>
                <w:rFonts w:ascii="Times New Roman" w:hAnsi="Times New Roman" w:cs="Times New Roman" w:eastAsia="Times New Roman" w:hint="default"/>
                <w:sz w:val="21"/>
                <w:szCs w:val="21"/>
              </w:rPr>
            </w:pPr>
            <w:r>
              <w:rPr>
                <w:rFonts w:ascii="Times New Roman"/>
                <w:spacing w:val="-1"/>
                <w:sz w:val="21"/>
              </w:rPr>
              <w:t>50.00%</w:t>
            </w:r>
          </w:p>
        </w:tc>
      </w:tr>
      <w:tr>
        <w:trPr>
          <w:trHeight w:val="323" w:hRule="exact"/>
        </w:trPr>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1"/>
                <w:sz w:val="21"/>
              </w:rPr>
              <w:t>6,500.00</w:t>
            </w:r>
            <w:r>
              <w:rPr>
                <w:rFonts w:ascii="Times New Roman"/>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0.04%</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6,500.00</w:t>
            </w:r>
            <w:r>
              <w:rPr>
                <w:rFonts w:ascii="Times New Roman"/>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1"/>
                <w:sz w:val="21"/>
              </w:rPr>
              <w:t>100.00%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5,000.00</w:t>
            </w:r>
            <w:r>
              <w:rPr>
                <w:rFonts w:ascii="Times New Roman"/>
                <w:sz w:val="21"/>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0.03%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5,000.00</w:t>
            </w:r>
            <w:r>
              <w:rPr>
                <w:rFonts w:ascii="Times New Roman"/>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1"/>
                <w:sz w:val="21"/>
              </w:rPr>
              <w:t>100.00%</w:t>
            </w:r>
          </w:p>
        </w:tc>
      </w:tr>
      <w:tr>
        <w:trPr>
          <w:trHeight w:val="322" w:hRule="exact"/>
        </w:trPr>
        <w:tc>
          <w:tcPr>
            <w:tcW w:w="1086"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16,312,838.70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100.00%</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315,508.60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4"/>
              <w:jc w:val="right"/>
              <w:rPr>
                <w:rFonts w:ascii="Times New Roman" w:hAnsi="Times New Roman" w:cs="Times New Roman" w:eastAsia="Times New Roman" w:hint="default"/>
                <w:sz w:val="21"/>
                <w:szCs w:val="21"/>
              </w:rPr>
            </w:pPr>
            <w:r>
              <w:rPr>
                <w:rFonts w:ascii="Times New Roman"/>
                <w:spacing w:val="-1"/>
                <w:sz w:val="21"/>
              </w:rPr>
              <w:t>1.93%</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4"/>
              <w:jc w:val="right"/>
              <w:rPr>
                <w:rFonts w:ascii="Times New Roman" w:hAnsi="Times New Roman" w:cs="Times New Roman" w:eastAsia="Times New Roman" w:hint="default"/>
                <w:sz w:val="21"/>
                <w:szCs w:val="21"/>
              </w:rPr>
            </w:pPr>
            <w:r>
              <w:rPr>
                <w:rFonts w:ascii="Times New Roman"/>
                <w:spacing w:val="-1"/>
                <w:sz w:val="21"/>
              </w:rPr>
              <w:t>15,422,866.81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4"/>
              <w:jc w:val="right"/>
              <w:rPr>
                <w:rFonts w:ascii="Times New Roman" w:hAnsi="Times New Roman" w:cs="Times New Roman" w:eastAsia="Times New Roman" w:hint="default"/>
                <w:sz w:val="21"/>
                <w:szCs w:val="21"/>
              </w:rPr>
            </w:pPr>
            <w:r>
              <w:rPr>
                <w:rFonts w:ascii="Times New Roman"/>
                <w:spacing w:val="-1"/>
                <w:sz w:val="21"/>
              </w:rPr>
              <w:t>100.00%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3" w:right="0"/>
              <w:jc w:val="left"/>
              <w:rPr>
                <w:rFonts w:ascii="Times New Roman" w:hAnsi="Times New Roman" w:cs="Times New Roman" w:eastAsia="Times New Roman" w:hint="default"/>
                <w:sz w:val="21"/>
                <w:szCs w:val="21"/>
              </w:rPr>
            </w:pPr>
            <w:r>
              <w:rPr>
                <w:rFonts w:ascii="Times New Roman"/>
                <w:sz w:val="21"/>
              </w:rPr>
              <w:t>290,253.45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4"/>
              <w:jc w:val="right"/>
              <w:rPr>
                <w:rFonts w:ascii="Times New Roman" w:hAnsi="Times New Roman" w:cs="Times New Roman" w:eastAsia="Times New Roman" w:hint="default"/>
                <w:sz w:val="21"/>
                <w:szCs w:val="21"/>
              </w:rPr>
            </w:pPr>
            <w:r>
              <w:rPr>
                <w:rFonts w:ascii="Times New Roman"/>
                <w:spacing w:val="-1"/>
                <w:sz w:val="21"/>
              </w:rPr>
              <w:t>1.88%</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2066"/>
        <w:gridCol w:w="1358"/>
        <w:gridCol w:w="728"/>
        <w:gridCol w:w="1225"/>
        <w:gridCol w:w="810"/>
        <w:gridCol w:w="1255"/>
        <w:gridCol w:w="700"/>
        <w:gridCol w:w="1050"/>
        <w:gridCol w:w="686"/>
      </w:tblGrid>
      <w:tr>
        <w:trPr>
          <w:trHeight w:val="310" w:hRule="exact"/>
        </w:trPr>
        <w:tc>
          <w:tcPr>
            <w:tcW w:w="206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12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b/>
                <w:bCs/>
                <w:sz w:val="18"/>
                <w:szCs w:val="18"/>
              </w:rPr>
              <w:t>年末数</w:t>
            </w:r>
            <w:r>
              <w:rPr>
                <w:rFonts w:ascii="宋体" w:hAnsi="宋体" w:cs="宋体" w:eastAsia="宋体" w:hint="default"/>
                <w:sz w:val="18"/>
                <w:szCs w:val="18"/>
              </w:rPr>
            </w:r>
          </w:p>
        </w:tc>
        <w:tc>
          <w:tcPr>
            <w:tcW w:w="369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center"/>
              <w:rPr>
                <w:rFonts w:ascii="宋体" w:hAnsi="宋体" w:cs="宋体" w:eastAsia="宋体" w:hint="default"/>
                <w:sz w:val="18"/>
                <w:szCs w:val="18"/>
              </w:rPr>
            </w:pPr>
            <w:r>
              <w:rPr>
                <w:rFonts w:ascii="宋体" w:hAnsi="宋体" w:cs="宋体" w:eastAsia="宋体" w:hint="default"/>
                <w:b/>
                <w:bCs/>
                <w:sz w:val="18"/>
                <w:szCs w:val="18"/>
              </w:rPr>
              <w:t>年初数</w:t>
            </w:r>
            <w:r>
              <w:rPr>
                <w:rFonts w:ascii="宋体" w:hAnsi="宋体" w:cs="宋体" w:eastAsia="宋体" w:hint="default"/>
                <w:sz w:val="18"/>
                <w:szCs w:val="18"/>
              </w:rPr>
            </w:r>
          </w:p>
        </w:tc>
      </w:tr>
      <w:tr>
        <w:trPr>
          <w:trHeight w:val="710" w:hRule="exact"/>
        </w:trPr>
        <w:tc>
          <w:tcPr>
            <w:tcW w:w="2066" w:type="dxa"/>
            <w:vMerge/>
            <w:tcBorders>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77" w:right="85" w:hanging="90"/>
              <w:jc w:val="left"/>
              <w:rPr>
                <w:rFonts w:ascii="宋体" w:hAnsi="宋体" w:cs="宋体" w:eastAsia="宋体" w:hint="default"/>
                <w:sz w:val="18"/>
                <w:szCs w:val="18"/>
              </w:rPr>
            </w:pPr>
            <w:r>
              <w:rPr>
                <w:rFonts w:ascii="宋体" w:hAnsi="宋体" w:cs="宋体" w:eastAsia="宋体" w:hint="default"/>
                <w:b/>
                <w:bCs/>
                <w:sz w:val="18"/>
                <w:szCs w:val="18"/>
              </w:rPr>
              <w:t>占总额</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8" w:right="37"/>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b/>
                <w:bCs/>
                <w:sz w:val="18"/>
                <w:szCs w:val="18"/>
              </w:rPr>
              <w:t>计提比例</w:t>
            </w:r>
            <w:r>
              <w:rPr>
                <w:rFonts w:ascii="宋体" w:hAnsi="宋体" w:cs="宋体" w:eastAsia="宋体" w:hint="default"/>
                <w:sz w:val="18"/>
                <w:szCs w:val="18"/>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62" w:right="71" w:hanging="90"/>
              <w:jc w:val="left"/>
              <w:rPr>
                <w:rFonts w:ascii="宋体" w:hAnsi="宋体" w:cs="宋体" w:eastAsia="宋体" w:hint="default"/>
                <w:sz w:val="18"/>
                <w:szCs w:val="18"/>
              </w:rPr>
            </w:pPr>
            <w:r>
              <w:rPr>
                <w:rFonts w:ascii="宋体" w:hAnsi="宋体" w:cs="宋体" w:eastAsia="宋体" w:hint="default"/>
                <w:b/>
                <w:bCs/>
                <w:sz w:val="18"/>
                <w:szCs w:val="18"/>
              </w:rPr>
              <w:t>占总额</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5" w:right="0"/>
              <w:jc w:val="left"/>
              <w:rPr>
                <w:rFonts w:ascii="宋体" w:hAnsi="宋体" w:cs="宋体" w:eastAsia="宋体" w:hint="default"/>
                <w:sz w:val="18"/>
                <w:szCs w:val="18"/>
              </w:rPr>
            </w:pPr>
            <w:r>
              <w:rPr>
                <w:rFonts w:ascii="宋体" w:hAnsi="宋体" w:cs="宋体" w:eastAsia="宋体" w:hint="default"/>
                <w:b/>
                <w:bCs/>
                <w:sz w:val="18"/>
                <w:szCs w:val="18"/>
              </w:rPr>
              <w:t>坏账准</w:t>
            </w:r>
            <w:r>
              <w:rPr>
                <w:rFonts w:ascii="宋体" w:hAnsi="宋体" w:cs="宋体" w:eastAsia="宋体" w:hint="default"/>
                <w:sz w:val="18"/>
                <w:szCs w:val="18"/>
              </w:rPr>
            </w:r>
          </w:p>
          <w:p>
            <w:pPr>
              <w:pStyle w:val="TableParagraph"/>
              <w:spacing w:line="232" w:lineRule="exact" w:before="24"/>
              <w:ind w:left="155" w:right="65" w:hanging="90"/>
              <w:jc w:val="left"/>
              <w:rPr>
                <w:rFonts w:ascii="宋体" w:hAnsi="宋体" w:cs="宋体" w:eastAsia="宋体" w:hint="default"/>
                <w:sz w:val="18"/>
                <w:szCs w:val="18"/>
              </w:rPr>
            </w:pPr>
            <w:r>
              <w:rPr>
                <w:rFonts w:ascii="宋体" w:hAnsi="宋体" w:cs="宋体" w:eastAsia="宋体" w:hint="default"/>
                <w:b/>
                <w:bCs/>
                <w:sz w:val="18"/>
                <w:szCs w:val="18"/>
              </w:rPr>
              <w:t>备计提</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572"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2"/>
              <w:ind w:right="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、单项金额重大并已单独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计提坏账准备的款项</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6"/>
              <w:jc w:val="right"/>
              <w:rPr>
                <w:rFonts w:ascii="宋体" w:hAnsi="宋体" w:cs="宋体" w:eastAsia="宋体" w:hint="default"/>
                <w:sz w:val="18"/>
                <w:szCs w:val="18"/>
              </w:rPr>
            </w:pPr>
            <w:r>
              <w:rPr>
                <w:rFonts w:ascii="宋体"/>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7"/>
              <w:jc w:val="right"/>
              <w:rPr>
                <w:rFonts w:ascii="宋体" w:hAnsi="宋体" w:cs="宋体" w:eastAsia="宋体" w:hint="default"/>
                <w:sz w:val="18"/>
                <w:szCs w:val="18"/>
              </w:rPr>
            </w:pPr>
            <w:r>
              <w:rPr>
                <w:rFonts w:ascii="宋体"/>
                <w:sz w:val="18"/>
              </w:rPr>
              <w:t>0.00%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6"/>
              <w:jc w:val="right"/>
              <w:rPr>
                <w:rFonts w:ascii="宋体" w:hAnsi="宋体" w:cs="宋体" w:eastAsia="宋体" w:hint="default"/>
                <w:sz w:val="18"/>
                <w:szCs w:val="18"/>
              </w:rPr>
            </w:pPr>
            <w:r>
              <w:rPr>
                <w:rFonts w:ascii="宋体"/>
                <w:sz w:val="18"/>
              </w:rPr>
              <w:t>0.00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6"/>
              <w:jc w:val="right"/>
              <w:rPr>
                <w:rFonts w:ascii="宋体" w:hAnsi="宋体" w:cs="宋体" w:eastAsia="宋体" w:hint="default"/>
                <w:sz w:val="18"/>
                <w:szCs w:val="18"/>
              </w:rPr>
            </w:pPr>
            <w:r>
              <w:rPr>
                <w:rFonts w:ascii="宋体"/>
                <w:sz w:val="18"/>
              </w:rPr>
              <w:t>0.00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6"/>
              <w:jc w:val="right"/>
              <w:rPr>
                <w:rFonts w:ascii="宋体" w:hAnsi="宋体" w:cs="宋体" w:eastAsia="宋体" w:hint="default"/>
                <w:sz w:val="18"/>
                <w:szCs w:val="18"/>
              </w:rPr>
            </w:pPr>
            <w:r>
              <w:rPr>
                <w:rFonts w:ascii="宋体"/>
                <w:sz w:val="18"/>
              </w:rPr>
              <w:t>0.00</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6"/>
              <w:jc w:val="right"/>
              <w:rPr>
                <w:rFonts w:ascii="宋体" w:hAnsi="宋体" w:cs="宋体" w:eastAsia="宋体" w:hint="default"/>
                <w:sz w:val="18"/>
                <w:szCs w:val="18"/>
              </w:rPr>
            </w:pPr>
            <w:r>
              <w:rPr>
                <w:rFonts w:ascii="宋体"/>
                <w:sz w:val="18"/>
              </w:rPr>
              <w:t>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6"/>
              <w:jc w:val="right"/>
              <w:rPr>
                <w:rFonts w:ascii="宋体" w:hAnsi="宋体" w:cs="宋体" w:eastAsia="宋体" w:hint="default"/>
                <w:sz w:val="18"/>
                <w:szCs w:val="18"/>
              </w:rPr>
            </w:pPr>
            <w:r>
              <w:rPr>
                <w:rFonts w:ascii="宋体"/>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7"/>
              <w:jc w:val="right"/>
              <w:rPr>
                <w:rFonts w:ascii="宋体" w:hAnsi="宋体" w:cs="宋体" w:eastAsia="宋体" w:hint="default"/>
                <w:sz w:val="18"/>
                <w:szCs w:val="18"/>
              </w:rPr>
            </w:pPr>
            <w:r>
              <w:rPr>
                <w:rFonts w:ascii="宋体"/>
                <w:sz w:val="18"/>
              </w:rPr>
              <w:t>0.00%</w:t>
            </w:r>
          </w:p>
        </w:tc>
      </w:tr>
      <w:tr>
        <w:trPr>
          <w:trHeight w:val="598"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4"/>
              <w:ind w:right="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、单项金额非重大并已单</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独计提坏账准备的款项</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6"/>
              <w:jc w:val="right"/>
              <w:rPr>
                <w:rFonts w:ascii="宋体" w:hAnsi="宋体" w:cs="宋体" w:eastAsia="宋体" w:hint="default"/>
                <w:sz w:val="18"/>
                <w:szCs w:val="18"/>
              </w:rPr>
            </w:pPr>
            <w:r>
              <w:rPr>
                <w:rFonts w:ascii="宋体"/>
                <w:sz w:val="18"/>
              </w:rPr>
              <w:t>178,004.00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7"/>
              <w:jc w:val="right"/>
              <w:rPr>
                <w:rFonts w:ascii="宋体" w:hAnsi="宋体" w:cs="宋体" w:eastAsia="宋体" w:hint="default"/>
                <w:sz w:val="18"/>
                <w:szCs w:val="18"/>
              </w:rPr>
            </w:pPr>
            <w:r>
              <w:rPr>
                <w:rFonts w:ascii="宋体"/>
                <w:sz w:val="18"/>
              </w:rPr>
              <w:t>1.09%</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6"/>
              <w:jc w:val="right"/>
              <w:rPr>
                <w:rFonts w:ascii="宋体" w:hAnsi="宋体" w:cs="宋体" w:eastAsia="宋体" w:hint="default"/>
                <w:sz w:val="18"/>
                <w:szCs w:val="18"/>
              </w:rPr>
            </w:pPr>
            <w:r>
              <w:rPr>
                <w:rFonts w:ascii="宋体"/>
                <w:sz w:val="18"/>
              </w:rPr>
              <w:t>178,004.00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6"/>
              <w:jc w:val="right"/>
              <w:rPr>
                <w:rFonts w:ascii="宋体" w:hAnsi="宋体" w:cs="宋体" w:eastAsia="宋体" w:hint="default"/>
                <w:sz w:val="18"/>
                <w:szCs w:val="18"/>
              </w:rPr>
            </w:pPr>
            <w:r>
              <w:rPr>
                <w:rFonts w:ascii="宋体"/>
                <w:sz w:val="18"/>
              </w:rPr>
              <w:t>100.00%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6"/>
              <w:jc w:val="right"/>
              <w:rPr>
                <w:rFonts w:ascii="宋体" w:hAnsi="宋体" w:cs="宋体" w:eastAsia="宋体" w:hint="default"/>
                <w:sz w:val="18"/>
                <w:szCs w:val="18"/>
              </w:rPr>
            </w:pPr>
            <w:r>
              <w:rPr>
                <w:rFonts w:ascii="宋体"/>
                <w:sz w:val="18"/>
              </w:rPr>
              <w:t>178,004.00</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6"/>
              <w:jc w:val="right"/>
              <w:rPr>
                <w:rFonts w:ascii="宋体" w:hAnsi="宋体" w:cs="宋体" w:eastAsia="宋体" w:hint="default"/>
                <w:sz w:val="18"/>
                <w:szCs w:val="18"/>
              </w:rPr>
            </w:pPr>
            <w:r>
              <w:rPr>
                <w:rFonts w:ascii="宋体"/>
                <w:sz w:val="18"/>
              </w:rPr>
              <w:t>1.15%</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6"/>
              <w:jc w:val="right"/>
              <w:rPr>
                <w:rFonts w:ascii="宋体" w:hAnsi="宋体" w:cs="宋体" w:eastAsia="宋体" w:hint="default"/>
                <w:sz w:val="18"/>
                <w:szCs w:val="18"/>
              </w:rPr>
            </w:pPr>
            <w:r>
              <w:rPr>
                <w:rFonts w:ascii="宋体"/>
                <w:sz w:val="18"/>
              </w:rPr>
              <w:t>178,004.00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7"/>
              <w:jc w:val="right"/>
              <w:rPr>
                <w:rFonts w:ascii="宋体" w:hAnsi="宋体" w:cs="宋体" w:eastAsia="宋体" w:hint="default"/>
                <w:sz w:val="18"/>
                <w:szCs w:val="18"/>
              </w:rPr>
            </w:pPr>
            <w:r>
              <w:rPr>
                <w:rFonts w:ascii="宋体"/>
                <w:sz w:val="18"/>
              </w:rPr>
              <w:t>100.00%</w:t>
            </w:r>
          </w:p>
        </w:tc>
      </w:tr>
      <w:tr>
        <w:trPr>
          <w:trHeight w:val="516"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3"/>
              <w:ind w:right="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、其他按账龄段划分为类</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似信用风险特征的款项，</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6"/>
              <w:jc w:val="right"/>
              <w:rPr>
                <w:rFonts w:ascii="宋体" w:hAnsi="宋体" w:cs="宋体" w:eastAsia="宋体" w:hint="default"/>
                <w:sz w:val="18"/>
                <w:szCs w:val="18"/>
              </w:rPr>
            </w:pPr>
            <w:r>
              <w:rPr>
                <w:rFonts w:ascii="宋体"/>
                <w:sz w:val="18"/>
              </w:rPr>
              <w:t>16,134,834.70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7"/>
              <w:jc w:val="right"/>
              <w:rPr>
                <w:rFonts w:ascii="宋体" w:hAnsi="宋体" w:cs="宋体" w:eastAsia="宋体" w:hint="default"/>
                <w:sz w:val="18"/>
                <w:szCs w:val="18"/>
              </w:rPr>
            </w:pPr>
            <w:r>
              <w:rPr>
                <w:rFonts w:ascii="宋体"/>
                <w:sz w:val="18"/>
              </w:rPr>
              <w:t>98.91%</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6"/>
              <w:jc w:val="right"/>
              <w:rPr>
                <w:rFonts w:ascii="宋体" w:hAnsi="宋体" w:cs="宋体" w:eastAsia="宋体" w:hint="default"/>
                <w:sz w:val="18"/>
                <w:szCs w:val="18"/>
              </w:rPr>
            </w:pPr>
            <w:r>
              <w:rPr>
                <w:rFonts w:ascii="宋体"/>
                <w:sz w:val="18"/>
              </w:rPr>
              <w:t>137,504.60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6"/>
              <w:jc w:val="right"/>
              <w:rPr>
                <w:rFonts w:ascii="宋体" w:hAnsi="宋体" w:cs="宋体" w:eastAsia="宋体" w:hint="default"/>
                <w:sz w:val="18"/>
                <w:szCs w:val="18"/>
              </w:rPr>
            </w:pPr>
            <w:r>
              <w:rPr>
                <w:rFonts w:ascii="宋体"/>
                <w:sz w:val="18"/>
              </w:rPr>
              <w:t>0.85%</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6"/>
              <w:jc w:val="right"/>
              <w:rPr>
                <w:rFonts w:ascii="宋体" w:hAnsi="宋体" w:cs="宋体" w:eastAsia="宋体" w:hint="default"/>
                <w:sz w:val="18"/>
                <w:szCs w:val="18"/>
              </w:rPr>
            </w:pPr>
            <w:r>
              <w:rPr>
                <w:rFonts w:ascii="宋体"/>
                <w:sz w:val="18"/>
              </w:rPr>
              <w:t>15,244,862.81</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6"/>
              <w:jc w:val="right"/>
              <w:rPr>
                <w:rFonts w:ascii="宋体" w:hAnsi="宋体" w:cs="宋体" w:eastAsia="宋体" w:hint="default"/>
                <w:sz w:val="18"/>
                <w:szCs w:val="18"/>
              </w:rPr>
            </w:pPr>
            <w:r>
              <w:rPr>
                <w:rFonts w:ascii="宋体"/>
                <w:sz w:val="18"/>
              </w:rPr>
              <w:t>98.85%</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7"/>
              <w:jc w:val="right"/>
              <w:rPr>
                <w:rFonts w:ascii="宋体" w:hAnsi="宋体" w:cs="宋体" w:eastAsia="宋体" w:hint="default"/>
                <w:sz w:val="18"/>
                <w:szCs w:val="18"/>
              </w:rPr>
            </w:pPr>
            <w:r>
              <w:rPr>
                <w:rFonts w:ascii="宋体"/>
                <w:sz w:val="18"/>
              </w:rPr>
              <w:t>112,249.45</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7"/>
              <w:jc w:val="right"/>
              <w:rPr>
                <w:rFonts w:ascii="宋体" w:hAnsi="宋体" w:cs="宋体" w:eastAsia="宋体" w:hint="default"/>
                <w:sz w:val="18"/>
                <w:szCs w:val="18"/>
              </w:rPr>
            </w:pPr>
            <w:r>
              <w:rPr>
                <w:rFonts w:ascii="宋体"/>
                <w:sz w:val="18"/>
              </w:rPr>
              <w:t>0.74%</w:t>
            </w:r>
          </w:p>
        </w:tc>
      </w:tr>
      <w:tr>
        <w:trPr>
          <w:trHeight w:val="322"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其中：单项金额重大</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宋体" w:hAnsi="宋体" w:cs="宋体" w:eastAsia="宋体" w:hint="default"/>
                <w:sz w:val="18"/>
                <w:szCs w:val="18"/>
              </w:rPr>
            </w:pPr>
            <w:r>
              <w:rPr>
                <w:rFonts w:ascii="宋体"/>
                <w:sz w:val="18"/>
              </w:rPr>
              <w:t>7,674,248.55</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宋体"/>
                <w:sz w:val="18"/>
              </w:rPr>
              <w:t>47.04%</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宋体" w:hAnsi="宋体" w:cs="宋体" w:eastAsia="宋体" w:hint="default"/>
                <w:sz w:val="18"/>
                <w:szCs w:val="18"/>
              </w:rPr>
            </w:pPr>
            <w:r>
              <w:rPr>
                <w:rFonts w:ascii="宋体"/>
                <w:sz w:val="18"/>
              </w:rPr>
              <w:t>25,051.16</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宋体" w:hAnsi="宋体" w:cs="宋体" w:eastAsia="宋体" w:hint="default"/>
                <w:sz w:val="18"/>
                <w:szCs w:val="18"/>
              </w:rPr>
            </w:pPr>
            <w:r>
              <w:rPr>
                <w:rFonts w:ascii="宋体"/>
                <w:sz w:val="18"/>
              </w:rPr>
              <w:t>0.33%</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宋体" w:hAnsi="宋体" w:cs="宋体" w:eastAsia="宋体" w:hint="default"/>
                <w:sz w:val="18"/>
                <w:szCs w:val="18"/>
              </w:rPr>
            </w:pPr>
            <w:r>
              <w:rPr>
                <w:rFonts w:ascii="宋体"/>
                <w:sz w:val="18"/>
              </w:rPr>
              <w:t>6,455,707.63</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宋体" w:hAnsi="宋体" w:cs="宋体" w:eastAsia="宋体" w:hint="default"/>
                <w:sz w:val="18"/>
                <w:szCs w:val="18"/>
              </w:rPr>
            </w:pPr>
            <w:r>
              <w:rPr>
                <w:rFonts w:ascii="宋体"/>
                <w:sz w:val="18"/>
              </w:rPr>
              <w:t>41.86%</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宋体" w:hAnsi="宋体" w:cs="宋体" w:eastAsia="宋体" w:hint="default"/>
                <w:sz w:val="18"/>
                <w:szCs w:val="18"/>
              </w:rPr>
            </w:pPr>
            <w:r>
              <w:rPr>
                <w:rFonts w:ascii="宋体"/>
                <w:sz w:val="18"/>
              </w:rPr>
              <w:t>32,278.54</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宋体"/>
                <w:sz w:val="18"/>
              </w:rPr>
              <w:t>0.50%</w:t>
            </w:r>
          </w:p>
        </w:tc>
      </w:tr>
      <w:tr>
        <w:trPr>
          <w:trHeight w:val="323"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40" w:right="0"/>
              <w:jc w:val="left"/>
              <w:rPr>
                <w:rFonts w:ascii="宋体" w:hAnsi="宋体" w:cs="宋体" w:eastAsia="宋体" w:hint="default"/>
                <w:sz w:val="18"/>
                <w:szCs w:val="18"/>
              </w:rPr>
            </w:pPr>
            <w:r>
              <w:rPr>
                <w:rFonts w:ascii="宋体" w:hAnsi="宋体" w:cs="宋体" w:eastAsia="宋体" w:hint="default"/>
                <w:sz w:val="18"/>
                <w:szCs w:val="18"/>
              </w:rPr>
              <w:t>单项金额非重大</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宋体" w:hAnsi="宋体" w:cs="宋体" w:eastAsia="宋体" w:hint="default"/>
                <w:sz w:val="18"/>
                <w:szCs w:val="18"/>
              </w:rPr>
            </w:pPr>
            <w:r>
              <w:rPr>
                <w:rFonts w:ascii="宋体"/>
                <w:sz w:val="18"/>
              </w:rPr>
              <w:t>8,460,586.15</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宋体"/>
                <w:sz w:val="18"/>
              </w:rPr>
              <w:t>51.86%</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宋体" w:hAnsi="宋体" w:cs="宋体" w:eastAsia="宋体" w:hint="default"/>
                <w:sz w:val="18"/>
                <w:szCs w:val="18"/>
              </w:rPr>
            </w:pPr>
            <w:r>
              <w:rPr>
                <w:rFonts w:ascii="宋体"/>
                <w:sz w:val="18"/>
              </w:rPr>
              <w:t>112,453.44</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宋体" w:hAnsi="宋体" w:cs="宋体" w:eastAsia="宋体" w:hint="default"/>
                <w:sz w:val="18"/>
                <w:szCs w:val="18"/>
              </w:rPr>
            </w:pPr>
            <w:r>
              <w:rPr>
                <w:rFonts w:ascii="宋体"/>
                <w:sz w:val="18"/>
              </w:rPr>
              <w:t>1.33%</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宋体" w:hAnsi="宋体" w:cs="宋体" w:eastAsia="宋体" w:hint="default"/>
                <w:sz w:val="18"/>
                <w:szCs w:val="18"/>
              </w:rPr>
            </w:pPr>
            <w:r>
              <w:rPr>
                <w:rFonts w:ascii="宋体"/>
                <w:sz w:val="18"/>
              </w:rPr>
              <w:t>8,789,155.18</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宋体" w:hAnsi="宋体" w:cs="宋体" w:eastAsia="宋体" w:hint="default"/>
                <w:sz w:val="18"/>
                <w:szCs w:val="18"/>
              </w:rPr>
            </w:pPr>
            <w:r>
              <w:rPr>
                <w:rFonts w:ascii="宋体"/>
                <w:sz w:val="18"/>
              </w:rPr>
              <w:t>56.99%</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宋体" w:hAnsi="宋体" w:cs="宋体" w:eastAsia="宋体" w:hint="default"/>
                <w:sz w:val="18"/>
                <w:szCs w:val="18"/>
              </w:rPr>
            </w:pPr>
            <w:r>
              <w:rPr>
                <w:rFonts w:ascii="宋体"/>
                <w:sz w:val="18"/>
              </w:rPr>
              <w:t>79,970.91</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宋体"/>
                <w:sz w:val="18"/>
              </w:rPr>
              <w:t>0.91%</w:t>
            </w:r>
          </w:p>
        </w:tc>
      </w:tr>
      <w:tr>
        <w:trPr>
          <w:trHeight w:val="322"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
              <w:jc w:val="right"/>
              <w:rPr>
                <w:rFonts w:ascii="宋体" w:hAnsi="宋体" w:cs="宋体" w:eastAsia="宋体" w:hint="default"/>
                <w:sz w:val="18"/>
                <w:szCs w:val="18"/>
              </w:rPr>
            </w:pPr>
            <w:r>
              <w:rPr>
                <w:rFonts w:ascii="宋体"/>
                <w:sz w:val="18"/>
              </w:rPr>
              <w:t>16,312,838.70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宋体"/>
                <w:sz w:val="18"/>
              </w:rPr>
              <w:t>100.00%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宋体"/>
                <w:sz w:val="18"/>
              </w:rPr>
              <w:t>315,508.60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宋体"/>
                <w:sz w:val="18"/>
              </w:rPr>
              <w:t>1.93%</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宋体" w:hAnsi="宋体" w:cs="宋体" w:eastAsia="宋体" w:hint="default"/>
                <w:sz w:val="18"/>
                <w:szCs w:val="18"/>
              </w:rPr>
            </w:pPr>
            <w:r>
              <w:rPr>
                <w:rFonts w:ascii="宋体"/>
                <w:sz w:val="18"/>
              </w:rPr>
              <w:t>15,422,866.81</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宋体"/>
                <w:sz w:val="18"/>
              </w:rPr>
              <w:t>100.00%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
              <w:jc w:val="right"/>
              <w:rPr>
                <w:rFonts w:ascii="宋体" w:hAnsi="宋体" w:cs="宋体" w:eastAsia="宋体" w:hint="default"/>
                <w:sz w:val="18"/>
                <w:szCs w:val="18"/>
              </w:rPr>
            </w:pPr>
            <w:r>
              <w:rPr>
                <w:rFonts w:ascii="宋体"/>
                <w:sz w:val="18"/>
              </w:rPr>
              <w:t>290,253.45</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1.88%</w:t>
            </w:r>
          </w:p>
        </w:tc>
      </w:tr>
    </w:tbl>
    <w:p>
      <w:pPr>
        <w:pStyle w:val="BodyText"/>
        <w:spacing w:line="240" w:lineRule="auto" w:before="93"/>
        <w:ind w:left="1320" w:right="0"/>
        <w:jc w:val="left"/>
      </w:pPr>
      <w:r>
        <w:rPr/>
        <w:t>2、其他应收款坏账准备的变动如下：</w:t>
      </w:r>
    </w:p>
    <w:p>
      <w:pPr>
        <w:spacing w:line="240" w:lineRule="auto" w:before="6"/>
        <w:rPr>
          <w:rFonts w:ascii="宋体" w:hAnsi="宋体" w:cs="宋体" w:eastAsia="宋体" w:hint="default"/>
          <w:sz w:val="14"/>
          <w:szCs w:val="14"/>
        </w:rPr>
      </w:pPr>
    </w:p>
    <w:tbl>
      <w:tblPr>
        <w:tblW w:w="0" w:type="auto"/>
        <w:jc w:val="left"/>
        <w:tblInd w:w="795" w:type="dxa"/>
        <w:tblLayout w:type="fixed"/>
        <w:tblCellMar>
          <w:top w:w="0" w:type="dxa"/>
          <w:left w:w="0" w:type="dxa"/>
          <w:bottom w:w="0" w:type="dxa"/>
          <w:right w:w="0" w:type="dxa"/>
        </w:tblCellMar>
        <w:tblLook w:val="01E0"/>
      </w:tblPr>
      <w:tblGrid>
        <w:gridCol w:w="1985"/>
        <w:gridCol w:w="1559"/>
        <w:gridCol w:w="1276"/>
        <w:gridCol w:w="1134"/>
        <w:gridCol w:w="992"/>
        <w:gridCol w:w="1560"/>
      </w:tblGrid>
      <w:tr>
        <w:trPr>
          <w:trHeight w:val="322" w:hRule="exact"/>
        </w:trPr>
        <w:tc>
          <w:tcPr>
            <w:tcW w:w="1985" w:type="dxa"/>
            <w:vMerge w:val="restart"/>
            <w:tcBorders>
              <w:top w:val="single" w:sz="4" w:space="0" w:color="000000"/>
              <w:left w:val="single" w:sz="4" w:space="0" w:color="000000"/>
              <w:right w:val="single" w:sz="4" w:space="0" w:color="000000"/>
            </w:tcBorders>
          </w:tcPr>
          <w:p>
            <w:pP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before="141"/>
              <w:ind w:left="141" w:right="0"/>
              <w:jc w:val="left"/>
              <w:rPr>
                <w:rFonts w:ascii="宋体" w:hAnsi="宋体" w:cs="宋体" w:eastAsia="宋体" w:hint="default"/>
                <w:sz w:val="21"/>
                <w:szCs w:val="21"/>
              </w:rPr>
            </w:pPr>
            <w:r>
              <w:rPr>
                <w:rFonts w:ascii="宋体" w:hAnsi="宋体" w:cs="宋体" w:eastAsia="宋体" w:hint="default"/>
                <w:b/>
                <w:bCs/>
                <w:sz w:val="21"/>
                <w:szCs w:val="21"/>
              </w:rPr>
              <w:t>年初账面余额</w:t>
            </w:r>
            <w:r>
              <w:rPr>
                <w:rFonts w:ascii="宋体" w:hAnsi="宋体" w:cs="宋体" w:eastAsia="宋体" w:hint="default"/>
                <w:sz w:val="21"/>
                <w:szCs w:val="21"/>
              </w:rPr>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41"/>
              <w:ind w:left="105" w:right="0"/>
              <w:jc w:val="left"/>
              <w:rPr>
                <w:rFonts w:ascii="宋体" w:hAnsi="宋体" w:cs="宋体" w:eastAsia="宋体" w:hint="default"/>
                <w:sz w:val="21"/>
                <w:szCs w:val="21"/>
              </w:rPr>
            </w:pPr>
            <w:r>
              <w:rPr>
                <w:rFonts w:ascii="宋体" w:hAnsi="宋体" w:cs="宋体" w:eastAsia="宋体" w:hint="default"/>
                <w:b/>
                <w:bCs/>
                <w:sz w:val="21"/>
                <w:szCs w:val="21"/>
              </w:rPr>
              <w:t>本期计提额</w:t>
            </w:r>
            <w:r>
              <w:rPr>
                <w:rFonts w:ascii="宋体" w:hAnsi="宋体" w:cs="宋体" w:eastAsia="宋体" w:hint="default"/>
                <w:sz w:val="21"/>
                <w:szCs w:val="21"/>
              </w:rPr>
            </w:r>
          </w:p>
        </w:tc>
        <w:tc>
          <w:tcPr>
            <w:tcW w:w="2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31" w:right="0"/>
              <w:jc w:val="left"/>
              <w:rPr>
                <w:rFonts w:ascii="宋体" w:hAnsi="宋体" w:cs="宋体" w:eastAsia="宋体" w:hint="default"/>
                <w:sz w:val="21"/>
                <w:szCs w:val="21"/>
              </w:rPr>
            </w:pPr>
            <w:r>
              <w:rPr>
                <w:rFonts w:ascii="宋体" w:hAnsi="宋体" w:cs="宋体" w:eastAsia="宋体" w:hint="default"/>
                <w:b/>
                <w:bCs/>
                <w:sz w:val="21"/>
                <w:szCs w:val="21"/>
              </w:rPr>
              <w:t>本期减少额</w:t>
            </w:r>
            <w:r>
              <w:rPr>
                <w:rFonts w:ascii="宋体" w:hAnsi="宋体" w:cs="宋体" w:eastAsia="宋体" w:hint="default"/>
                <w:sz w:val="21"/>
                <w:szCs w:val="21"/>
              </w:rPr>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41"/>
              <w:ind w:left="142" w:right="0"/>
              <w:jc w:val="left"/>
              <w:rPr>
                <w:rFonts w:ascii="宋体" w:hAnsi="宋体" w:cs="宋体" w:eastAsia="宋体" w:hint="default"/>
                <w:sz w:val="21"/>
                <w:szCs w:val="21"/>
              </w:rPr>
            </w:pPr>
            <w:r>
              <w:rPr>
                <w:rFonts w:ascii="宋体" w:hAnsi="宋体" w:cs="宋体" w:eastAsia="宋体" w:hint="default"/>
                <w:b/>
                <w:bCs/>
                <w:sz w:val="21"/>
                <w:szCs w:val="21"/>
              </w:rPr>
              <w:t>年末账面余额</w:t>
            </w:r>
            <w:r>
              <w:rPr>
                <w:rFonts w:ascii="宋体" w:hAnsi="宋体" w:cs="宋体" w:eastAsia="宋体" w:hint="default"/>
                <w:sz w:val="21"/>
                <w:szCs w:val="21"/>
              </w:rPr>
            </w:r>
          </w:p>
        </w:tc>
      </w:tr>
      <w:tr>
        <w:trPr>
          <w:trHeight w:val="322" w:hRule="exact"/>
        </w:trPr>
        <w:tc>
          <w:tcPr>
            <w:tcW w:w="1985"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0" w:right="0"/>
              <w:jc w:val="left"/>
              <w:rPr>
                <w:rFonts w:ascii="宋体" w:hAnsi="宋体" w:cs="宋体" w:eastAsia="宋体" w:hint="default"/>
                <w:sz w:val="21"/>
                <w:szCs w:val="21"/>
              </w:rPr>
            </w:pPr>
            <w:r>
              <w:rPr>
                <w:rFonts w:ascii="宋体" w:hAnsi="宋体" w:cs="宋体" w:eastAsia="宋体" w:hint="default"/>
                <w:b/>
                <w:bCs/>
                <w:sz w:val="21"/>
                <w:szCs w:val="21"/>
              </w:rPr>
              <w:t>转回</w:t>
            </w:r>
            <w:r>
              <w:rPr>
                <w:rFonts w:ascii="宋体" w:hAnsi="宋体" w:cs="宋体" w:eastAsia="宋体" w:hint="default"/>
                <w:sz w:val="21"/>
                <w:szCs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79" w:right="0"/>
              <w:jc w:val="left"/>
              <w:rPr>
                <w:rFonts w:ascii="宋体" w:hAnsi="宋体" w:cs="宋体" w:eastAsia="宋体" w:hint="default"/>
                <w:sz w:val="21"/>
                <w:szCs w:val="21"/>
              </w:rPr>
            </w:pPr>
            <w:r>
              <w:rPr>
                <w:rFonts w:ascii="宋体" w:hAnsi="宋体" w:cs="宋体" w:eastAsia="宋体" w:hint="default"/>
                <w:b/>
                <w:bCs/>
                <w:sz w:val="21"/>
                <w:szCs w:val="21"/>
              </w:rPr>
              <w:t>转销</w:t>
            </w:r>
            <w:r>
              <w:rPr>
                <w:rFonts w:ascii="宋体" w:hAnsi="宋体" w:cs="宋体" w:eastAsia="宋体" w:hint="default"/>
                <w:sz w:val="21"/>
                <w:szCs w:val="21"/>
              </w:rPr>
            </w:r>
          </w:p>
        </w:tc>
        <w:tc>
          <w:tcPr>
            <w:tcW w:w="1560" w:type="dxa"/>
            <w:vMerge/>
            <w:tcBorders>
              <w:left w:val="single" w:sz="4" w:space="0" w:color="000000"/>
              <w:bottom w:val="single" w:sz="4" w:space="0" w:color="000000"/>
              <w:right w:val="single" w:sz="4" w:space="0" w:color="000000"/>
            </w:tcBorders>
          </w:tcPr>
          <w:p>
            <w:pPr/>
          </w:p>
        </w:tc>
      </w:tr>
      <w:tr>
        <w:trPr>
          <w:trHeight w:val="32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45,015.21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245,238.24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290,253.45</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290,253.45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25,255.15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315,508.60</w:t>
            </w:r>
          </w:p>
        </w:tc>
      </w:tr>
    </w:tbl>
    <w:p>
      <w:pPr>
        <w:pStyle w:val="BodyText"/>
        <w:spacing w:line="240" w:lineRule="auto" w:before="93"/>
        <w:ind w:left="1320" w:right="0"/>
        <w:jc w:val="left"/>
      </w:pPr>
      <w:r>
        <w:rPr/>
        <w:t>3、本期没有实际核销的其他应收款。</w:t>
      </w:r>
    </w:p>
    <w:p>
      <w:pPr>
        <w:pStyle w:val="BodyText"/>
        <w:spacing w:line="240" w:lineRule="auto" w:before="126"/>
        <w:ind w:left="1320" w:right="0"/>
        <w:jc w:val="left"/>
      </w:pPr>
      <w:r>
        <w:rPr>
          <w:spacing w:val="5"/>
        </w:rPr>
        <w:t>4、年末其他应收款中中持本公司 5％以上（含</w:t>
      </w:r>
      <w:r>
        <w:rPr>
          <w:spacing w:val="17"/>
        </w:rPr>
        <w:t> </w:t>
      </w:r>
      <w:r>
        <w:rPr>
          <w:spacing w:val="6"/>
        </w:rPr>
        <w:t>5％）表决权股份的股东单位款项为</w:t>
      </w:r>
      <w:r>
        <w:rPr/>
      </w:r>
    </w:p>
    <w:p>
      <w:pPr>
        <w:pStyle w:val="BodyText"/>
        <w:spacing w:line="240" w:lineRule="auto" w:before="125"/>
        <w:ind w:left="900" w:right="0"/>
        <w:jc w:val="left"/>
      </w:pPr>
      <w:r>
        <w:rPr>
          <w:rFonts w:ascii="Times New Roman" w:hAnsi="Times New Roman" w:cs="Times New Roman" w:eastAsia="Times New Roman" w:hint="default"/>
        </w:rPr>
        <w:t>13,610.00</w:t>
      </w:r>
      <w:r>
        <w:rPr>
          <w:rFonts w:ascii="Times New Roman" w:hAnsi="Times New Roman" w:cs="Times New Roman" w:eastAsia="Times New Roman" w:hint="default"/>
          <w:spacing w:val="-7"/>
        </w:rPr>
        <w:t> </w:t>
      </w:r>
      <w:r>
        <w:rPr/>
        <w:t>元：</w:t>
      </w:r>
    </w:p>
    <w:p>
      <w:pPr>
        <w:spacing w:line="240" w:lineRule="auto" w:before="2"/>
        <w:rPr>
          <w:rFonts w:ascii="宋体" w:hAnsi="宋体" w:cs="宋体" w:eastAsia="宋体" w:hint="default"/>
          <w:sz w:val="13"/>
          <w:szCs w:val="13"/>
        </w:rPr>
      </w:pPr>
    </w:p>
    <w:tbl>
      <w:tblPr>
        <w:tblW w:w="0" w:type="auto"/>
        <w:jc w:val="left"/>
        <w:tblInd w:w="830" w:type="dxa"/>
        <w:tblLayout w:type="fixed"/>
        <w:tblCellMar>
          <w:top w:w="0" w:type="dxa"/>
          <w:left w:w="0" w:type="dxa"/>
          <w:bottom w:w="0" w:type="dxa"/>
          <w:right w:w="0" w:type="dxa"/>
        </w:tblCellMar>
        <w:tblLook w:val="01E0"/>
      </w:tblPr>
      <w:tblGrid>
        <w:gridCol w:w="2628"/>
        <w:gridCol w:w="1260"/>
        <w:gridCol w:w="1620"/>
        <w:gridCol w:w="1260"/>
        <w:gridCol w:w="1668"/>
      </w:tblGrid>
      <w:tr>
        <w:trPr>
          <w:trHeight w:val="323" w:hRule="exact"/>
        </w:trPr>
        <w:tc>
          <w:tcPr>
            <w:tcW w:w="2628" w:type="dxa"/>
            <w:vMerge w:val="restart"/>
            <w:tcBorders>
              <w:top w:val="single" w:sz="4" w:space="0" w:color="000000"/>
              <w:left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9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22" w:hRule="exact"/>
        </w:trPr>
        <w:tc>
          <w:tcPr>
            <w:tcW w:w="2628"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2" w:right="0"/>
              <w:jc w:val="left"/>
              <w:rPr>
                <w:rFonts w:ascii="宋体" w:hAnsi="宋体" w:cs="宋体" w:eastAsia="宋体" w:hint="default"/>
                <w:sz w:val="21"/>
                <w:szCs w:val="21"/>
              </w:rPr>
            </w:pPr>
            <w:r>
              <w:rPr>
                <w:rFonts w:ascii="宋体" w:hAnsi="宋体" w:cs="宋体" w:eastAsia="宋体" w:hint="default"/>
                <w:b/>
                <w:bCs/>
                <w:sz w:val="21"/>
                <w:szCs w:val="21"/>
              </w:rPr>
              <w:t>账面金额</w:t>
            </w:r>
            <w:r>
              <w:rPr>
                <w:rFonts w:ascii="宋体" w:hAnsi="宋体" w:cs="宋体" w:eastAsia="宋体"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2" w:right="0"/>
              <w:jc w:val="left"/>
              <w:rPr>
                <w:rFonts w:ascii="宋体" w:hAnsi="宋体" w:cs="宋体" w:eastAsia="宋体" w:hint="default"/>
                <w:sz w:val="21"/>
                <w:szCs w:val="21"/>
              </w:rPr>
            </w:pPr>
            <w:r>
              <w:rPr>
                <w:rFonts w:ascii="宋体" w:hAnsi="宋体" w:cs="宋体" w:eastAsia="宋体" w:hint="default"/>
                <w:b/>
                <w:bCs/>
                <w:sz w:val="21"/>
                <w:szCs w:val="21"/>
              </w:rPr>
              <w:t>计提坏账金额</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2" w:right="0"/>
              <w:jc w:val="left"/>
              <w:rPr>
                <w:rFonts w:ascii="宋体" w:hAnsi="宋体" w:cs="宋体" w:eastAsia="宋体" w:hint="default"/>
                <w:sz w:val="21"/>
                <w:szCs w:val="21"/>
              </w:rPr>
            </w:pPr>
            <w:r>
              <w:rPr>
                <w:rFonts w:ascii="宋体" w:hAnsi="宋体" w:cs="宋体" w:eastAsia="宋体" w:hint="default"/>
                <w:b/>
                <w:bCs/>
                <w:sz w:val="21"/>
                <w:szCs w:val="21"/>
              </w:rPr>
              <w:t>账面金额</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6" w:right="0"/>
              <w:jc w:val="left"/>
              <w:rPr>
                <w:rFonts w:ascii="宋体" w:hAnsi="宋体" w:cs="宋体" w:eastAsia="宋体" w:hint="default"/>
                <w:sz w:val="21"/>
                <w:szCs w:val="21"/>
              </w:rPr>
            </w:pPr>
            <w:r>
              <w:rPr>
                <w:rFonts w:ascii="宋体" w:hAnsi="宋体" w:cs="宋体" w:eastAsia="宋体" w:hint="default"/>
                <w:b/>
                <w:bCs/>
                <w:sz w:val="21"/>
                <w:szCs w:val="21"/>
              </w:rPr>
              <w:t>计提坏账金额</w:t>
            </w:r>
            <w:r>
              <w:rPr>
                <w:rFonts w:ascii="宋体" w:hAnsi="宋体" w:cs="宋体" w:eastAsia="宋体" w:hint="default"/>
                <w:sz w:val="21"/>
                <w:szCs w:val="21"/>
              </w:rPr>
            </w:r>
          </w:p>
        </w:tc>
      </w:tr>
      <w:tr>
        <w:trPr>
          <w:trHeight w:val="323"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3" w:right="0"/>
              <w:jc w:val="left"/>
              <w:rPr>
                <w:rFonts w:ascii="宋体" w:hAnsi="宋体" w:cs="宋体" w:eastAsia="宋体" w:hint="default"/>
                <w:sz w:val="21"/>
                <w:szCs w:val="21"/>
              </w:rPr>
            </w:pPr>
            <w:r>
              <w:rPr>
                <w:rFonts w:ascii="宋体" w:hAnsi="宋体" w:cs="宋体" w:eastAsia="宋体" w:hint="default"/>
                <w:sz w:val="21"/>
                <w:szCs w:val="21"/>
              </w:rPr>
              <w:t>广州无线电集团有限公司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06" w:right="0"/>
              <w:jc w:val="left"/>
              <w:rPr>
                <w:rFonts w:ascii="Times New Roman" w:hAnsi="Times New Roman" w:cs="Times New Roman" w:eastAsia="Times New Roman" w:hint="default"/>
                <w:sz w:val="21"/>
                <w:szCs w:val="21"/>
              </w:rPr>
            </w:pPr>
            <w:r>
              <w:rPr>
                <w:rFonts w:ascii="Times New Roman"/>
                <w:sz w:val="21"/>
              </w:rPr>
              <w:t>13,610.00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71" w:right="0"/>
              <w:jc w:val="left"/>
              <w:rPr>
                <w:rFonts w:ascii="Times New Roman" w:hAnsi="Times New Roman" w:cs="Times New Roman" w:eastAsia="Times New Roman" w:hint="default"/>
                <w:sz w:val="21"/>
                <w:szCs w:val="21"/>
              </w:rPr>
            </w:pPr>
            <w:r>
              <w:rPr>
                <w:rFonts w:ascii="Times New Roman"/>
                <w:sz w:val="21"/>
              </w:rPr>
              <w:t>4,192.50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11" w:right="0"/>
              <w:jc w:val="left"/>
              <w:rPr>
                <w:rFonts w:ascii="Times New Roman" w:hAnsi="Times New Roman" w:cs="Times New Roman" w:eastAsia="Times New Roman" w:hint="default"/>
                <w:sz w:val="21"/>
                <w:szCs w:val="21"/>
              </w:rPr>
            </w:pPr>
            <w:r>
              <w:rPr>
                <w:rFonts w:ascii="Times New Roman"/>
                <w:sz w:val="21"/>
              </w:rPr>
              <w:t>7,210.00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818" w:right="0"/>
              <w:jc w:val="left"/>
              <w:rPr>
                <w:rFonts w:ascii="Times New Roman" w:hAnsi="Times New Roman" w:cs="Times New Roman" w:eastAsia="Times New Roman" w:hint="default"/>
                <w:sz w:val="21"/>
                <w:szCs w:val="21"/>
              </w:rPr>
            </w:pPr>
            <w:r>
              <w:rPr>
                <w:rFonts w:ascii="Times New Roman"/>
                <w:sz w:val="21"/>
              </w:rPr>
              <w:t>4.016.05</w:t>
            </w:r>
          </w:p>
        </w:tc>
      </w:tr>
    </w:tbl>
    <w:p>
      <w:pPr>
        <w:pStyle w:val="BodyText"/>
        <w:spacing w:line="240" w:lineRule="auto" w:before="93"/>
        <w:ind w:left="1320" w:right="0"/>
        <w:jc w:val="left"/>
      </w:pPr>
      <w:r>
        <w:rPr/>
        <w:t>5、年末其他应收款中关联方其他应收款为</w:t>
      </w:r>
      <w:r>
        <w:rPr>
          <w:spacing w:val="-57"/>
        </w:rPr>
        <w:t> </w:t>
      </w:r>
      <w:r>
        <w:rPr>
          <w:rFonts w:ascii="Times New Roman" w:hAnsi="Times New Roman" w:cs="Times New Roman" w:eastAsia="Times New Roman" w:hint="default"/>
        </w:rPr>
        <w:t>82,603.70</w:t>
      </w:r>
      <w:r>
        <w:rPr>
          <w:rFonts w:ascii="Times New Roman" w:hAnsi="Times New Roman" w:cs="Times New Roman" w:eastAsia="Times New Roman" w:hint="default"/>
          <w:spacing w:val="-4"/>
        </w:rPr>
        <w:t> </w:t>
      </w:r>
      <w:r>
        <w:rPr/>
        <w:t>元：</w:t>
      </w:r>
    </w:p>
    <w:p>
      <w:pPr>
        <w:spacing w:line="240" w:lineRule="auto" w:before="2"/>
        <w:rPr>
          <w:rFonts w:ascii="宋体" w:hAnsi="宋体" w:cs="宋体" w:eastAsia="宋体" w:hint="default"/>
          <w:sz w:val="13"/>
          <w:szCs w:val="13"/>
        </w:rPr>
      </w:pPr>
    </w:p>
    <w:tbl>
      <w:tblPr>
        <w:tblW w:w="0" w:type="auto"/>
        <w:jc w:val="left"/>
        <w:tblInd w:w="616" w:type="dxa"/>
        <w:tblLayout w:type="fixed"/>
        <w:tblCellMar>
          <w:top w:w="0" w:type="dxa"/>
          <w:left w:w="0" w:type="dxa"/>
          <w:bottom w:w="0" w:type="dxa"/>
          <w:right w:w="0" w:type="dxa"/>
        </w:tblCellMar>
        <w:tblLook w:val="01E0"/>
      </w:tblPr>
      <w:tblGrid>
        <w:gridCol w:w="2988"/>
        <w:gridCol w:w="1440"/>
        <w:gridCol w:w="1554"/>
        <w:gridCol w:w="1326"/>
        <w:gridCol w:w="1554"/>
      </w:tblGrid>
      <w:tr>
        <w:trPr>
          <w:trHeight w:val="322" w:hRule="exact"/>
        </w:trPr>
        <w:tc>
          <w:tcPr>
            <w:tcW w:w="2988" w:type="dxa"/>
            <w:vMerge w:val="restart"/>
            <w:tcBorders>
              <w:top w:val="single" w:sz="4" w:space="0" w:color="000000"/>
              <w:left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2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23" w:hRule="exact"/>
        </w:trPr>
        <w:tc>
          <w:tcPr>
            <w:tcW w:w="2988"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92" w:right="0"/>
              <w:jc w:val="left"/>
              <w:rPr>
                <w:rFonts w:ascii="宋体" w:hAnsi="宋体" w:cs="宋体" w:eastAsia="宋体" w:hint="default"/>
                <w:sz w:val="21"/>
                <w:szCs w:val="21"/>
              </w:rPr>
            </w:pPr>
            <w:r>
              <w:rPr>
                <w:rFonts w:ascii="宋体" w:hAnsi="宋体" w:cs="宋体" w:eastAsia="宋体" w:hint="default"/>
                <w:b/>
                <w:bCs/>
                <w:sz w:val="21"/>
                <w:szCs w:val="21"/>
              </w:rPr>
              <w:t>账面金额</w:t>
            </w:r>
            <w:r>
              <w:rPr>
                <w:rFonts w:ascii="宋体" w:hAnsi="宋体" w:cs="宋体" w:eastAsia="宋体" w:hint="default"/>
                <w:sz w:val="21"/>
                <w:szCs w:val="21"/>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39"/>
              <w:jc w:val="right"/>
              <w:rPr>
                <w:rFonts w:ascii="宋体" w:hAnsi="宋体" w:cs="宋体" w:eastAsia="宋体" w:hint="default"/>
                <w:sz w:val="21"/>
                <w:szCs w:val="21"/>
              </w:rPr>
            </w:pPr>
            <w:r>
              <w:rPr>
                <w:rFonts w:ascii="宋体" w:hAnsi="宋体" w:cs="宋体" w:eastAsia="宋体" w:hint="default"/>
                <w:b/>
                <w:bCs/>
                <w:w w:val="95"/>
                <w:sz w:val="21"/>
                <w:szCs w:val="21"/>
              </w:rPr>
              <w:t>计提坏账金额</w:t>
            </w:r>
            <w:r>
              <w:rPr>
                <w:rFonts w:ascii="宋体" w:hAnsi="宋体" w:cs="宋体" w:eastAsia="宋体" w:hint="default"/>
                <w:sz w:val="21"/>
                <w:szCs w:val="21"/>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6" w:right="0"/>
              <w:jc w:val="left"/>
              <w:rPr>
                <w:rFonts w:ascii="宋体" w:hAnsi="宋体" w:cs="宋体" w:eastAsia="宋体" w:hint="default"/>
                <w:sz w:val="21"/>
                <w:szCs w:val="21"/>
              </w:rPr>
            </w:pPr>
            <w:r>
              <w:rPr>
                <w:rFonts w:ascii="宋体" w:hAnsi="宋体" w:cs="宋体" w:eastAsia="宋体" w:hint="default"/>
                <w:b/>
                <w:bCs/>
                <w:sz w:val="21"/>
                <w:szCs w:val="21"/>
              </w:rPr>
              <w:t>账面金额</w:t>
            </w:r>
            <w:r>
              <w:rPr>
                <w:rFonts w:ascii="宋体" w:hAnsi="宋体" w:cs="宋体" w:eastAsia="宋体" w:hint="default"/>
                <w:sz w:val="21"/>
                <w:szCs w:val="21"/>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39"/>
              <w:jc w:val="right"/>
              <w:rPr>
                <w:rFonts w:ascii="宋体" w:hAnsi="宋体" w:cs="宋体" w:eastAsia="宋体" w:hint="default"/>
                <w:sz w:val="21"/>
                <w:szCs w:val="21"/>
              </w:rPr>
            </w:pPr>
            <w:r>
              <w:rPr>
                <w:rFonts w:ascii="宋体" w:hAnsi="宋体" w:cs="宋体" w:eastAsia="宋体" w:hint="default"/>
                <w:b/>
                <w:bCs/>
                <w:w w:val="95"/>
                <w:sz w:val="21"/>
                <w:szCs w:val="21"/>
              </w:rPr>
              <w:t>计提坏账金额</w:t>
            </w:r>
            <w:r>
              <w:rPr>
                <w:rFonts w:ascii="宋体" w:hAnsi="宋体" w:cs="宋体" w:eastAsia="宋体" w:hint="default"/>
                <w:sz w:val="21"/>
                <w:szCs w:val="21"/>
              </w:rPr>
            </w:r>
          </w:p>
        </w:tc>
      </w:tr>
      <w:tr>
        <w:trPr>
          <w:trHeight w:val="322"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广州无线电集团有限公司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13,610.00</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4,192.50</w:t>
            </w:r>
            <w:r>
              <w:rPr>
                <w:rFonts w:ascii="Times New Roman"/>
                <w:sz w:val="21"/>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7,210.00</w:t>
            </w:r>
            <w:r>
              <w:rPr>
                <w:rFonts w:ascii="Times New Roman"/>
                <w:sz w:val="21"/>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4,016.05</w:t>
            </w:r>
            <w:r>
              <w:rPr>
                <w:rFonts w:ascii="Times New Roman"/>
                <w:sz w:val="21"/>
              </w:rPr>
            </w:r>
          </w:p>
        </w:tc>
      </w:tr>
      <w:tr>
        <w:trPr>
          <w:trHeight w:val="322"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广州鑫广电物业服务有限公司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68,993.70</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3,449.69</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68,993.70</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344.97</w:t>
            </w:r>
          </w:p>
        </w:tc>
      </w:tr>
      <w:tr>
        <w:trPr>
          <w:trHeight w:val="323"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82,603.70</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7,642.19</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76,203.70</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4,361.02</w:t>
            </w:r>
          </w:p>
        </w:tc>
      </w:tr>
    </w:tbl>
    <w:p>
      <w:pPr>
        <w:spacing w:after="0" w:line="240" w:lineRule="auto"/>
        <w:jc w:val="right"/>
        <w:rPr>
          <w:rFonts w:ascii="Times New Roman" w:hAnsi="Times New Roman" w:cs="Times New Roman" w:eastAsia="Times New Roman" w:hint="default"/>
          <w:sz w:val="21"/>
          <w:szCs w:val="21"/>
        </w:rPr>
        <w:sectPr>
          <w:pgSz w:w="11910" w:h="16840"/>
          <w:pgMar w:header="400" w:footer="982" w:top="1100" w:bottom="1180" w:left="900" w:right="900"/>
        </w:sectPr>
      </w:pPr>
    </w:p>
    <w:p>
      <w:pPr>
        <w:spacing w:line="240" w:lineRule="auto" w:before="12"/>
        <w:rPr>
          <w:rFonts w:ascii="宋体" w:hAnsi="宋体" w:cs="宋体" w:eastAsia="宋体" w:hint="default"/>
          <w:sz w:val="28"/>
          <w:szCs w:val="28"/>
        </w:rPr>
      </w:pPr>
    </w:p>
    <w:p>
      <w:pPr>
        <w:pStyle w:val="BodyText"/>
        <w:spacing w:line="240" w:lineRule="auto" w:before="35"/>
        <w:ind w:left="860" w:right="449"/>
        <w:jc w:val="left"/>
      </w:pPr>
      <w:r>
        <w:rPr/>
        <w:t>6、年末其他应收款中欠款金额前五名</w:t>
      </w:r>
    </w:p>
    <w:p>
      <w:pPr>
        <w:spacing w:line="240" w:lineRule="auto" w:before="4"/>
        <w:rPr>
          <w:rFonts w:ascii="宋体" w:hAnsi="宋体" w:cs="宋体" w:eastAsia="宋体"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1952"/>
        <w:gridCol w:w="1723"/>
        <w:gridCol w:w="1526"/>
        <w:gridCol w:w="1174"/>
        <w:gridCol w:w="2594"/>
      </w:tblGrid>
      <w:tr>
        <w:trPr>
          <w:trHeight w:val="32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债务人名称</w:t>
            </w:r>
            <w:r>
              <w:rPr>
                <w:rFonts w:ascii="宋体" w:hAnsi="宋体" w:cs="宋体" w:eastAsia="宋体" w:hint="default"/>
                <w:sz w:val="21"/>
                <w:szCs w:val="21"/>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性质和内容</w:t>
            </w:r>
            <w:r>
              <w:rPr>
                <w:rFonts w:ascii="宋体" w:hAnsi="宋体" w:cs="宋体" w:eastAsia="宋体" w:hint="default"/>
                <w:sz w:val="21"/>
                <w:szCs w:val="21"/>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占其他应收款总额的比例</w:t>
            </w:r>
            <w:r>
              <w:rPr>
                <w:rFonts w:ascii="宋体" w:hAnsi="宋体" w:cs="宋体" w:eastAsia="宋体" w:hint="default"/>
                <w:sz w:val="21"/>
                <w:szCs w:val="21"/>
              </w:rPr>
            </w:r>
          </w:p>
        </w:tc>
      </w:tr>
      <w:tr>
        <w:trPr>
          <w:trHeight w:val="32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黄埔新港海关</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3,304,325.43</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20.26%</w:t>
            </w:r>
          </w:p>
        </w:tc>
      </w:tr>
      <w:tr>
        <w:trPr>
          <w:trHeight w:val="32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应收补贴款</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出口退税款</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2,844,016.92</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17.43%</w:t>
            </w:r>
          </w:p>
        </w:tc>
      </w:tr>
      <w:tr>
        <w:trPr>
          <w:trHeight w:val="32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投标押金</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押金</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690,000.00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4.23%</w:t>
            </w:r>
          </w:p>
        </w:tc>
      </w:tr>
      <w:tr>
        <w:trPr>
          <w:trHeight w:val="32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左书庭</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pacing w:val="-8"/>
                <w:sz w:val="21"/>
                <w:szCs w:val="21"/>
              </w:rPr>
              <w:t>ATM</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测试借款</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425,830.00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2.61%</w:t>
            </w:r>
          </w:p>
        </w:tc>
      </w:tr>
      <w:tr>
        <w:trPr>
          <w:trHeight w:val="32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吴玉祥</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业务借款</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410,076.20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2.51%</w:t>
            </w:r>
          </w:p>
        </w:tc>
      </w:tr>
      <w:tr>
        <w:trPr>
          <w:trHeight w:val="32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23"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7,674,248.55</w:t>
            </w:r>
          </w:p>
        </w:tc>
        <w:tc>
          <w:tcPr>
            <w:tcW w:w="1174" w:type="dxa"/>
            <w:tcBorders>
              <w:top w:val="single" w:sz="4" w:space="0" w:color="000000"/>
              <w:left w:val="single" w:sz="4" w:space="0" w:color="000000"/>
              <w:bottom w:val="single" w:sz="4" w:space="0" w:color="000000"/>
              <w:right w:val="single" w:sz="4" w:space="0" w:color="000000"/>
            </w:tcBorders>
          </w:tcPr>
          <w:p>
            <w:pPr/>
          </w:p>
        </w:tc>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47.04%</w:t>
            </w:r>
          </w:p>
        </w:tc>
      </w:tr>
    </w:tbl>
    <w:p>
      <w:pPr>
        <w:pStyle w:val="BodyText"/>
        <w:spacing w:line="240" w:lineRule="auto" w:before="93"/>
        <w:ind w:left="860" w:right="449"/>
        <w:jc w:val="left"/>
      </w:pPr>
      <w:r>
        <w:rPr/>
        <w:t>7、年末其他应收款中没有发生其他应收款的转移。</w:t>
      </w:r>
    </w:p>
    <w:p>
      <w:pPr>
        <w:pStyle w:val="BodyText"/>
        <w:spacing w:line="240" w:lineRule="auto" w:before="125"/>
        <w:ind w:left="860" w:right="449"/>
        <w:jc w:val="left"/>
      </w:pPr>
      <w:r>
        <w:rPr/>
        <w:t>8、年末其他应收款中没有以其他应收款为标的资产进行资产证券化的交易安排。</w:t>
      </w:r>
    </w:p>
    <w:p>
      <w:pPr>
        <w:pStyle w:val="BodyText"/>
        <w:spacing w:line="328" w:lineRule="auto" w:before="126"/>
        <w:ind w:left="440" w:right="457" w:firstLine="420"/>
        <w:jc w:val="both"/>
      </w:pPr>
      <w:r>
        <w:rPr>
          <w:spacing w:val="-2"/>
        </w:rPr>
        <w:t>9、其他事项说明：</w:t>
      </w:r>
      <w:r>
        <w:rPr>
          <w:rFonts w:ascii="Times New Roman" w:hAnsi="Times New Roman" w:cs="Times New Roman" w:eastAsia="Times New Roman" w:hint="default"/>
          <w:spacing w:val="-2"/>
        </w:rPr>
        <w:t>2006</w:t>
      </w:r>
      <w:r>
        <w:rPr>
          <w:rFonts w:ascii="Times New Roman" w:hAnsi="Times New Roman" w:cs="Times New Roman" w:eastAsia="Times New Roman" w:hint="default"/>
          <w:spacing w:val="4"/>
        </w:rPr>
        <w:t> </w:t>
      </w:r>
      <w:r>
        <w:rPr>
          <w:spacing w:val="-1"/>
        </w:rPr>
        <w:t>年，银行储户发现系统出错时在自助终端上多次取款，造成银</w:t>
      </w:r>
      <w:r>
        <w:rPr/>
        <w:t> 行损失</w:t>
      </w:r>
      <w:r>
        <w:rPr>
          <w:spacing w:val="-43"/>
        </w:rPr>
        <w:t> </w:t>
      </w:r>
      <w:r>
        <w:rPr>
          <w:rFonts w:ascii="Times New Roman" w:hAnsi="Times New Roman" w:cs="Times New Roman" w:eastAsia="Times New Roman" w:hint="default"/>
        </w:rPr>
        <w:t>178,004.00</w:t>
      </w:r>
      <w:r>
        <w:rPr>
          <w:rFonts w:ascii="Times New Roman" w:hAnsi="Times New Roman" w:cs="Times New Roman" w:eastAsia="Times New Roman" w:hint="default"/>
          <w:spacing w:val="12"/>
        </w:rPr>
        <w:t> </w:t>
      </w:r>
      <w:r>
        <w:rPr>
          <w:spacing w:val="-4"/>
        </w:rPr>
        <w:t>元，本公司已先行垫付，公司本着谨慎性原则，对该垫付款项全额计提了</w:t>
      </w:r>
      <w:r>
        <w:rPr>
          <w:spacing w:val="-102"/>
        </w:rPr>
        <w:t> </w:t>
      </w:r>
      <w:r>
        <w:rPr>
          <w:spacing w:val="-102"/>
        </w:rPr>
      </w:r>
      <w:r>
        <w:rPr/>
        <w:t>坏帐准备。</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4"/>
        <w:spacing w:line="240" w:lineRule="auto"/>
        <w:ind w:left="860" w:right="449"/>
        <w:jc w:val="left"/>
        <w:rPr>
          <w:b w:val="0"/>
          <w:bCs w:val="0"/>
        </w:rPr>
      </w:pPr>
      <w:r>
        <w:rPr/>
        <w:t>（六）</w:t>
      </w:r>
      <w:r>
        <w:rPr>
          <w:spacing w:val="-19"/>
        </w:rPr>
        <w:t> </w:t>
      </w:r>
      <w:r>
        <w:rPr/>
        <w:t>存货及存货跌价准备</w:t>
      </w:r>
      <w:r>
        <w:rPr>
          <w:b w:val="0"/>
          <w:bCs w:val="0"/>
        </w:rPr>
      </w:r>
    </w:p>
    <w:p>
      <w:pPr>
        <w:spacing w:line="240" w:lineRule="auto" w:before="4"/>
        <w:rPr>
          <w:rFonts w:ascii="宋体" w:hAnsi="宋体" w:cs="宋体" w:eastAsia="宋体" w:hint="default"/>
          <w:b/>
          <w:bCs/>
          <w:sz w:val="14"/>
          <w:szCs w:val="14"/>
        </w:rPr>
      </w:pPr>
    </w:p>
    <w:tbl>
      <w:tblPr>
        <w:tblW w:w="0" w:type="auto"/>
        <w:jc w:val="left"/>
        <w:tblInd w:w="822" w:type="dxa"/>
        <w:tblLayout w:type="fixed"/>
        <w:tblCellMar>
          <w:top w:w="0" w:type="dxa"/>
          <w:left w:w="0" w:type="dxa"/>
          <w:bottom w:w="0" w:type="dxa"/>
          <w:right w:w="0" w:type="dxa"/>
        </w:tblCellMar>
        <w:tblLook w:val="01E0"/>
      </w:tblPr>
      <w:tblGrid>
        <w:gridCol w:w="1620"/>
        <w:gridCol w:w="1655"/>
        <w:gridCol w:w="1303"/>
        <w:gridCol w:w="1644"/>
        <w:gridCol w:w="1308"/>
      </w:tblGrid>
      <w:tr>
        <w:trPr>
          <w:trHeight w:val="323" w:hRule="exact"/>
        </w:trPr>
        <w:tc>
          <w:tcPr>
            <w:tcW w:w="1620" w:type="dxa"/>
            <w:vMerge w:val="restart"/>
            <w:tcBorders>
              <w:top w:val="single" w:sz="4" w:space="0" w:color="000000"/>
              <w:left w:val="single" w:sz="4" w:space="0" w:color="000000"/>
              <w:right w:val="single" w:sz="4" w:space="0" w:color="000000"/>
            </w:tcBorders>
          </w:tcPr>
          <w:p>
            <w:pPr>
              <w:pStyle w:val="TableParagraph"/>
              <w:tabs>
                <w:tab w:pos="910" w:val="left" w:leader="none"/>
              </w:tabs>
              <w:spacing w:line="240" w:lineRule="auto" w:before="141"/>
              <w:ind w:left="488" w:right="0"/>
              <w:jc w:val="left"/>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2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c>
          <w:tcPr>
            <w:tcW w:w="2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年初数</w:t>
            </w:r>
            <w:r>
              <w:rPr>
                <w:rFonts w:ascii="宋体" w:hAnsi="宋体" w:cs="宋体" w:eastAsia="宋体" w:hint="default"/>
                <w:sz w:val="21"/>
                <w:szCs w:val="21"/>
              </w:rPr>
            </w:r>
          </w:p>
        </w:tc>
      </w:tr>
      <w:tr>
        <w:trPr>
          <w:trHeight w:val="322" w:hRule="exact"/>
        </w:trPr>
        <w:tc>
          <w:tcPr>
            <w:tcW w:w="1620" w:type="dxa"/>
            <w:vMerge/>
            <w:tcBorders>
              <w:left w:val="single" w:sz="4" w:space="0" w:color="000000"/>
              <w:bottom w:val="single" w:sz="4" w:space="0" w:color="000000"/>
              <w:right w:val="single" w:sz="4" w:space="0" w:color="000000"/>
            </w:tcBorders>
          </w:tcPr>
          <w:p>
            <w:pP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99"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4" w:right="0"/>
              <w:jc w:val="left"/>
              <w:rPr>
                <w:rFonts w:ascii="宋体" w:hAnsi="宋体" w:cs="宋体" w:eastAsia="宋体" w:hint="default"/>
                <w:sz w:val="21"/>
                <w:szCs w:val="21"/>
              </w:rPr>
            </w:pPr>
            <w:r>
              <w:rPr>
                <w:rFonts w:ascii="宋体" w:hAnsi="宋体" w:cs="宋体" w:eastAsia="宋体" w:hint="default"/>
                <w:b/>
                <w:bCs/>
                <w:sz w:val="21"/>
                <w:szCs w:val="21"/>
              </w:rPr>
              <w:t>跌价准备</w:t>
            </w:r>
            <w:r>
              <w:rPr>
                <w:rFonts w:ascii="宋体" w:hAnsi="宋体" w:cs="宋体" w:eastAsia="宋体" w:hint="default"/>
                <w:sz w:val="21"/>
                <w:szCs w:val="21"/>
              </w:rPr>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94"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7" w:right="0"/>
              <w:jc w:val="left"/>
              <w:rPr>
                <w:rFonts w:ascii="宋体" w:hAnsi="宋体" w:cs="宋体" w:eastAsia="宋体" w:hint="default"/>
                <w:sz w:val="21"/>
                <w:szCs w:val="21"/>
              </w:rPr>
            </w:pPr>
            <w:r>
              <w:rPr>
                <w:rFonts w:ascii="宋体" w:hAnsi="宋体" w:cs="宋体" w:eastAsia="宋体" w:hint="default"/>
                <w:b/>
                <w:bCs/>
                <w:sz w:val="21"/>
                <w:szCs w:val="21"/>
              </w:rPr>
              <w:t>跌价准备</w:t>
            </w:r>
            <w:r>
              <w:rPr>
                <w:rFonts w:ascii="宋体" w:hAnsi="宋体" w:cs="宋体" w:eastAsia="宋体" w:hint="default"/>
                <w:sz w:val="21"/>
                <w:szCs w:val="21"/>
              </w:rPr>
            </w:r>
          </w:p>
        </w:tc>
      </w:tr>
      <w:tr>
        <w:trPr>
          <w:trHeight w:val="32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原材料</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72,700,032.33</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59,224,612.71</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在产品</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37,517,823.27</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11,675,078.01</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9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21"/>
                <w:szCs w:val="21"/>
              </w:rPr>
            </w:pPr>
            <w:r>
              <w:rPr>
                <w:rFonts w:ascii="宋体" w:hAnsi="宋体" w:cs="宋体" w:eastAsia="宋体" w:hint="default"/>
                <w:sz w:val="21"/>
                <w:szCs w:val="21"/>
              </w:rPr>
              <w:t>产成品</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21"/>
                <w:szCs w:val="21"/>
              </w:rPr>
            </w:pPr>
            <w:r>
              <w:rPr>
                <w:rFonts w:ascii="Times New Roman"/>
                <w:spacing w:val="-1"/>
                <w:sz w:val="21"/>
              </w:rPr>
              <w:t>402,397,523.08</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21"/>
                <w:szCs w:val="21"/>
              </w:rPr>
            </w:pPr>
            <w:r>
              <w:rPr>
                <w:rFonts w:ascii="Times New Roman"/>
                <w:spacing w:val="-1"/>
                <w:sz w:val="21"/>
              </w:rPr>
              <w:t>0.00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21"/>
                <w:szCs w:val="21"/>
              </w:rPr>
            </w:pPr>
            <w:r>
              <w:rPr>
                <w:rFonts w:ascii="Times New Roman"/>
                <w:spacing w:val="-1"/>
                <w:sz w:val="21"/>
              </w:rPr>
              <w:t>341,174,023.33</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512,615,378.68</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0.00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412,073,714.05</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0.00</w:t>
            </w:r>
          </w:p>
        </w:tc>
      </w:tr>
    </w:tbl>
    <w:p>
      <w:pPr>
        <w:pStyle w:val="BodyText"/>
        <w:spacing w:line="350" w:lineRule="auto" w:before="93"/>
        <w:ind w:left="440" w:right="449" w:firstLine="420"/>
        <w:jc w:val="left"/>
      </w:pPr>
      <w:r>
        <w:rPr/>
        <w:t>1、本公司的年末存货按账面成本与可变现净值孰低法计价，按单项比较存货的账面成 本与可变现净值，年末存货没有发生跌价。</w:t>
      </w:r>
    </w:p>
    <w:p>
      <w:pPr>
        <w:pStyle w:val="BodyText"/>
        <w:spacing w:line="328" w:lineRule="auto" w:before="28"/>
        <w:ind w:left="440" w:right="349" w:firstLine="419"/>
        <w:jc w:val="left"/>
      </w:pPr>
      <w:r>
        <w:rPr>
          <w:spacing w:val="-3"/>
        </w:rPr>
        <w:t>2、存货年末数比年初数增加</w:t>
      </w:r>
      <w:r>
        <w:rPr>
          <w:spacing w:val="-53"/>
        </w:rPr>
        <w:t> </w:t>
      </w:r>
      <w:r>
        <w:rPr>
          <w:rFonts w:ascii="Times New Roman" w:hAnsi="Times New Roman" w:cs="Times New Roman" w:eastAsia="Times New Roman" w:hint="default"/>
        </w:rPr>
        <w:t>100,541,664.63 </w:t>
      </w:r>
      <w:r>
        <w:rPr>
          <w:spacing w:val="-6"/>
        </w:rPr>
        <w:t>元，增加比例为</w:t>
      </w:r>
      <w:r>
        <w:rPr>
          <w:spacing w:val="-53"/>
        </w:rPr>
        <w:t> </w:t>
      </w:r>
      <w:r>
        <w:rPr>
          <w:rFonts w:ascii="Times New Roman" w:hAnsi="Times New Roman" w:cs="Times New Roman" w:eastAsia="Times New Roman" w:hint="default"/>
          <w:spacing w:val="-3"/>
        </w:rPr>
        <w:t>24.40%</w:t>
      </w:r>
      <w:r>
        <w:rPr>
          <w:spacing w:val="-3"/>
        </w:rPr>
        <w:t>，变动原因主要为：</w:t>
      </w:r>
      <w:r>
        <w:rPr/>
        <w:t> 销售量增加，备货金额也相应增加。</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4"/>
        <w:spacing w:line="240" w:lineRule="auto"/>
        <w:ind w:left="860" w:right="449"/>
        <w:jc w:val="left"/>
        <w:rPr>
          <w:b w:val="0"/>
          <w:bCs w:val="0"/>
        </w:rPr>
      </w:pPr>
      <w:r>
        <w:rPr/>
        <w:t>（七）</w:t>
      </w:r>
      <w:r>
        <w:rPr>
          <w:spacing w:val="-21"/>
        </w:rPr>
        <w:t> </w:t>
      </w:r>
      <w:r>
        <w:rPr/>
        <w:t>其他流动资产</w:t>
      </w:r>
      <w:r>
        <w:rPr>
          <w:b w:val="0"/>
          <w:bCs w:val="0"/>
        </w:rPr>
      </w:r>
    </w:p>
    <w:p>
      <w:pPr>
        <w:spacing w:line="240" w:lineRule="auto" w:before="4"/>
        <w:rPr>
          <w:rFonts w:ascii="宋体" w:hAnsi="宋体" w:cs="宋体" w:eastAsia="宋体" w:hint="default"/>
          <w:b/>
          <w:bCs/>
          <w:sz w:val="14"/>
          <w:szCs w:val="14"/>
        </w:rPr>
      </w:pPr>
    </w:p>
    <w:tbl>
      <w:tblPr>
        <w:tblW w:w="0" w:type="auto"/>
        <w:jc w:val="left"/>
        <w:tblInd w:w="1032" w:type="dxa"/>
        <w:tblLayout w:type="fixed"/>
        <w:tblCellMar>
          <w:top w:w="0" w:type="dxa"/>
          <w:left w:w="0" w:type="dxa"/>
          <w:bottom w:w="0" w:type="dxa"/>
          <w:right w:w="0" w:type="dxa"/>
        </w:tblCellMar>
        <w:tblLook w:val="01E0"/>
      </w:tblPr>
      <w:tblGrid>
        <w:gridCol w:w="2070"/>
        <w:gridCol w:w="1890"/>
        <w:gridCol w:w="1620"/>
        <w:gridCol w:w="1530"/>
      </w:tblGrid>
      <w:tr>
        <w:trPr>
          <w:trHeight w:val="323" w:hRule="exact"/>
        </w:trPr>
        <w:tc>
          <w:tcPr>
            <w:tcW w:w="207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内容或性质</w:t>
            </w:r>
            <w:r>
              <w:rPr>
                <w:rFonts w:ascii="宋体" w:hAnsi="宋体" w:cs="宋体" w:eastAsia="宋体"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43" w:right="0"/>
              <w:jc w:val="left"/>
              <w:rPr>
                <w:rFonts w:ascii="宋体" w:hAnsi="宋体" w:cs="宋体" w:eastAsia="宋体" w:hint="default"/>
                <w:sz w:val="21"/>
                <w:szCs w:val="21"/>
              </w:rPr>
            </w:pPr>
            <w:r>
              <w:rPr>
                <w:rFonts w:ascii="宋体" w:hAnsi="宋体" w:cs="宋体" w:eastAsia="宋体" w:hint="default"/>
                <w:b/>
                <w:bCs/>
                <w:sz w:val="21"/>
                <w:szCs w:val="21"/>
              </w:rPr>
              <w:t>年初数</w:t>
            </w:r>
            <w:r>
              <w:rPr>
                <w:rFonts w:ascii="宋体" w:hAnsi="宋体" w:cs="宋体" w:eastAsia="宋体" w:hint="default"/>
                <w:sz w:val="21"/>
                <w:szCs w:val="21"/>
              </w:rPr>
            </w:r>
          </w:p>
        </w:tc>
      </w:tr>
      <w:tr>
        <w:trPr>
          <w:trHeight w:val="322" w:hRule="exact"/>
        </w:trPr>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pacing w:val="-8"/>
                <w:sz w:val="21"/>
                <w:szCs w:val="21"/>
              </w:rPr>
              <w:t>ATM</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保险费</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财产保险</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87"/>
              <w:jc w:val="right"/>
              <w:rPr>
                <w:rFonts w:ascii="Times New Roman" w:hAnsi="Times New Roman" w:cs="Times New Roman" w:eastAsia="Times New Roman" w:hint="default"/>
                <w:sz w:val="21"/>
                <w:szCs w:val="21"/>
              </w:rPr>
            </w:pPr>
            <w:r>
              <w:rPr>
                <w:rFonts w:ascii="Times New Roman"/>
                <w:spacing w:val="-1"/>
                <w:sz w:val="21"/>
              </w:rPr>
              <w:t>167,972.67</w:t>
            </w:r>
            <w:r>
              <w:rPr>
                <w:rFonts w:ascii="Times New Roman"/>
                <w:sz w:val="21"/>
              </w:rPr>
            </w:r>
          </w:p>
        </w:tc>
      </w:tr>
      <w:tr>
        <w:trPr>
          <w:trHeight w:val="322" w:hRule="exact"/>
        </w:trPr>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89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37"/>
              <w:jc w:val="right"/>
              <w:rPr>
                <w:rFonts w:ascii="Times New Roman" w:hAnsi="Times New Roman" w:cs="Times New Roman" w:eastAsia="Times New Roman" w:hint="default"/>
                <w:sz w:val="21"/>
                <w:szCs w:val="21"/>
              </w:rPr>
            </w:pPr>
            <w:r>
              <w:rPr>
                <w:rFonts w:ascii="Times New Roman"/>
                <w:spacing w:val="-1"/>
                <w:sz w:val="21"/>
              </w:rPr>
              <w:t>75,000.00</w:t>
            </w:r>
          </w:p>
        </w:tc>
      </w:tr>
      <w:tr>
        <w:trPr>
          <w:trHeight w:val="323" w:hRule="exact"/>
        </w:trPr>
        <w:tc>
          <w:tcPr>
            <w:tcW w:w="2070"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9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87"/>
              <w:jc w:val="right"/>
              <w:rPr>
                <w:rFonts w:ascii="Times New Roman" w:hAnsi="Times New Roman" w:cs="Times New Roman" w:eastAsia="Times New Roman" w:hint="default"/>
                <w:sz w:val="21"/>
                <w:szCs w:val="21"/>
              </w:rPr>
            </w:pPr>
            <w:r>
              <w:rPr>
                <w:rFonts w:ascii="Times New Roman"/>
                <w:spacing w:val="-1"/>
                <w:sz w:val="21"/>
              </w:rPr>
              <w:t>242,972.67</w:t>
            </w:r>
            <w:r>
              <w:rPr>
                <w:rFonts w:ascii="Times New Roman"/>
                <w:sz w:val="21"/>
              </w:rPr>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spacing w:line="350" w:lineRule="auto" w:before="35"/>
        <w:ind w:left="859" w:right="5292" w:firstLine="2"/>
        <w:jc w:val="left"/>
        <w:rPr>
          <w:rFonts w:ascii="宋体" w:hAnsi="宋体" w:cs="宋体" w:eastAsia="宋体" w:hint="default"/>
          <w:sz w:val="21"/>
          <w:szCs w:val="21"/>
        </w:rPr>
      </w:pPr>
      <w:r>
        <w:rPr>
          <w:rFonts w:ascii="宋体" w:hAnsi="宋体" w:cs="宋体" w:eastAsia="宋体" w:hint="default"/>
          <w:b/>
          <w:bCs/>
          <w:sz w:val="21"/>
          <w:szCs w:val="21"/>
        </w:rPr>
        <w:t>（八）</w:t>
      </w:r>
      <w:r>
        <w:rPr>
          <w:rFonts w:ascii="宋体" w:hAnsi="宋体" w:cs="宋体" w:eastAsia="宋体" w:hint="default"/>
          <w:b/>
          <w:bCs/>
          <w:spacing w:val="-26"/>
          <w:sz w:val="21"/>
          <w:szCs w:val="21"/>
        </w:rPr>
        <w:t> </w:t>
      </w:r>
      <w:r>
        <w:rPr>
          <w:rFonts w:ascii="宋体" w:hAnsi="宋体" w:cs="宋体" w:eastAsia="宋体" w:hint="default"/>
          <w:b/>
          <w:bCs/>
          <w:sz w:val="21"/>
          <w:szCs w:val="21"/>
        </w:rPr>
        <w:t>固定资产原价及累计折旧</w:t>
      </w:r>
      <w:r>
        <w:rPr>
          <w:rFonts w:ascii="宋体" w:hAnsi="宋体" w:cs="宋体" w:eastAsia="宋体" w:hint="default"/>
          <w:b/>
          <w:bCs/>
          <w:w w:val="99"/>
          <w:sz w:val="21"/>
          <w:szCs w:val="21"/>
        </w:rPr>
        <w:t> </w:t>
      </w:r>
      <w:r>
        <w:rPr>
          <w:rFonts w:ascii="宋体" w:hAnsi="宋体" w:cs="宋体" w:eastAsia="宋体" w:hint="default"/>
          <w:sz w:val="21"/>
          <w:szCs w:val="21"/>
        </w:rPr>
        <w:t>1、固定资产原价</w:t>
      </w:r>
    </w:p>
    <w:p>
      <w:pPr>
        <w:spacing w:line="240" w:lineRule="auto" w:before="12"/>
        <w:rPr>
          <w:rFonts w:ascii="宋体" w:hAnsi="宋体" w:cs="宋体" w:eastAsia="宋体" w:hint="default"/>
          <w:sz w:val="6"/>
          <w:szCs w:val="6"/>
        </w:rPr>
      </w:pPr>
    </w:p>
    <w:tbl>
      <w:tblPr>
        <w:tblW w:w="0" w:type="auto"/>
        <w:jc w:val="left"/>
        <w:tblInd w:w="350" w:type="dxa"/>
        <w:tblLayout w:type="fixed"/>
        <w:tblCellMar>
          <w:top w:w="0" w:type="dxa"/>
          <w:left w:w="0" w:type="dxa"/>
          <w:bottom w:w="0" w:type="dxa"/>
          <w:right w:w="0" w:type="dxa"/>
        </w:tblCellMar>
        <w:tblLook w:val="01E0"/>
      </w:tblPr>
      <w:tblGrid>
        <w:gridCol w:w="1981"/>
        <w:gridCol w:w="1621"/>
        <w:gridCol w:w="1694"/>
        <w:gridCol w:w="1508"/>
        <w:gridCol w:w="1672"/>
      </w:tblGrid>
      <w:tr>
        <w:trPr>
          <w:trHeight w:val="325"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4"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类</w:t>
              <w:tab/>
            </w:r>
            <w:r>
              <w:rPr>
                <w:rFonts w:ascii="宋体" w:hAnsi="宋体" w:cs="宋体" w:eastAsia="宋体" w:hint="default"/>
                <w:b/>
                <w:bCs/>
                <w:sz w:val="21"/>
                <w:szCs w:val="21"/>
              </w:rPr>
              <w:t>别</w:t>
            </w:r>
            <w:r>
              <w:rPr>
                <w:rFonts w:ascii="宋体" w:hAnsi="宋体" w:cs="宋体" w:eastAsia="宋体" w:hint="default"/>
                <w:sz w:val="21"/>
                <w:szCs w:val="21"/>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382" w:right="0"/>
              <w:jc w:val="left"/>
              <w:rPr>
                <w:rFonts w:ascii="宋体" w:hAnsi="宋体" w:cs="宋体" w:eastAsia="宋体" w:hint="default"/>
                <w:sz w:val="21"/>
                <w:szCs w:val="21"/>
              </w:rPr>
            </w:pPr>
            <w:r>
              <w:rPr>
                <w:rFonts w:ascii="宋体" w:hAnsi="宋体" w:cs="宋体" w:eastAsia="宋体" w:hint="default"/>
                <w:b/>
                <w:bCs/>
                <w:sz w:val="21"/>
                <w:szCs w:val="21"/>
              </w:rPr>
              <w:t>年初原价</w:t>
            </w:r>
            <w:r>
              <w:rPr>
                <w:rFonts w:ascii="宋体" w:hAnsi="宋体" w:cs="宋体" w:eastAsia="宋体" w:hint="default"/>
                <w:sz w:val="21"/>
                <w:szCs w:val="21"/>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419"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326"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408" w:right="0"/>
              <w:jc w:val="left"/>
              <w:rPr>
                <w:rFonts w:ascii="宋体" w:hAnsi="宋体" w:cs="宋体" w:eastAsia="宋体" w:hint="default"/>
                <w:sz w:val="21"/>
                <w:szCs w:val="21"/>
              </w:rPr>
            </w:pPr>
            <w:r>
              <w:rPr>
                <w:rFonts w:ascii="宋体" w:hAnsi="宋体" w:cs="宋体" w:eastAsia="宋体" w:hint="default"/>
                <w:b/>
                <w:bCs/>
                <w:sz w:val="21"/>
                <w:szCs w:val="21"/>
              </w:rPr>
              <w:t>年末原价</w:t>
            </w:r>
            <w:r>
              <w:rPr>
                <w:rFonts w:ascii="宋体" w:hAnsi="宋体" w:cs="宋体" w:eastAsia="宋体" w:hint="default"/>
                <w:sz w:val="21"/>
                <w:szCs w:val="21"/>
              </w:rPr>
            </w:r>
          </w:p>
        </w:tc>
      </w:tr>
      <w:tr>
        <w:trPr>
          <w:trHeight w:val="325"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房屋及建筑物</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74" w:right="0"/>
              <w:jc w:val="left"/>
              <w:rPr>
                <w:rFonts w:ascii="Times New Roman" w:hAnsi="Times New Roman" w:cs="Times New Roman" w:eastAsia="Times New Roman" w:hint="default"/>
                <w:sz w:val="21"/>
                <w:szCs w:val="21"/>
              </w:rPr>
            </w:pPr>
            <w:r>
              <w:rPr>
                <w:rFonts w:ascii="Times New Roman"/>
                <w:sz w:val="21"/>
              </w:rPr>
              <w:t>85,909,238.95</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51" w:right="0"/>
              <w:jc w:val="left"/>
              <w:rPr>
                <w:rFonts w:ascii="Times New Roman" w:hAnsi="Times New Roman" w:cs="Times New Roman" w:eastAsia="Times New Roman" w:hint="default"/>
                <w:sz w:val="21"/>
                <w:szCs w:val="21"/>
              </w:rPr>
            </w:pPr>
            <w:r>
              <w:rPr>
                <w:rFonts w:ascii="Times New Roman"/>
                <w:sz w:val="21"/>
              </w:rPr>
              <w:t>85,909,238.95</w:t>
            </w:r>
          </w:p>
        </w:tc>
      </w:tr>
    </w:tbl>
    <w:p>
      <w:pPr>
        <w:spacing w:after="0" w:line="240" w:lineRule="auto"/>
        <w:jc w:val="left"/>
        <w:rPr>
          <w:rFonts w:ascii="Times New Roman" w:hAnsi="Times New Roman" w:cs="Times New Roman" w:eastAsia="Times New Roman" w:hint="default"/>
          <w:sz w:val="21"/>
          <w:szCs w:val="21"/>
        </w:rPr>
        <w:sectPr>
          <w:pgSz w:w="11910" w:h="16840"/>
          <w:pgMar w:header="400" w:footer="982" w:top="1100" w:bottom="1180" w:left="1360" w:right="134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1981"/>
        <w:gridCol w:w="1621"/>
        <w:gridCol w:w="1694"/>
        <w:gridCol w:w="1508"/>
        <w:gridCol w:w="1672"/>
      </w:tblGrid>
      <w:tr>
        <w:trPr>
          <w:trHeight w:val="325"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4"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类</w:t>
              <w:tab/>
            </w:r>
            <w:r>
              <w:rPr>
                <w:rFonts w:ascii="宋体" w:hAnsi="宋体" w:cs="宋体" w:eastAsia="宋体" w:hint="default"/>
                <w:b/>
                <w:bCs/>
                <w:sz w:val="21"/>
                <w:szCs w:val="21"/>
              </w:rPr>
              <w:t>别</w:t>
            </w:r>
            <w:r>
              <w:rPr>
                <w:rFonts w:ascii="宋体" w:hAnsi="宋体" w:cs="宋体" w:eastAsia="宋体" w:hint="default"/>
                <w:sz w:val="21"/>
                <w:szCs w:val="21"/>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382" w:right="0"/>
              <w:jc w:val="left"/>
              <w:rPr>
                <w:rFonts w:ascii="宋体" w:hAnsi="宋体" w:cs="宋体" w:eastAsia="宋体" w:hint="default"/>
                <w:sz w:val="21"/>
                <w:szCs w:val="21"/>
              </w:rPr>
            </w:pPr>
            <w:r>
              <w:rPr>
                <w:rFonts w:ascii="宋体" w:hAnsi="宋体" w:cs="宋体" w:eastAsia="宋体" w:hint="default"/>
                <w:b/>
                <w:bCs/>
                <w:sz w:val="21"/>
                <w:szCs w:val="21"/>
              </w:rPr>
              <w:t>年初原价</w:t>
            </w:r>
            <w:r>
              <w:rPr>
                <w:rFonts w:ascii="宋体" w:hAnsi="宋体" w:cs="宋体" w:eastAsia="宋体" w:hint="default"/>
                <w:sz w:val="21"/>
                <w:szCs w:val="21"/>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419"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326"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408" w:right="0"/>
              <w:jc w:val="left"/>
              <w:rPr>
                <w:rFonts w:ascii="宋体" w:hAnsi="宋体" w:cs="宋体" w:eastAsia="宋体" w:hint="default"/>
                <w:sz w:val="21"/>
                <w:szCs w:val="21"/>
              </w:rPr>
            </w:pPr>
            <w:r>
              <w:rPr>
                <w:rFonts w:ascii="宋体" w:hAnsi="宋体" w:cs="宋体" w:eastAsia="宋体" w:hint="default"/>
                <w:b/>
                <w:bCs/>
                <w:sz w:val="21"/>
                <w:szCs w:val="21"/>
              </w:rPr>
              <w:t>年末原价</w:t>
            </w:r>
            <w:r>
              <w:rPr>
                <w:rFonts w:ascii="宋体" w:hAnsi="宋体" w:cs="宋体" w:eastAsia="宋体" w:hint="default"/>
                <w:sz w:val="21"/>
                <w:szCs w:val="21"/>
              </w:rPr>
            </w:r>
          </w:p>
        </w:tc>
      </w:tr>
      <w:tr>
        <w:trPr>
          <w:trHeight w:val="325"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运输设备</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6,141,127.00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4,513,069.25</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10,654,196.25</w:t>
            </w:r>
          </w:p>
        </w:tc>
      </w:tr>
      <w:tr>
        <w:trPr>
          <w:trHeight w:val="325"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专用设备</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378,283.40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1,878,798.39</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72,000.00</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2,185,081.79</w:t>
            </w:r>
          </w:p>
        </w:tc>
      </w:tr>
      <w:tr>
        <w:trPr>
          <w:trHeight w:val="324"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电子设备</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8,731,094.59</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2,788,721.01</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209,317.00</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11,310,498.60</w:t>
            </w:r>
          </w:p>
        </w:tc>
      </w:tr>
      <w:tr>
        <w:trPr>
          <w:trHeight w:val="325"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办公设备</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2,500,968.11</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1,469,168.00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99,691.00</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3,870,445.11</w:t>
            </w:r>
          </w:p>
        </w:tc>
      </w:tr>
      <w:tr>
        <w:trPr>
          <w:trHeight w:val="325"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仪器仪表</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2,348,751.60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1,348,513.00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28,800.00</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3,668,464.60</w:t>
            </w:r>
          </w:p>
        </w:tc>
      </w:tr>
      <w:tr>
        <w:trPr>
          <w:trHeight w:val="325"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培训设备</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5,170,000.00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5,170,000.00</w:t>
            </w:r>
          </w:p>
        </w:tc>
      </w:tr>
      <w:tr>
        <w:trPr>
          <w:trHeight w:val="325"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营运业务用</w:t>
            </w:r>
            <w:r>
              <w:rPr>
                <w:rFonts w:ascii="宋体" w:hAnsi="宋体" w:cs="宋体" w:eastAsia="宋体" w:hint="default"/>
                <w:spacing w:val="-54"/>
                <w:sz w:val="21"/>
                <w:szCs w:val="21"/>
              </w:rPr>
              <w:t> </w:t>
            </w:r>
            <w:r>
              <w:rPr>
                <w:rFonts w:ascii="Times New Roman" w:hAnsi="Times New Roman" w:cs="Times New Roman" w:eastAsia="Times New Roman" w:hint="default"/>
                <w:spacing w:val="-8"/>
                <w:sz w:val="21"/>
                <w:szCs w:val="21"/>
              </w:rPr>
              <w:t>ATM</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68,764,554.05</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11,706,038.46</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3,060,000.00</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77,410,592.51</w:t>
            </w:r>
          </w:p>
        </w:tc>
      </w:tr>
      <w:tr>
        <w:trPr>
          <w:trHeight w:val="325"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94,034,778.75</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109,613,547.06</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3,469,808.00</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200,178,517.81</w:t>
            </w:r>
          </w:p>
        </w:tc>
      </w:tr>
    </w:tbl>
    <w:p>
      <w:pPr>
        <w:pStyle w:val="BodyText"/>
        <w:spacing w:line="240" w:lineRule="auto" w:before="93"/>
        <w:ind w:left="620" w:right="3119"/>
        <w:jc w:val="left"/>
      </w:pPr>
      <w:r>
        <w:rPr/>
        <w:t>其中：</w:t>
      </w:r>
    </w:p>
    <w:p>
      <w:pPr>
        <w:pStyle w:val="BodyText"/>
        <w:spacing w:line="331" w:lineRule="auto" w:before="125"/>
        <w:ind w:left="619" w:right="3119"/>
        <w:jc w:val="left"/>
      </w:pPr>
      <w:r>
        <w:rPr/>
        <w:t>本期由在建工程转入固定资产原价为</w:t>
      </w:r>
      <w:r>
        <w:rPr>
          <w:spacing w:val="-56"/>
        </w:rPr>
        <w:t> </w:t>
      </w:r>
      <w:r>
        <w:rPr>
          <w:rFonts w:ascii="Times New Roman" w:hAnsi="Times New Roman" w:cs="Times New Roman" w:eastAsia="Times New Roman" w:hint="default"/>
        </w:rPr>
        <w:t>85,909,238.95</w:t>
      </w:r>
      <w:r>
        <w:rPr>
          <w:rFonts w:ascii="Times New Roman" w:hAnsi="Times New Roman" w:cs="Times New Roman" w:eastAsia="Times New Roman" w:hint="default"/>
          <w:spacing w:val="-3"/>
        </w:rPr>
        <w:t> </w:t>
      </w:r>
      <w:r>
        <w:rPr/>
        <w:t>元。 年末无用于抵押或担保的固定资产。</w:t>
      </w:r>
    </w:p>
    <w:p>
      <w:pPr>
        <w:pStyle w:val="BodyText"/>
        <w:spacing w:line="240" w:lineRule="auto" w:before="45"/>
        <w:ind w:left="619" w:right="3119"/>
        <w:jc w:val="left"/>
      </w:pPr>
      <w:r>
        <w:rPr/>
        <w:t>2、累计折旧</w:t>
      </w:r>
    </w:p>
    <w:p>
      <w:pPr>
        <w:spacing w:line="240" w:lineRule="auto" w:before="4"/>
        <w:rPr>
          <w:rFonts w:ascii="宋体" w:hAnsi="宋体" w:cs="宋体" w:eastAsia="宋体" w:hint="default"/>
          <w:sz w:val="14"/>
          <w:szCs w:val="14"/>
        </w:rPr>
      </w:pPr>
    </w:p>
    <w:tbl>
      <w:tblPr>
        <w:tblW w:w="0" w:type="auto"/>
        <w:jc w:val="left"/>
        <w:tblInd w:w="168" w:type="dxa"/>
        <w:tblLayout w:type="fixed"/>
        <w:tblCellMar>
          <w:top w:w="0" w:type="dxa"/>
          <w:left w:w="0" w:type="dxa"/>
          <w:bottom w:w="0" w:type="dxa"/>
          <w:right w:w="0" w:type="dxa"/>
        </w:tblCellMar>
        <w:tblLook w:val="01E0"/>
      </w:tblPr>
      <w:tblGrid>
        <w:gridCol w:w="1984"/>
        <w:gridCol w:w="1620"/>
        <w:gridCol w:w="1658"/>
        <w:gridCol w:w="1494"/>
        <w:gridCol w:w="1602"/>
      </w:tblGrid>
      <w:tr>
        <w:trPr>
          <w:trHeight w:val="325"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4"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类</w:t>
              <w:tab/>
            </w:r>
            <w:r>
              <w:rPr>
                <w:rFonts w:ascii="宋体" w:hAnsi="宋体" w:cs="宋体" w:eastAsia="宋体" w:hint="default"/>
                <w:b/>
                <w:bCs/>
                <w:sz w:val="21"/>
                <w:szCs w:val="21"/>
              </w:rPr>
              <w:t>别</w:t>
            </w:r>
            <w:r>
              <w:rPr>
                <w:rFonts w:ascii="宋体" w:hAnsi="宋体" w:cs="宋体" w:eastAsia="宋体"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72" w:right="0"/>
              <w:jc w:val="left"/>
              <w:rPr>
                <w:rFonts w:ascii="宋体" w:hAnsi="宋体" w:cs="宋体" w:eastAsia="宋体" w:hint="default"/>
                <w:sz w:val="21"/>
                <w:szCs w:val="21"/>
              </w:rPr>
            </w:pPr>
            <w:r>
              <w:rPr>
                <w:rFonts w:ascii="宋体" w:hAnsi="宋体" w:cs="宋体" w:eastAsia="宋体" w:hint="default"/>
                <w:b/>
                <w:bCs/>
                <w:sz w:val="21"/>
                <w:szCs w:val="21"/>
              </w:rPr>
              <w:t>年初累计折旧</w:t>
            </w:r>
            <w:r>
              <w:rPr>
                <w:rFonts w:ascii="宋体" w:hAnsi="宋体" w:cs="宋体" w:eastAsia="宋体" w:hint="default"/>
                <w:sz w:val="21"/>
                <w:szCs w:val="21"/>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402"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319"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62"/>
              <w:jc w:val="right"/>
              <w:rPr>
                <w:rFonts w:ascii="宋体" w:hAnsi="宋体" w:cs="宋体" w:eastAsia="宋体" w:hint="default"/>
                <w:sz w:val="21"/>
                <w:szCs w:val="21"/>
              </w:rPr>
            </w:pPr>
            <w:r>
              <w:rPr>
                <w:rFonts w:ascii="宋体" w:hAnsi="宋体" w:cs="宋体" w:eastAsia="宋体" w:hint="default"/>
                <w:b/>
                <w:bCs/>
                <w:w w:val="95"/>
                <w:sz w:val="21"/>
                <w:szCs w:val="21"/>
              </w:rPr>
              <w:t>年末累计折旧</w:t>
            </w:r>
            <w:r>
              <w:rPr>
                <w:rFonts w:ascii="宋体" w:hAnsi="宋体" w:cs="宋体" w:eastAsia="宋体" w:hint="default"/>
                <w:sz w:val="21"/>
                <w:szCs w:val="21"/>
              </w:rPr>
            </w:r>
          </w:p>
        </w:tc>
      </w:tr>
      <w:tr>
        <w:trPr>
          <w:trHeight w:val="325"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sz w:val="21"/>
                <w:szCs w:val="21"/>
              </w:rPr>
              <w:t>房屋及建筑物</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5"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sz w:val="21"/>
                <w:szCs w:val="21"/>
              </w:rPr>
              <w:t>运输设备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21"/>
                <w:szCs w:val="21"/>
              </w:rPr>
            </w:pPr>
            <w:r>
              <w:rPr>
                <w:rFonts w:ascii="Times New Roman"/>
                <w:spacing w:val="-1"/>
                <w:sz w:val="21"/>
              </w:rPr>
              <w:t>1,719,705.84</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Times New Roman" w:hAnsi="Times New Roman" w:cs="Times New Roman" w:eastAsia="Times New Roman" w:hint="default"/>
                <w:sz w:val="21"/>
                <w:szCs w:val="21"/>
              </w:rPr>
            </w:pPr>
            <w:r>
              <w:rPr>
                <w:rFonts w:ascii="Times New Roman"/>
                <w:spacing w:val="-1"/>
                <w:sz w:val="21"/>
              </w:rPr>
              <w:t>804,576.67</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Times New Roman" w:hAnsi="Times New Roman" w:cs="Times New Roman" w:eastAsia="Times New Roman" w:hint="default"/>
                <w:sz w:val="21"/>
                <w:szCs w:val="21"/>
              </w:rPr>
            </w:pPr>
            <w:r>
              <w:rPr>
                <w:rFonts w:ascii="Times New Roman"/>
                <w:spacing w:val="-1"/>
                <w:sz w:val="21"/>
              </w:rPr>
              <w:t>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9"/>
              <w:jc w:val="right"/>
              <w:rPr>
                <w:rFonts w:ascii="Times New Roman" w:hAnsi="Times New Roman" w:cs="Times New Roman" w:eastAsia="Times New Roman" w:hint="default"/>
                <w:sz w:val="21"/>
                <w:szCs w:val="21"/>
              </w:rPr>
            </w:pPr>
            <w:r>
              <w:rPr>
                <w:rFonts w:ascii="Times New Roman"/>
                <w:spacing w:val="-1"/>
                <w:sz w:val="21"/>
              </w:rPr>
              <w:t>2,524,282.51</w:t>
            </w:r>
          </w:p>
        </w:tc>
      </w:tr>
      <w:tr>
        <w:trPr>
          <w:trHeight w:val="325"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sz w:val="21"/>
                <w:szCs w:val="21"/>
              </w:rPr>
              <w:t>专用设备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21"/>
                <w:szCs w:val="21"/>
              </w:rPr>
            </w:pPr>
            <w:r>
              <w:rPr>
                <w:rFonts w:ascii="Times New Roman"/>
                <w:spacing w:val="-1"/>
                <w:sz w:val="21"/>
              </w:rPr>
              <w:t>137,339.14</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21"/>
                <w:szCs w:val="21"/>
              </w:rPr>
            </w:pPr>
            <w:r>
              <w:rPr>
                <w:rFonts w:ascii="Times New Roman"/>
                <w:spacing w:val="-1"/>
                <w:sz w:val="21"/>
              </w:rPr>
              <w:t>45,036.88</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21"/>
                <w:szCs w:val="21"/>
              </w:rPr>
            </w:pPr>
            <w:r>
              <w:rPr>
                <w:rFonts w:ascii="Times New Roman"/>
                <w:spacing w:val="-1"/>
                <w:sz w:val="21"/>
              </w:rPr>
              <w:t>50,802.54</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21"/>
                <w:szCs w:val="21"/>
              </w:rPr>
            </w:pPr>
            <w:r>
              <w:rPr>
                <w:rFonts w:ascii="Times New Roman"/>
                <w:spacing w:val="-1"/>
                <w:sz w:val="21"/>
              </w:rPr>
              <w:t>131,573.48</w:t>
            </w:r>
          </w:p>
        </w:tc>
      </w:tr>
      <w:tr>
        <w:trPr>
          <w:trHeight w:val="324"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电子设备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spacing w:val="-1"/>
                <w:sz w:val="21"/>
              </w:rPr>
              <w:t>3,308,301.29</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spacing w:val="-1"/>
                <w:sz w:val="21"/>
              </w:rPr>
              <w:t>1,597,754.72</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21"/>
                <w:szCs w:val="21"/>
              </w:rPr>
            </w:pPr>
            <w:r>
              <w:rPr>
                <w:rFonts w:ascii="Times New Roman"/>
                <w:spacing w:val="-1"/>
                <w:sz w:val="21"/>
              </w:rPr>
              <w:t>109,536.86</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pacing w:val="-1"/>
                <w:sz w:val="21"/>
              </w:rPr>
              <w:t>4,796,519.15</w:t>
            </w:r>
          </w:p>
        </w:tc>
      </w:tr>
      <w:tr>
        <w:trPr>
          <w:trHeight w:val="325"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sz w:val="21"/>
                <w:szCs w:val="21"/>
              </w:rPr>
              <w:t>办公设备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21"/>
                <w:szCs w:val="21"/>
              </w:rPr>
            </w:pPr>
            <w:r>
              <w:rPr>
                <w:rFonts w:ascii="Times New Roman"/>
                <w:spacing w:val="-1"/>
                <w:sz w:val="21"/>
              </w:rPr>
              <w:t>1,148,722.17</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Times New Roman" w:hAnsi="Times New Roman" w:cs="Times New Roman" w:eastAsia="Times New Roman" w:hint="default"/>
                <w:sz w:val="21"/>
                <w:szCs w:val="21"/>
              </w:rPr>
            </w:pPr>
            <w:r>
              <w:rPr>
                <w:rFonts w:ascii="Times New Roman"/>
                <w:spacing w:val="-1"/>
                <w:sz w:val="21"/>
              </w:rPr>
              <w:t>502,293.32</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21"/>
                <w:szCs w:val="21"/>
              </w:rPr>
            </w:pPr>
            <w:r>
              <w:rPr>
                <w:rFonts w:ascii="Times New Roman"/>
                <w:spacing w:val="-1"/>
                <w:sz w:val="21"/>
              </w:rPr>
              <w:t>82,779.39</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9"/>
              <w:jc w:val="right"/>
              <w:rPr>
                <w:rFonts w:ascii="Times New Roman" w:hAnsi="Times New Roman" w:cs="Times New Roman" w:eastAsia="Times New Roman" w:hint="default"/>
                <w:sz w:val="21"/>
                <w:szCs w:val="21"/>
              </w:rPr>
            </w:pPr>
            <w:r>
              <w:rPr>
                <w:rFonts w:ascii="Times New Roman"/>
                <w:spacing w:val="-1"/>
                <w:sz w:val="21"/>
              </w:rPr>
              <w:t>1,568,236.10</w:t>
            </w:r>
          </w:p>
        </w:tc>
      </w:tr>
      <w:tr>
        <w:trPr>
          <w:trHeight w:val="325"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sz w:val="21"/>
                <w:szCs w:val="21"/>
              </w:rPr>
              <w:t>仪器仪表</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21"/>
                <w:szCs w:val="21"/>
              </w:rPr>
            </w:pPr>
            <w:r>
              <w:rPr>
                <w:rFonts w:ascii="Times New Roman"/>
                <w:spacing w:val="-1"/>
                <w:sz w:val="21"/>
              </w:rPr>
              <w:t>1,122,532.81</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Times New Roman" w:hAnsi="Times New Roman" w:cs="Times New Roman" w:eastAsia="Times New Roman" w:hint="default"/>
                <w:sz w:val="21"/>
                <w:szCs w:val="21"/>
              </w:rPr>
            </w:pPr>
            <w:r>
              <w:rPr>
                <w:rFonts w:ascii="Times New Roman"/>
                <w:spacing w:val="-1"/>
                <w:sz w:val="21"/>
              </w:rPr>
              <w:t>542,594.01</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21"/>
                <w:szCs w:val="21"/>
              </w:rPr>
            </w:pPr>
            <w:r>
              <w:rPr>
                <w:rFonts w:ascii="Times New Roman"/>
                <w:spacing w:val="-1"/>
                <w:sz w:val="21"/>
              </w:rPr>
              <w:t>27,360.00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9"/>
              <w:jc w:val="right"/>
              <w:rPr>
                <w:rFonts w:ascii="Times New Roman" w:hAnsi="Times New Roman" w:cs="Times New Roman" w:eastAsia="Times New Roman" w:hint="default"/>
                <w:sz w:val="21"/>
                <w:szCs w:val="21"/>
              </w:rPr>
            </w:pPr>
            <w:r>
              <w:rPr>
                <w:rFonts w:ascii="Times New Roman"/>
                <w:spacing w:val="-1"/>
                <w:sz w:val="21"/>
              </w:rPr>
              <w:t>1,637,766.82</w:t>
            </w:r>
          </w:p>
        </w:tc>
      </w:tr>
      <w:tr>
        <w:trPr>
          <w:trHeight w:val="325"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sz w:val="21"/>
                <w:szCs w:val="21"/>
              </w:rPr>
              <w:t>培训设备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3"/>
              <w:jc w:val="right"/>
              <w:rPr>
                <w:rFonts w:ascii="Times New Roman" w:hAnsi="Times New Roman" w:cs="Times New Roman" w:eastAsia="Times New Roman" w:hint="default"/>
                <w:sz w:val="21"/>
                <w:szCs w:val="21"/>
              </w:rPr>
            </w:pPr>
            <w:r>
              <w:rPr>
                <w:rFonts w:ascii="Times New Roman"/>
                <w:spacing w:val="-1"/>
                <w:sz w:val="21"/>
              </w:rPr>
              <w:t>738,572.88</w:t>
            </w:r>
            <w:r>
              <w:rPr>
                <w:rFonts w:ascii="Times New Roman"/>
                <w:sz w:val="21"/>
              </w:rPr>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3"/>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Times New Roman" w:hAnsi="Times New Roman" w:cs="Times New Roman" w:eastAsia="Times New Roman" w:hint="default"/>
                <w:sz w:val="21"/>
                <w:szCs w:val="21"/>
              </w:rPr>
            </w:pPr>
            <w:r>
              <w:rPr>
                <w:rFonts w:ascii="Times New Roman"/>
                <w:spacing w:val="-1"/>
                <w:sz w:val="21"/>
              </w:rPr>
              <w:t>738,572.88</w:t>
            </w:r>
            <w:r>
              <w:rPr>
                <w:rFonts w:ascii="Times New Roman"/>
                <w:sz w:val="21"/>
              </w:rPr>
            </w:r>
          </w:p>
        </w:tc>
      </w:tr>
      <w:tr>
        <w:trPr>
          <w:trHeight w:val="325"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营运业务用</w:t>
            </w:r>
            <w:r>
              <w:rPr>
                <w:rFonts w:ascii="宋体" w:hAnsi="宋体" w:cs="宋体" w:eastAsia="宋体" w:hint="default"/>
                <w:spacing w:val="-54"/>
                <w:sz w:val="21"/>
                <w:szCs w:val="21"/>
              </w:rPr>
              <w:t> </w:t>
            </w:r>
            <w:r>
              <w:rPr>
                <w:rFonts w:ascii="Times New Roman" w:hAnsi="Times New Roman" w:cs="Times New Roman" w:eastAsia="Times New Roman" w:hint="default"/>
                <w:spacing w:val="-8"/>
                <w:sz w:val="21"/>
                <w:szCs w:val="21"/>
              </w:rPr>
              <w:t>ATM</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21"/>
                <w:szCs w:val="21"/>
              </w:rPr>
            </w:pPr>
            <w:r>
              <w:rPr>
                <w:rFonts w:ascii="Times New Roman"/>
                <w:spacing w:val="-1"/>
                <w:sz w:val="21"/>
              </w:rPr>
              <w:t>18,663,617.32</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21"/>
                <w:szCs w:val="21"/>
              </w:rPr>
            </w:pPr>
            <w:r>
              <w:rPr>
                <w:rFonts w:ascii="Times New Roman"/>
                <w:spacing w:val="-1"/>
                <w:sz w:val="21"/>
              </w:rPr>
              <w:t>10,807,638.79</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9"/>
              <w:jc w:val="right"/>
              <w:rPr>
                <w:rFonts w:ascii="Times New Roman" w:hAnsi="Times New Roman" w:cs="Times New Roman" w:eastAsia="Times New Roman" w:hint="default"/>
                <w:sz w:val="21"/>
                <w:szCs w:val="21"/>
              </w:rPr>
            </w:pPr>
            <w:r>
              <w:rPr>
                <w:rFonts w:ascii="Times New Roman"/>
                <w:spacing w:val="-1"/>
                <w:sz w:val="21"/>
              </w:rPr>
              <w:t>2,618,142.78</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21"/>
                <w:szCs w:val="21"/>
              </w:rPr>
            </w:pPr>
            <w:r>
              <w:rPr>
                <w:rFonts w:ascii="Times New Roman"/>
                <w:spacing w:val="-1"/>
                <w:sz w:val="21"/>
              </w:rPr>
              <w:t>26,853,113.33</w:t>
            </w:r>
          </w:p>
        </w:tc>
      </w:tr>
      <w:tr>
        <w:trPr>
          <w:trHeight w:val="325"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21"/>
                <w:szCs w:val="21"/>
              </w:rPr>
            </w:pPr>
            <w:r>
              <w:rPr>
                <w:rFonts w:ascii="Times New Roman"/>
                <w:spacing w:val="-1"/>
                <w:sz w:val="21"/>
              </w:rPr>
              <w:t>26,100,218.57</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21"/>
                <w:szCs w:val="21"/>
              </w:rPr>
            </w:pPr>
            <w:r>
              <w:rPr>
                <w:rFonts w:ascii="Times New Roman"/>
                <w:spacing w:val="-1"/>
                <w:sz w:val="21"/>
              </w:rPr>
              <w:t>15,038,467.27</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9"/>
              <w:jc w:val="right"/>
              <w:rPr>
                <w:rFonts w:ascii="Times New Roman" w:hAnsi="Times New Roman" w:cs="Times New Roman" w:eastAsia="Times New Roman" w:hint="default"/>
                <w:sz w:val="21"/>
                <w:szCs w:val="21"/>
              </w:rPr>
            </w:pPr>
            <w:r>
              <w:rPr>
                <w:rFonts w:ascii="Times New Roman"/>
                <w:spacing w:val="-1"/>
                <w:sz w:val="21"/>
              </w:rPr>
              <w:t>2,888,621.57</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9"/>
              <w:jc w:val="right"/>
              <w:rPr>
                <w:rFonts w:ascii="Times New Roman" w:hAnsi="Times New Roman" w:cs="Times New Roman" w:eastAsia="Times New Roman" w:hint="default"/>
                <w:sz w:val="21"/>
                <w:szCs w:val="21"/>
              </w:rPr>
            </w:pPr>
            <w:r>
              <w:rPr>
                <w:rFonts w:ascii="Times New Roman"/>
                <w:spacing w:val="-1"/>
                <w:sz w:val="21"/>
              </w:rPr>
              <w:t>38,250,064.27</w:t>
            </w:r>
          </w:p>
        </w:tc>
      </w:tr>
    </w:tbl>
    <w:p>
      <w:pPr>
        <w:spacing w:line="240" w:lineRule="auto" w:before="5"/>
        <w:rPr>
          <w:rFonts w:ascii="宋体" w:hAnsi="宋体" w:cs="宋体" w:eastAsia="宋体" w:hint="default"/>
          <w:sz w:val="16"/>
          <w:szCs w:val="16"/>
        </w:rPr>
      </w:pPr>
    </w:p>
    <w:p>
      <w:pPr>
        <w:pStyle w:val="BodyText"/>
        <w:spacing w:line="240" w:lineRule="auto" w:before="35"/>
        <w:ind w:left="620" w:right="3119"/>
        <w:jc w:val="left"/>
      </w:pPr>
      <w:r>
        <w:rPr/>
        <w:t>3、不存在计提固定资产减值准备的情形。</w:t>
      </w:r>
    </w:p>
    <w:p>
      <w:pPr>
        <w:pStyle w:val="BodyText"/>
        <w:spacing w:line="240" w:lineRule="auto" w:before="125"/>
        <w:ind w:left="620" w:right="3119"/>
        <w:jc w:val="left"/>
      </w:pPr>
      <w:r>
        <w:rPr/>
        <w:t>4、固定资产账面价值</w:t>
      </w:r>
    </w:p>
    <w:p>
      <w:pPr>
        <w:spacing w:line="240" w:lineRule="auto" w:before="6"/>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1979"/>
        <w:gridCol w:w="1618"/>
        <w:gridCol w:w="1632"/>
        <w:gridCol w:w="1562"/>
        <w:gridCol w:w="1663"/>
      </w:tblGrid>
      <w:tr>
        <w:trPr>
          <w:trHeight w:val="324"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1"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类</w:t>
              <w:tab/>
            </w:r>
            <w:r>
              <w:rPr>
                <w:rFonts w:ascii="宋体" w:hAnsi="宋体" w:cs="宋体" w:eastAsia="宋体" w:hint="default"/>
                <w:b/>
                <w:bCs/>
                <w:sz w:val="21"/>
                <w:szCs w:val="21"/>
              </w:rPr>
              <w:t>别</w:t>
            </w:r>
            <w:r>
              <w:rPr>
                <w:rFonts w:ascii="宋体" w:hAnsi="宋体" w:cs="宋体" w:eastAsia="宋体" w:hint="default"/>
                <w:sz w:val="21"/>
                <w:szCs w:val="21"/>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71" w:right="0"/>
              <w:jc w:val="left"/>
              <w:rPr>
                <w:rFonts w:ascii="宋体" w:hAnsi="宋体" w:cs="宋体" w:eastAsia="宋体" w:hint="default"/>
                <w:sz w:val="21"/>
                <w:szCs w:val="21"/>
              </w:rPr>
            </w:pPr>
            <w:r>
              <w:rPr>
                <w:rFonts w:ascii="宋体" w:hAnsi="宋体" w:cs="宋体" w:eastAsia="宋体" w:hint="default"/>
                <w:b/>
                <w:bCs/>
                <w:sz w:val="21"/>
                <w:szCs w:val="21"/>
              </w:rPr>
              <w:t>年初账面价值</w:t>
            </w:r>
            <w:r>
              <w:rPr>
                <w:rFonts w:ascii="宋体" w:hAnsi="宋体" w:cs="宋体" w:eastAsia="宋体" w:hint="default"/>
                <w:sz w:val="21"/>
                <w:szCs w:val="21"/>
              </w:rPr>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388"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354"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94" w:right="0"/>
              <w:jc w:val="left"/>
              <w:rPr>
                <w:rFonts w:ascii="宋体" w:hAnsi="宋体" w:cs="宋体" w:eastAsia="宋体" w:hint="default"/>
                <w:sz w:val="21"/>
                <w:szCs w:val="21"/>
              </w:rPr>
            </w:pPr>
            <w:r>
              <w:rPr>
                <w:rFonts w:ascii="宋体" w:hAnsi="宋体" w:cs="宋体" w:eastAsia="宋体" w:hint="default"/>
                <w:b/>
                <w:bCs/>
                <w:sz w:val="21"/>
                <w:szCs w:val="21"/>
              </w:rPr>
              <w:t>年末账面价值</w:t>
            </w:r>
            <w:r>
              <w:rPr>
                <w:rFonts w:ascii="宋体" w:hAnsi="宋体" w:cs="宋体" w:eastAsia="宋体" w:hint="default"/>
                <w:sz w:val="21"/>
                <w:szCs w:val="21"/>
              </w:rPr>
            </w:r>
          </w:p>
        </w:tc>
      </w:tr>
      <w:tr>
        <w:trPr>
          <w:trHeight w:val="325"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房屋及建筑物</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85,909,238.95</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85,909,238.95</w:t>
            </w:r>
          </w:p>
        </w:tc>
      </w:tr>
      <w:tr>
        <w:trPr>
          <w:trHeight w:val="325"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运输设备</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4,421,421.16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3,708,492.58</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0.00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8,129,913.74</w:t>
            </w:r>
          </w:p>
        </w:tc>
      </w:tr>
      <w:tr>
        <w:trPr>
          <w:trHeight w:val="325"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专用设备</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240,944.26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1,833,761.51</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21,197.46</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2,053,508.31</w:t>
            </w:r>
          </w:p>
        </w:tc>
      </w:tr>
      <w:tr>
        <w:trPr>
          <w:trHeight w:val="325"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电子设备</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5,422,793.30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1,190,966.29</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99,780.14</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6,513,979.45</w:t>
            </w:r>
          </w:p>
        </w:tc>
      </w:tr>
      <w:tr>
        <w:trPr>
          <w:trHeight w:val="325"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办公设备</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1,352,245.94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966,874.68</w:t>
            </w:r>
            <w:r>
              <w:rPr>
                <w:rFonts w:ascii="Times New Roman"/>
                <w:sz w:val="21"/>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21"/>
                <w:szCs w:val="21"/>
              </w:rPr>
            </w:pPr>
            <w:r>
              <w:rPr>
                <w:rFonts w:ascii="Times New Roman"/>
                <w:spacing w:val="-2"/>
                <w:sz w:val="21"/>
              </w:rPr>
              <w:t>16,911.61</w:t>
            </w:r>
            <w:r>
              <w:rPr>
                <w:rFonts w:ascii="Times New Roman"/>
                <w:sz w:val="21"/>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2,302,209.01</w:t>
            </w:r>
          </w:p>
        </w:tc>
      </w:tr>
      <w:tr>
        <w:trPr>
          <w:trHeight w:val="324"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仪器仪表</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1,226,218.79</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805,918.99</w:t>
            </w:r>
            <w:r>
              <w:rPr>
                <w:rFonts w:ascii="Times New Roman"/>
                <w:sz w:val="21"/>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21"/>
                <w:szCs w:val="21"/>
              </w:rPr>
            </w:pPr>
            <w:r>
              <w:rPr>
                <w:rFonts w:ascii="Times New Roman"/>
                <w:spacing w:val="-1"/>
                <w:sz w:val="21"/>
              </w:rPr>
              <w:t>1,440.00</w:t>
            </w:r>
            <w:r>
              <w:rPr>
                <w:rFonts w:ascii="Times New Roman"/>
                <w:sz w:val="21"/>
              </w:rPr>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2,030,697.78</w:t>
            </w:r>
          </w:p>
        </w:tc>
      </w:tr>
      <w:tr>
        <w:trPr>
          <w:trHeight w:val="325"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培训设备</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5,170,000.00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-738,572.88</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4,431,427.12</w:t>
            </w:r>
          </w:p>
        </w:tc>
      </w:tr>
      <w:tr>
        <w:trPr>
          <w:trHeight w:val="325"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营运业务用</w:t>
            </w:r>
            <w:r>
              <w:rPr>
                <w:rFonts w:ascii="宋体" w:hAnsi="宋体" w:cs="宋体" w:eastAsia="宋体" w:hint="default"/>
                <w:spacing w:val="-54"/>
                <w:sz w:val="21"/>
                <w:szCs w:val="21"/>
              </w:rPr>
              <w:t> </w:t>
            </w:r>
            <w:r>
              <w:rPr>
                <w:rFonts w:ascii="Times New Roman" w:hAnsi="Times New Roman" w:cs="Times New Roman" w:eastAsia="Times New Roman" w:hint="default"/>
                <w:spacing w:val="-8"/>
                <w:sz w:val="21"/>
                <w:szCs w:val="21"/>
              </w:rPr>
              <w:t>ATM</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50,100,936.73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898,399.67</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441,857.22</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50,557,479.18</w:t>
            </w:r>
          </w:p>
        </w:tc>
      </w:tr>
      <w:tr>
        <w:trPr>
          <w:trHeight w:val="325"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67,934,560.18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94,575,079.79</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581,186.43</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161,928,453.54</w:t>
            </w:r>
          </w:p>
        </w:tc>
      </w:tr>
    </w:tbl>
    <w:p>
      <w:pPr>
        <w:spacing w:line="240" w:lineRule="auto" w:before="5"/>
        <w:rPr>
          <w:rFonts w:ascii="宋体" w:hAnsi="宋体" w:cs="宋体" w:eastAsia="宋体" w:hint="default"/>
          <w:sz w:val="16"/>
          <w:szCs w:val="16"/>
        </w:rPr>
      </w:pPr>
    </w:p>
    <w:p>
      <w:pPr>
        <w:pStyle w:val="BodyText"/>
        <w:spacing w:line="240" w:lineRule="auto" w:before="35"/>
        <w:ind w:left="620" w:right="3119"/>
        <w:jc w:val="left"/>
      </w:pPr>
      <w:r>
        <w:rPr/>
        <w:t>5、年末未办妥产权证书的固定资产</w:t>
      </w:r>
    </w:p>
    <w:p>
      <w:pPr>
        <w:spacing w:line="240" w:lineRule="auto" w:before="6"/>
        <w:rPr>
          <w:rFonts w:ascii="宋体" w:hAnsi="宋体" w:cs="宋体" w:eastAsia="宋体" w:hint="default"/>
          <w:sz w:val="14"/>
          <w:szCs w:val="14"/>
        </w:rPr>
      </w:pPr>
    </w:p>
    <w:tbl>
      <w:tblPr>
        <w:tblW w:w="0" w:type="auto"/>
        <w:jc w:val="left"/>
        <w:tblInd w:w="336" w:type="dxa"/>
        <w:tblLayout w:type="fixed"/>
        <w:tblCellMar>
          <w:top w:w="0" w:type="dxa"/>
          <w:left w:w="0" w:type="dxa"/>
          <w:bottom w:w="0" w:type="dxa"/>
          <w:right w:w="0" w:type="dxa"/>
        </w:tblCellMar>
        <w:tblLook w:val="01E0"/>
      </w:tblPr>
      <w:tblGrid>
        <w:gridCol w:w="1838"/>
        <w:gridCol w:w="1506"/>
        <w:gridCol w:w="1120"/>
        <w:gridCol w:w="1514"/>
        <w:gridCol w:w="2410"/>
      </w:tblGrid>
      <w:tr>
        <w:trPr>
          <w:trHeight w:val="322"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账面原价</w:t>
            </w:r>
            <w:r>
              <w:rPr>
                <w:rFonts w:ascii="宋体" w:hAnsi="宋体" w:cs="宋体" w:eastAsia="宋体" w:hint="default"/>
                <w:sz w:val="21"/>
                <w:szCs w:val="21"/>
              </w:rPr>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累计折旧</w:t>
            </w:r>
            <w:r>
              <w:rPr>
                <w:rFonts w:ascii="宋体" w:hAnsi="宋体" w:cs="宋体" w:eastAsia="宋体" w:hint="default"/>
                <w:sz w:val="21"/>
                <w:szCs w:val="21"/>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未办妥产权证书的原因</w:t>
            </w:r>
            <w:r>
              <w:rPr>
                <w:rFonts w:ascii="宋体" w:hAnsi="宋体" w:cs="宋体" w:eastAsia="宋体" w:hint="default"/>
                <w:sz w:val="21"/>
                <w:szCs w:val="21"/>
              </w:rPr>
            </w:r>
          </w:p>
        </w:tc>
      </w:tr>
      <w:tr>
        <w:trPr>
          <w:trHeight w:val="322"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科学城生产基地</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85,909,238.95</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0.00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85,909,238.95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正在办理验收报告</w:t>
            </w:r>
          </w:p>
        </w:tc>
      </w:tr>
    </w:tbl>
    <w:p>
      <w:pPr>
        <w:spacing w:after="0" w:line="260" w:lineRule="exact"/>
        <w:jc w:val="center"/>
        <w:rPr>
          <w:rFonts w:ascii="宋体" w:hAnsi="宋体" w:cs="宋体" w:eastAsia="宋体" w:hint="default"/>
          <w:sz w:val="21"/>
          <w:szCs w:val="21"/>
        </w:rPr>
        <w:sectPr>
          <w:pgSz w:w="11910" w:h="16840"/>
          <w:pgMar w:header="400" w:footer="982" w:top="1100" w:bottom="1180" w:left="1600" w:right="1460"/>
        </w:sectPr>
      </w:pPr>
    </w:p>
    <w:p>
      <w:pPr>
        <w:spacing w:line="240" w:lineRule="auto" w:before="12"/>
        <w:rPr>
          <w:rFonts w:ascii="宋体" w:hAnsi="宋体" w:cs="宋体" w:eastAsia="宋体" w:hint="default"/>
          <w:sz w:val="28"/>
          <w:szCs w:val="28"/>
        </w:rPr>
      </w:pPr>
    </w:p>
    <w:p>
      <w:pPr>
        <w:pStyle w:val="BodyText"/>
        <w:spacing w:line="328" w:lineRule="auto" w:before="35"/>
        <w:ind w:left="640" w:right="635" w:firstLine="419"/>
        <w:jc w:val="left"/>
      </w:pPr>
      <w:r>
        <w:rPr>
          <w:spacing w:val="-3"/>
        </w:rPr>
        <w:t>6、固定资产年末数比年初数增加</w:t>
      </w:r>
      <w:r>
        <w:rPr>
          <w:spacing w:val="-51"/>
        </w:rPr>
        <w:t> </w:t>
      </w:r>
      <w:r>
        <w:rPr>
          <w:rFonts w:ascii="Times New Roman" w:hAnsi="Times New Roman" w:cs="Times New Roman" w:eastAsia="Times New Roman" w:hint="default"/>
        </w:rPr>
        <w:t>106,143,739.06</w:t>
      </w:r>
      <w:r>
        <w:rPr>
          <w:rFonts w:ascii="Times New Roman" w:hAnsi="Times New Roman" w:cs="Times New Roman" w:eastAsia="Times New Roman" w:hint="default"/>
          <w:spacing w:val="1"/>
        </w:rPr>
        <w:t> </w:t>
      </w:r>
      <w:r>
        <w:rPr>
          <w:spacing w:val="-5"/>
        </w:rPr>
        <w:t>元，增加比例为</w:t>
      </w:r>
      <w:r>
        <w:rPr>
          <w:spacing w:val="-51"/>
        </w:rPr>
        <w:t> </w:t>
      </w:r>
      <w:r>
        <w:rPr>
          <w:rFonts w:ascii="Times New Roman" w:hAnsi="Times New Roman" w:cs="Times New Roman" w:eastAsia="Times New Roman" w:hint="default"/>
          <w:spacing w:val="-4"/>
        </w:rPr>
        <w:t>112.88%</w:t>
      </w:r>
      <w:r>
        <w:rPr>
          <w:spacing w:val="-4"/>
        </w:rPr>
        <w:t>，变动原因主</w:t>
      </w:r>
      <w:r>
        <w:rPr/>
        <w:t> 要为：科学城生产基地一期中已投入使用，转入固定资产。</w:t>
      </w:r>
    </w:p>
    <w:p>
      <w:pPr>
        <w:pStyle w:val="BodyText"/>
        <w:spacing w:line="328" w:lineRule="auto" w:before="48"/>
        <w:ind w:left="640" w:right="635" w:firstLine="419"/>
        <w:jc w:val="left"/>
      </w:pPr>
      <w:r>
        <w:rPr/>
        <w:t>7、累计折旧年末数比年初数增加 </w:t>
      </w:r>
      <w:r>
        <w:rPr>
          <w:rFonts w:ascii="Times New Roman" w:hAnsi="Times New Roman" w:cs="Times New Roman" w:eastAsia="Times New Roman" w:hint="default"/>
        </w:rPr>
        <w:t>12,149,845.70 </w:t>
      </w:r>
      <w:r>
        <w:rPr/>
        <w:t>元，增加比例为</w:t>
      </w:r>
      <w:r>
        <w:rPr>
          <w:spacing w:val="-69"/>
        </w:rPr>
        <w:t> </w:t>
      </w:r>
      <w:r>
        <w:rPr>
          <w:rFonts w:ascii="Times New Roman" w:hAnsi="Times New Roman" w:cs="Times New Roman" w:eastAsia="Times New Roman" w:hint="default"/>
        </w:rPr>
        <w:t>46.55%</w:t>
      </w:r>
      <w:r>
        <w:rPr/>
        <w:t>，变动原因主 要为：计提固定资产的累计折旧。</w:t>
      </w:r>
    </w:p>
    <w:p>
      <w:pPr>
        <w:spacing w:line="240" w:lineRule="auto" w:before="8"/>
        <w:rPr>
          <w:rFonts w:ascii="宋体" w:hAnsi="宋体" w:cs="宋体" w:eastAsia="宋体" w:hint="default"/>
          <w:sz w:val="26"/>
          <w:szCs w:val="26"/>
        </w:rPr>
      </w:pPr>
    </w:p>
    <w:p>
      <w:pPr>
        <w:pStyle w:val="Heading4"/>
        <w:spacing w:line="240" w:lineRule="auto"/>
        <w:ind w:left="1060" w:right="635"/>
        <w:jc w:val="left"/>
        <w:rPr>
          <w:b w:val="0"/>
          <w:bCs w:val="0"/>
        </w:rPr>
      </w:pPr>
      <w:r>
        <w:rPr/>
        <w:t>（九）</w:t>
      </w:r>
      <w:r>
        <w:rPr>
          <w:spacing w:val="-16"/>
        </w:rPr>
        <w:t> </w:t>
      </w:r>
      <w:r>
        <w:rPr/>
        <w:t>在建工程</w:t>
      </w:r>
      <w:r>
        <w:rPr>
          <w:b w:val="0"/>
          <w:bCs w:val="0"/>
        </w:rPr>
      </w:r>
    </w:p>
    <w:p>
      <w:pPr>
        <w:spacing w:line="240" w:lineRule="auto" w:before="4"/>
        <w:rPr>
          <w:rFonts w:ascii="宋体" w:hAnsi="宋体" w:cs="宋体" w:eastAsia="宋体" w:hint="default"/>
          <w:b/>
          <w:bCs/>
          <w:sz w:val="14"/>
          <w:szCs w:val="14"/>
        </w:rPr>
      </w:pPr>
    </w:p>
    <w:tbl>
      <w:tblPr>
        <w:tblW w:w="0" w:type="auto"/>
        <w:jc w:val="left"/>
        <w:tblInd w:w="204" w:type="dxa"/>
        <w:tblLayout w:type="fixed"/>
        <w:tblCellMar>
          <w:top w:w="0" w:type="dxa"/>
          <w:left w:w="0" w:type="dxa"/>
          <w:bottom w:w="0" w:type="dxa"/>
          <w:right w:w="0" w:type="dxa"/>
        </w:tblCellMar>
        <w:tblLook w:val="01E0"/>
      </w:tblPr>
      <w:tblGrid>
        <w:gridCol w:w="1849"/>
        <w:gridCol w:w="1313"/>
        <w:gridCol w:w="1008"/>
        <w:gridCol w:w="1316"/>
        <w:gridCol w:w="1314"/>
        <w:gridCol w:w="1008"/>
        <w:gridCol w:w="1358"/>
      </w:tblGrid>
      <w:tr>
        <w:trPr>
          <w:trHeight w:val="325" w:hRule="exact"/>
        </w:trPr>
        <w:tc>
          <w:tcPr>
            <w:tcW w:w="1849" w:type="dxa"/>
            <w:tcBorders>
              <w:top w:val="single" w:sz="4" w:space="0" w:color="000000"/>
              <w:left w:val="single" w:sz="4" w:space="0" w:color="000000"/>
              <w:bottom w:val="single" w:sz="4" w:space="0" w:color="000000"/>
              <w:right w:val="single" w:sz="4" w:space="0" w:color="000000"/>
            </w:tcBorders>
          </w:tcPr>
          <w:p>
            <w:pPr/>
          </w:p>
        </w:tc>
        <w:tc>
          <w:tcPr>
            <w:tcW w:w="36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b/>
                <w:bCs/>
                <w:sz w:val="18"/>
                <w:szCs w:val="18"/>
              </w:rPr>
              <w:t>年末数</w:t>
            </w:r>
            <w:r>
              <w:rPr>
                <w:rFonts w:ascii="宋体" w:hAnsi="宋体" w:cs="宋体" w:eastAsia="宋体" w:hint="default"/>
                <w:sz w:val="18"/>
                <w:szCs w:val="18"/>
              </w:rPr>
            </w:r>
          </w:p>
        </w:tc>
        <w:tc>
          <w:tcPr>
            <w:tcW w:w="36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年初数</w:t>
            </w:r>
            <w:r>
              <w:rPr>
                <w:rFonts w:ascii="宋体" w:hAnsi="宋体" w:cs="宋体" w:eastAsia="宋体" w:hint="default"/>
                <w:sz w:val="18"/>
                <w:szCs w:val="18"/>
              </w:rPr>
            </w:r>
          </w:p>
        </w:tc>
      </w:tr>
      <w:tr>
        <w:trPr>
          <w:trHeight w:val="324"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9"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7"/>
              <w:jc w:val="right"/>
              <w:rPr>
                <w:rFonts w:ascii="宋体" w:hAnsi="宋体" w:cs="宋体" w:eastAsia="宋体" w:hint="default"/>
                <w:sz w:val="18"/>
                <w:szCs w:val="18"/>
              </w:rPr>
            </w:pPr>
            <w:r>
              <w:rPr>
                <w:rFonts w:ascii="宋体" w:hAnsi="宋体" w:cs="宋体" w:eastAsia="宋体" w:hint="default"/>
                <w:b/>
                <w:bCs/>
                <w:w w:val="95"/>
                <w:sz w:val="18"/>
                <w:szCs w:val="18"/>
              </w:rPr>
              <w:t>减值准备</w:t>
            </w:r>
            <w:r>
              <w:rPr>
                <w:rFonts w:ascii="宋体" w:hAnsi="宋体" w:cs="宋体" w:eastAsia="宋体" w:hint="default"/>
                <w:sz w:val="18"/>
                <w:szCs w:val="18"/>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91"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90"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6"/>
              <w:jc w:val="right"/>
              <w:rPr>
                <w:rFonts w:ascii="宋体" w:hAnsi="宋体" w:cs="宋体" w:eastAsia="宋体" w:hint="default"/>
                <w:sz w:val="18"/>
                <w:szCs w:val="18"/>
              </w:rPr>
            </w:pPr>
            <w:r>
              <w:rPr>
                <w:rFonts w:ascii="宋体" w:hAnsi="宋体" w:cs="宋体" w:eastAsia="宋体" w:hint="default"/>
                <w:b/>
                <w:bCs/>
                <w:w w:val="95"/>
                <w:sz w:val="18"/>
                <w:szCs w:val="18"/>
              </w:rPr>
              <w:t>减值准备</w:t>
            </w:r>
            <w:r>
              <w:rPr>
                <w:rFonts w:ascii="宋体" w:hAnsi="宋体" w:cs="宋体" w:eastAsia="宋体" w:hint="default"/>
                <w:sz w:val="18"/>
                <w:szCs w:val="18"/>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2"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25"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1"/>
              <w:jc w:val="center"/>
              <w:rPr>
                <w:rFonts w:ascii="宋体" w:hAnsi="宋体" w:cs="宋体" w:eastAsia="宋体" w:hint="default"/>
                <w:sz w:val="18"/>
                <w:szCs w:val="18"/>
              </w:rPr>
            </w:pPr>
            <w:r>
              <w:rPr>
                <w:rFonts w:ascii="宋体" w:hAnsi="宋体" w:cs="宋体" w:eastAsia="宋体" w:hint="default"/>
                <w:sz w:val="18"/>
                <w:szCs w:val="18"/>
              </w:rPr>
              <w:t>科学城生产基地一期</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28,982,463.50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28,982,463.50</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24,780,092.60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Times New Roman" w:hAnsi="Times New Roman" w:cs="Times New Roman" w:eastAsia="Times New Roman" w:hint="default"/>
                <w:sz w:val="18"/>
                <w:szCs w:val="18"/>
              </w:rPr>
            </w:pPr>
            <w:r>
              <w:rPr>
                <w:rFonts w:ascii="Times New Roman"/>
                <w:spacing w:val="-1"/>
                <w:sz w:val="18"/>
              </w:rPr>
              <w:t>24,780,092.60</w:t>
            </w:r>
          </w:p>
        </w:tc>
      </w:tr>
      <w:tr>
        <w:trPr>
          <w:trHeight w:val="325"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1"/>
              <w:jc w:val="center"/>
              <w:rPr>
                <w:rFonts w:ascii="宋体" w:hAnsi="宋体" w:cs="宋体" w:eastAsia="宋体" w:hint="default"/>
                <w:sz w:val="18"/>
                <w:szCs w:val="18"/>
              </w:rPr>
            </w:pPr>
            <w:r>
              <w:rPr>
                <w:rFonts w:ascii="宋体" w:hAnsi="宋体" w:cs="宋体" w:eastAsia="宋体" w:hint="default"/>
                <w:sz w:val="18"/>
                <w:szCs w:val="18"/>
              </w:rPr>
              <w:t>科学城生产基地二期</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106,784.00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106,784.00</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0.00</w:t>
            </w:r>
          </w:p>
        </w:tc>
      </w:tr>
      <w:tr>
        <w:trPr>
          <w:trHeight w:val="325"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合  计</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29,089,247.50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29,089,247.50</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24,780,092.60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24,780,092.60</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before="35"/>
        <w:ind w:left="1060" w:right="635"/>
        <w:jc w:val="left"/>
      </w:pPr>
      <w:r>
        <w:rPr/>
        <w:t>1、在建工程项目变动情况</w:t>
      </w:r>
    </w:p>
    <w:p>
      <w:pPr>
        <w:spacing w:line="240" w:lineRule="auto" w:before="4"/>
        <w:rPr>
          <w:rFonts w:ascii="宋体" w:hAnsi="宋体" w:cs="宋体" w:eastAsia="宋体" w:hint="default"/>
          <w:sz w:val="14"/>
          <w:szCs w:val="14"/>
        </w:rPr>
      </w:pPr>
    </w:p>
    <w:tbl>
      <w:tblPr>
        <w:tblW w:w="0" w:type="auto"/>
        <w:jc w:val="left"/>
        <w:tblInd w:w="378" w:type="dxa"/>
        <w:tblLayout w:type="fixed"/>
        <w:tblCellMar>
          <w:top w:w="0" w:type="dxa"/>
          <w:left w:w="0" w:type="dxa"/>
          <w:bottom w:w="0" w:type="dxa"/>
          <w:right w:w="0" w:type="dxa"/>
        </w:tblCellMar>
        <w:tblLook w:val="01E0"/>
      </w:tblPr>
      <w:tblGrid>
        <w:gridCol w:w="2160"/>
        <w:gridCol w:w="1980"/>
        <w:gridCol w:w="2520"/>
        <w:gridCol w:w="2160"/>
      </w:tblGrid>
      <w:tr>
        <w:trPr>
          <w:trHeight w:val="73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工程项目名称</w:t>
            </w:r>
            <w:r>
              <w:rPr>
                <w:rFonts w:ascii="宋体" w:hAnsi="宋体" w:cs="宋体" w:eastAsia="宋体" w:hint="default"/>
                <w:sz w:val="21"/>
                <w:szCs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预算数</w:t>
            </w:r>
            <w:r>
              <w:rPr>
                <w:rFonts w:ascii="宋体" w:hAnsi="宋体" w:cs="宋体" w:eastAsia="宋体" w:hint="default"/>
                <w:sz w:val="21"/>
                <w:szCs w:val="21"/>
              </w:rPr>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资金来源</w:t>
            </w:r>
            <w:r>
              <w:rPr>
                <w:rFonts w:ascii="宋体" w:hAnsi="宋体" w:cs="宋体" w:eastAsia="宋体" w:hint="default"/>
                <w:sz w:val="21"/>
                <w:szCs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工程投入占预算比例</w:t>
            </w:r>
            <w:r>
              <w:rPr>
                <w:rFonts w:ascii="宋体" w:hAnsi="宋体" w:cs="宋体" w:eastAsia="宋体" w:hint="default"/>
                <w:sz w:val="21"/>
                <w:szCs w:val="21"/>
              </w:rPr>
            </w:r>
          </w:p>
        </w:tc>
      </w:tr>
      <w:tr>
        <w:trPr>
          <w:trHeight w:val="57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21"/>
                <w:szCs w:val="21"/>
              </w:rPr>
            </w:pPr>
            <w:r>
              <w:rPr>
                <w:rFonts w:ascii="宋体" w:hAnsi="宋体" w:cs="宋体" w:eastAsia="宋体" w:hint="default"/>
                <w:sz w:val="21"/>
                <w:szCs w:val="21"/>
              </w:rPr>
              <w:t>科学城生产基地一期</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328"/>
              <w:jc w:val="right"/>
              <w:rPr>
                <w:rFonts w:ascii="宋体" w:hAnsi="宋体" w:cs="宋体" w:eastAsia="宋体" w:hint="default"/>
                <w:sz w:val="21"/>
                <w:szCs w:val="21"/>
              </w:rPr>
            </w:pPr>
            <w:r>
              <w:rPr>
                <w:rFonts w:ascii="Times New Roman" w:hAnsi="Times New Roman" w:cs="Times New Roman" w:eastAsia="Times New Roman" w:hint="default"/>
                <w:sz w:val="21"/>
                <w:szCs w:val="21"/>
              </w:rPr>
              <w:t>12,639.49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万元</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募股资金</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 w:right="0"/>
              <w:jc w:val="center"/>
              <w:rPr>
                <w:rFonts w:ascii="Times New Roman" w:hAnsi="Times New Roman" w:cs="Times New Roman" w:eastAsia="Times New Roman" w:hint="default"/>
                <w:sz w:val="21"/>
                <w:szCs w:val="21"/>
              </w:rPr>
            </w:pPr>
            <w:r>
              <w:rPr>
                <w:rFonts w:ascii="Times New Roman"/>
                <w:sz w:val="21"/>
              </w:rPr>
              <w:t>91.68%</w:t>
            </w:r>
          </w:p>
        </w:tc>
      </w:tr>
      <w:tr>
        <w:trPr>
          <w:trHeight w:val="635"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科学城生产基地二期</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78"/>
              <w:jc w:val="right"/>
              <w:rPr>
                <w:rFonts w:ascii="宋体" w:hAnsi="宋体" w:cs="宋体" w:eastAsia="宋体" w:hint="default"/>
                <w:sz w:val="21"/>
                <w:szCs w:val="21"/>
              </w:rPr>
            </w:pPr>
            <w:r>
              <w:rPr>
                <w:rFonts w:ascii="Times New Roman" w:hAnsi="Times New Roman" w:cs="Times New Roman" w:eastAsia="Times New Roman" w:hint="default"/>
                <w:sz w:val="21"/>
                <w:szCs w:val="21"/>
              </w:rPr>
              <w:t>7,385.00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宋体" w:hAnsi="宋体" w:cs="宋体" w:eastAsia="宋体" w:hint="default"/>
                <w:sz w:val="21"/>
                <w:szCs w:val="21"/>
              </w:rPr>
              <w:t>募股资金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5100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万，其他</w:t>
            </w:r>
          </w:p>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sz w:val="21"/>
                <w:szCs w:val="21"/>
              </w:rPr>
              <w:t>为自筹资金</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0.14%</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2321"/>
        <w:gridCol w:w="1504"/>
        <w:gridCol w:w="1470"/>
        <w:gridCol w:w="1498"/>
        <w:gridCol w:w="1092"/>
        <w:gridCol w:w="1463"/>
      </w:tblGrid>
      <w:tr>
        <w:trPr>
          <w:trHeight w:val="323" w:hRule="exact"/>
        </w:trPr>
        <w:tc>
          <w:tcPr>
            <w:tcW w:w="2321" w:type="dxa"/>
            <w:vMerge w:val="restart"/>
            <w:tcBorders>
              <w:top w:val="single" w:sz="4" w:space="0" w:color="000000"/>
              <w:left w:val="single" w:sz="4" w:space="0" w:color="000000"/>
              <w:right w:val="single" w:sz="4" w:space="0" w:color="000000"/>
            </w:tcBorders>
          </w:tcPr>
          <w:p>
            <w:pPr>
              <w:pStyle w:val="TableParagraph"/>
              <w:spacing w:line="240" w:lineRule="auto" w:before="141"/>
              <w:ind w:left="523" w:right="0"/>
              <w:jc w:val="left"/>
              <w:rPr>
                <w:rFonts w:ascii="宋体" w:hAnsi="宋体" w:cs="宋体" w:eastAsia="宋体" w:hint="default"/>
                <w:sz w:val="21"/>
                <w:szCs w:val="21"/>
              </w:rPr>
            </w:pPr>
            <w:r>
              <w:rPr>
                <w:rFonts w:ascii="宋体" w:hAnsi="宋体" w:cs="宋体" w:eastAsia="宋体" w:hint="default"/>
                <w:b/>
                <w:bCs/>
                <w:sz w:val="21"/>
                <w:szCs w:val="21"/>
              </w:rPr>
              <w:t>工程项目名称</w:t>
            </w:r>
            <w:r>
              <w:rPr>
                <w:rFonts w:ascii="宋体" w:hAnsi="宋体" w:cs="宋体" w:eastAsia="宋体" w:hint="default"/>
                <w:sz w:val="21"/>
                <w:szCs w:val="21"/>
              </w:rPr>
            </w:r>
          </w:p>
        </w:tc>
        <w:tc>
          <w:tcPr>
            <w:tcW w:w="1504" w:type="dxa"/>
            <w:vMerge w:val="restart"/>
            <w:tcBorders>
              <w:top w:val="single" w:sz="4" w:space="0" w:color="000000"/>
              <w:left w:val="single" w:sz="4" w:space="0" w:color="000000"/>
              <w:right w:val="single" w:sz="4" w:space="0" w:color="000000"/>
            </w:tcBorders>
          </w:tcPr>
          <w:p>
            <w:pPr>
              <w:pStyle w:val="TableParagraph"/>
              <w:spacing w:line="240" w:lineRule="auto" w:before="141"/>
              <w:ind w:left="429" w:right="0"/>
              <w:jc w:val="left"/>
              <w:rPr>
                <w:rFonts w:ascii="宋体" w:hAnsi="宋体" w:cs="宋体" w:eastAsia="宋体" w:hint="default"/>
                <w:sz w:val="21"/>
                <w:szCs w:val="21"/>
              </w:rPr>
            </w:pPr>
            <w:r>
              <w:rPr>
                <w:rFonts w:ascii="宋体" w:hAnsi="宋体" w:cs="宋体" w:eastAsia="宋体" w:hint="default"/>
                <w:b/>
                <w:bCs/>
                <w:sz w:val="21"/>
                <w:szCs w:val="21"/>
              </w:rPr>
              <w:t>年初数</w:t>
            </w:r>
            <w:r>
              <w:rPr>
                <w:rFonts w:ascii="宋体" w:hAnsi="宋体" w:cs="宋体" w:eastAsia="宋体" w:hint="default"/>
                <w:sz w:val="21"/>
                <w:szCs w:val="21"/>
              </w:rPr>
            </w:r>
          </w:p>
        </w:tc>
        <w:tc>
          <w:tcPr>
            <w:tcW w:w="1470" w:type="dxa"/>
            <w:vMerge w:val="restart"/>
            <w:tcBorders>
              <w:top w:val="single" w:sz="4" w:space="0" w:color="000000"/>
              <w:left w:val="single" w:sz="4" w:space="0" w:color="000000"/>
              <w:right w:val="single" w:sz="4" w:space="0" w:color="000000"/>
            </w:tcBorders>
          </w:tcPr>
          <w:p>
            <w:pPr>
              <w:pStyle w:val="TableParagraph"/>
              <w:spacing w:line="240" w:lineRule="auto" w:before="141"/>
              <w:ind w:left="307"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25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463" w:type="dxa"/>
            <w:vMerge w:val="restart"/>
            <w:tcBorders>
              <w:top w:val="single" w:sz="4" w:space="0" w:color="000000"/>
              <w:left w:val="single" w:sz="4" w:space="0" w:color="000000"/>
              <w:right w:val="single" w:sz="4" w:space="0" w:color="000000"/>
            </w:tcBorders>
          </w:tcPr>
          <w:p>
            <w:pPr>
              <w:pStyle w:val="TableParagraph"/>
              <w:spacing w:line="240" w:lineRule="auto" w:before="141"/>
              <w:ind w:left="409" w:right="0"/>
              <w:jc w:val="left"/>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r>
      <w:tr>
        <w:trPr>
          <w:trHeight w:val="322" w:hRule="exact"/>
        </w:trPr>
        <w:tc>
          <w:tcPr>
            <w:tcW w:w="2321" w:type="dxa"/>
            <w:vMerge/>
            <w:tcBorders>
              <w:left w:val="single" w:sz="4" w:space="0" w:color="000000"/>
              <w:bottom w:val="single" w:sz="4" w:space="0" w:color="000000"/>
              <w:right w:val="single" w:sz="4" w:space="0" w:color="000000"/>
            </w:tcBorders>
          </w:tcPr>
          <w:p>
            <w:pPr/>
          </w:p>
        </w:tc>
        <w:tc>
          <w:tcPr>
            <w:tcW w:w="1504" w:type="dxa"/>
            <w:vMerge/>
            <w:tcBorders>
              <w:left w:val="single" w:sz="4" w:space="0" w:color="000000"/>
              <w:bottom w:val="single" w:sz="4" w:space="0" w:color="000000"/>
              <w:right w:val="single" w:sz="4" w:space="0" w:color="000000"/>
            </w:tcBorders>
          </w:tcPr>
          <w:p>
            <w:pPr/>
          </w:p>
        </w:tc>
        <w:tc>
          <w:tcPr>
            <w:tcW w:w="1470" w:type="dxa"/>
            <w:vMerge/>
            <w:tcBorders>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10"/>
              <w:jc w:val="right"/>
              <w:rPr>
                <w:rFonts w:ascii="宋体" w:hAnsi="宋体" w:cs="宋体" w:eastAsia="宋体" w:hint="default"/>
                <w:sz w:val="21"/>
                <w:szCs w:val="21"/>
              </w:rPr>
            </w:pPr>
            <w:r>
              <w:rPr>
                <w:rFonts w:ascii="宋体" w:hAnsi="宋体" w:cs="宋体" w:eastAsia="宋体" w:hint="default"/>
                <w:b/>
                <w:bCs/>
                <w:w w:val="95"/>
                <w:sz w:val="21"/>
                <w:szCs w:val="21"/>
              </w:rPr>
              <w:t>转入固定资产</w:t>
            </w:r>
            <w:r>
              <w:rPr>
                <w:rFonts w:ascii="宋体" w:hAnsi="宋体" w:cs="宋体" w:eastAsia="宋体" w:hint="default"/>
                <w:sz w:val="21"/>
                <w:szCs w:val="21"/>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16"/>
              <w:jc w:val="right"/>
              <w:rPr>
                <w:rFonts w:ascii="宋体" w:hAnsi="宋体" w:cs="宋体" w:eastAsia="宋体" w:hint="default"/>
                <w:sz w:val="21"/>
                <w:szCs w:val="21"/>
              </w:rPr>
            </w:pPr>
            <w:r>
              <w:rPr>
                <w:rFonts w:ascii="宋体" w:hAnsi="宋体" w:cs="宋体" w:eastAsia="宋体" w:hint="default"/>
                <w:b/>
                <w:bCs/>
                <w:sz w:val="21"/>
                <w:szCs w:val="21"/>
              </w:rPr>
              <w:t>其他减少</w:t>
            </w:r>
            <w:r>
              <w:rPr>
                <w:rFonts w:ascii="宋体" w:hAnsi="宋体" w:cs="宋体" w:eastAsia="宋体" w:hint="default"/>
                <w:sz w:val="21"/>
                <w:szCs w:val="21"/>
              </w:rPr>
            </w:r>
          </w:p>
        </w:tc>
        <w:tc>
          <w:tcPr>
            <w:tcW w:w="1463" w:type="dxa"/>
            <w:vMerge/>
            <w:tcBorders>
              <w:left w:val="single" w:sz="4" w:space="0" w:color="000000"/>
              <w:bottom w:val="single" w:sz="4" w:space="0" w:color="000000"/>
              <w:right w:val="single" w:sz="4" w:space="0" w:color="000000"/>
            </w:tcBorders>
          </w:tcPr>
          <w:p>
            <w:pPr/>
          </w:p>
        </w:tc>
      </w:tr>
      <w:tr>
        <w:trPr>
          <w:trHeight w:val="322"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科学城生产基地一期</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24,780,092.60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91,100,284.85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86,897,913.95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0.00</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28,982,463.50</w:t>
            </w:r>
          </w:p>
        </w:tc>
      </w:tr>
      <w:tr>
        <w:trPr>
          <w:trHeight w:val="32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科学城生产基地二期</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106,784.00</w:t>
            </w:r>
            <w:r>
              <w:rPr>
                <w:rFonts w:ascii="Times New Roman"/>
                <w:sz w:val="21"/>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106,784.00</w:t>
            </w:r>
            <w:r>
              <w:rPr>
                <w:rFonts w:ascii="Times New Roman"/>
                <w:sz w:val="21"/>
              </w:rPr>
            </w:r>
          </w:p>
        </w:tc>
      </w:tr>
      <w:tr>
        <w:trPr>
          <w:trHeight w:val="322"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24,780,092.60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91,207,068.85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86,897,913.95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29,089,247.50</w:t>
            </w:r>
          </w:p>
        </w:tc>
      </w:tr>
    </w:tbl>
    <w:p>
      <w:pPr>
        <w:pStyle w:val="BodyText"/>
        <w:spacing w:line="240" w:lineRule="auto" w:before="93"/>
        <w:ind w:left="1060" w:right="635"/>
        <w:jc w:val="left"/>
      </w:pPr>
      <w:r>
        <w:rPr/>
        <w:t>2、没有计入工程成本的借款费用资本化金额。</w:t>
      </w:r>
    </w:p>
    <w:p>
      <w:pPr>
        <w:pStyle w:val="BodyText"/>
        <w:spacing w:line="240" w:lineRule="auto" w:before="126"/>
        <w:ind w:left="1060" w:right="635"/>
        <w:jc w:val="left"/>
      </w:pPr>
      <w:r>
        <w:rPr/>
        <w:t>3、经测试，年末在建工程不存在减值因素，未计提在建工程减值准备</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line="297" w:lineRule="auto" w:before="0"/>
        <w:ind w:left="1059" w:right="6930" w:firstLine="2"/>
        <w:jc w:val="left"/>
        <w:rPr>
          <w:rFonts w:ascii="宋体" w:hAnsi="宋体" w:cs="宋体" w:eastAsia="宋体" w:hint="default"/>
          <w:sz w:val="21"/>
          <w:szCs w:val="21"/>
        </w:rPr>
      </w:pPr>
      <w:r>
        <w:rPr>
          <w:rFonts w:ascii="宋体" w:hAnsi="宋体" w:cs="宋体" w:eastAsia="宋体" w:hint="default"/>
          <w:b/>
          <w:bCs/>
          <w:sz w:val="21"/>
          <w:szCs w:val="21"/>
        </w:rPr>
        <w:t>（十）</w:t>
      </w:r>
      <w:r>
        <w:rPr>
          <w:rFonts w:ascii="宋体" w:hAnsi="宋体" w:cs="宋体" w:eastAsia="宋体" w:hint="default"/>
          <w:b/>
          <w:bCs/>
          <w:spacing w:val="-19"/>
          <w:sz w:val="21"/>
          <w:szCs w:val="21"/>
        </w:rPr>
        <w:t> </w:t>
      </w:r>
      <w:r>
        <w:rPr>
          <w:rFonts w:ascii="宋体" w:hAnsi="宋体" w:cs="宋体" w:eastAsia="宋体" w:hint="default"/>
          <w:b/>
          <w:bCs/>
          <w:sz w:val="21"/>
          <w:szCs w:val="21"/>
        </w:rPr>
        <w:t>无形资产</w:t>
      </w:r>
      <w:r>
        <w:rPr>
          <w:rFonts w:ascii="宋体" w:hAnsi="宋体" w:cs="宋体" w:eastAsia="宋体" w:hint="default"/>
          <w:b/>
          <w:bCs/>
          <w:spacing w:val="1"/>
          <w:w w:val="99"/>
          <w:sz w:val="21"/>
          <w:szCs w:val="21"/>
        </w:rPr>
        <w:t> </w:t>
      </w:r>
      <w:r>
        <w:rPr>
          <w:rFonts w:ascii="宋体" w:hAnsi="宋体" w:cs="宋体" w:eastAsia="宋体" w:hint="default"/>
          <w:sz w:val="21"/>
          <w:szCs w:val="21"/>
        </w:rPr>
        <w:t>1、无形资产原价</w:t>
      </w:r>
    </w:p>
    <w:p>
      <w:pPr>
        <w:spacing w:line="240" w:lineRule="auto" w:before="6"/>
        <w:rPr>
          <w:rFonts w:ascii="宋体" w:hAnsi="宋体" w:cs="宋体" w:eastAsia="宋体" w:hint="default"/>
          <w:sz w:val="10"/>
          <w:szCs w:val="10"/>
        </w:rPr>
      </w:pPr>
    </w:p>
    <w:tbl>
      <w:tblPr>
        <w:tblW w:w="0" w:type="auto"/>
        <w:jc w:val="left"/>
        <w:tblInd w:w="1040" w:type="dxa"/>
        <w:tblLayout w:type="fixed"/>
        <w:tblCellMar>
          <w:top w:w="0" w:type="dxa"/>
          <w:left w:w="0" w:type="dxa"/>
          <w:bottom w:w="0" w:type="dxa"/>
          <w:right w:w="0" w:type="dxa"/>
        </w:tblCellMar>
        <w:tblLook w:val="01E0"/>
      </w:tblPr>
      <w:tblGrid>
        <w:gridCol w:w="1986"/>
        <w:gridCol w:w="1434"/>
        <w:gridCol w:w="1496"/>
        <w:gridCol w:w="1042"/>
        <w:gridCol w:w="1536"/>
      </w:tblGrid>
      <w:tr>
        <w:trPr>
          <w:trHeight w:val="325"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1"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89" w:right="0"/>
              <w:jc w:val="left"/>
              <w:rPr>
                <w:rFonts w:ascii="宋体" w:hAnsi="宋体" w:cs="宋体" w:eastAsia="宋体" w:hint="default"/>
                <w:sz w:val="21"/>
                <w:szCs w:val="21"/>
              </w:rPr>
            </w:pPr>
            <w:r>
              <w:rPr>
                <w:rFonts w:ascii="宋体" w:hAnsi="宋体" w:cs="宋体" w:eastAsia="宋体" w:hint="default"/>
                <w:b/>
                <w:bCs/>
                <w:sz w:val="21"/>
                <w:szCs w:val="21"/>
              </w:rPr>
              <w:t>年初原价</w:t>
            </w:r>
            <w:r>
              <w:rPr>
                <w:rFonts w:ascii="宋体" w:hAnsi="宋体" w:cs="宋体" w:eastAsia="宋体" w:hint="default"/>
                <w:sz w:val="21"/>
                <w:szCs w:val="21"/>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321"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340" w:right="0"/>
              <w:jc w:val="left"/>
              <w:rPr>
                <w:rFonts w:ascii="宋体" w:hAnsi="宋体" w:cs="宋体" w:eastAsia="宋体" w:hint="default"/>
                <w:sz w:val="21"/>
                <w:szCs w:val="21"/>
              </w:rPr>
            </w:pPr>
            <w:r>
              <w:rPr>
                <w:rFonts w:ascii="宋体" w:hAnsi="宋体" w:cs="宋体" w:eastAsia="宋体" w:hint="default"/>
                <w:b/>
                <w:bCs/>
                <w:sz w:val="21"/>
                <w:szCs w:val="21"/>
              </w:rPr>
              <w:t>年末原价</w:t>
            </w:r>
            <w:r>
              <w:rPr>
                <w:rFonts w:ascii="宋体" w:hAnsi="宋体" w:cs="宋体" w:eastAsia="宋体" w:hint="default"/>
                <w:sz w:val="21"/>
                <w:szCs w:val="21"/>
              </w:rPr>
            </w:r>
          </w:p>
        </w:tc>
      </w:tr>
      <w:tr>
        <w:trPr>
          <w:trHeight w:val="325"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电子商务平台</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Times New Roman" w:hAnsi="Times New Roman" w:cs="Times New Roman" w:eastAsia="Times New Roman" w:hint="default"/>
                <w:sz w:val="21"/>
                <w:szCs w:val="21"/>
              </w:rPr>
            </w:pPr>
            <w:r>
              <w:rPr>
                <w:rFonts w:ascii="Times New Roman"/>
                <w:spacing w:val="-1"/>
                <w:sz w:val="21"/>
              </w:rPr>
              <w:t>1,343,196.02</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Times New Roman" w:hAnsi="Times New Roman" w:cs="Times New Roman" w:eastAsia="Times New Roman" w:hint="default"/>
                <w:sz w:val="21"/>
                <w:szCs w:val="21"/>
              </w:rPr>
            </w:pPr>
            <w:r>
              <w:rPr>
                <w:rFonts w:ascii="Times New Roman"/>
                <w:spacing w:val="-1"/>
                <w:sz w:val="21"/>
              </w:rPr>
              <w:t>1,343,196.02</w:t>
            </w:r>
          </w:p>
        </w:tc>
      </w:tr>
      <w:tr>
        <w:trPr>
          <w:trHeight w:val="32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管理用软件</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2"/>
              <w:jc w:val="right"/>
              <w:rPr>
                <w:rFonts w:ascii="Times New Roman" w:hAnsi="Times New Roman" w:cs="Times New Roman" w:eastAsia="Times New Roman" w:hint="default"/>
                <w:sz w:val="21"/>
                <w:szCs w:val="21"/>
              </w:rPr>
            </w:pPr>
            <w:r>
              <w:rPr>
                <w:rFonts w:ascii="Times New Roman"/>
                <w:spacing w:val="-1"/>
                <w:sz w:val="21"/>
              </w:rPr>
              <w:t>216,800.00</w:t>
            </w:r>
            <w:r>
              <w:rPr>
                <w:rFonts w:ascii="Times New Roman"/>
                <w:sz w:val="21"/>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2"/>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2"/>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3"/>
              <w:jc w:val="right"/>
              <w:rPr>
                <w:rFonts w:ascii="Times New Roman" w:hAnsi="Times New Roman" w:cs="Times New Roman" w:eastAsia="Times New Roman" w:hint="default"/>
                <w:sz w:val="21"/>
                <w:szCs w:val="21"/>
              </w:rPr>
            </w:pPr>
            <w:r>
              <w:rPr>
                <w:rFonts w:ascii="Times New Roman"/>
                <w:spacing w:val="-1"/>
                <w:sz w:val="21"/>
              </w:rPr>
              <w:t>216,800.00</w:t>
            </w:r>
            <w:r>
              <w:rPr>
                <w:rFonts w:ascii="Times New Roman"/>
                <w:sz w:val="21"/>
              </w:rPr>
            </w:r>
          </w:p>
        </w:tc>
      </w:tr>
      <w:tr>
        <w:trPr>
          <w:trHeight w:val="325"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一期土地使用权</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Times New Roman" w:hAnsi="Times New Roman" w:cs="Times New Roman" w:eastAsia="Times New Roman" w:hint="default"/>
                <w:sz w:val="21"/>
                <w:szCs w:val="21"/>
              </w:rPr>
            </w:pPr>
            <w:r>
              <w:rPr>
                <w:rFonts w:ascii="Times New Roman"/>
                <w:spacing w:val="-1"/>
                <w:sz w:val="21"/>
              </w:rPr>
              <w:t>8,497,500.00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Times New Roman" w:hAnsi="Times New Roman" w:cs="Times New Roman" w:eastAsia="Times New Roman" w:hint="default"/>
                <w:sz w:val="21"/>
                <w:szCs w:val="21"/>
              </w:rPr>
            </w:pPr>
            <w:r>
              <w:rPr>
                <w:rFonts w:ascii="Times New Roman"/>
                <w:spacing w:val="-1"/>
                <w:sz w:val="21"/>
              </w:rPr>
              <w:t>8,497,500.00</w:t>
            </w:r>
          </w:p>
        </w:tc>
      </w:tr>
      <w:tr>
        <w:trPr>
          <w:trHeight w:val="325"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二期土地使用权</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Times New Roman" w:hAnsi="Times New Roman" w:cs="Times New Roman" w:eastAsia="Times New Roman" w:hint="default"/>
                <w:sz w:val="21"/>
                <w:szCs w:val="21"/>
              </w:rPr>
            </w:pPr>
            <w:r>
              <w:rPr>
                <w:rFonts w:ascii="Times New Roman"/>
                <w:spacing w:val="-1"/>
                <w:sz w:val="21"/>
              </w:rPr>
              <w:t>5,489,900.00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Times New Roman" w:hAnsi="Times New Roman" w:cs="Times New Roman" w:eastAsia="Times New Roman" w:hint="default"/>
                <w:sz w:val="21"/>
                <w:szCs w:val="21"/>
              </w:rPr>
            </w:pPr>
            <w:r>
              <w:rPr>
                <w:rFonts w:ascii="Times New Roman"/>
                <w:spacing w:val="-1"/>
                <w:sz w:val="21"/>
              </w:rPr>
              <w:t>5,489,900.00</w:t>
            </w:r>
          </w:p>
        </w:tc>
      </w:tr>
      <w:tr>
        <w:trPr>
          <w:trHeight w:val="325"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Times New Roman" w:hAnsi="Times New Roman" w:cs="Times New Roman" w:eastAsia="Times New Roman" w:hint="default"/>
                <w:sz w:val="21"/>
                <w:szCs w:val="21"/>
              </w:rPr>
            </w:pPr>
            <w:r>
              <w:rPr>
                <w:rFonts w:ascii="Times New Roman"/>
                <w:spacing w:val="-1"/>
                <w:sz w:val="21"/>
              </w:rPr>
              <w:t>10,057,496.02</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spacing w:val="-1"/>
                <w:sz w:val="21"/>
              </w:rPr>
              <w:t>5,489,900.00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Times New Roman" w:hAnsi="Times New Roman" w:cs="Times New Roman" w:eastAsia="Times New Roman" w:hint="default"/>
                <w:sz w:val="21"/>
                <w:szCs w:val="21"/>
              </w:rPr>
            </w:pPr>
            <w:r>
              <w:rPr>
                <w:rFonts w:ascii="Times New Roman"/>
                <w:spacing w:val="-1"/>
                <w:sz w:val="21"/>
              </w:rPr>
              <w:t>15,547,396.02</w:t>
            </w:r>
          </w:p>
        </w:tc>
      </w:tr>
    </w:tbl>
    <w:p>
      <w:pPr>
        <w:pStyle w:val="BodyText"/>
        <w:spacing w:line="240" w:lineRule="auto" w:before="93"/>
        <w:ind w:left="1060" w:right="635"/>
        <w:jc w:val="left"/>
      </w:pPr>
      <w:r>
        <w:rPr/>
        <w:t>注：年末没有用于抵押或担保的无形资产。</w:t>
      </w:r>
    </w:p>
    <w:p>
      <w:pPr>
        <w:spacing w:after="0" w:line="240" w:lineRule="auto"/>
        <w:jc w:val="left"/>
        <w:sectPr>
          <w:pgSz w:w="11910" w:h="16840"/>
          <w:pgMar w:header="400" w:footer="982" w:top="1100" w:bottom="1180" w:left="1160" w:right="1160"/>
        </w:sectPr>
      </w:pPr>
    </w:p>
    <w:p>
      <w:pPr>
        <w:spacing w:line="240" w:lineRule="auto" w:before="12"/>
        <w:rPr>
          <w:rFonts w:ascii="宋体" w:hAnsi="宋体" w:cs="宋体" w:eastAsia="宋体" w:hint="default"/>
          <w:sz w:val="28"/>
          <w:szCs w:val="28"/>
        </w:rPr>
      </w:pPr>
    </w:p>
    <w:p>
      <w:pPr>
        <w:pStyle w:val="BodyText"/>
        <w:spacing w:line="240" w:lineRule="auto" w:before="35"/>
        <w:ind w:left="860" w:right="449"/>
        <w:jc w:val="left"/>
      </w:pPr>
      <w:r>
        <w:rPr/>
        <w:t>2、累计摊销</w:t>
      </w:r>
    </w:p>
    <w:p>
      <w:pPr>
        <w:spacing w:line="240" w:lineRule="auto" w:before="4"/>
        <w:rPr>
          <w:rFonts w:ascii="宋体" w:hAnsi="宋体" w:cs="宋体" w:eastAsia="宋体" w:hint="default"/>
          <w:sz w:val="14"/>
          <w:szCs w:val="14"/>
        </w:rPr>
      </w:pPr>
    </w:p>
    <w:tbl>
      <w:tblPr>
        <w:tblW w:w="0" w:type="auto"/>
        <w:jc w:val="left"/>
        <w:tblInd w:w="961" w:type="dxa"/>
        <w:tblLayout w:type="fixed"/>
        <w:tblCellMar>
          <w:top w:w="0" w:type="dxa"/>
          <w:left w:w="0" w:type="dxa"/>
          <w:bottom w:w="0" w:type="dxa"/>
          <w:right w:w="0" w:type="dxa"/>
        </w:tblCellMar>
        <w:tblLook w:val="01E0"/>
      </w:tblPr>
      <w:tblGrid>
        <w:gridCol w:w="1709"/>
        <w:gridCol w:w="1441"/>
        <w:gridCol w:w="1517"/>
        <w:gridCol w:w="1044"/>
        <w:gridCol w:w="1542"/>
      </w:tblGrid>
      <w:tr>
        <w:trPr>
          <w:trHeight w:val="3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1" w:lineRule="exact"/>
              <w:ind w:right="1"/>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93" w:right="0"/>
              <w:jc w:val="left"/>
              <w:rPr>
                <w:rFonts w:ascii="宋体" w:hAnsi="宋体" w:cs="宋体" w:eastAsia="宋体" w:hint="default"/>
                <w:sz w:val="21"/>
                <w:szCs w:val="21"/>
              </w:rPr>
            </w:pPr>
            <w:r>
              <w:rPr>
                <w:rFonts w:ascii="宋体" w:hAnsi="宋体" w:cs="宋体" w:eastAsia="宋体" w:hint="default"/>
                <w:b/>
                <w:bCs/>
                <w:sz w:val="21"/>
                <w:szCs w:val="21"/>
              </w:rPr>
              <w:t>年初摊销</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331"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94"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343" w:right="0"/>
              <w:jc w:val="left"/>
              <w:rPr>
                <w:rFonts w:ascii="宋体" w:hAnsi="宋体" w:cs="宋体" w:eastAsia="宋体" w:hint="default"/>
                <w:sz w:val="21"/>
                <w:szCs w:val="21"/>
              </w:rPr>
            </w:pPr>
            <w:r>
              <w:rPr>
                <w:rFonts w:ascii="宋体" w:hAnsi="宋体" w:cs="宋体" w:eastAsia="宋体" w:hint="default"/>
                <w:b/>
                <w:bCs/>
                <w:sz w:val="21"/>
                <w:szCs w:val="21"/>
              </w:rPr>
              <w:t>年末摊销</w:t>
            </w:r>
            <w:r>
              <w:rPr>
                <w:rFonts w:ascii="宋体" w:hAnsi="宋体" w:cs="宋体" w:eastAsia="宋体" w:hint="default"/>
                <w:sz w:val="21"/>
                <w:szCs w:val="21"/>
              </w:rPr>
            </w:r>
          </w:p>
        </w:tc>
      </w:tr>
      <w:tr>
        <w:trPr>
          <w:trHeight w:val="3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电子商务平台</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2"/>
              <w:jc w:val="right"/>
              <w:rPr>
                <w:rFonts w:ascii="Times New Roman" w:hAnsi="Times New Roman" w:cs="Times New Roman" w:eastAsia="Times New Roman" w:hint="default"/>
                <w:sz w:val="21"/>
                <w:szCs w:val="21"/>
              </w:rPr>
            </w:pPr>
            <w:r>
              <w:rPr>
                <w:rFonts w:ascii="Times New Roman"/>
                <w:spacing w:val="-1"/>
                <w:sz w:val="21"/>
              </w:rPr>
              <w:t>492,261.83</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3"/>
              <w:jc w:val="right"/>
              <w:rPr>
                <w:rFonts w:ascii="Times New Roman" w:hAnsi="Times New Roman" w:cs="Times New Roman" w:eastAsia="Times New Roman" w:hint="default"/>
                <w:sz w:val="21"/>
                <w:szCs w:val="21"/>
              </w:rPr>
            </w:pPr>
            <w:r>
              <w:rPr>
                <w:rFonts w:ascii="Times New Roman"/>
                <w:spacing w:val="-1"/>
                <w:sz w:val="21"/>
              </w:rPr>
              <w:t>268,639.20</w:t>
            </w:r>
            <w:r>
              <w:rPr>
                <w:rFonts w:ascii="Times New Roman"/>
                <w:sz w:val="21"/>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4"/>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4"/>
              <w:jc w:val="right"/>
              <w:rPr>
                <w:rFonts w:ascii="Times New Roman" w:hAnsi="Times New Roman" w:cs="Times New Roman" w:eastAsia="Times New Roman" w:hint="default"/>
                <w:sz w:val="21"/>
                <w:szCs w:val="21"/>
              </w:rPr>
            </w:pPr>
            <w:r>
              <w:rPr>
                <w:rFonts w:ascii="Times New Roman"/>
                <w:spacing w:val="-1"/>
                <w:sz w:val="21"/>
              </w:rPr>
              <w:t>760,901.03</w:t>
            </w:r>
            <w:r>
              <w:rPr>
                <w:rFonts w:ascii="Times New Roman"/>
                <w:sz w:val="21"/>
              </w:rPr>
            </w:r>
          </w:p>
        </w:tc>
      </w:tr>
      <w:tr>
        <w:trPr>
          <w:trHeight w:val="3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管理用软件</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Times New Roman" w:hAnsi="Times New Roman" w:cs="Times New Roman" w:eastAsia="Times New Roman" w:hint="default"/>
                <w:sz w:val="21"/>
                <w:szCs w:val="21"/>
              </w:rPr>
            </w:pPr>
            <w:r>
              <w:rPr>
                <w:rFonts w:ascii="Times New Roman"/>
                <w:spacing w:val="-1"/>
                <w:sz w:val="21"/>
              </w:rPr>
              <w:t>22,940.01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spacing w:val="-1"/>
                <w:sz w:val="21"/>
              </w:rPr>
              <w:t>43,360.08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pacing w:val="-1"/>
                <w:sz w:val="21"/>
              </w:rPr>
              <w:t>66,300.09</w:t>
            </w:r>
          </w:p>
        </w:tc>
      </w:tr>
      <w:tr>
        <w:trPr>
          <w:trHeight w:val="3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一期土地使用权</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2"/>
              <w:jc w:val="right"/>
              <w:rPr>
                <w:rFonts w:ascii="Times New Roman" w:hAnsi="Times New Roman" w:cs="Times New Roman" w:eastAsia="Times New Roman" w:hint="default"/>
                <w:sz w:val="21"/>
                <w:szCs w:val="21"/>
              </w:rPr>
            </w:pPr>
            <w:r>
              <w:rPr>
                <w:rFonts w:ascii="Times New Roman"/>
                <w:spacing w:val="-1"/>
                <w:sz w:val="21"/>
              </w:rPr>
              <w:t>169,950.00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3"/>
              <w:jc w:val="right"/>
              <w:rPr>
                <w:rFonts w:ascii="Times New Roman" w:hAnsi="Times New Roman" w:cs="Times New Roman" w:eastAsia="Times New Roman" w:hint="default"/>
                <w:sz w:val="21"/>
                <w:szCs w:val="21"/>
              </w:rPr>
            </w:pPr>
            <w:r>
              <w:rPr>
                <w:rFonts w:ascii="Times New Roman"/>
                <w:spacing w:val="-1"/>
                <w:sz w:val="21"/>
              </w:rPr>
              <w:t>169,950.00</w:t>
            </w:r>
            <w:r>
              <w:rPr>
                <w:rFonts w:ascii="Times New Roman"/>
                <w:sz w:val="21"/>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4"/>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4"/>
              <w:jc w:val="right"/>
              <w:rPr>
                <w:rFonts w:ascii="Times New Roman" w:hAnsi="Times New Roman" w:cs="Times New Roman" w:eastAsia="Times New Roman" w:hint="default"/>
                <w:sz w:val="21"/>
                <w:szCs w:val="21"/>
              </w:rPr>
            </w:pPr>
            <w:r>
              <w:rPr>
                <w:rFonts w:ascii="Times New Roman"/>
                <w:spacing w:val="-1"/>
                <w:sz w:val="21"/>
              </w:rPr>
              <w:t>339,900.00</w:t>
            </w:r>
            <w:r>
              <w:rPr>
                <w:rFonts w:ascii="Times New Roman"/>
                <w:sz w:val="21"/>
              </w:rPr>
            </w:r>
          </w:p>
        </w:tc>
      </w:tr>
      <w:tr>
        <w:trPr>
          <w:trHeight w:val="3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二期土地使用权</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spacing w:val="-1"/>
                <w:sz w:val="21"/>
              </w:rPr>
              <w:t>73,198.64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Times New Roman" w:hAnsi="Times New Roman" w:cs="Times New Roman" w:eastAsia="Times New Roman" w:hint="default"/>
                <w:sz w:val="21"/>
                <w:szCs w:val="21"/>
              </w:rPr>
            </w:pPr>
            <w:r>
              <w:rPr>
                <w:rFonts w:ascii="Times New Roman"/>
                <w:spacing w:val="-1"/>
                <w:sz w:val="21"/>
              </w:rPr>
              <w:t>73,198.64</w:t>
            </w:r>
          </w:p>
        </w:tc>
      </w:tr>
      <w:tr>
        <w:trPr>
          <w:trHeight w:val="3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2"/>
              <w:jc w:val="right"/>
              <w:rPr>
                <w:rFonts w:ascii="Times New Roman" w:hAnsi="Times New Roman" w:cs="Times New Roman" w:eastAsia="Times New Roman" w:hint="default"/>
                <w:sz w:val="21"/>
                <w:szCs w:val="21"/>
              </w:rPr>
            </w:pPr>
            <w:r>
              <w:rPr>
                <w:rFonts w:ascii="Times New Roman"/>
                <w:spacing w:val="-1"/>
                <w:sz w:val="21"/>
              </w:rPr>
              <w:t>685,151.84</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2"/>
              <w:jc w:val="right"/>
              <w:rPr>
                <w:rFonts w:ascii="Times New Roman" w:hAnsi="Times New Roman" w:cs="Times New Roman" w:eastAsia="Times New Roman" w:hint="default"/>
                <w:sz w:val="21"/>
                <w:szCs w:val="21"/>
              </w:rPr>
            </w:pPr>
            <w:r>
              <w:rPr>
                <w:rFonts w:ascii="Times New Roman"/>
                <w:spacing w:val="-1"/>
                <w:sz w:val="21"/>
              </w:rPr>
              <w:t>555,147.92</w:t>
            </w:r>
            <w:r>
              <w:rPr>
                <w:rFonts w:ascii="Times New Roman"/>
                <w:sz w:val="21"/>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3"/>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2"/>
              <w:jc w:val="right"/>
              <w:rPr>
                <w:rFonts w:ascii="Times New Roman" w:hAnsi="Times New Roman" w:cs="Times New Roman" w:eastAsia="Times New Roman" w:hint="default"/>
                <w:sz w:val="21"/>
                <w:szCs w:val="21"/>
              </w:rPr>
            </w:pPr>
            <w:r>
              <w:rPr>
                <w:rFonts w:ascii="Times New Roman"/>
                <w:spacing w:val="-1"/>
                <w:sz w:val="21"/>
              </w:rPr>
              <w:t>1,240,299.76</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before="35"/>
        <w:ind w:left="860" w:right="449"/>
        <w:jc w:val="left"/>
      </w:pPr>
      <w:r>
        <w:rPr/>
        <w:t>3、经测试，本期无形资产不存在计提减值准备的情况。</w:t>
      </w:r>
    </w:p>
    <w:p>
      <w:pPr>
        <w:pStyle w:val="BodyText"/>
        <w:spacing w:line="240" w:lineRule="auto" w:before="125"/>
        <w:ind w:left="860" w:right="449"/>
        <w:jc w:val="left"/>
      </w:pPr>
      <w:r>
        <w:rPr/>
        <w:t>4、无形资产账面价值</w:t>
      </w:r>
    </w:p>
    <w:p>
      <w:pPr>
        <w:spacing w:line="240" w:lineRule="auto" w:before="6"/>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775"/>
        <w:gridCol w:w="1258"/>
        <w:gridCol w:w="1343"/>
        <w:gridCol w:w="1397"/>
        <w:gridCol w:w="1481"/>
        <w:gridCol w:w="1715"/>
      </w:tblGrid>
      <w:tr>
        <w:trPr>
          <w:trHeight w:val="325"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1"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01" w:right="0"/>
              <w:jc w:val="left"/>
              <w:rPr>
                <w:rFonts w:ascii="宋体" w:hAnsi="宋体" w:cs="宋体" w:eastAsia="宋体" w:hint="default"/>
                <w:sz w:val="21"/>
                <w:szCs w:val="21"/>
              </w:rPr>
            </w:pPr>
            <w:r>
              <w:rPr>
                <w:rFonts w:ascii="宋体" w:hAnsi="宋体" w:cs="宋体" w:eastAsia="宋体" w:hint="default"/>
                <w:b/>
                <w:bCs/>
                <w:sz w:val="21"/>
                <w:szCs w:val="21"/>
              </w:rPr>
              <w:t>年初价值</w:t>
            </w:r>
            <w:r>
              <w:rPr>
                <w:rFonts w:ascii="宋体" w:hAnsi="宋体" w:cs="宋体" w:eastAsia="宋体" w:hint="default"/>
                <w:sz w:val="21"/>
                <w:szCs w:val="21"/>
              </w:rPr>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43"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71"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314" w:right="0"/>
              <w:jc w:val="left"/>
              <w:rPr>
                <w:rFonts w:ascii="宋体" w:hAnsi="宋体" w:cs="宋体" w:eastAsia="宋体" w:hint="default"/>
                <w:sz w:val="21"/>
                <w:szCs w:val="21"/>
              </w:rPr>
            </w:pPr>
            <w:r>
              <w:rPr>
                <w:rFonts w:ascii="宋体" w:hAnsi="宋体" w:cs="宋体" w:eastAsia="宋体" w:hint="default"/>
                <w:b/>
                <w:bCs/>
                <w:sz w:val="21"/>
                <w:szCs w:val="21"/>
              </w:rPr>
              <w:t>年末价值</w:t>
            </w:r>
            <w:r>
              <w:rPr>
                <w:rFonts w:ascii="宋体" w:hAnsi="宋体" w:cs="宋体" w:eastAsia="宋体" w:hint="default"/>
                <w:sz w:val="21"/>
                <w:szCs w:val="21"/>
              </w:rPr>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剩余摊销期限</w:t>
            </w:r>
            <w:r>
              <w:rPr>
                <w:rFonts w:ascii="宋体" w:hAnsi="宋体" w:cs="宋体" w:eastAsia="宋体" w:hint="default"/>
                <w:sz w:val="21"/>
                <w:szCs w:val="21"/>
              </w:rPr>
            </w:r>
          </w:p>
        </w:tc>
      </w:tr>
      <w:tr>
        <w:trPr>
          <w:trHeight w:val="324"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电子商务平台</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2"/>
              <w:jc w:val="right"/>
              <w:rPr>
                <w:rFonts w:ascii="Times New Roman" w:hAnsi="Times New Roman" w:cs="Times New Roman" w:eastAsia="Times New Roman" w:hint="default"/>
                <w:sz w:val="21"/>
                <w:szCs w:val="21"/>
              </w:rPr>
            </w:pPr>
            <w:r>
              <w:rPr>
                <w:rFonts w:ascii="Times New Roman"/>
                <w:spacing w:val="-1"/>
                <w:sz w:val="21"/>
              </w:rPr>
              <w:t>850,934.19</w:t>
            </w:r>
            <w:r>
              <w:rPr>
                <w:rFonts w:ascii="Times New Roman"/>
                <w:sz w:val="21"/>
              </w:rPr>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2"/>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2"/>
              <w:jc w:val="right"/>
              <w:rPr>
                <w:rFonts w:ascii="Times New Roman" w:hAnsi="Times New Roman" w:cs="Times New Roman" w:eastAsia="Times New Roman" w:hint="default"/>
                <w:sz w:val="21"/>
                <w:szCs w:val="21"/>
              </w:rPr>
            </w:pPr>
            <w:r>
              <w:rPr>
                <w:rFonts w:ascii="Times New Roman"/>
                <w:spacing w:val="-1"/>
                <w:sz w:val="21"/>
              </w:rPr>
              <w:t>268,639.20</w:t>
            </w:r>
            <w:r>
              <w:rPr>
                <w:rFonts w:ascii="Times New Roman"/>
                <w:sz w:val="21"/>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2"/>
              <w:jc w:val="right"/>
              <w:rPr>
                <w:rFonts w:ascii="Times New Roman" w:hAnsi="Times New Roman" w:cs="Times New Roman" w:eastAsia="Times New Roman" w:hint="default"/>
                <w:sz w:val="21"/>
                <w:szCs w:val="21"/>
              </w:rPr>
            </w:pPr>
            <w:r>
              <w:rPr>
                <w:rFonts w:ascii="Times New Roman"/>
                <w:spacing w:val="-1"/>
                <w:sz w:val="21"/>
              </w:rPr>
              <w:t>582,294.99</w:t>
            </w:r>
            <w:r>
              <w:rPr>
                <w:rFonts w:ascii="Times New Roman"/>
                <w:sz w:val="21"/>
              </w:rPr>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1.92 </w:t>
            </w:r>
            <w:r>
              <w:rPr>
                <w:rFonts w:ascii="宋体" w:hAnsi="宋体" w:cs="宋体" w:eastAsia="宋体" w:hint="default"/>
                <w:sz w:val="21"/>
                <w:szCs w:val="21"/>
              </w:rPr>
              <w:t>年</w:t>
            </w:r>
            <w:r>
              <w:rPr>
                <w:rFonts w:ascii="Times New Roman" w:hAnsi="Times New Roman" w:cs="Times New Roman" w:eastAsia="Times New Roman" w:hint="default"/>
                <w:sz w:val="21"/>
                <w:szCs w:val="21"/>
              </w:rPr>
              <w:t>-2.92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r>
      <w:tr>
        <w:trPr>
          <w:trHeight w:val="325"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管理用软件</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pacing w:val="-1"/>
                <w:sz w:val="21"/>
              </w:rPr>
              <w:t>193,859.99</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pacing w:val="-1"/>
                <w:sz w:val="21"/>
              </w:rPr>
              <w:t>43,360.08</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pacing w:val="-1"/>
                <w:sz w:val="21"/>
              </w:rPr>
              <w:t>150,499.91</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3.92 </w:t>
            </w:r>
            <w:r>
              <w:rPr>
                <w:rFonts w:ascii="宋体" w:hAnsi="宋体" w:cs="宋体" w:eastAsia="宋体" w:hint="default"/>
                <w:sz w:val="21"/>
                <w:szCs w:val="21"/>
              </w:rPr>
              <w:t>年</w:t>
            </w:r>
            <w:r>
              <w:rPr>
                <w:rFonts w:ascii="Times New Roman" w:hAnsi="Times New Roman" w:cs="Times New Roman" w:eastAsia="Times New Roman" w:hint="default"/>
                <w:sz w:val="21"/>
                <w:szCs w:val="21"/>
              </w:rPr>
              <w:t>-3.75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p>
        </w:tc>
      </w:tr>
      <w:tr>
        <w:trPr>
          <w:trHeight w:val="325"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一期土地使用权</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Times New Roman" w:hAnsi="Times New Roman" w:cs="Times New Roman" w:eastAsia="Times New Roman" w:hint="default"/>
                <w:sz w:val="21"/>
                <w:szCs w:val="21"/>
              </w:rPr>
            </w:pPr>
            <w:r>
              <w:rPr>
                <w:rFonts w:ascii="Times New Roman"/>
                <w:spacing w:val="-1"/>
                <w:sz w:val="21"/>
              </w:rPr>
              <w:t>8,327,550.00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2"/>
              <w:jc w:val="right"/>
              <w:rPr>
                <w:rFonts w:ascii="Times New Roman" w:hAnsi="Times New Roman" w:cs="Times New Roman" w:eastAsia="Times New Roman" w:hint="default"/>
                <w:sz w:val="21"/>
                <w:szCs w:val="21"/>
              </w:rPr>
            </w:pPr>
            <w:r>
              <w:rPr>
                <w:rFonts w:ascii="Times New Roman"/>
                <w:spacing w:val="-1"/>
                <w:sz w:val="21"/>
              </w:rPr>
              <w:t>169,950.00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spacing w:val="-1"/>
                <w:sz w:val="21"/>
              </w:rPr>
              <w:t>8,157,600.00</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48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48.00 </w:t>
            </w:r>
            <w:r>
              <w:rPr>
                <w:rFonts w:ascii="宋体" w:hAnsi="宋体" w:cs="宋体" w:eastAsia="宋体" w:hint="default"/>
                <w:sz w:val="21"/>
                <w:szCs w:val="21"/>
              </w:rPr>
              <w:t>年</w:t>
            </w:r>
          </w:p>
        </w:tc>
      </w:tr>
      <w:tr>
        <w:trPr>
          <w:trHeight w:val="325"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二期土地使用权</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spacing w:val="-1"/>
                <w:sz w:val="21"/>
              </w:rPr>
              <w:t>5,489,900.00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pacing w:val="-1"/>
                <w:sz w:val="21"/>
              </w:rPr>
              <w:t>73,198.64</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8"/>
              <w:jc w:val="right"/>
              <w:rPr>
                <w:rFonts w:ascii="Times New Roman" w:hAnsi="Times New Roman" w:cs="Times New Roman" w:eastAsia="Times New Roman" w:hint="default"/>
                <w:sz w:val="21"/>
                <w:szCs w:val="21"/>
              </w:rPr>
            </w:pPr>
            <w:r>
              <w:rPr>
                <w:rFonts w:ascii="Times New Roman"/>
                <w:spacing w:val="-1"/>
                <w:sz w:val="21"/>
              </w:rPr>
              <w:t>5,416,701.36</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48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49.33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25"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spacing w:val="-1"/>
                <w:sz w:val="21"/>
              </w:rPr>
              <w:t>9,372,344.18</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Times New Roman" w:hAnsi="Times New Roman" w:cs="Times New Roman" w:eastAsia="Times New Roman" w:hint="default"/>
                <w:sz w:val="21"/>
                <w:szCs w:val="21"/>
              </w:rPr>
            </w:pPr>
            <w:r>
              <w:rPr>
                <w:rFonts w:ascii="Times New Roman"/>
                <w:spacing w:val="-1"/>
                <w:sz w:val="21"/>
              </w:rPr>
              <w:t>5,489,900.00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pacing w:val="-1"/>
                <w:sz w:val="21"/>
              </w:rPr>
              <w:t>555,147.92</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spacing w:val="-1"/>
                <w:sz w:val="21"/>
              </w:rPr>
              <w:t>14,307,096.26</w:t>
            </w:r>
          </w:p>
        </w:tc>
        <w:tc>
          <w:tcPr>
            <w:tcW w:w="17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331" w:lineRule="auto" w:before="35"/>
        <w:ind w:left="440" w:right="445" w:firstLine="419"/>
        <w:jc w:val="left"/>
      </w:pPr>
      <w:r>
        <w:rPr/>
        <w:t>5、无形资产年末数比年初数增加</w:t>
      </w:r>
      <w:r>
        <w:rPr>
          <w:spacing w:val="-57"/>
        </w:rPr>
        <w:t> </w:t>
      </w:r>
      <w:r>
        <w:rPr>
          <w:rFonts w:ascii="Times New Roman" w:hAnsi="Times New Roman" w:cs="Times New Roman" w:eastAsia="Times New Roman" w:hint="default"/>
        </w:rPr>
        <w:t>4,934,752.08</w:t>
      </w:r>
      <w:r>
        <w:rPr>
          <w:rFonts w:ascii="Times New Roman" w:hAnsi="Times New Roman" w:cs="Times New Roman" w:eastAsia="Times New Roman" w:hint="default"/>
          <w:spacing w:val="-4"/>
        </w:rPr>
        <w:t> </w:t>
      </w:r>
      <w:r>
        <w:rPr/>
        <w:t>元，增加比例为</w:t>
      </w:r>
      <w:r>
        <w:rPr>
          <w:spacing w:val="-57"/>
        </w:rPr>
        <w:t> </w:t>
      </w:r>
      <w:r>
        <w:rPr>
          <w:rFonts w:ascii="Times New Roman" w:hAnsi="Times New Roman" w:cs="Times New Roman" w:eastAsia="Times New Roman" w:hint="default"/>
        </w:rPr>
        <w:t>52.65%</w:t>
      </w:r>
      <w:r>
        <w:rPr/>
        <w:t>，变动原因为： 本期支付科学城生产基地项目二期土地出让金。</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tabs>
          <w:tab w:pos="2120" w:val="left" w:leader="none"/>
        </w:tabs>
        <w:spacing w:line="350" w:lineRule="auto" w:before="0"/>
        <w:ind w:left="860" w:right="6557" w:firstLine="2"/>
        <w:jc w:val="left"/>
        <w:rPr>
          <w:rFonts w:ascii="宋体" w:hAnsi="宋体" w:cs="宋体" w:eastAsia="宋体" w:hint="default"/>
          <w:sz w:val="21"/>
          <w:szCs w:val="21"/>
        </w:rPr>
      </w:pPr>
      <w:r>
        <w:rPr>
          <w:rFonts w:ascii="宋体" w:hAnsi="宋体" w:cs="宋体" w:eastAsia="宋体" w:hint="default"/>
          <w:b/>
          <w:bCs/>
          <w:w w:val="95"/>
          <w:sz w:val="21"/>
          <w:szCs w:val="21"/>
        </w:rPr>
        <w:t>（十一）</w:t>
        <w:tab/>
      </w:r>
      <w:r>
        <w:rPr>
          <w:rFonts w:ascii="宋体" w:hAnsi="宋体" w:cs="宋体" w:eastAsia="宋体" w:hint="default"/>
          <w:b/>
          <w:bCs/>
          <w:sz w:val="21"/>
          <w:szCs w:val="21"/>
        </w:rPr>
        <w:t>商誉</w:t>
      </w:r>
      <w:r>
        <w:rPr>
          <w:rFonts w:ascii="宋体" w:hAnsi="宋体" w:cs="宋体" w:eastAsia="宋体" w:hint="default"/>
          <w:b/>
          <w:bCs/>
          <w:spacing w:val="1"/>
          <w:w w:val="99"/>
          <w:sz w:val="21"/>
          <w:szCs w:val="21"/>
        </w:rPr>
        <w:t> </w:t>
      </w:r>
      <w:r>
        <w:rPr>
          <w:rFonts w:ascii="宋体" w:hAnsi="宋体" w:cs="宋体" w:eastAsia="宋体" w:hint="default"/>
          <w:sz w:val="21"/>
          <w:szCs w:val="21"/>
        </w:rPr>
        <w:t>1、商誉明细情况：</w:t>
      </w:r>
    </w:p>
    <w:p>
      <w:pPr>
        <w:spacing w:line="240" w:lineRule="auto" w:before="12"/>
        <w:rPr>
          <w:rFonts w:ascii="宋体" w:hAnsi="宋体" w:cs="宋体" w:eastAsia="宋体" w:hint="default"/>
          <w:sz w:val="6"/>
          <w:szCs w:val="6"/>
        </w:rPr>
      </w:pPr>
    </w:p>
    <w:tbl>
      <w:tblPr>
        <w:tblW w:w="0" w:type="auto"/>
        <w:jc w:val="left"/>
        <w:tblInd w:w="274" w:type="dxa"/>
        <w:tblLayout w:type="fixed"/>
        <w:tblCellMar>
          <w:top w:w="0" w:type="dxa"/>
          <w:left w:w="0" w:type="dxa"/>
          <w:bottom w:w="0" w:type="dxa"/>
          <w:right w:w="0" w:type="dxa"/>
        </w:tblCellMar>
        <w:tblLook w:val="01E0"/>
      </w:tblPr>
      <w:tblGrid>
        <w:gridCol w:w="1994"/>
        <w:gridCol w:w="1246"/>
        <w:gridCol w:w="928"/>
        <w:gridCol w:w="1106"/>
        <w:gridCol w:w="1026"/>
        <w:gridCol w:w="1172"/>
        <w:gridCol w:w="1154"/>
      </w:tblGrid>
      <w:tr>
        <w:trPr>
          <w:trHeight w:val="634"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被投资单位名称</w:t>
            </w:r>
            <w:r>
              <w:rPr>
                <w:rFonts w:ascii="宋体" w:hAnsi="宋体" w:cs="宋体" w:eastAsia="宋体" w:hint="default"/>
                <w:sz w:val="21"/>
                <w:szCs w:val="21"/>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初始金额</w:t>
            </w:r>
            <w:r>
              <w:rPr>
                <w:rFonts w:ascii="宋体" w:hAnsi="宋体" w:cs="宋体" w:eastAsia="宋体" w:hint="default"/>
                <w:sz w:val="21"/>
                <w:szCs w:val="21"/>
              </w:rPr>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6" w:right="0"/>
              <w:jc w:val="left"/>
              <w:rPr>
                <w:rFonts w:ascii="宋体" w:hAnsi="宋体" w:cs="宋体" w:eastAsia="宋体" w:hint="default"/>
                <w:sz w:val="21"/>
                <w:szCs w:val="21"/>
              </w:rPr>
            </w:pPr>
            <w:r>
              <w:rPr>
                <w:rFonts w:ascii="宋体" w:hAnsi="宋体" w:cs="宋体" w:eastAsia="宋体" w:hint="default"/>
                <w:b/>
                <w:bCs/>
                <w:sz w:val="21"/>
                <w:szCs w:val="21"/>
              </w:rPr>
              <w:t>形成来源</w:t>
            </w:r>
            <w:r>
              <w:rPr>
                <w:rFonts w:ascii="宋体" w:hAnsi="宋体" w:cs="宋体" w:eastAsia="宋体" w:hint="default"/>
                <w:sz w:val="21"/>
                <w:szCs w:val="21"/>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85" w:right="0"/>
              <w:jc w:val="left"/>
              <w:rPr>
                <w:rFonts w:ascii="宋体" w:hAnsi="宋体" w:cs="宋体" w:eastAsia="宋体" w:hint="default"/>
                <w:sz w:val="21"/>
                <w:szCs w:val="21"/>
              </w:rPr>
            </w:pPr>
            <w:r>
              <w:rPr>
                <w:rFonts w:ascii="宋体" w:hAnsi="宋体" w:cs="宋体" w:eastAsia="宋体" w:hint="default"/>
                <w:b/>
                <w:bCs/>
                <w:sz w:val="21"/>
                <w:szCs w:val="21"/>
              </w:rPr>
              <w:t>本年变动</w:t>
            </w:r>
            <w:r>
              <w:rPr>
                <w:rFonts w:ascii="宋体" w:hAnsi="宋体" w:cs="宋体" w:eastAsia="宋体" w:hint="default"/>
                <w:sz w:val="21"/>
                <w:szCs w:val="21"/>
              </w:rPr>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年末余额</w:t>
            </w:r>
            <w:r>
              <w:rPr>
                <w:rFonts w:ascii="宋体" w:hAnsi="宋体" w:cs="宋体" w:eastAsia="宋体" w:hint="default"/>
                <w:sz w:val="21"/>
                <w:szCs w:val="21"/>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计提的减值</w:t>
            </w:r>
            <w:r>
              <w:rPr>
                <w:rFonts w:ascii="宋体" w:hAnsi="宋体" w:cs="宋体" w:eastAsia="宋体" w:hint="default"/>
                <w:sz w:val="21"/>
                <w:szCs w:val="21"/>
              </w:rPr>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b/>
                <w:bCs/>
                <w:sz w:val="21"/>
                <w:szCs w:val="21"/>
              </w:rPr>
              <w:t>准备</w:t>
            </w:r>
            <w:r>
              <w:rPr>
                <w:rFonts w:ascii="宋体" w:hAnsi="宋体" w:cs="宋体" w:eastAsia="宋体" w:hint="default"/>
                <w:sz w:val="21"/>
                <w:szCs w:val="21"/>
              </w:rPr>
            </w:r>
          </w:p>
        </w:tc>
      </w:tr>
      <w:tr>
        <w:trPr>
          <w:trHeight w:val="635"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深圳广电银通金融电</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子科技有限公司</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946,852.52</w:t>
            </w:r>
          </w:p>
        </w:tc>
        <w:tc>
          <w:tcPr>
            <w:tcW w:w="928"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946,852.52</w:t>
            </w:r>
          </w:p>
        </w:tc>
        <w:tc>
          <w:tcPr>
            <w:tcW w:w="1026"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946,852.52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0.00</w:t>
            </w:r>
          </w:p>
        </w:tc>
      </w:tr>
      <w:tr>
        <w:trPr>
          <w:trHeight w:val="611"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
              <w:jc w:val="center"/>
              <w:rPr>
                <w:rFonts w:ascii="Times New Roman" w:hAnsi="Times New Roman" w:cs="Times New Roman" w:eastAsia="Times New Roman" w:hint="default"/>
                <w:sz w:val="21"/>
                <w:szCs w:val="21"/>
              </w:rPr>
            </w:pPr>
            <w:r>
              <w:rPr>
                <w:rFonts w:ascii="Times New Roman"/>
                <w:sz w:val="21"/>
              </w:rPr>
              <w:t>946,852.52</w:t>
            </w:r>
          </w:p>
        </w:tc>
        <w:tc>
          <w:tcPr>
            <w:tcW w:w="928"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0"/>
              <w:jc w:val="center"/>
              <w:rPr>
                <w:rFonts w:ascii="Times New Roman" w:hAnsi="Times New Roman" w:cs="Times New Roman" w:eastAsia="Times New Roman" w:hint="default"/>
                <w:sz w:val="21"/>
                <w:szCs w:val="21"/>
              </w:rPr>
            </w:pPr>
            <w:r>
              <w:rPr>
                <w:rFonts w:ascii="Times New Roman"/>
                <w:sz w:val="21"/>
              </w:rPr>
              <w:t>946,852.52</w:t>
            </w:r>
          </w:p>
        </w:tc>
        <w:tc>
          <w:tcPr>
            <w:tcW w:w="1026"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3"/>
              <w:jc w:val="center"/>
              <w:rPr>
                <w:rFonts w:ascii="Times New Roman" w:hAnsi="Times New Roman" w:cs="Times New Roman" w:eastAsia="Times New Roman" w:hint="default"/>
                <w:sz w:val="21"/>
                <w:szCs w:val="21"/>
              </w:rPr>
            </w:pPr>
            <w:r>
              <w:rPr>
                <w:rFonts w:ascii="Times New Roman"/>
                <w:sz w:val="21"/>
              </w:rPr>
              <w:t>946,852.52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3"/>
              <w:jc w:val="center"/>
              <w:rPr>
                <w:rFonts w:ascii="Times New Roman" w:hAnsi="Times New Roman" w:cs="Times New Roman" w:eastAsia="Times New Roman" w:hint="default"/>
                <w:sz w:val="21"/>
                <w:szCs w:val="21"/>
              </w:rPr>
            </w:pPr>
            <w:r>
              <w:rPr>
                <w:rFonts w:ascii="Times New Roman"/>
                <w:sz w:val="21"/>
              </w:rPr>
              <w:t>0.00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before="35"/>
        <w:ind w:left="860" w:right="449"/>
        <w:jc w:val="left"/>
      </w:pPr>
      <w:r>
        <w:rPr/>
        <w:t>2、商誉的来源：</w:t>
      </w:r>
    </w:p>
    <w:p>
      <w:pPr>
        <w:pStyle w:val="BodyText"/>
        <w:spacing w:line="350" w:lineRule="auto" w:before="126"/>
        <w:ind w:left="440" w:right="454" w:firstLine="420"/>
        <w:jc w:val="both"/>
      </w:pPr>
      <w:r>
        <w:rPr/>
        <w:t>2006</w:t>
      </w:r>
      <w:r>
        <w:rPr>
          <w:spacing w:val="-32"/>
        </w:rPr>
        <w:t> </w:t>
      </w:r>
      <w:r>
        <w:rPr/>
        <w:t>年</w:t>
      </w:r>
      <w:r>
        <w:rPr>
          <w:spacing w:val="-32"/>
        </w:rPr>
        <w:t> </w:t>
      </w:r>
      <w:r>
        <w:rPr/>
        <w:t>3</w:t>
      </w:r>
      <w:r>
        <w:rPr>
          <w:spacing w:val="-32"/>
        </w:rPr>
        <w:t> </w:t>
      </w:r>
      <w:r>
        <w:rPr/>
        <w:t>月，本公司收购深圳广电银通金融电子科技有限公司国外投资方科杰控股有</w:t>
      </w:r>
      <w:r>
        <w:rPr/>
        <w:t> 限公司（Tech Elite Holdings</w:t>
      </w:r>
      <w:r>
        <w:rPr>
          <w:spacing w:val="-4"/>
        </w:rPr>
        <w:t> </w:t>
      </w:r>
      <w:r>
        <w:rPr/>
        <w:t>Limited）拥有的全部股权，股权变更后持有深圳广电银通</w:t>
      </w:r>
      <w:r>
        <w:rPr/>
        <w:t> 金融电子科技有限公司</w:t>
      </w:r>
      <w:r>
        <w:rPr>
          <w:spacing w:val="-51"/>
        </w:rPr>
        <w:t> </w:t>
      </w:r>
      <w:r>
        <w:rPr>
          <w:spacing w:val="-6"/>
        </w:rPr>
        <w:t>75%股权；2006</w:t>
      </w:r>
      <w:r>
        <w:rPr>
          <w:spacing w:val="-50"/>
        </w:rPr>
        <w:t> </w:t>
      </w:r>
      <w:r>
        <w:rPr/>
        <w:t>年</w:t>
      </w:r>
      <w:r>
        <w:rPr>
          <w:spacing w:val="-52"/>
        </w:rPr>
        <w:t> </w:t>
      </w:r>
      <w:r>
        <w:rPr/>
        <w:t>5</w:t>
      </w:r>
      <w:r>
        <w:rPr>
          <w:spacing w:val="-50"/>
        </w:rPr>
        <w:t> </w:t>
      </w:r>
      <w:r>
        <w:rPr>
          <w:spacing w:val="-4"/>
        </w:rPr>
        <w:t>月，本公司收购深圳广电银通金融电子科技有限</w:t>
      </w:r>
      <w:r>
        <w:rPr>
          <w:spacing w:val="-1"/>
        </w:rPr>
        <w:t> </w:t>
      </w:r>
      <w:r>
        <w:rPr>
          <w:spacing w:val="-3"/>
        </w:rPr>
        <w:t>公司投资方广州无线电集团有限公司拥有的全部股权，股权变更后持有深圳广电银通金融电</w:t>
      </w:r>
      <w:r>
        <w:rPr>
          <w:spacing w:val="-79"/>
        </w:rPr>
        <w:t> </w:t>
      </w:r>
      <w:r>
        <w:rPr>
          <w:spacing w:val="-79"/>
        </w:rPr>
      </w:r>
      <w:r>
        <w:rPr/>
        <w:t>子科技有限公司</w:t>
      </w:r>
      <w:r>
        <w:rPr>
          <w:spacing w:val="4"/>
        </w:rPr>
        <w:t> </w:t>
      </w:r>
      <w:r>
        <w:rPr/>
        <w:t>100%股权。上述股权收购构成了非同一控制下的企业合并，本公司合并成</w:t>
      </w:r>
      <w:r>
        <w:rPr/>
        <w:t> </w:t>
      </w:r>
      <w:r>
        <w:rPr>
          <w:spacing w:val="2"/>
        </w:rPr>
        <w:t>本大于合并中取得的深圳广电银通金融电子科技有限公司可辨认净资产公允价值份额的差</w:t>
      </w:r>
      <w:r>
        <w:rPr>
          <w:spacing w:val="-85"/>
        </w:rPr>
        <w:t> </w:t>
      </w:r>
      <w:r>
        <w:rPr>
          <w:spacing w:val="-85"/>
        </w:rPr>
      </w:r>
      <w:r>
        <w:rPr/>
        <w:t>额，确认为商誉。</w:t>
      </w:r>
    </w:p>
    <w:p>
      <w:pPr>
        <w:spacing w:after="0" w:line="350" w:lineRule="auto"/>
        <w:jc w:val="both"/>
        <w:sectPr>
          <w:pgSz w:w="11910" w:h="16840"/>
          <w:pgMar w:header="400" w:footer="982" w:top="1100" w:bottom="1180" w:left="1360" w:right="1340"/>
        </w:sectPr>
      </w:pPr>
    </w:p>
    <w:p>
      <w:pPr>
        <w:spacing w:line="240" w:lineRule="auto" w:before="12"/>
        <w:rPr>
          <w:rFonts w:ascii="宋体" w:hAnsi="宋体" w:cs="宋体" w:eastAsia="宋体" w:hint="default"/>
          <w:sz w:val="28"/>
          <w:szCs w:val="28"/>
        </w:rPr>
      </w:pPr>
    </w:p>
    <w:p>
      <w:pPr>
        <w:pStyle w:val="BodyText"/>
        <w:spacing w:line="240" w:lineRule="auto" w:before="35"/>
        <w:ind w:left="820" w:right="0"/>
        <w:jc w:val="left"/>
      </w:pPr>
      <w:r>
        <w:rPr/>
        <w:t>3、商誉的计算过程：</w:t>
      </w:r>
    </w:p>
    <w:p>
      <w:pPr>
        <w:spacing w:line="240" w:lineRule="auto" w:before="4"/>
        <w:rPr>
          <w:rFonts w:ascii="宋体" w:hAnsi="宋体" w:cs="宋体" w:eastAsia="宋体" w:hint="default"/>
          <w:sz w:val="14"/>
          <w:szCs w:val="14"/>
        </w:rPr>
      </w:pPr>
    </w:p>
    <w:tbl>
      <w:tblPr>
        <w:tblW w:w="0" w:type="auto"/>
        <w:jc w:val="left"/>
        <w:tblInd w:w="326" w:type="dxa"/>
        <w:tblLayout w:type="fixed"/>
        <w:tblCellMar>
          <w:top w:w="0" w:type="dxa"/>
          <w:left w:w="0" w:type="dxa"/>
          <w:bottom w:w="0" w:type="dxa"/>
          <w:right w:w="0" w:type="dxa"/>
        </w:tblCellMar>
        <w:tblLook w:val="01E0"/>
      </w:tblPr>
      <w:tblGrid>
        <w:gridCol w:w="4956"/>
        <w:gridCol w:w="1775"/>
        <w:gridCol w:w="1711"/>
      </w:tblGrid>
      <w:tr>
        <w:trPr>
          <w:trHeight w:val="325" w:hRule="exact"/>
        </w:trPr>
        <w:tc>
          <w:tcPr>
            <w:tcW w:w="4956"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1" w:lineRule="exact"/>
              <w:ind w:right="1"/>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32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2006</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月</w:t>
            </w:r>
            <w:r>
              <w:rPr>
                <w:rFonts w:ascii="宋体" w:hAnsi="宋体" w:cs="宋体" w:eastAsia="宋体" w:hint="default"/>
                <w:sz w:val="21"/>
                <w:szCs w:val="21"/>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9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2006</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5</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月</w:t>
            </w:r>
            <w:r>
              <w:rPr>
                <w:rFonts w:ascii="宋体" w:hAnsi="宋体" w:cs="宋体" w:eastAsia="宋体" w:hint="default"/>
                <w:sz w:val="21"/>
                <w:szCs w:val="21"/>
              </w:rPr>
            </w:r>
          </w:p>
        </w:tc>
      </w:tr>
      <w:tr>
        <w:trPr>
          <w:trHeight w:val="325" w:hRule="exact"/>
        </w:trPr>
        <w:tc>
          <w:tcPr>
            <w:tcW w:w="495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）合并成本</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pacing w:val="-1"/>
                <w:sz w:val="21"/>
              </w:rPr>
              <w:t>10,971,555.80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Times New Roman" w:hAnsi="Times New Roman" w:cs="Times New Roman" w:eastAsia="Times New Roman" w:hint="default"/>
                <w:sz w:val="21"/>
                <w:szCs w:val="21"/>
              </w:rPr>
            </w:pPr>
            <w:r>
              <w:rPr>
                <w:rFonts w:ascii="Times New Roman"/>
                <w:spacing w:val="-1"/>
                <w:sz w:val="21"/>
              </w:rPr>
              <w:t>11,070,019.38</w:t>
            </w:r>
          </w:p>
        </w:tc>
      </w:tr>
      <w:tr>
        <w:trPr>
          <w:trHeight w:val="325" w:hRule="exact"/>
        </w:trPr>
        <w:tc>
          <w:tcPr>
            <w:tcW w:w="495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）股权购买日被投资单位公允价值</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pacing w:val="-1"/>
                <w:sz w:val="21"/>
              </w:rPr>
              <w:t>31,033,498.79</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Times New Roman" w:hAnsi="Times New Roman" w:cs="Times New Roman" w:eastAsia="Times New Roman" w:hint="default"/>
                <w:sz w:val="21"/>
                <w:szCs w:val="21"/>
              </w:rPr>
            </w:pPr>
            <w:r>
              <w:rPr>
                <w:rFonts w:ascii="Times New Roman"/>
                <w:spacing w:val="-1"/>
                <w:sz w:val="21"/>
              </w:rPr>
              <w:t>31,207,467.66</w:t>
            </w:r>
          </w:p>
        </w:tc>
      </w:tr>
      <w:tr>
        <w:trPr>
          <w:trHeight w:val="325" w:hRule="exact"/>
        </w:trPr>
        <w:tc>
          <w:tcPr>
            <w:tcW w:w="495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）投资比例</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Times New Roman" w:hAnsi="Times New Roman" w:cs="Times New Roman" w:eastAsia="Times New Roman" w:hint="default"/>
                <w:sz w:val="21"/>
                <w:szCs w:val="21"/>
              </w:rPr>
            </w:pPr>
            <w:r>
              <w:rPr>
                <w:rFonts w:ascii="Times New Roman"/>
                <w:spacing w:val="-1"/>
                <w:sz w:val="21"/>
              </w:rPr>
              <w:t>34.23%</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spacing w:val="-1"/>
                <w:sz w:val="21"/>
              </w:rPr>
              <w:t>33.56%</w:t>
            </w:r>
          </w:p>
        </w:tc>
      </w:tr>
      <w:tr>
        <w:trPr>
          <w:trHeight w:val="325" w:hRule="exact"/>
        </w:trPr>
        <w:tc>
          <w:tcPr>
            <w:tcW w:w="495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2"/>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）按投资比例计算的应享有的份额</w:t>
            </w:r>
            <w:r>
              <w:rPr>
                <w:rFonts w:ascii="宋体" w:hAnsi="宋体" w:cs="宋体" w:eastAsia="宋体" w:hint="default"/>
                <w:spacing w:val="-20"/>
                <w:sz w:val="21"/>
                <w:szCs w:val="21"/>
              </w:rPr>
              <w:t> </w:t>
            </w:r>
            <w:r>
              <w:rPr>
                <w:rFonts w:ascii="Times New Roman" w:hAnsi="Times New Roman" w:cs="Times New Roman" w:eastAsia="Times New Roman" w:hint="default"/>
                <w:spacing w:val="-11"/>
                <w:sz w:val="21"/>
                <w:szCs w:val="21"/>
              </w:rPr>
              <w:t>=</w:t>
            </w:r>
            <w:r>
              <w:rPr>
                <w:rFonts w:ascii="宋体" w:hAnsi="宋体" w:cs="宋体" w:eastAsia="宋体" w:hint="default"/>
                <w:spacing w:val="-11"/>
                <w:sz w:val="21"/>
                <w:szCs w:val="21"/>
              </w:rPr>
              <w:t>（</w:t>
            </w:r>
            <w:r>
              <w:rPr>
                <w:rFonts w:ascii="Times New Roman" w:hAnsi="Times New Roman" w:cs="Times New Roman" w:eastAsia="Times New Roman" w:hint="default"/>
                <w:spacing w:val="-11"/>
                <w:sz w:val="21"/>
                <w:szCs w:val="21"/>
              </w:rPr>
              <w:t>2</w:t>
            </w:r>
            <w:r>
              <w:rPr>
                <w:rFonts w:ascii="宋体" w:hAnsi="宋体" w:cs="宋体" w:eastAsia="宋体" w:hint="default"/>
                <w:spacing w:val="-11"/>
                <w:sz w:val="21"/>
                <w:szCs w:val="21"/>
              </w:rPr>
              <w:t>）×（</w:t>
            </w:r>
            <w:r>
              <w:rPr>
                <w:rFonts w:ascii="Times New Roman" w:hAnsi="Times New Roman" w:cs="Times New Roman" w:eastAsia="Times New Roman" w:hint="default"/>
                <w:spacing w:val="-11"/>
                <w:sz w:val="21"/>
                <w:szCs w:val="21"/>
              </w:rPr>
              <w:t>3</w:t>
            </w:r>
            <w:r>
              <w:rPr>
                <w:rFonts w:ascii="宋体" w:hAnsi="宋体" w:cs="宋体" w:eastAsia="宋体" w:hint="default"/>
                <w:spacing w:val="-11"/>
                <w:sz w:val="21"/>
                <w:szCs w:val="21"/>
              </w:rPr>
              <w:t>）</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pacing w:val="-1"/>
                <w:sz w:val="21"/>
              </w:rPr>
              <w:t>10,621,496.52</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Times New Roman" w:hAnsi="Times New Roman" w:cs="Times New Roman" w:eastAsia="Times New Roman" w:hint="default"/>
                <w:sz w:val="21"/>
                <w:szCs w:val="21"/>
              </w:rPr>
            </w:pPr>
            <w:r>
              <w:rPr>
                <w:rFonts w:ascii="Times New Roman"/>
                <w:spacing w:val="-1"/>
                <w:sz w:val="21"/>
              </w:rPr>
              <w:t>10,473,226.14</w:t>
            </w:r>
          </w:p>
        </w:tc>
      </w:tr>
      <w:tr>
        <w:trPr>
          <w:trHeight w:val="325" w:hRule="exact"/>
        </w:trPr>
        <w:tc>
          <w:tcPr>
            <w:tcW w:w="495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）商誉初始金额＝（</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3"/>
              <w:jc w:val="right"/>
              <w:rPr>
                <w:rFonts w:ascii="Times New Roman" w:hAnsi="Times New Roman" w:cs="Times New Roman" w:eastAsia="Times New Roman" w:hint="default"/>
                <w:sz w:val="21"/>
                <w:szCs w:val="21"/>
              </w:rPr>
            </w:pPr>
            <w:r>
              <w:rPr>
                <w:rFonts w:ascii="Times New Roman"/>
                <w:spacing w:val="-1"/>
                <w:sz w:val="21"/>
              </w:rPr>
              <w:t>350,059.28</w:t>
            </w:r>
            <w:r>
              <w:rPr>
                <w:rFonts w:ascii="Times New Roman"/>
                <w:sz w:val="21"/>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2"/>
              <w:jc w:val="right"/>
              <w:rPr>
                <w:rFonts w:ascii="Times New Roman" w:hAnsi="Times New Roman" w:cs="Times New Roman" w:eastAsia="Times New Roman" w:hint="default"/>
                <w:sz w:val="21"/>
                <w:szCs w:val="21"/>
              </w:rPr>
            </w:pPr>
            <w:r>
              <w:rPr>
                <w:rFonts w:ascii="Times New Roman"/>
                <w:spacing w:val="-1"/>
                <w:sz w:val="21"/>
              </w:rPr>
              <w:t>596,793.24</w:t>
            </w:r>
            <w:r>
              <w:rPr>
                <w:rFonts w:ascii="Times New Roman"/>
                <w:sz w:val="21"/>
              </w:rPr>
            </w:r>
          </w:p>
        </w:tc>
      </w:tr>
    </w:tbl>
    <w:p>
      <w:pPr>
        <w:pStyle w:val="BodyText"/>
        <w:spacing w:line="240" w:lineRule="auto" w:before="93"/>
        <w:ind w:left="758" w:right="0"/>
        <w:jc w:val="left"/>
      </w:pPr>
      <w:r>
        <w:rPr/>
        <w:t>4、经测试，本期商誉不存在计提减值准备的情况。</w:t>
      </w:r>
    </w:p>
    <w:p>
      <w:pPr>
        <w:spacing w:line="240" w:lineRule="auto" w:before="0"/>
        <w:rPr>
          <w:rFonts w:ascii="宋体" w:hAnsi="宋体" w:cs="宋体" w:eastAsia="宋体" w:hint="default"/>
          <w:sz w:val="20"/>
          <w:szCs w:val="20"/>
        </w:rPr>
      </w:pPr>
    </w:p>
    <w:p>
      <w:pPr>
        <w:spacing w:line="348" w:lineRule="auto" w:before="135"/>
        <w:ind w:left="758" w:right="5721" w:firstLine="61"/>
        <w:jc w:val="left"/>
        <w:rPr>
          <w:rFonts w:ascii="宋体" w:hAnsi="宋体" w:cs="宋体" w:eastAsia="宋体" w:hint="default"/>
          <w:sz w:val="21"/>
          <w:szCs w:val="21"/>
        </w:rPr>
      </w:pPr>
      <w:r>
        <w:rPr>
          <w:rFonts w:ascii="宋体" w:hAnsi="宋体" w:cs="宋体" w:eastAsia="宋体" w:hint="default"/>
          <w:b/>
          <w:bCs/>
          <w:sz w:val="21"/>
          <w:szCs w:val="21"/>
        </w:rPr>
        <w:t>（十二）</w:t>
      </w:r>
      <w:r>
        <w:rPr>
          <w:rFonts w:ascii="宋体" w:hAnsi="宋体" w:cs="宋体" w:eastAsia="宋体" w:hint="default"/>
          <w:b/>
          <w:bCs/>
          <w:spacing w:val="68"/>
          <w:sz w:val="21"/>
          <w:szCs w:val="21"/>
        </w:rPr>
        <w:t> </w:t>
      </w:r>
      <w:r>
        <w:rPr>
          <w:rFonts w:ascii="宋体" w:hAnsi="宋体" w:cs="宋体" w:eastAsia="宋体" w:hint="default"/>
          <w:b/>
          <w:bCs/>
          <w:sz w:val="21"/>
          <w:szCs w:val="21"/>
        </w:rPr>
        <w:t>长期待摊费用</w:t>
      </w:r>
      <w:r>
        <w:rPr>
          <w:rFonts w:ascii="宋体" w:hAnsi="宋体" w:cs="宋体" w:eastAsia="宋体" w:hint="default"/>
          <w:b/>
          <w:bCs/>
          <w:w w:val="99"/>
          <w:sz w:val="21"/>
          <w:szCs w:val="21"/>
        </w:rPr>
        <w:t> </w:t>
      </w:r>
      <w:r>
        <w:rPr>
          <w:rFonts w:ascii="宋体" w:hAnsi="宋体" w:cs="宋体" w:eastAsia="宋体" w:hint="default"/>
          <w:sz w:val="21"/>
          <w:szCs w:val="21"/>
        </w:rPr>
        <w:t>1、长期待摊费用明细情况：</w:t>
      </w:r>
    </w:p>
    <w:p>
      <w:pPr>
        <w:spacing w:line="240" w:lineRule="auto" w:before="3"/>
        <w:rPr>
          <w:rFonts w:ascii="宋体" w:hAnsi="宋体" w:cs="宋体" w:eastAsia="宋体" w:hint="default"/>
          <w:sz w:val="7"/>
          <w:szCs w:val="7"/>
        </w:rPr>
      </w:pPr>
    </w:p>
    <w:tbl>
      <w:tblPr>
        <w:tblW w:w="0" w:type="auto"/>
        <w:jc w:val="left"/>
        <w:tblInd w:w="103" w:type="dxa"/>
        <w:tblLayout w:type="fixed"/>
        <w:tblCellMar>
          <w:top w:w="0" w:type="dxa"/>
          <w:left w:w="0" w:type="dxa"/>
          <w:bottom w:w="0" w:type="dxa"/>
          <w:right w:w="0" w:type="dxa"/>
        </w:tblCellMar>
        <w:tblLook w:val="01E0"/>
      </w:tblPr>
      <w:tblGrid>
        <w:gridCol w:w="1223"/>
        <w:gridCol w:w="1232"/>
        <w:gridCol w:w="982"/>
        <w:gridCol w:w="944"/>
        <w:gridCol w:w="1036"/>
        <w:gridCol w:w="1080"/>
        <w:gridCol w:w="1080"/>
        <w:gridCol w:w="1312"/>
      </w:tblGrid>
      <w:tr>
        <w:trPr>
          <w:trHeight w:val="403" w:hRule="exact"/>
        </w:trPr>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5"/>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b/>
                <w:bCs/>
                <w:sz w:val="18"/>
                <w:szCs w:val="18"/>
              </w:rPr>
              <w:t>原始发生额</w:t>
            </w:r>
            <w:r>
              <w:rPr>
                <w:rFonts w:ascii="宋体" w:hAnsi="宋体" w:cs="宋体" w:eastAsia="宋体" w:hint="default"/>
                <w:sz w:val="18"/>
                <w:szCs w:val="18"/>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b/>
                <w:bCs/>
                <w:sz w:val="18"/>
                <w:szCs w:val="18"/>
              </w:rPr>
              <w:t>年初数</w:t>
            </w:r>
            <w:r>
              <w:rPr>
                <w:rFonts w:ascii="宋体" w:hAnsi="宋体" w:cs="宋体" w:eastAsia="宋体" w:hint="default"/>
                <w:sz w:val="18"/>
                <w:szCs w:val="18"/>
              </w:rPr>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1" w:right="0"/>
              <w:jc w:val="left"/>
              <w:rPr>
                <w:rFonts w:ascii="宋体" w:hAnsi="宋体" w:cs="宋体" w:eastAsia="宋体" w:hint="default"/>
                <w:sz w:val="18"/>
                <w:szCs w:val="18"/>
              </w:rPr>
            </w:pPr>
            <w:r>
              <w:rPr>
                <w:rFonts w:ascii="宋体" w:hAnsi="宋体" w:cs="宋体" w:eastAsia="宋体" w:hint="default"/>
                <w:b/>
                <w:bCs/>
                <w:sz w:val="18"/>
                <w:szCs w:val="18"/>
              </w:rPr>
              <w:t>本年摊销</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宋体" w:hAnsi="宋体" w:cs="宋体" w:eastAsia="宋体" w:hint="default"/>
                <w:sz w:val="18"/>
                <w:szCs w:val="18"/>
              </w:rPr>
            </w:pPr>
            <w:r>
              <w:rPr>
                <w:rFonts w:ascii="宋体" w:hAnsi="宋体" w:cs="宋体" w:eastAsia="宋体" w:hint="default"/>
                <w:b/>
                <w:bCs/>
                <w:sz w:val="18"/>
                <w:szCs w:val="18"/>
              </w:rPr>
              <w:t>累计摊销</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2" w:right="0"/>
              <w:jc w:val="left"/>
              <w:rPr>
                <w:rFonts w:ascii="宋体" w:hAnsi="宋体" w:cs="宋体" w:eastAsia="宋体" w:hint="default"/>
                <w:sz w:val="18"/>
                <w:szCs w:val="18"/>
              </w:rPr>
            </w:pPr>
            <w:r>
              <w:rPr>
                <w:rFonts w:ascii="宋体" w:hAnsi="宋体" w:cs="宋体" w:eastAsia="宋体" w:hint="default"/>
                <w:b/>
                <w:bCs/>
                <w:sz w:val="18"/>
                <w:szCs w:val="18"/>
              </w:rPr>
              <w:t>年末数</w:t>
            </w:r>
            <w:r>
              <w:rPr>
                <w:rFonts w:ascii="宋体" w:hAnsi="宋体" w:cs="宋体" w:eastAsia="宋体" w:hint="default"/>
                <w:sz w:val="18"/>
                <w:szCs w:val="18"/>
              </w:rPr>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9" w:right="0"/>
              <w:jc w:val="left"/>
              <w:rPr>
                <w:rFonts w:ascii="宋体" w:hAnsi="宋体" w:cs="宋体" w:eastAsia="宋体" w:hint="default"/>
                <w:sz w:val="18"/>
                <w:szCs w:val="18"/>
              </w:rPr>
            </w:pPr>
            <w:r>
              <w:rPr>
                <w:rFonts w:ascii="宋体" w:hAnsi="宋体" w:cs="宋体" w:eastAsia="宋体" w:hint="default"/>
                <w:b/>
                <w:bCs/>
                <w:sz w:val="18"/>
                <w:szCs w:val="18"/>
              </w:rPr>
              <w:t>剩余摊销期限</w:t>
            </w:r>
            <w:r>
              <w:rPr>
                <w:rFonts w:ascii="宋体" w:hAnsi="宋体" w:cs="宋体" w:eastAsia="宋体" w:hint="default"/>
                <w:sz w:val="18"/>
                <w:szCs w:val="18"/>
              </w:rPr>
            </w:r>
          </w:p>
        </w:tc>
      </w:tr>
      <w:tr>
        <w:trPr>
          <w:trHeight w:val="635" w:hRule="exact"/>
        </w:trPr>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75"/>
              <w:jc w:val="left"/>
              <w:rPr>
                <w:rFonts w:ascii="宋体" w:hAnsi="宋体" w:cs="宋体" w:eastAsia="宋体" w:hint="default"/>
                <w:sz w:val="18"/>
                <w:szCs w:val="18"/>
              </w:rPr>
            </w:pPr>
            <w:r>
              <w:rPr>
                <w:rFonts w:ascii="宋体" w:hAnsi="宋体" w:cs="宋体" w:eastAsia="宋体" w:hint="default"/>
                <w:spacing w:val="20"/>
                <w:sz w:val="18"/>
                <w:szCs w:val="18"/>
              </w:rPr>
              <w:t>租赁固定资</w:t>
            </w:r>
            <w:r>
              <w:rPr>
                <w:rFonts w:ascii="宋体" w:hAnsi="宋体" w:cs="宋体" w:eastAsia="宋体" w:hint="default"/>
                <w:spacing w:val="-86"/>
                <w:sz w:val="18"/>
                <w:szCs w:val="18"/>
              </w:rPr>
              <w:t> </w:t>
            </w:r>
            <w:r>
              <w:rPr>
                <w:rFonts w:ascii="宋体" w:hAnsi="宋体" w:cs="宋体" w:eastAsia="宋体" w:hint="default"/>
                <w:sz w:val="18"/>
                <w:szCs w:val="18"/>
              </w:rPr>
              <w:t>产改良支出</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2,443,158.00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923,278.94</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65,449.00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297,540.78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1,751,970.84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691,187.16</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0.58 </w:t>
            </w:r>
            <w:r>
              <w:rPr>
                <w:rFonts w:ascii="宋体" w:hAnsi="宋体" w:cs="宋体" w:eastAsia="宋体" w:hint="default"/>
                <w:sz w:val="18"/>
                <w:szCs w:val="18"/>
              </w:rPr>
              <w:t>年</w:t>
            </w:r>
            <w:r>
              <w:rPr>
                <w:rFonts w:ascii="Times New Roman" w:hAnsi="Times New Roman" w:cs="Times New Roman" w:eastAsia="Times New Roman" w:hint="default"/>
                <w:sz w:val="18"/>
                <w:szCs w:val="18"/>
              </w:rPr>
              <w:t>-4.08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384" w:hRule="exact"/>
        </w:trPr>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模具款</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right"/>
              <w:rPr>
                <w:rFonts w:ascii="Times New Roman" w:hAnsi="Times New Roman" w:cs="Times New Roman" w:eastAsia="Times New Roman" w:hint="default"/>
                <w:sz w:val="18"/>
                <w:szCs w:val="18"/>
              </w:rPr>
            </w:pPr>
            <w:r>
              <w:rPr>
                <w:rFonts w:ascii="Times New Roman"/>
                <w:sz w:val="18"/>
              </w:rPr>
              <w:t>581,196.58</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58" w:right="0"/>
              <w:jc w:val="left"/>
              <w:rPr>
                <w:rFonts w:ascii="Times New Roman" w:hAnsi="Times New Roman" w:cs="Times New Roman" w:eastAsia="Times New Roman" w:hint="default"/>
                <w:sz w:val="18"/>
                <w:szCs w:val="18"/>
              </w:rPr>
            </w:pPr>
            <w:r>
              <w:rPr>
                <w:rFonts w:ascii="Times New Roman"/>
                <w:spacing w:val="-1"/>
                <w:sz w:val="18"/>
              </w:rPr>
              <w:t>58,119.65</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right"/>
              <w:rPr>
                <w:rFonts w:ascii="Times New Roman" w:hAnsi="Times New Roman" w:cs="Times New Roman" w:eastAsia="Times New Roman" w:hint="default"/>
                <w:sz w:val="18"/>
                <w:szCs w:val="18"/>
              </w:rPr>
            </w:pPr>
            <w:r>
              <w:rPr>
                <w:rFonts w:ascii="Times New Roman"/>
                <w:sz w:val="18"/>
              </w:rPr>
              <w:t>0.00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right"/>
              <w:rPr>
                <w:rFonts w:ascii="Times New Roman" w:hAnsi="Times New Roman" w:cs="Times New Roman" w:eastAsia="Times New Roman" w:hint="default"/>
                <w:sz w:val="18"/>
                <w:szCs w:val="18"/>
              </w:rPr>
            </w:pPr>
            <w:r>
              <w:rPr>
                <w:rFonts w:ascii="Times New Roman"/>
                <w:spacing w:val="-1"/>
                <w:sz w:val="18"/>
              </w:rPr>
              <w:t>58,119.65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right"/>
              <w:rPr>
                <w:rFonts w:ascii="Times New Roman" w:hAnsi="Times New Roman" w:cs="Times New Roman" w:eastAsia="Times New Roman" w:hint="default"/>
                <w:sz w:val="18"/>
                <w:szCs w:val="18"/>
              </w:rPr>
            </w:pPr>
            <w:r>
              <w:rPr>
                <w:rFonts w:ascii="Times New Roman"/>
                <w:sz w:val="18"/>
              </w:rPr>
              <w:t>581,196.58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right"/>
              <w:rPr>
                <w:rFonts w:ascii="Times New Roman" w:hAnsi="Times New Roman" w:cs="Times New Roman" w:eastAsia="Times New Roman" w:hint="default"/>
                <w:sz w:val="18"/>
                <w:szCs w:val="18"/>
              </w:rPr>
            </w:pPr>
            <w:r>
              <w:rPr>
                <w:rFonts w:ascii="Times New Roman"/>
                <w:sz w:val="18"/>
              </w:rPr>
              <w:t>0.00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86" w:hRule="exact"/>
        </w:trPr>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35"/>
              <w:jc w:val="right"/>
              <w:rPr>
                <w:rFonts w:ascii="宋体" w:hAnsi="宋体" w:cs="宋体" w:eastAsia="宋体" w:hint="default"/>
                <w:sz w:val="18"/>
                <w:szCs w:val="18"/>
              </w:rPr>
            </w:pPr>
            <w:r>
              <w:rPr>
                <w:rFonts w:ascii="宋体" w:hAnsi="宋体" w:cs="宋体" w:eastAsia="宋体" w:hint="default"/>
                <w:sz w:val="18"/>
                <w:szCs w:val="18"/>
              </w:rPr>
              <w:t>合  计</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right"/>
              <w:rPr>
                <w:rFonts w:ascii="Times New Roman" w:hAnsi="Times New Roman" w:cs="Times New Roman" w:eastAsia="Times New Roman" w:hint="default"/>
                <w:sz w:val="18"/>
                <w:szCs w:val="18"/>
              </w:rPr>
            </w:pPr>
            <w:r>
              <w:rPr>
                <w:rFonts w:ascii="Times New Roman"/>
                <w:spacing w:val="-1"/>
                <w:sz w:val="18"/>
              </w:rPr>
              <w:t>3,024,354.58</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60" w:right="0"/>
              <w:jc w:val="left"/>
              <w:rPr>
                <w:rFonts w:ascii="Times New Roman" w:hAnsi="Times New Roman" w:cs="Times New Roman" w:eastAsia="Times New Roman" w:hint="default"/>
                <w:sz w:val="18"/>
                <w:szCs w:val="18"/>
              </w:rPr>
            </w:pPr>
            <w:r>
              <w:rPr>
                <w:rFonts w:ascii="Times New Roman"/>
                <w:sz w:val="18"/>
              </w:rPr>
              <w:t>981,398.59</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right"/>
              <w:rPr>
                <w:rFonts w:ascii="Times New Roman" w:hAnsi="Times New Roman" w:cs="Times New Roman" w:eastAsia="Times New Roman" w:hint="default"/>
                <w:sz w:val="18"/>
                <w:szCs w:val="18"/>
              </w:rPr>
            </w:pPr>
            <w:r>
              <w:rPr>
                <w:rFonts w:ascii="Times New Roman"/>
                <w:sz w:val="18"/>
              </w:rPr>
              <w:t>65,449.00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right"/>
              <w:rPr>
                <w:rFonts w:ascii="Times New Roman" w:hAnsi="Times New Roman" w:cs="Times New Roman" w:eastAsia="Times New Roman" w:hint="default"/>
                <w:sz w:val="18"/>
                <w:szCs w:val="18"/>
              </w:rPr>
            </w:pPr>
            <w:r>
              <w:rPr>
                <w:rFonts w:ascii="Times New Roman"/>
                <w:sz w:val="18"/>
              </w:rPr>
              <w:t>355,660.43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right"/>
              <w:rPr>
                <w:rFonts w:ascii="Times New Roman" w:hAnsi="Times New Roman" w:cs="Times New Roman" w:eastAsia="Times New Roman" w:hint="default"/>
                <w:sz w:val="18"/>
                <w:szCs w:val="18"/>
              </w:rPr>
            </w:pPr>
            <w:r>
              <w:rPr>
                <w:rFonts w:ascii="Times New Roman"/>
                <w:spacing w:val="-1"/>
                <w:sz w:val="18"/>
              </w:rPr>
              <w:t>2,333,167.42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right"/>
              <w:rPr>
                <w:rFonts w:ascii="Times New Roman" w:hAnsi="Times New Roman" w:cs="Times New Roman" w:eastAsia="Times New Roman" w:hint="default"/>
                <w:sz w:val="18"/>
                <w:szCs w:val="18"/>
              </w:rPr>
            </w:pPr>
            <w:r>
              <w:rPr>
                <w:rFonts w:ascii="Times New Roman"/>
                <w:sz w:val="18"/>
              </w:rPr>
              <w:t>691,187.16</w:t>
            </w:r>
          </w:p>
        </w:tc>
        <w:tc>
          <w:tcPr>
            <w:tcW w:w="131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22"/>
          <w:szCs w:val="22"/>
        </w:rPr>
      </w:pPr>
    </w:p>
    <w:p>
      <w:pPr>
        <w:spacing w:line="348" w:lineRule="auto" w:before="35"/>
        <w:ind w:left="758" w:right="5721" w:firstLine="61"/>
        <w:jc w:val="left"/>
        <w:rPr>
          <w:rFonts w:ascii="宋体" w:hAnsi="宋体" w:cs="宋体" w:eastAsia="宋体" w:hint="default"/>
          <w:sz w:val="21"/>
          <w:szCs w:val="21"/>
        </w:rPr>
      </w:pPr>
      <w:r>
        <w:rPr>
          <w:rFonts w:ascii="宋体" w:hAnsi="宋体" w:cs="宋体" w:eastAsia="宋体" w:hint="default"/>
          <w:b/>
          <w:bCs/>
          <w:sz w:val="21"/>
          <w:szCs w:val="21"/>
        </w:rPr>
        <w:t>（十三）</w:t>
      </w:r>
      <w:r>
        <w:rPr>
          <w:rFonts w:ascii="宋体" w:hAnsi="宋体" w:cs="宋体" w:eastAsia="宋体" w:hint="default"/>
          <w:b/>
          <w:bCs/>
          <w:spacing w:val="67"/>
          <w:sz w:val="21"/>
          <w:szCs w:val="21"/>
        </w:rPr>
        <w:t> </w:t>
      </w:r>
      <w:r>
        <w:rPr>
          <w:rFonts w:ascii="宋体" w:hAnsi="宋体" w:cs="宋体" w:eastAsia="宋体" w:hint="default"/>
          <w:b/>
          <w:bCs/>
          <w:sz w:val="21"/>
          <w:szCs w:val="21"/>
        </w:rPr>
        <w:t>递延所得税资产</w:t>
      </w:r>
      <w:r>
        <w:rPr>
          <w:rFonts w:ascii="宋体" w:hAnsi="宋体" w:cs="宋体" w:eastAsia="宋体" w:hint="default"/>
          <w:b/>
          <w:bCs/>
          <w:spacing w:val="1"/>
          <w:w w:val="99"/>
          <w:sz w:val="21"/>
          <w:szCs w:val="21"/>
        </w:rPr>
        <w:t> </w:t>
      </w:r>
      <w:r>
        <w:rPr>
          <w:rFonts w:ascii="宋体" w:hAnsi="宋体" w:cs="宋体" w:eastAsia="宋体" w:hint="default"/>
          <w:sz w:val="21"/>
          <w:szCs w:val="21"/>
        </w:rPr>
        <w:t>1、已确认的递延所得税资产</w:t>
      </w:r>
    </w:p>
    <w:p>
      <w:pPr>
        <w:spacing w:line="240" w:lineRule="auto" w:before="3"/>
        <w:rPr>
          <w:rFonts w:ascii="宋体" w:hAnsi="宋体" w:cs="宋体" w:eastAsia="宋体" w:hint="default"/>
          <w:sz w:val="7"/>
          <w:szCs w:val="7"/>
        </w:rPr>
      </w:pPr>
    </w:p>
    <w:tbl>
      <w:tblPr>
        <w:tblW w:w="0" w:type="auto"/>
        <w:jc w:val="left"/>
        <w:tblInd w:w="698" w:type="dxa"/>
        <w:tblLayout w:type="fixed"/>
        <w:tblCellMar>
          <w:top w:w="0" w:type="dxa"/>
          <w:left w:w="0" w:type="dxa"/>
          <w:bottom w:w="0" w:type="dxa"/>
          <w:right w:w="0" w:type="dxa"/>
        </w:tblCellMar>
        <w:tblLook w:val="01E0"/>
      </w:tblPr>
      <w:tblGrid>
        <w:gridCol w:w="3116"/>
        <w:gridCol w:w="2291"/>
        <w:gridCol w:w="2292"/>
      </w:tblGrid>
      <w:tr>
        <w:trPr>
          <w:trHeight w:val="322"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年初数</w:t>
            </w:r>
            <w:r>
              <w:rPr>
                <w:rFonts w:ascii="宋体" w:hAnsi="宋体" w:cs="宋体" w:eastAsia="宋体" w:hint="default"/>
                <w:sz w:val="21"/>
                <w:szCs w:val="21"/>
              </w:rPr>
            </w:r>
          </w:p>
        </w:tc>
      </w:tr>
      <w:tr>
        <w:trPr>
          <w:trHeight w:val="322"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332,291.71</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275,102.72</w:t>
            </w:r>
          </w:p>
        </w:tc>
      </w:tr>
      <w:tr>
        <w:trPr>
          <w:trHeight w:val="323"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42,059.70</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46,518.43</w:t>
            </w:r>
          </w:p>
        </w:tc>
      </w:tr>
      <w:tr>
        <w:trPr>
          <w:trHeight w:val="322"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应付职工薪酬</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4,190,094.80</w:t>
            </w:r>
            <w:r>
              <w:rPr>
                <w:rFonts w:ascii="Times New Roman"/>
                <w:sz w:val="21"/>
              </w:rPr>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5,624,392.00</w:t>
            </w:r>
          </w:p>
        </w:tc>
      </w:tr>
      <w:tr>
        <w:trPr>
          <w:trHeight w:val="322"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预提费用</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1,538,574.45</w:t>
            </w:r>
            <w:r>
              <w:rPr>
                <w:rFonts w:ascii="Times New Roman"/>
                <w:sz w:val="21"/>
              </w:rPr>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843,395.00</w:t>
            </w:r>
            <w:r>
              <w:rPr>
                <w:rFonts w:ascii="Times New Roman"/>
                <w:sz w:val="21"/>
              </w:rPr>
            </w:r>
          </w:p>
        </w:tc>
      </w:tr>
      <w:tr>
        <w:trPr>
          <w:trHeight w:val="323"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开办费</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5,494.93</w:t>
            </w:r>
            <w:r>
              <w:rPr>
                <w:rFonts w:ascii="Times New Roman"/>
                <w:sz w:val="21"/>
              </w:rPr>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16,485.38</w:t>
            </w:r>
            <w:r>
              <w:rPr>
                <w:rFonts w:ascii="Times New Roman"/>
                <w:sz w:val="21"/>
              </w:rPr>
            </w:r>
          </w:p>
        </w:tc>
      </w:tr>
      <w:tr>
        <w:trPr>
          <w:trHeight w:val="322"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递延收益</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798,589.53</w:t>
            </w:r>
            <w:r>
              <w:rPr>
                <w:rFonts w:ascii="Times New Roman"/>
                <w:sz w:val="21"/>
              </w:rPr>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r>
      <w:tr>
        <w:trPr>
          <w:trHeight w:val="322"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未实现内部损益</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390,845.77</w:t>
            </w:r>
            <w:r>
              <w:rPr>
                <w:rFonts w:ascii="Times New Roman"/>
                <w:sz w:val="21"/>
              </w:rPr>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441,172.44</w:t>
            </w:r>
            <w:r>
              <w:rPr>
                <w:rFonts w:ascii="Times New Roman"/>
                <w:sz w:val="21"/>
              </w:rPr>
            </w:r>
          </w:p>
        </w:tc>
      </w:tr>
      <w:tr>
        <w:trPr>
          <w:trHeight w:val="323"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7,297,950.89</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7,247,065.97</w:t>
            </w:r>
          </w:p>
        </w:tc>
      </w:tr>
    </w:tbl>
    <w:p>
      <w:pPr>
        <w:spacing w:line="240" w:lineRule="auto" w:before="3"/>
        <w:rPr>
          <w:rFonts w:ascii="宋体" w:hAnsi="宋体" w:cs="宋体" w:eastAsia="宋体" w:hint="default"/>
          <w:sz w:val="25"/>
          <w:szCs w:val="25"/>
        </w:rPr>
      </w:pPr>
    </w:p>
    <w:p>
      <w:pPr>
        <w:pStyle w:val="Heading4"/>
        <w:spacing w:line="240" w:lineRule="auto" w:before="35"/>
        <w:ind w:left="820" w:right="0"/>
        <w:jc w:val="left"/>
        <w:rPr>
          <w:b w:val="0"/>
          <w:bCs w:val="0"/>
        </w:rPr>
      </w:pPr>
      <w:r>
        <w:rPr/>
        <w:t>（十四）</w:t>
      </w:r>
      <w:r>
        <w:rPr>
          <w:spacing w:val="65"/>
        </w:rPr>
        <w:t> </w:t>
      </w:r>
      <w:r>
        <w:rPr/>
        <w:t>资产减值准备</w:t>
      </w:r>
      <w:r>
        <w:rPr>
          <w:b w:val="0"/>
          <w:bCs w:val="0"/>
        </w:rPr>
      </w:r>
    </w:p>
    <w:p>
      <w:pPr>
        <w:spacing w:line="240" w:lineRule="auto" w:before="4"/>
        <w:rPr>
          <w:rFonts w:ascii="宋体" w:hAnsi="宋体" w:cs="宋体" w:eastAsia="宋体" w:hint="default"/>
          <w:b/>
          <w:bCs/>
          <w:sz w:val="14"/>
          <w:szCs w:val="14"/>
        </w:rPr>
      </w:pPr>
    </w:p>
    <w:tbl>
      <w:tblPr>
        <w:tblW w:w="0" w:type="auto"/>
        <w:jc w:val="left"/>
        <w:tblInd w:w="175" w:type="dxa"/>
        <w:tblLayout w:type="fixed"/>
        <w:tblCellMar>
          <w:top w:w="0" w:type="dxa"/>
          <w:left w:w="0" w:type="dxa"/>
          <w:bottom w:w="0" w:type="dxa"/>
          <w:right w:w="0" w:type="dxa"/>
        </w:tblCellMar>
        <w:tblLook w:val="01E0"/>
      </w:tblPr>
      <w:tblGrid>
        <w:gridCol w:w="2264"/>
        <w:gridCol w:w="1600"/>
        <w:gridCol w:w="1319"/>
        <w:gridCol w:w="702"/>
        <w:gridCol w:w="1249"/>
        <w:gridCol w:w="1610"/>
      </w:tblGrid>
      <w:tr>
        <w:trPr>
          <w:trHeight w:val="322" w:hRule="exact"/>
        </w:trPr>
        <w:tc>
          <w:tcPr>
            <w:tcW w:w="2264" w:type="dxa"/>
            <w:vMerge w:val="restart"/>
            <w:tcBorders>
              <w:top w:val="single" w:sz="4" w:space="0" w:color="000000"/>
              <w:left w:val="single" w:sz="4" w:space="0" w:color="000000"/>
              <w:right w:val="single" w:sz="4" w:space="0" w:color="000000"/>
            </w:tcBorders>
          </w:tcPr>
          <w:p>
            <w:pPr>
              <w:pStyle w:val="TableParagraph"/>
              <w:tabs>
                <w:tab w:pos="422" w:val="left" w:leader="none"/>
              </w:tabs>
              <w:spacing w:line="240" w:lineRule="auto" w:before="141"/>
              <w:ind w:right="0"/>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600" w:type="dxa"/>
            <w:vMerge w:val="restart"/>
            <w:tcBorders>
              <w:top w:val="single" w:sz="4" w:space="0" w:color="000000"/>
              <w:left w:val="single" w:sz="4" w:space="0" w:color="000000"/>
              <w:right w:val="single" w:sz="4" w:space="0" w:color="000000"/>
            </w:tcBorders>
          </w:tcPr>
          <w:p>
            <w:pPr>
              <w:pStyle w:val="TableParagraph"/>
              <w:spacing w:line="240" w:lineRule="auto" w:before="141"/>
              <w:ind w:left="162" w:right="0"/>
              <w:jc w:val="left"/>
              <w:rPr>
                <w:rFonts w:ascii="宋体" w:hAnsi="宋体" w:cs="宋体" w:eastAsia="宋体" w:hint="default"/>
                <w:sz w:val="21"/>
                <w:szCs w:val="21"/>
              </w:rPr>
            </w:pPr>
            <w:r>
              <w:rPr>
                <w:rFonts w:ascii="宋体" w:hAnsi="宋体" w:cs="宋体" w:eastAsia="宋体" w:hint="default"/>
                <w:b/>
                <w:bCs/>
                <w:sz w:val="21"/>
                <w:szCs w:val="21"/>
              </w:rPr>
              <w:t>年初账面余额</w:t>
            </w:r>
            <w:r>
              <w:rPr>
                <w:rFonts w:ascii="宋体" w:hAnsi="宋体" w:cs="宋体" w:eastAsia="宋体" w:hint="default"/>
                <w:sz w:val="21"/>
                <w:szCs w:val="21"/>
              </w:rPr>
            </w:r>
          </w:p>
        </w:tc>
        <w:tc>
          <w:tcPr>
            <w:tcW w:w="1319" w:type="dxa"/>
            <w:vMerge w:val="restart"/>
            <w:tcBorders>
              <w:top w:val="single" w:sz="4" w:space="0" w:color="000000"/>
              <w:left w:val="single" w:sz="4" w:space="0" w:color="000000"/>
              <w:right w:val="single" w:sz="4" w:space="0" w:color="000000"/>
            </w:tcBorders>
          </w:tcPr>
          <w:p>
            <w:pPr>
              <w:pStyle w:val="TableParagraph"/>
              <w:spacing w:line="240" w:lineRule="auto" w:before="141"/>
              <w:ind w:left="127" w:right="0"/>
              <w:jc w:val="left"/>
              <w:rPr>
                <w:rFonts w:ascii="宋体" w:hAnsi="宋体" w:cs="宋体" w:eastAsia="宋体" w:hint="default"/>
                <w:sz w:val="21"/>
                <w:szCs w:val="21"/>
              </w:rPr>
            </w:pPr>
            <w:r>
              <w:rPr>
                <w:rFonts w:ascii="宋体" w:hAnsi="宋体" w:cs="宋体" w:eastAsia="宋体" w:hint="default"/>
                <w:b/>
                <w:bCs/>
                <w:sz w:val="21"/>
                <w:szCs w:val="21"/>
              </w:rPr>
              <w:t>本期计提额</w:t>
            </w:r>
            <w:r>
              <w:rPr>
                <w:rFonts w:ascii="宋体" w:hAnsi="宋体" w:cs="宋体" w:eastAsia="宋体" w:hint="default"/>
                <w:sz w:val="21"/>
                <w:szCs w:val="21"/>
              </w:rPr>
            </w:r>
          </w:p>
        </w:tc>
        <w:tc>
          <w:tcPr>
            <w:tcW w:w="19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43" w:right="0"/>
              <w:jc w:val="left"/>
              <w:rPr>
                <w:rFonts w:ascii="宋体" w:hAnsi="宋体" w:cs="宋体" w:eastAsia="宋体" w:hint="default"/>
                <w:sz w:val="21"/>
                <w:szCs w:val="21"/>
              </w:rPr>
            </w:pPr>
            <w:r>
              <w:rPr>
                <w:rFonts w:ascii="宋体" w:hAnsi="宋体" w:cs="宋体" w:eastAsia="宋体" w:hint="default"/>
                <w:b/>
                <w:bCs/>
                <w:sz w:val="21"/>
                <w:szCs w:val="21"/>
              </w:rPr>
              <w:t>本期减少额</w:t>
            </w:r>
            <w:r>
              <w:rPr>
                <w:rFonts w:ascii="宋体" w:hAnsi="宋体" w:cs="宋体" w:eastAsia="宋体" w:hint="default"/>
                <w:sz w:val="21"/>
                <w:szCs w:val="21"/>
              </w:rPr>
            </w:r>
          </w:p>
        </w:tc>
        <w:tc>
          <w:tcPr>
            <w:tcW w:w="1610" w:type="dxa"/>
            <w:vMerge w:val="restart"/>
            <w:tcBorders>
              <w:top w:val="single" w:sz="4" w:space="0" w:color="000000"/>
              <w:left w:val="single" w:sz="4" w:space="0" w:color="000000"/>
              <w:right w:val="single" w:sz="4" w:space="0" w:color="000000"/>
            </w:tcBorders>
          </w:tcPr>
          <w:p>
            <w:pPr>
              <w:pStyle w:val="TableParagraph"/>
              <w:spacing w:line="240" w:lineRule="auto" w:before="141"/>
              <w:ind w:left="167" w:right="0"/>
              <w:jc w:val="left"/>
              <w:rPr>
                <w:rFonts w:ascii="宋体" w:hAnsi="宋体" w:cs="宋体" w:eastAsia="宋体" w:hint="default"/>
                <w:sz w:val="21"/>
                <w:szCs w:val="21"/>
              </w:rPr>
            </w:pPr>
            <w:r>
              <w:rPr>
                <w:rFonts w:ascii="宋体" w:hAnsi="宋体" w:cs="宋体" w:eastAsia="宋体" w:hint="default"/>
                <w:b/>
                <w:bCs/>
                <w:sz w:val="21"/>
                <w:szCs w:val="21"/>
              </w:rPr>
              <w:t>年末账面余额</w:t>
            </w:r>
            <w:r>
              <w:rPr>
                <w:rFonts w:ascii="宋体" w:hAnsi="宋体" w:cs="宋体" w:eastAsia="宋体" w:hint="default"/>
                <w:sz w:val="21"/>
                <w:szCs w:val="21"/>
              </w:rPr>
            </w:r>
          </w:p>
        </w:tc>
      </w:tr>
      <w:tr>
        <w:trPr>
          <w:trHeight w:val="323" w:hRule="exact"/>
        </w:trPr>
        <w:tc>
          <w:tcPr>
            <w:tcW w:w="2264" w:type="dxa"/>
            <w:vMerge/>
            <w:tcBorders>
              <w:left w:val="single" w:sz="4" w:space="0" w:color="000000"/>
              <w:bottom w:val="single" w:sz="4" w:space="0" w:color="000000"/>
              <w:right w:val="single" w:sz="4" w:space="0" w:color="000000"/>
            </w:tcBorders>
          </w:tcPr>
          <w:p>
            <w:pPr/>
          </w:p>
        </w:tc>
        <w:tc>
          <w:tcPr>
            <w:tcW w:w="1600" w:type="dxa"/>
            <w:vMerge/>
            <w:tcBorders>
              <w:left w:val="single" w:sz="4" w:space="0" w:color="000000"/>
              <w:bottom w:val="single" w:sz="4" w:space="0" w:color="000000"/>
              <w:right w:val="single" w:sz="4" w:space="0" w:color="000000"/>
            </w:tcBorders>
          </w:tcPr>
          <w:p>
            <w:pPr/>
          </w:p>
        </w:tc>
        <w:tc>
          <w:tcPr>
            <w:tcW w:w="1319" w:type="dxa"/>
            <w:vMerge/>
            <w:tcBorders>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33"/>
              <w:jc w:val="right"/>
              <w:rPr>
                <w:rFonts w:ascii="宋体" w:hAnsi="宋体" w:cs="宋体" w:eastAsia="宋体" w:hint="default"/>
                <w:sz w:val="21"/>
                <w:szCs w:val="21"/>
              </w:rPr>
            </w:pPr>
            <w:r>
              <w:rPr>
                <w:rFonts w:ascii="宋体" w:hAnsi="宋体" w:cs="宋体" w:eastAsia="宋体" w:hint="default"/>
                <w:b/>
                <w:bCs/>
                <w:sz w:val="21"/>
                <w:szCs w:val="21"/>
              </w:rPr>
              <w:t>转回</w:t>
            </w:r>
            <w:r>
              <w:rPr>
                <w:rFonts w:ascii="宋体" w:hAnsi="宋体" w:cs="宋体" w:eastAsia="宋体" w:hint="default"/>
                <w:sz w:val="21"/>
                <w:szCs w:val="21"/>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08" w:right="0"/>
              <w:jc w:val="left"/>
              <w:rPr>
                <w:rFonts w:ascii="宋体" w:hAnsi="宋体" w:cs="宋体" w:eastAsia="宋体" w:hint="default"/>
                <w:sz w:val="21"/>
                <w:szCs w:val="21"/>
              </w:rPr>
            </w:pPr>
            <w:r>
              <w:rPr>
                <w:rFonts w:ascii="宋体" w:hAnsi="宋体" w:cs="宋体" w:eastAsia="宋体" w:hint="default"/>
                <w:b/>
                <w:bCs/>
                <w:sz w:val="21"/>
                <w:szCs w:val="21"/>
              </w:rPr>
              <w:t>转销</w:t>
            </w:r>
            <w:r>
              <w:rPr>
                <w:rFonts w:ascii="宋体" w:hAnsi="宋体" w:cs="宋体" w:eastAsia="宋体" w:hint="default"/>
                <w:sz w:val="21"/>
                <w:szCs w:val="21"/>
              </w:rPr>
            </w:r>
          </w:p>
        </w:tc>
        <w:tc>
          <w:tcPr>
            <w:tcW w:w="1610" w:type="dxa"/>
            <w:vMerge/>
            <w:tcBorders>
              <w:left w:val="single" w:sz="4" w:space="0" w:color="000000"/>
              <w:bottom w:val="single" w:sz="4" w:space="0" w:color="000000"/>
              <w:right w:val="single" w:sz="4" w:space="0" w:color="000000"/>
            </w:tcBorders>
          </w:tcPr>
          <w:p>
            <w:pP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应收账款坏账准备</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2,534,282.63</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1,019,827.99</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-42,000.00</w:t>
            </w:r>
            <w:r>
              <w:rPr>
                <w:rFonts w:ascii="Times New Roman"/>
                <w:sz w:val="21"/>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2"/>
                <w:sz w:val="21"/>
              </w:rPr>
              <w:t>3,596,110.62</w:t>
            </w:r>
            <w:r>
              <w:rPr>
                <w:rFonts w:ascii="Times New Roman"/>
                <w:sz w:val="21"/>
              </w:rPr>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其他应收款坏账准备</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290,253.45</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25,255.15</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0.00</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315,508.60</w:t>
            </w:r>
          </w:p>
        </w:tc>
      </w:tr>
      <w:tr>
        <w:trPr>
          <w:trHeight w:val="32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2,824,536.08</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1,045,083.14</w:t>
            </w:r>
          </w:p>
        </w:tc>
        <w:tc>
          <w:tcPr>
            <w:tcW w:w="70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-42,000.00</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3,911,619.22</w:t>
            </w:r>
          </w:p>
        </w:tc>
      </w:tr>
    </w:tbl>
    <w:p>
      <w:pPr>
        <w:spacing w:line="240" w:lineRule="auto" w:before="3"/>
        <w:rPr>
          <w:rFonts w:ascii="宋体" w:hAnsi="宋体" w:cs="宋体" w:eastAsia="宋体" w:hint="default"/>
          <w:b/>
          <w:bCs/>
          <w:sz w:val="25"/>
          <w:szCs w:val="25"/>
        </w:rPr>
      </w:pPr>
    </w:p>
    <w:p>
      <w:pPr>
        <w:spacing w:line="348" w:lineRule="auto" w:before="35"/>
        <w:ind w:left="820" w:right="6422" w:firstLine="2"/>
        <w:jc w:val="left"/>
        <w:rPr>
          <w:rFonts w:ascii="宋体" w:hAnsi="宋体" w:cs="宋体" w:eastAsia="宋体" w:hint="default"/>
          <w:sz w:val="21"/>
          <w:szCs w:val="21"/>
        </w:rPr>
      </w:pPr>
      <w:r>
        <w:rPr>
          <w:rFonts w:ascii="宋体" w:hAnsi="宋体" w:cs="宋体" w:eastAsia="宋体" w:hint="default"/>
          <w:b/>
          <w:bCs/>
          <w:sz w:val="21"/>
          <w:szCs w:val="21"/>
        </w:rPr>
        <w:t>（十五）</w:t>
      </w:r>
      <w:r>
        <w:rPr>
          <w:rFonts w:ascii="宋体" w:hAnsi="宋体" w:cs="宋体" w:eastAsia="宋体" w:hint="default"/>
          <w:b/>
          <w:bCs/>
          <w:spacing w:val="68"/>
          <w:sz w:val="21"/>
          <w:szCs w:val="21"/>
        </w:rPr>
        <w:t> </w:t>
      </w:r>
      <w:r>
        <w:rPr>
          <w:rFonts w:ascii="宋体" w:hAnsi="宋体" w:cs="宋体" w:eastAsia="宋体" w:hint="default"/>
          <w:b/>
          <w:bCs/>
          <w:sz w:val="21"/>
          <w:szCs w:val="21"/>
        </w:rPr>
        <w:t>短期借款</w:t>
      </w:r>
      <w:r>
        <w:rPr>
          <w:rFonts w:ascii="宋体" w:hAnsi="宋体" w:cs="宋体" w:eastAsia="宋体" w:hint="default"/>
          <w:b/>
          <w:bCs/>
          <w:spacing w:val="1"/>
          <w:w w:val="99"/>
          <w:sz w:val="21"/>
          <w:szCs w:val="21"/>
        </w:rPr>
        <w:t> </w:t>
      </w:r>
      <w:r>
        <w:rPr>
          <w:rFonts w:ascii="宋体" w:hAnsi="宋体" w:cs="宋体" w:eastAsia="宋体" w:hint="default"/>
          <w:sz w:val="21"/>
          <w:szCs w:val="21"/>
        </w:rPr>
        <w:t>1、短期类别</w:t>
      </w:r>
    </w:p>
    <w:p>
      <w:pPr>
        <w:spacing w:after="0" w:line="348" w:lineRule="auto"/>
        <w:jc w:val="left"/>
        <w:rPr>
          <w:rFonts w:ascii="宋体" w:hAnsi="宋体" w:cs="宋体" w:eastAsia="宋体" w:hint="default"/>
          <w:sz w:val="21"/>
          <w:szCs w:val="21"/>
        </w:rPr>
        <w:sectPr>
          <w:pgSz w:w="11910" w:h="16840"/>
          <w:pgMar w:header="400" w:footer="982" w:top="1100" w:bottom="1180" w:left="1400" w:right="1380"/>
        </w:sectPr>
      </w:pPr>
    </w:p>
    <w:p>
      <w:pPr>
        <w:spacing w:line="240" w:lineRule="auto" w:before="6"/>
        <w:rPr>
          <w:rFonts w:ascii="宋体" w:hAnsi="宋体" w:cs="宋体" w:eastAsia="宋体" w:hint="default"/>
          <w:sz w:val="24"/>
          <w:szCs w:val="24"/>
        </w:rPr>
      </w:pPr>
    </w:p>
    <w:tbl>
      <w:tblPr>
        <w:tblW w:w="0" w:type="auto"/>
        <w:jc w:val="left"/>
        <w:tblInd w:w="456" w:type="dxa"/>
        <w:tblLayout w:type="fixed"/>
        <w:tblCellMar>
          <w:top w:w="0" w:type="dxa"/>
          <w:left w:w="0" w:type="dxa"/>
          <w:bottom w:w="0" w:type="dxa"/>
          <w:right w:w="0" w:type="dxa"/>
        </w:tblCellMar>
        <w:tblLook w:val="01E0"/>
      </w:tblPr>
      <w:tblGrid>
        <w:gridCol w:w="2918"/>
        <w:gridCol w:w="2372"/>
        <w:gridCol w:w="2371"/>
      </w:tblGrid>
      <w:tr>
        <w:trPr>
          <w:trHeight w:val="350" w:hRule="exact"/>
        </w:trPr>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借款类别</w:t>
            </w:r>
            <w:r>
              <w:rPr>
                <w:rFonts w:ascii="宋体" w:hAnsi="宋体" w:cs="宋体" w:eastAsia="宋体" w:hint="default"/>
                <w:sz w:val="21"/>
                <w:szCs w:val="21"/>
              </w:rPr>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c>
          <w:tcPr>
            <w:tcW w:w="23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年初数</w:t>
            </w:r>
            <w:r>
              <w:rPr>
                <w:rFonts w:ascii="宋体" w:hAnsi="宋体" w:cs="宋体" w:eastAsia="宋体" w:hint="default"/>
                <w:sz w:val="21"/>
                <w:szCs w:val="21"/>
              </w:rPr>
            </w:r>
          </w:p>
        </w:tc>
      </w:tr>
      <w:tr>
        <w:trPr>
          <w:trHeight w:val="349" w:hRule="exact"/>
        </w:trPr>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信用借款</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21"/>
                <w:szCs w:val="21"/>
              </w:rPr>
            </w:pPr>
            <w:r>
              <w:rPr>
                <w:rFonts w:ascii="Times New Roman"/>
                <w:sz w:val="21"/>
              </w:rPr>
              <w:t>0.00</w:t>
            </w:r>
          </w:p>
        </w:tc>
        <w:tc>
          <w:tcPr>
            <w:tcW w:w="2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21"/>
                <w:szCs w:val="21"/>
              </w:rPr>
            </w:pPr>
            <w:r>
              <w:rPr>
                <w:rFonts w:ascii="Times New Roman"/>
                <w:sz w:val="21"/>
              </w:rPr>
              <w:t>0.00</w:t>
            </w:r>
          </w:p>
        </w:tc>
      </w:tr>
      <w:tr>
        <w:trPr>
          <w:trHeight w:val="350" w:hRule="exact"/>
        </w:trPr>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质押借款</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21"/>
                <w:szCs w:val="21"/>
              </w:rPr>
            </w:pPr>
            <w:r>
              <w:rPr>
                <w:rFonts w:ascii="Times New Roman"/>
                <w:sz w:val="21"/>
              </w:rPr>
              <w:t>0.00</w:t>
            </w:r>
          </w:p>
        </w:tc>
        <w:tc>
          <w:tcPr>
            <w:tcW w:w="2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21"/>
                <w:szCs w:val="21"/>
              </w:rPr>
            </w:pPr>
            <w:r>
              <w:rPr>
                <w:rFonts w:ascii="Times New Roman"/>
                <w:sz w:val="21"/>
              </w:rPr>
              <w:t>0.00</w:t>
            </w:r>
          </w:p>
        </w:tc>
      </w:tr>
      <w:tr>
        <w:trPr>
          <w:trHeight w:val="350" w:hRule="exact"/>
        </w:trPr>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银行押汇</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21"/>
                <w:szCs w:val="21"/>
              </w:rPr>
            </w:pPr>
            <w:r>
              <w:rPr>
                <w:rFonts w:ascii="Times New Roman"/>
                <w:sz w:val="21"/>
              </w:rPr>
              <w:t>91,405,501.23</w:t>
            </w:r>
          </w:p>
        </w:tc>
        <w:tc>
          <w:tcPr>
            <w:tcW w:w="2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21"/>
                <w:szCs w:val="21"/>
              </w:rPr>
            </w:pPr>
            <w:r>
              <w:rPr>
                <w:rFonts w:ascii="Times New Roman"/>
                <w:sz w:val="21"/>
              </w:rPr>
              <w:t>62,269,592.17</w:t>
            </w:r>
          </w:p>
        </w:tc>
      </w:tr>
      <w:tr>
        <w:trPr>
          <w:trHeight w:val="349" w:hRule="exact"/>
        </w:trPr>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保证借款</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21"/>
                <w:szCs w:val="21"/>
              </w:rPr>
            </w:pPr>
            <w:r>
              <w:rPr>
                <w:rFonts w:ascii="Times New Roman"/>
                <w:sz w:val="21"/>
              </w:rPr>
              <w:t>0.00</w:t>
            </w:r>
          </w:p>
        </w:tc>
        <w:tc>
          <w:tcPr>
            <w:tcW w:w="2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21"/>
                <w:szCs w:val="21"/>
              </w:rPr>
            </w:pPr>
            <w:r>
              <w:rPr>
                <w:rFonts w:ascii="Times New Roman"/>
                <w:sz w:val="21"/>
              </w:rPr>
              <w:t>0.00</w:t>
            </w:r>
          </w:p>
        </w:tc>
      </w:tr>
      <w:tr>
        <w:trPr>
          <w:trHeight w:val="350" w:hRule="exact"/>
        </w:trPr>
        <w:tc>
          <w:tcPr>
            <w:tcW w:w="2918"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91,405,501.23</w:t>
            </w:r>
          </w:p>
        </w:tc>
        <w:tc>
          <w:tcPr>
            <w:tcW w:w="2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62,269,592.17</w:t>
            </w:r>
          </w:p>
        </w:tc>
      </w:tr>
    </w:tbl>
    <w:p>
      <w:pPr>
        <w:pStyle w:val="BodyText"/>
        <w:spacing w:line="240" w:lineRule="auto" w:before="93"/>
        <w:ind w:left="560" w:right="102"/>
        <w:jc w:val="left"/>
      </w:pPr>
      <w:r>
        <w:rPr/>
        <w:t>2、年末外币押汇的外币金额为美元 </w:t>
      </w:r>
      <w:r>
        <w:rPr>
          <w:rFonts w:ascii="Times New Roman" w:hAnsi="Times New Roman" w:cs="Times New Roman" w:eastAsia="Times New Roman" w:hint="default"/>
        </w:rPr>
        <w:t>12,554,117.61  </w:t>
      </w:r>
      <w:r>
        <w:rPr/>
        <w:t>元，折算汇率</w:t>
      </w:r>
      <w:r>
        <w:rPr>
          <w:spacing w:val="-5"/>
        </w:rPr>
        <w:t> </w:t>
      </w:r>
      <w:r>
        <w:rPr>
          <w:rFonts w:ascii="Times New Roman" w:hAnsi="Times New Roman" w:cs="Times New Roman" w:eastAsia="Times New Roman" w:hint="default"/>
        </w:rPr>
        <w:t>6.8346</w:t>
      </w:r>
      <w:r>
        <w:rPr/>
        <w:t>，折合人民币</w:t>
      </w:r>
    </w:p>
    <w:p>
      <w:pPr>
        <w:pStyle w:val="BodyText"/>
        <w:spacing w:line="240" w:lineRule="auto" w:before="110"/>
        <w:ind w:right="102"/>
        <w:jc w:val="left"/>
      </w:pPr>
      <w:r>
        <w:rPr>
          <w:rFonts w:ascii="Times New Roman" w:hAnsi="Times New Roman" w:cs="Times New Roman" w:eastAsia="Times New Roman" w:hint="default"/>
        </w:rPr>
        <w:t>85,802,372.22</w:t>
      </w:r>
      <w:r>
        <w:rPr>
          <w:rFonts w:ascii="Times New Roman" w:hAnsi="Times New Roman" w:cs="Times New Roman" w:eastAsia="Times New Roman" w:hint="default"/>
          <w:spacing w:val="-5"/>
        </w:rPr>
        <w:t> </w:t>
      </w:r>
      <w:r>
        <w:rPr/>
        <w:t>元；欧元</w:t>
      </w:r>
      <w:r>
        <w:rPr>
          <w:spacing w:val="-59"/>
        </w:rPr>
        <w:t> </w:t>
      </w:r>
      <w:r>
        <w:rPr>
          <w:rFonts w:ascii="Times New Roman" w:hAnsi="Times New Roman" w:cs="Times New Roman" w:eastAsia="Times New Roman" w:hint="default"/>
        </w:rPr>
        <w:t>580,094.11</w:t>
      </w:r>
      <w:r>
        <w:rPr>
          <w:rFonts w:ascii="Times New Roman" w:hAnsi="Times New Roman" w:cs="Times New Roman" w:eastAsia="Times New Roman" w:hint="default"/>
          <w:spacing w:val="-5"/>
        </w:rPr>
        <w:t> </w:t>
      </w:r>
      <w:r>
        <w:rPr/>
        <w:t>元，折算汇率</w:t>
      </w:r>
      <w:r>
        <w:rPr>
          <w:spacing w:val="-58"/>
        </w:rPr>
        <w:t> </w:t>
      </w:r>
      <w:r>
        <w:rPr>
          <w:rFonts w:ascii="Times New Roman" w:hAnsi="Times New Roman" w:cs="Times New Roman" w:eastAsia="Times New Roman" w:hint="default"/>
        </w:rPr>
        <w:t>9.6590</w:t>
      </w:r>
      <w:r>
        <w:rPr/>
        <w:t>，折合人民币</w:t>
      </w:r>
      <w:r>
        <w:rPr>
          <w:spacing w:val="-58"/>
        </w:rPr>
        <w:t> </w:t>
      </w:r>
      <w:r>
        <w:rPr>
          <w:rFonts w:ascii="Times New Roman" w:hAnsi="Times New Roman" w:cs="Times New Roman" w:eastAsia="Times New Roman" w:hint="default"/>
        </w:rPr>
        <w:t>5,603,129.01</w:t>
      </w:r>
      <w:r>
        <w:rPr>
          <w:rFonts w:ascii="Times New Roman" w:hAnsi="Times New Roman" w:cs="Times New Roman" w:eastAsia="Times New Roman" w:hint="default"/>
          <w:spacing w:val="-5"/>
        </w:rPr>
        <w:t> </w:t>
      </w:r>
      <w:r>
        <w:rPr/>
        <w:t>元。</w:t>
      </w:r>
    </w:p>
    <w:p>
      <w:pPr>
        <w:pStyle w:val="BodyText"/>
        <w:spacing w:line="328" w:lineRule="auto" w:before="109"/>
        <w:ind w:right="102" w:firstLine="419"/>
        <w:jc w:val="left"/>
      </w:pPr>
      <w:r>
        <w:rPr/>
        <w:t>3、短期借款年末数比年初数增加 </w:t>
      </w:r>
      <w:r>
        <w:rPr>
          <w:rFonts w:ascii="Times New Roman" w:hAnsi="Times New Roman" w:cs="Times New Roman" w:eastAsia="Times New Roman" w:hint="default"/>
        </w:rPr>
        <w:t>29,135,909.06 </w:t>
      </w:r>
      <w:r>
        <w:rPr/>
        <w:t>元，增加比例为</w:t>
      </w:r>
      <w:r>
        <w:rPr>
          <w:spacing w:val="-69"/>
        </w:rPr>
        <w:t> </w:t>
      </w:r>
      <w:r>
        <w:rPr>
          <w:rFonts w:ascii="Times New Roman" w:hAnsi="Times New Roman" w:cs="Times New Roman" w:eastAsia="Times New Roman" w:hint="default"/>
        </w:rPr>
        <w:t>46.79%</w:t>
      </w:r>
      <w:r>
        <w:rPr/>
        <w:t>，变动原因主 要为：银行押汇借款增加。</w:t>
      </w:r>
    </w:p>
    <w:p>
      <w:pPr>
        <w:spacing w:line="240" w:lineRule="auto" w:before="8"/>
        <w:rPr>
          <w:rFonts w:ascii="宋体" w:hAnsi="宋体" w:cs="宋体" w:eastAsia="宋体" w:hint="default"/>
          <w:sz w:val="15"/>
          <w:szCs w:val="15"/>
        </w:rPr>
      </w:pPr>
    </w:p>
    <w:p>
      <w:pPr>
        <w:pStyle w:val="Heading4"/>
        <w:spacing w:line="240" w:lineRule="auto"/>
        <w:ind w:right="102"/>
        <w:jc w:val="left"/>
        <w:rPr>
          <w:b w:val="0"/>
          <w:bCs w:val="0"/>
        </w:rPr>
      </w:pPr>
      <w:r>
        <w:rPr/>
        <w:t>（十六）</w:t>
      </w:r>
      <w:r>
        <w:rPr>
          <w:spacing w:val="70"/>
        </w:rPr>
        <w:t> </w:t>
      </w:r>
      <w:r>
        <w:rPr/>
        <w:t>应付票据</w:t>
      </w:r>
      <w:r>
        <w:rPr>
          <w:b w:val="0"/>
          <w:bCs w:val="0"/>
        </w:rPr>
      </w:r>
    </w:p>
    <w:p>
      <w:pPr>
        <w:spacing w:line="240" w:lineRule="auto" w:before="4"/>
        <w:rPr>
          <w:rFonts w:ascii="宋体" w:hAnsi="宋体" w:cs="宋体" w:eastAsia="宋体" w:hint="default"/>
          <w:b/>
          <w:bCs/>
          <w:sz w:val="14"/>
          <w:szCs w:val="14"/>
        </w:rPr>
      </w:pPr>
    </w:p>
    <w:tbl>
      <w:tblPr>
        <w:tblW w:w="0" w:type="auto"/>
        <w:jc w:val="left"/>
        <w:tblInd w:w="655" w:type="dxa"/>
        <w:tblLayout w:type="fixed"/>
        <w:tblCellMar>
          <w:top w:w="0" w:type="dxa"/>
          <w:left w:w="0" w:type="dxa"/>
          <w:bottom w:w="0" w:type="dxa"/>
          <w:right w:w="0" w:type="dxa"/>
        </w:tblCellMar>
        <w:tblLook w:val="01E0"/>
      </w:tblPr>
      <w:tblGrid>
        <w:gridCol w:w="2899"/>
        <w:gridCol w:w="2182"/>
        <w:gridCol w:w="2184"/>
      </w:tblGrid>
      <w:tr>
        <w:trPr>
          <w:trHeight w:val="350" w:hRule="exact"/>
        </w:trPr>
        <w:tc>
          <w:tcPr>
            <w:tcW w:w="2899"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74"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种</w:t>
              <w:tab/>
            </w:r>
            <w:r>
              <w:rPr>
                <w:rFonts w:ascii="宋体" w:hAnsi="宋体" w:cs="宋体" w:eastAsia="宋体" w:hint="default"/>
                <w:b/>
                <w:bCs/>
                <w:sz w:val="21"/>
                <w:szCs w:val="21"/>
              </w:rPr>
              <w:t>类</w:t>
            </w:r>
            <w:r>
              <w:rPr>
                <w:rFonts w:ascii="宋体" w:hAnsi="宋体" w:cs="宋体" w:eastAsia="宋体" w:hint="default"/>
                <w:sz w:val="21"/>
                <w:szCs w:val="21"/>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年初数</w:t>
            </w:r>
            <w:r>
              <w:rPr>
                <w:rFonts w:ascii="宋体" w:hAnsi="宋体" w:cs="宋体" w:eastAsia="宋体" w:hint="default"/>
                <w:sz w:val="21"/>
                <w:szCs w:val="21"/>
              </w:rPr>
            </w:r>
          </w:p>
        </w:tc>
      </w:tr>
      <w:tr>
        <w:trPr>
          <w:trHeight w:val="349" w:hRule="exact"/>
        </w:trPr>
        <w:tc>
          <w:tcPr>
            <w:tcW w:w="28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银行承兑汇票</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spacing w:val="-1"/>
                <w:sz w:val="21"/>
              </w:rPr>
              <w:t>31,000,000.00</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26,100,000.00</w:t>
            </w:r>
          </w:p>
        </w:tc>
      </w:tr>
      <w:tr>
        <w:trPr>
          <w:trHeight w:val="350" w:hRule="exact"/>
        </w:trPr>
        <w:tc>
          <w:tcPr>
            <w:tcW w:w="28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已承兑未到期信用证</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spacing w:val="-1"/>
                <w:sz w:val="21"/>
              </w:rPr>
              <w:t>95,754,221.93</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3"/>
              <w:jc w:val="right"/>
              <w:rPr>
                <w:rFonts w:ascii="Times New Roman" w:hAnsi="Times New Roman" w:cs="Times New Roman" w:eastAsia="Times New Roman" w:hint="default"/>
                <w:sz w:val="21"/>
                <w:szCs w:val="21"/>
              </w:rPr>
            </w:pPr>
            <w:r>
              <w:rPr>
                <w:rFonts w:ascii="Times New Roman"/>
                <w:spacing w:val="-1"/>
                <w:sz w:val="21"/>
              </w:rPr>
              <w:t>0.00</w:t>
            </w:r>
          </w:p>
        </w:tc>
      </w:tr>
      <w:tr>
        <w:trPr>
          <w:trHeight w:val="350" w:hRule="exact"/>
        </w:trPr>
        <w:tc>
          <w:tcPr>
            <w:tcW w:w="2899"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1"/>
                <w:szCs w:val="21"/>
              </w:rPr>
            </w:pPr>
            <w:r>
              <w:rPr>
                <w:rFonts w:ascii="Times New Roman"/>
                <w:spacing w:val="-1"/>
                <w:sz w:val="21"/>
              </w:rPr>
              <w:t>126,754,221.93</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1"/>
                <w:szCs w:val="21"/>
              </w:rPr>
            </w:pPr>
            <w:r>
              <w:rPr>
                <w:rFonts w:ascii="Times New Roman"/>
                <w:spacing w:val="-1"/>
                <w:sz w:val="21"/>
              </w:rPr>
              <w:t>26,100,000.00</w:t>
            </w:r>
          </w:p>
        </w:tc>
      </w:tr>
    </w:tbl>
    <w:p>
      <w:pPr>
        <w:pStyle w:val="BodyText"/>
        <w:spacing w:line="328" w:lineRule="auto" w:before="93"/>
        <w:ind w:right="102" w:firstLine="420"/>
        <w:jc w:val="left"/>
      </w:pPr>
      <w:r>
        <w:rPr/>
        <w:t>1、应付票据年末数比年初数增加 </w:t>
      </w:r>
      <w:r>
        <w:rPr>
          <w:rFonts w:ascii="Times New Roman" w:hAnsi="Times New Roman" w:cs="Times New Roman" w:eastAsia="Times New Roman" w:hint="default"/>
        </w:rPr>
        <w:t>100,654,221.93 </w:t>
      </w:r>
      <w:r>
        <w:rPr/>
        <w:t>元，变动比率为</w:t>
      </w:r>
      <w:r>
        <w:rPr>
          <w:spacing w:val="-71"/>
        </w:rPr>
        <w:t> </w:t>
      </w:r>
      <w:r>
        <w:rPr>
          <w:rFonts w:ascii="Times New Roman" w:hAnsi="Times New Roman" w:cs="Times New Roman" w:eastAsia="Times New Roman" w:hint="default"/>
        </w:rPr>
        <w:t>385.65%</w:t>
      </w:r>
      <w:r>
        <w:rPr/>
        <w:t>，变动原因 主要为：本期采用信用证方式支付的货款中，期末已承兑未到期信用证增加。</w:t>
      </w:r>
    </w:p>
    <w:p>
      <w:pPr>
        <w:spacing w:line="240" w:lineRule="auto" w:before="8"/>
        <w:rPr>
          <w:rFonts w:ascii="宋体" w:hAnsi="宋体" w:cs="宋体" w:eastAsia="宋体" w:hint="default"/>
          <w:sz w:val="15"/>
          <w:szCs w:val="15"/>
        </w:rPr>
      </w:pPr>
    </w:p>
    <w:p>
      <w:pPr>
        <w:pStyle w:val="Heading4"/>
        <w:spacing w:line="240" w:lineRule="auto"/>
        <w:ind w:right="102"/>
        <w:jc w:val="left"/>
        <w:rPr>
          <w:b w:val="0"/>
          <w:bCs w:val="0"/>
        </w:rPr>
      </w:pPr>
      <w:r>
        <w:rPr/>
        <w:t>（十七）</w:t>
      </w:r>
      <w:r>
        <w:rPr>
          <w:spacing w:val="70"/>
        </w:rPr>
        <w:t> </w:t>
      </w:r>
      <w:r>
        <w:rPr/>
        <w:t>应付账款</w:t>
      </w:r>
      <w:r>
        <w:rPr>
          <w:b w:val="0"/>
          <w:bCs w:val="0"/>
        </w:rPr>
      </w:r>
    </w:p>
    <w:p>
      <w:pPr>
        <w:spacing w:line="240" w:lineRule="auto" w:before="5"/>
        <w:rPr>
          <w:rFonts w:ascii="宋体" w:hAnsi="宋体" w:cs="宋体" w:eastAsia="宋体" w:hint="default"/>
          <w:b/>
          <w:bCs/>
          <w:sz w:val="14"/>
          <w:szCs w:val="14"/>
        </w:rPr>
      </w:pPr>
    </w:p>
    <w:tbl>
      <w:tblPr>
        <w:tblW w:w="0" w:type="auto"/>
        <w:jc w:val="left"/>
        <w:tblInd w:w="611" w:type="dxa"/>
        <w:tblLayout w:type="fixed"/>
        <w:tblCellMar>
          <w:top w:w="0" w:type="dxa"/>
          <w:left w:w="0" w:type="dxa"/>
          <w:bottom w:w="0" w:type="dxa"/>
          <w:right w:w="0" w:type="dxa"/>
        </w:tblCellMar>
        <w:tblLook w:val="01E0"/>
      </w:tblPr>
      <w:tblGrid>
        <w:gridCol w:w="2944"/>
        <w:gridCol w:w="2206"/>
        <w:gridCol w:w="2204"/>
      </w:tblGrid>
      <w:tr>
        <w:trPr>
          <w:trHeight w:val="350"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账龄结构</w:t>
            </w:r>
            <w:r>
              <w:rPr>
                <w:rFonts w:ascii="宋体" w:hAnsi="宋体" w:cs="宋体" w:eastAsia="宋体" w:hint="default"/>
                <w:sz w:val="21"/>
                <w:szCs w:val="21"/>
              </w:rPr>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年初数</w:t>
            </w:r>
            <w:r>
              <w:rPr>
                <w:rFonts w:ascii="宋体" w:hAnsi="宋体" w:cs="宋体" w:eastAsia="宋体" w:hint="default"/>
                <w:sz w:val="21"/>
                <w:szCs w:val="21"/>
              </w:rPr>
            </w:r>
          </w:p>
        </w:tc>
      </w:tr>
      <w:tr>
        <w:trPr>
          <w:trHeight w:val="349"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3"/>
              <w:jc w:val="right"/>
              <w:rPr>
                <w:rFonts w:ascii="Times New Roman" w:hAnsi="Times New Roman" w:cs="Times New Roman" w:eastAsia="Times New Roman" w:hint="default"/>
                <w:sz w:val="21"/>
                <w:szCs w:val="21"/>
              </w:rPr>
            </w:pPr>
            <w:r>
              <w:rPr>
                <w:rFonts w:ascii="Times New Roman"/>
                <w:spacing w:val="-1"/>
                <w:sz w:val="21"/>
              </w:rPr>
              <w:t>160,329,503.02</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1"/>
                <w:szCs w:val="21"/>
              </w:rPr>
            </w:pPr>
            <w:r>
              <w:rPr>
                <w:rFonts w:ascii="Times New Roman"/>
                <w:spacing w:val="-1"/>
                <w:sz w:val="21"/>
              </w:rPr>
              <w:t>266,161,441.15</w:t>
            </w:r>
          </w:p>
        </w:tc>
      </w:tr>
      <w:tr>
        <w:trPr>
          <w:trHeight w:val="350"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2,156,071.57</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1"/>
                <w:szCs w:val="21"/>
              </w:rPr>
            </w:pPr>
            <w:r>
              <w:rPr>
                <w:rFonts w:ascii="Times New Roman"/>
                <w:spacing w:val="-1"/>
                <w:sz w:val="21"/>
              </w:rPr>
              <w:t>0.00</w:t>
            </w:r>
          </w:p>
        </w:tc>
      </w:tr>
      <w:tr>
        <w:trPr>
          <w:trHeight w:val="350"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3"/>
              <w:jc w:val="right"/>
              <w:rPr>
                <w:rFonts w:ascii="Times New Roman" w:hAnsi="Times New Roman" w:cs="Times New Roman" w:eastAsia="Times New Roman" w:hint="default"/>
                <w:sz w:val="21"/>
                <w:szCs w:val="21"/>
              </w:rPr>
            </w:pPr>
            <w:r>
              <w:rPr>
                <w:rFonts w:ascii="Times New Roman"/>
                <w:spacing w:val="-1"/>
                <w:sz w:val="21"/>
              </w:rPr>
              <w:t>0.00</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49"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3"/>
              <w:jc w:val="right"/>
              <w:rPr>
                <w:rFonts w:ascii="Times New Roman" w:hAnsi="Times New Roman" w:cs="Times New Roman" w:eastAsia="Times New Roman" w:hint="default"/>
                <w:sz w:val="21"/>
                <w:szCs w:val="21"/>
              </w:rPr>
            </w:pPr>
            <w:r>
              <w:rPr>
                <w:rFonts w:ascii="Times New Roman"/>
                <w:spacing w:val="-1"/>
                <w:sz w:val="21"/>
              </w:rPr>
              <w:t>0.00</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50"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3"/>
              <w:jc w:val="right"/>
              <w:rPr>
                <w:rFonts w:ascii="Times New Roman" w:hAnsi="Times New Roman" w:cs="Times New Roman" w:eastAsia="Times New Roman" w:hint="default"/>
                <w:sz w:val="21"/>
                <w:szCs w:val="21"/>
              </w:rPr>
            </w:pPr>
            <w:r>
              <w:rPr>
                <w:rFonts w:ascii="Times New Roman"/>
                <w:spacing w:val="-1"/>
                <w:sz w:val="21"/>
              </w:rPr>
              <w:t>162,485,574.59</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1"/>
                <w:szCs w:val="21"/>
              </w:rPr>
            </w:pPr>
            <w:r>
              <w:rPr>
                <w:rFonts w:ascii="Times New Roman"/>
                <w:spacing w:val="-1"/>
                <w:sz w:val="21"/>
              </w:rPr>
              <w:t>266,161,441.15</w:t>
            </w:r>
          </w:p>
        </w:tc>
      </w:tr>
    </w:tbl>
    <w:p>
      <w:pPr>
        <w:pStyle w:val="BodyText"/>
        <w:spacing w:line="240" w:lineRule="auto" w:before="93"/>
        <w:ind w:left="560" w:right="102"/>
        <w:jc w:val="left"/>
      </w:pPr>
      <w:r>
        <w:rPr/>
        <w:t>1、年末余额中无欠持本公司</w:t>
      </w:r>
      <w:r>
        <w:rPr>
          <w:spacing w:val="-56"/>
        </w:rPr>
        <w:t> </w:t>
      </w:r>
      <w:r>
        <w:rPr/>
        <w:t>5％以上（含</w:t>
      </w:r>
      <w:r>
        <w:rPr>
          <w:spacing w:val="-56"/>
        </w:rPr>
        <w:t> </w:t>
      </w:r>
      <w:r>
        <w:rPr/>
        <w:t>5％）表决权股份的股东款项。</w:t>
      </w:r>
    </w:p>
    <w:p>
      <w:pPr>
        <w:pStyle w:val="BodyText"/>
        <w:spacing w:line="240" w:lineRule="auto" w:before="126"/>
        <w:ind w:left="560" w:right="102"/>
        <w:jc w:val="left"/>
      </w:pPr>
      <w:r>
        <w:rPr/>
        <w:t>2、年末余额中无欠关联方款项。</w:t>
      </w:r>
    </w:p>
    <w:p>
      <w:pPr>
        <w:pStyle w:val="BodyText"/>
        <w:spacing w:line="328" w:lineRule="auto" w:before="125"/>
        <w:ind w:right="110" w:firstLine="420"/>
        <w:jc w:val="left"/>
      </w:pPr>
      <w:r>
        <w:rPr>
          <w:spacing w:val="-3"/>
        </w:rPr>
        <w:t>3、应付账款年末数比年初数减少</w:t>
      </w:r>
      <w:r>
        <w:rPr>
          <w:spacing w:val="-49"/>
        </w:rPr>
        <w:t> </w:t>
      </w:r>
      <w:r>
        <w:rPr>
          <w:rFonts w:ascii="Times New Roman" w:hAnsi="Times New Roman" w:cs="Times New Roman" w:eastAsia="Times New Roman" w:hint="default"/>
        </w:rPr>
        <w:t>103,675,866.56</w:t>
      </w:r>
      <w:r>
        <w:rPr>
          <w:rFonts w:ascii="Times New Roman" w:hAnsi="Times New Roman" w:cs="Times New Roman" w:eastAsia="Times New Roman" w:hint="default"/>
          <w:spacing w:val="3"/>
        </w:rPr>
        <w:t> </w:t>
      </w:r>
      <w:r>
        <w:rPr>
          <w:spacing w:val="-6"/>
        </w:rPr>
        <w:t>元，减少比例为</w:t>
      </w:r>
      <w:r>
        <w:rPr>
          <w:spacing w:val="-49"/>
        </w:rPr>
        <w:t> </w:t>
      </w:r>
      <w:r>
        <w:rPr>
          <w:rFonts w:ascii="Times New Roman" w:hAnsi="Times New Roman" w:cs="Times New Roman" w:eastAsia="Times New Roman" w:hint="default"/>
          <w:spacing w:val="-4"/>
        </w:rPr>
        <w:t>38.95%</w:t>
      </w:r>
      <w:r>
        <w:rPr>
          <w:spacing w:val="-4"/>
        </w:rPr>
        <w:t>，变动原因为：</w:t>
      </w:r>
      <w:r>
        <w:rPr/>
        <w:t> 支付货款及采用信用证方式支付货款增加。</w:t>
      </w:r>
    </w:p>
    <w:p>
      <w:pPr>
        <w:spacing w:line="240" w:lineRule="auto" w:before="8"/>
        <w:rPr>
          <w:rFonts w:ascii="宋体" w:hAnsi="宋体" w:cs="宋体" w:eastAsia="宋体" w:hint="default"/>
          <w:sz w:val="15"/>
          <w:szCs w:val="15"/>
        </w:rPr>
      </w:pPr>
    </w:p>
    <w:p>
      <w:pPr>
        <w:pStyle w:val="Heading4"/>
        <w:spacing w:line="240" w:lineRule="auto"/>
        <w:ind w:right="102"/>
        <w:jc w:val="left"/>
        <w:rPr>
          <w:b w:val="0"/>
          <w:bCs w:val="0"/>
        </w:rPr>
      </w:pPr>
      <w:r>
        <w:rPr/>
        <w:t>（十八）</w:t>
      </w:r>
      <w:r>
        <w:rPr>
          <w:spacing w:val="70"/>
        </w:rPr>
        <w:t> </w:t>
      </w:r>
      <w:r>
        <w:rPr/>
        <w:t>预收账款</w:t>
      </w:r>
      <w:r>
        <w:rPr>
          <w:b w:val="0"/>
          <w:bCs w:val="0"/>
        </w:rPr>
      </w:r>
    </w:p>
    <w:p>
      <w:pPr>
        <w:spacing w:line="240" w:lineRule="auto" w:before="4"/>
        <w:rPr>
          <w:rFonts w:ascii="宋体" w:hAnsi="宋体" w:cs="宋体" w:eastAsia="宋体" w:hint="default"/>
          <w:b/>
          <w:bCs/>
          <w:sz w:val="14"/>
          <w:szCs w:val="14"/>
        </w:rPr>
      </w:pPr>
    </w:p>
    <w:tbl>
      <w:tblPr>
        <w:tblW w:w="0" w:type="auto"/>
        <w:jc w:val="left"/>
        <w:tblInd w:w="732" w:type="dxa"/>
        <w:tblLayout w:type="fixed"/>
        <w:tblCellMar>
          <w:top w:w="0" w:type="dxa"/>
          <w:left w:w="0" w:type="dxa"/>
          <w:bottom w:w="0" w:type="dxa"/>
          <w:right w:w="0" w:type="dxa"/>
        </w:tblCellMar>
        <w:tblLook w:val="01E0"/>
      </w:tblPr>
      <w:tblGrid>
        <w:gridCol w:w="2610"/>
        <w:gridCol w:w="2250"/>
        <w:gridCol w:w="2250"/>
      </w:tblGrid>
      <w:tr>
        <w:trPr>
          <w:trHeight w:val="350" w:hRule="exac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b/>
                <w:bCs/>
                <w:sz w:val="21"/>
                <w:szCs w:val="21"/>
              </w:rPr>
              <w:t>账龄结构</w:t>
            </w:r>
            <w:r>
              <w:rPr>
                <w:rFonts w:ascii="宋体" w:hAnsi="宋体" w:cs="宋体" w:eastAsia="宋体" w:hint="default"/>
                <w:sz w:val="21"/>
                <w:szCs w:val="21"/>
              </w:rPr>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年初数</w:t>
            </w:r>
            <w:r>
              <w:rPr>
                <w:rFonts w:ascii="宋体" w:hAnsi="宋体" w:cs="宋体" w:eastAsia="宋体" w:hint="default"/>
                <w:sz w:val="21"/>
                <w:szCs w:val="21"/>
              </w:rPr>
            </w:r>
          </w:p>
        </w:tc>
      </w:tr>
      <w:tr>
        <w:trPr>
          <w:trHeight w:val="349" w:hRule="exac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1"/>
                <w:szCs w:val="21"/>
              </w:rPr>
            </w:pPr>
            <w:r>
              <w:rPr>
                <w:rFonts w:ascii="Times New Roman"/>
                <w:spacing w:val="-1"/>
                <w:sz w:val="21"/>
              </w:rPr>
              <w:t>247,450,671.56</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1"/>
                <w:szCs w:val="21"/>
              </w:rPr>
            </w:pPr>
            <w:r>
              <w:rPr>
                <w:rFonts w:ascii="Times New Roman"/>
                <w:spacing w:val="-1"/>
                <w:sz w:val="21"/>
              </w:rPr>
              <w:t>136,460,581.83</w:t>
            </w:r>
          </w:p>
        </w:tc>
      </w:tr>
      <w:tr>
        <w:trPr>
          <w:trHeight w:val="350" w:hRule="exac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1"/>
                <w:szCs w:val="21"/>
              </w:rPr>
            </w:pPr>
            <w:r>
              <w:rPr>
                <w:rFonts w:ascii="Times New Roman"/>
                <w:spacing w:val="-1"/>
                <w:sz w:val="21"/>
              </w:rPr>
              <w:t>2,315.63</w:t>
            </w:r>
            <w:r>
              <w:rPr>
                <w:rFonts w:ascii="Times New Roman"/>
                <w:sz w:val="21"/>
              </w:rPr>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3"/>
              <w:jc w:val="right"/>
              <w:rPr>
                <w:rFonts w:ascii="Times New Roman" w:hAnsi="Times New Roman" w:cs="Times New Roman" w:eastAsia="Times New Roman" w:hint="default"/>
                <w:sz w:val="21"/>
                <w:szCs w:val="21"/>
              </w:rPr>
            </w:pPr>
            <w:r>
              <w:rPr>
                <w:rFonts w:ascii="Times New Roman"/>
                <w:spacing w:val="-1"/>
                <w:sz w:val="21"/>
              </w:rPr>
              <w:t>105.00</w:t>
            </w:r>
            <w:r>
              <w:rPr>
                <w:rFonts w:ascii="Times New Roman"/>
                <w:sz w:val="21"/>
              </w:rPr>
            </w:r>
          </w:p>
        </w:tc>
      </w:tr>
      <w:tr>
        <w:trPr>
          <w:trHeight w:val="350" w:hRule="exac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105.00</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49" w:hRule="exac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50" w:hRule="exact"/>
        </w:trPr>
        <w:tc>
          <w:tcPr>
            <w:tcW w:w="2610"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1"/>
                <w:szCs w:val="21"/>
              </w:rPr>
            </w:pPr>
            <w:r>
              <w:rPr>
                <w:rFonts w:ascii="Times New Roman"/>
                <w:spacing w:val="-1"/>
                <w:sz w:val="21"/>
              </w:rPr>
              <w:t>247,453,092.19</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1"/>
                <w:szCs w:val="21"/>
              </w:rPr>
            </w:pPr>
            <w:r>
              <w:rPr>
                <w:rFonts w:ascii="Times New Roman"/>
                <w:spacing w:val="-1"/>
                <w:sz w:val="21"/>
              </w:rPr>
              <w:t>136,460,686.83</w:t>
            </w:r>
          </w:p>
        </w:tc>
      </w:tr>
    </w:tbl>
    <w:p>
      <w:pPr>
        <w:spacing w:after="0" w:line="240" w:lineRule="auto"/>
        <w:jc w:val="right"/>
        <w:rPr>
          <w:rFonts w:ascii="Times New Roman" w:hAnsi="Times New Roman" w:cs="Times New Roman" w:eastAsia="Times New Roman" w:hint="default"/>
          <w:sz w:val="21"/>
          <w:szCs w:val="21"/>
        </w:rPr>
        <w:sectPr>
          <w:pgSz w:w="11910" w:h="16840"/>
          <w:pgMar w:header="400" w:footer="982" w:top="1100" w:bottom="1180" w:left="1660" w:right="1580"/>
        </w:sectPr>
      </w:pPr>
    </w:p>
    <w:p>
      <w:pPr>
        <w:spacing w:line="240" w:lineRule="auto" w:before="10"/>
        <w:rPr>
          <w:rFonts w:ascii="宋体" w:hAnsi="宋体" w:cs="宋体" w:eastAsia="宋体" w:hint="default"/>
          <w:b/>
          <w:bCs/>
          <w:sz w:val="22"/>
          <w:szCs w:val="22"/>
        </w:rPr>
      </w:pPr>
    </w:p>
    <w:p>
      <w:pPr>
        <w:pStyle w:val="BodyText"/>
        <w:spacing w:line="240" w:lineRule="auto" w:before="35"/>
        <w:ind w:left="800" w:right="266"/>
        <w:jc w:val="left"/>
      </w:pPr>
      <w:r>
        <w:rPr/>
        <w:t>1、年末余额中无欠持本公司</w:t>
      </w:r>
      <w:r>
        <w:rPr>
          <w:spacing w:val="-55"/>
        </w:rPr>
        <w:t> </w:t>
      </w:r>
      <w:r>
        <w:rPr>
          <w:rFonts w:ascii="Times New Roman" w:hAnsi="Times New Roman" w:cs="Times New Roman" w:eastAsia="Times New Roman" w:hint="default"/>
        </w:rPr>
        <w:t>5</w:t>
      </w:r>
      <w:r>
        <w:rPr/>
        <w:t>％以上（含</w:t>
      </w:r>
      <w:r>
        <w:rPr>
          <w:spacing w:val="-56"/>
        </w:rPr>
        <w:t> </w:t>
      </w:r>
      <w:r>
        <w:rPr>
          <w:rFonts w:ascii="Times New Roman" w:hAnsi="Times New Roman" w:cs="Times New Roman" w:eastAsia="Times New Roman" w:hint="default"/>
        </w:rPr>
        <w:t>5</w:t>
      </w:r>
      <w:r>
        <w:rPr/>
        <w:t>％）表决权股份的股东款项。</w:t>
      </w:r>
    </w:p>
    <w:p>
      <w:pPr>
        <w:pStyle w:val="BodyText"/>
        <w:spacing w:line="240" w:lineRule="auto" w:before="29"/>
        <w:ind w:left="800" w:right="266"/>
        <w:jc w:val="left"/>
      </w:pPr>
      <w:r>
        <w:rPr/>
        <w:t>2、年末余额中无欠关联方款项。</w:t>
      </w:r>
    </w:p>
    <w:p>
      <w:pPr>
        <w:pStyle w:val="BodyText"/>
        <w:spacing w:line="264" w:lineRule="auto" w:before="44"/>
        <w:ind w:left="380" w:right="266" w:firstLine="419"/>
        <w:jc w:val="left"/>
      </w:pPr>
      <w:r>
        <w:rPr>
          <w:spacing w:val="-3"/>
        </w:rPr>
        <w:t>3、预收账款年末数比年初数增加</w:t>
      </w:r>
      <w:r>
        <w:rPr>
          <w:spacing w:val="-54"/>
        </w:rPr>
        <w:t> </w:t>
      </w:r>
      <w:r>
        <w:rPr>
          <w:rFonts w:ascii="Times New Roman" w:hAnsi="Times New Roman" w:cs="Times New Roman" w:eastAsia="Times New Roman" w:hint="default"/>
        </w:rPr>
        <w:t>110,992,405.36</w:t>
      </w:r>
      <w:r>
        <w:rPr>
          <w:rFonts w:ascii="Times New Roman" w:hAnsi="Times New Roman" w:cs="Times New Roman" w:eastAsia="Times New Roman" w:hint="default"/>
          <w:spacing w:val="-2"/>
        </w:rPr>
        <w:t> </w:t>
      </w:r>
      <w:r>
        <w:rPr>
          <w:spacing w:val="-5"/>
        </w:rPr>
        <w:t>元，增加比例为</w:t>
      </w:r>
      <w:r>
        <w:rPr>
          <w:spacing w:val="-54"/>
        </w:rPr>
        <w:t> </w:t>
      </w:r>
      <w:r>
        <w:rPr>
          <w:rFonts w:ascii="Times New Roman" w:hAnsi="Times New Roman" w:cs="Times New Roman" w:eastAsia="Times New Roman" w:hint="default"/>
          <w:spacing w:val="-3"/>
        </w:rPr>
        <w:t>81.34%</w:t>
      </w:r>
      <w:r>
        <w:rPr>
          <w:spacing w:val="-3"/>
        </w:rPr>
        <w:t>，变动原因为：</w:t>
      </w:r>
      <w:r>
        <w:rPr/>
        <w:t> 本期收取的预收款增加。</w:t>
      </w:r>
    </w:p>
    <w:p>
      <w:pPr>
        <w:spacing w:line="240" w:lineRule="auto" w:before="12"/>
        <w:rPr>
          <w:rFonts w:ascii="宋体" w:hAnsi="宋体" w:cs="宋体" w:eastAsia="宋体" w:hint="default"/>
          <w:sz w:val="19"/>
          <w:szCs w:val="19"/>
        </w:rPr>
      </w:pPr>
    </w:p>
    <w:p>
      <w:pPr>
        <w:pStyle w:val="Heading4"/>
        <w:spacing w:line="240" w:lineRule="auto"/>
        <w:ind w:left="800" w:right="266"/>
        <w:jc w:val="left"/>
        <w:rPr>
          <w:b w:val="0"/>
          <w:bCs w:val="0"/>
        </w:rPr>
      </w:pPr>
      <w:r>
        <w:rPr/>
        <w:t>（十九）</w:t>
      </w:r>
      <w:r>
        <w:rPr>
          <w:spacing w:val="65"/>
        </w:rPr>
        <w:t> </w:t>
      </w:r>
      <w:r>
        <w:rPr/>
        <w:t>应付职工薪酬</w:t>
      </w:r>
      <w:r>
        <w:rPr>
          <w:b w:val="0"/>
          <w:bCs w:val="0"/>
        </w:rPr>
      </w:r>
    </w:p>
    <w:p>
      <w:pPr>
        <w:spacing w:line="240" w:lineRule="auto" w:before="4"/>
        <w:rPr>
          <w:rFonts w:ascii="宋体" w:hAnsi="宋体" w:cs="宋体" w:eastAsia="宋体" w:hint="default"/>
          <w:b/>
          <w:bCs/>
          <w:sz w:val="14"/>
          <w:szCs w:val="14"/>
        </w:rPr>
      </w:pPr>
    </w:p>
    <w:tbl>
      <w:tblPr>
        <w:tblW w:w="0" w:type="auto"/>
        <w:jc w:val="left"/>
        <w:tblInd w:w="110" w:type="dxa"/>
        <w:tblLayout w:type="fixed"/>
        <w:tblCellMar>
          <w:top w:w="0" w:type="dxa"/>
          <w:left w:w="0" w:type="dxa"/>
          <w:bottom w:w="0" w:type="dxa"/>
          <w:right w:w="0" w:type="dxa"/>
        </w:tblCellMar>
        <w:tblLook w:val="01E0"/>
      </w:tblPr>
      <w:tblGrid>
        <w:gridCol w:w="2910"/>
        <w:gridCol w:w="1442"/>
        <w:gridCol w:w="1526"/>
        <w:gridCol w:w="1526"/>
        <w:gridCol w:w="1430"/>
      </w:tblGrid>
      <w:tr>
        <w:trPr>
          <w:trHeight w:val="322"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00" w:right="0"/>
              <w:jc w:val="left"/>
              <w:rPr>
                <w:rFonts w:ascii="宋体" w:hAnsi="宋体" w:cs="宋体" w:eastAsia="宋体" w:hint="default"/>
                <w:sz w:val="21"/>
                <w:szCs w:val="21"/>
              </w:rPr>
            </w:pPr>
            <w:r>
              <w:rPr>
                <w:rFonts w:ascii="宋体" w:hAnsi="宋体" w:cs="宋体" w:eastAsia="宋体" w:hint="default"/>
                <w:b/>
                <w:bCs/>
                <w:sz w:val="21"/>
                <w:szCs w:val="21"/>
              </w:rPr>
              <w:t>年初数</w:t>
            </w:r>
            <w:r>
              <w:rPr>
                <w:rFonts w:ascii="宋体" w:hAnsi="宋体" w:cs="宋体" w:eastAsia="宋体" w:hint="default"/>
                <w:sz w:val="21"/>
                <w:szCs w:val="21"/>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36"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36" w:right="0"/>
              <w:jc w:val="left"/>
              <w:rPr>
                <w:rFonts w:ascii="宋体" w:hAnsi="宋体" w:cs="宋体" w:eastAsia="宋体" w:hint="default"/>
                <w:sz w:val="21"/>
                <w:szCs w:val="21"/>
              </w:rPr>
            </w:pPr>
            <w:r>
              <w:rPr>
                <w:rFonts w:ascii="宋体" w:hAnsi="宋体" w:cs="宋体" w:eastAsia="宋体" w:hint="default"/>
                <w:b/>
                <w:bCs/>
                <w:sz w:val="21"/>
                <w:szCs w:val="21"/>
              </w:rPr>
              <w:t>本年支付</w:t>
            </w:r>
            <w:r>
              <w:rPr>
                <w:rFonts w:ascii="宋体" w:hAnsi="宋体" w:cs="宋体" w:eastAsia="宋体" w:hint="default"/>
                <w:sz w:val="21"/>
                <w:szCs w:val="21"/>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94" w:right="0"/>
              <w:jc w:val="left"/>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r>
      <w:tr>
        <w:trPr>
          <w:trHeight w:val="32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一、工资、奖金、津贴和补贴</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23,377,680.00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105,907,445.97</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102,684,493.97</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26,600,632.00</w:t>
            </w:r>
          </w:p>
        </w:tc>
      </w:tr>
      <w:tr>
        <w:trPr>
          <w:trHeight w:val="322"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6,988,233.39</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122,080.94</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4,498,039.56</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2,612,274.77</w:t>
            </w:r>
          </w:p>
        </w:tc>
      </w:tr>
      <w:tr>
        <w:trPr>
          <w:trHeight w:val="322"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5,609,700.77</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5,609,700.77</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48,949.00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3,062,331.00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2"/>
                <w:sz w:val="21"/>
              </w:rPr>
              <w:t>3,111,280.00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2"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五、工会经费和职工教育经费</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2,290,304.00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1,116,518.18</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3,138,934.17</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267,888.01</w:t>
            </w:r>
          </w:p>
        </w:tc>
      </w:tr>
      <w:tr>
        <w:trPr>
          <w:trHeight w:val="32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32,705,166.39</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115,818,076.86</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119,042,448.47</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29,480,794.78</w:t>
            </w:r>
          </w:p>
        </w:tc>
      </w:tr>
    </w:tbl>
    <w:p>
      <w:pPr>
        <w:spacing w:line="240" w:lineRule="auto" w:before="5"/>
        <w:rPr>
          <w:rFonts w:ascii="宋体" w:hAnsi="宋体" w:cs="宋体" w:eastAsia="宋体" w:hint="default"/>
          <w:b/>
          <w:bCs/>
          <w:sz w:val="16"/>
          <w:szCs w:val="16"/>
        </w:rPr>
      </w:pPr>
    </w:p>
    <w:p>
      <w:pPr>
        <w:pStyle w:val="Heading4"/>
        <w:spacing w:line="240" w:lineRule="auto" w:before="35"/>
        <w:ind w:left="800" w:right="266"/>
        <w:jc w:val="left"/>
        <w:rPr>
          <w:b w:val="0"/>
          <w:bCs w:val="0"/>
        </w:rPr>
      </w:pPr>
      <w:r>
        <w:rPr/>
        <w:t>（二十）</w:t>
      </w:r>
      <w:r>
        <w:rPr>
          <w:spacing w:val="70"/>
        </w:rPr>
        <w:t> </w:t>
      </w:r>
      <w:r>
        <w:rPr/>
        <w:t>应交税费</w:t>
      </w:r>
      <w:r>
        <w:rPr>
          <w:b w:val="0"/>
          <w:bCs w:val="0"/>
        </w:rPr>
      </w:r>
    </w:p>
    <w:p>
      <w:pPr>
        <w:spacing w:line="240" w:lineRule="auto" w:before="4"/>
        <w:rPr>
          <w:rFonts w:ascii="宋体" w:hAnsi="宋体" w:cs="宋体" w:eastAsia="宋体" w:hint="default"/>
          <w:b/>
          <w:bCs/>
          <w:sz w:val="14"/>
          <w:szCs w:val="14"/>
        </w:rPr>
      </w:pPr>
    </w:p>
    <w:tbl>
      <w:tblPr>
        <w:tblW w:w="0" w:type="auto"/>
        <w:jc w:val="left"/>
        <w:tblInd w:w="408" w:type="dxa"/>
        <w:tblLayout w:type="fixed"/>
        <w:tblCellMar>
          <w:top w:w="0" w:type="dxa"/>
          <w:left w:w="0" w:type="dxa"/>
          <w:bottom w:w="0" w:type="dxa"/>
          <w:right w:w="0" w:type="dxa"/>
        </w:tblCellMar>
        <w:tblLook w:val="01E0"/>
      </w:tblPr>
      <w:tblGrid>
        <w:gridCol w:w="1980"/>
        <w:gridCol w:w="1800"/>
        <w:gridCol w:w="1745"/>
        <w:gridCol w:w="2713"/>
      </w:tblGrid>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税</w:t>
              <w:tab/>
            </w:r>
            <w:r>
              <w:rPr>
                <w:rFonts w:ascii="宋体" w:hAnsi="宋体" w:cs="宋体" w:eastAsia="宋体" w:hint="default"/>
                <w:b/>
                <w:bCs/>
                <w:sz w:val="21"/>
                <w:szCs w:val="21"/>
              </w:rPr>
              <w:t>种</w:t>
            </w:r>
            <w:r>
              <w:rPr>
                <w:rFonts w:ascii="宋体" w:hAnsi="宋体" w:cs="宋体" w:eastAsia="宋体" w:hint="default"/>
                <w:sz w:val="21"/>
                <w:szCs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78" w:right="0"/>
              <w:jc w:val="left"/>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49" w:right="0"/>
              <w:jc w:val="left"/>
              <w:rPr>
                <w:rFonts w:ascii="宋体" w:hAnsi="宋体" w:cs="宋体" w:eastAsia="宋体" w:hint="default"/>
                <w:sz w:val="21"/>
                <w:szCs w:val="21"/>
              </w:rPr>
            </w:pPr>
            <w:r>
              <w:rPr>
                <w:rFonts w:ascii="宋体" w:hAnsi="宋体" w:cs="宋体" w:eastAsia="宋体" w:hint="default"/>
                <w:b/>
                <w:bCs/>
                <w:sz w:val="21"/>
                <w:szCs w:val="21"/>
              </w:rPr>
              <w:t>年初数</w:t>
            </w:r>
            <w:r>
              <w:rPr>
                <w:rFonts w:ascii="宋体" w:hAnsi="宋体" w:cs="宋体" w:eastAsia="宋体" w:hint="default"/>
                <w:sz w:val="21"/>
                <w:szCs w:val="21"/>
              </w:rPr>
            </w:r>
          </w:p>
        </w:tc>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02" w:right="0"/>
              <w:jc w:val="left"/>
              <w:rPr>
                <w:rFonts w:ascii="宋体" w:hAnsi="宋体" w:cs="宋体" w:eastAsia="宋体" w:hint="default"/>
                <w:sz w:val="21"/>
                <w:szCs w:val="21"/>
              </w:rPr>
            </w:pPr>
            <w:r>
              <w:rPr>
                <w:rFonts w:ascii="宋体" w:hAnsi="宋体" w:cs="宋体" w:eastAsia="宋体" w:hint="default"/>
                <w:b/>
                <w:bCs/>
                <w:sz w:val="21"/>
                <w:szCs w:val="21"/>
              </w:rPr>
              <w:t>本年执行的法定税率</w:t>
            </w:r>
            <w:r>
              <w:rPr>
                <w:rFonts w:ascii="宋体" w:hAnsi="宋体" w:cs="宋体" w:eastAsia="宋体" w:hint="default"/>
                <w:sz w:val="21"/>
                <w:szCs w:val="21"/>
              </w:rPr>
            </w:r>
          </w:p>
        </w:tc>
      </w:tr>
      <w:tr>
        <w:trPr>
          <w:trHeight w:val="32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增值税</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67,224,164.86</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30,175,463.83</w:t>
            </w:r>
          </w:p>
        </w:tc>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17%</w:t>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营业税</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619,448.27</w:t>
            </w:r>
            <w:r>
              <w:rPr>
                <w:rFonts w:ascii="Times New Roman"/>
                <w:sz w:val="21"/>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445,295.47</w:t>
            </w:r>
            <w:r>
              <w:rPr>
                <w:rFonts w:ascii="Times New Roman"/>
                <w:sz w:val="21"/>
              </w:rPr>
            </w:r>
          </w:p>
        </w:tc>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z w:val="21"/>
              </w:rPr>
              <w:t>5%</w:t>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企业所得税</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-25,203,414.75</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12,112,401.16</w:t>
            </w:r>
          </w:p>
        </w:tc>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10%</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18%</w:t>
            </w:r>
          </w:p>
        </w:tc>
      </w:tr>
      <w:tr>
        <w:trPr>
          <w:trHeight w:val="32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城市维护建设税</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4,680,512.55</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2,114,368.26</w:t>
            </w:r>
          </w:p>
        </w:tc>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1"/>
                <w:szCs w:val="21"/>
              </w:rPr>
            </w:pPr>
            <w:r>
              <w:rPr>
                <w:rFonts w:ascii="宋体" w:hAnsi="宋体" w:cs="宋体" w:eastAsia="宋体" w:hint="default"/>
                <w:sz w:val="21"/>
                <w:szCs w:val="21"/>
              </w:rPr>
              <w:t>流转税的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宋体" w:hAnsi="宋体" w:cs="宋体" w:eastAsia="宋体" w:hint="default"/>
                <w:sz w:val="21"/>
                <w:szCs w:val="21"/>
              </w:rPr>
              <w:t>或</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个人所得税</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362,195.77</w:t>
            </w:r>
            <w:r>
              <w:rPr>
                <w:rFonts w:ascii="Times New Roman"/>
                <w:sz w:val="21"/>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169,935.86</w:t>
            </w:r>
            <w:r>
              <w:rPr>
                <w:rFonts w:ascii="Times New Roman"/>
                <w:sz w:val="21"/>
              </w:rPr>
            </w:r>
          </w:p>
        </w:tc>
        <w:tc>
          <w:tcPr>
            <w:tcW w:w="27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教育费附加</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2,035,705.72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920,247.48</w:t>
            </w:r>
          </w:p>
        </w:tc>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99"/>
              <w:jc w:val="right"/>
              <w:rPr>
                <w:rFonts w:ascii="Times New Roman" w:hAnsi="Times New Roman" w:cs="Times New Roman" w:eastAsia="Times New Roman" w:hint="default"/>
                <w:sz w:val="21"/>
                <w:szCs w:val="21"/>
              </w:rPr>
            </w:pPr>
            <w:r>
              <w:rPr>
                <w:rFonts w:ascii="宋体" w:hAnsi="宋体" w:cs="宋体" w:eastAsia="宋体" w:hint="default"/>
                <w:sz w:val="21"/>
                <w:szCs w:val="21"/>
              </w:rPr>
              <w:t>流转税的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32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堤围防护费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1,563,671.65</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1,009,069.63</w:t>
            </w:r>
          </w:p>
        </w:tc>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99"/>
              <w:jc w:val="right"/>
              <w:rPr>
                <w:rFonts w:ascii="Times New Roman" w:hAnsi="Times New Roman" w:cs="Times New Roman" w:eastAsia="Times New Roman" w:hint="default"/>
                <w:sz w:val="21"/>
                <w:szCs w:val="21"/>
              </w:rPr>
            </w:pPr>
            <w:r>
              <w:rPr>
                <w:rFonts w:ascii="宋体" w:hAnsi="宋体" w:cs="宋体" w:eastAsia="宋体" w:hint="default"/>
                <w:sz w:val="21"/>
                <w:szCs w:val="21"/>
              </w:rPr>
              <w:t>流转税应税收入的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0.13%</w:t>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51,282,284.07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46,946,781.69</w:t>
            </w:r>
          </w:p>
        </w:tc>
        <w:tc>
          <w:tcPr>
            <w:tcW w:w="27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b/>
          <w:bCs/>
          <w:sz w:val="16"/>
          <w:szCs w:val="16"/>
        </w:rPr>
      </w:pPr>
    </w:p>
    <w:p>
      <w:pPr>
        <w:pStyle w:val="Heading4"/>
        <w:tabs>
          <w:tab w:pos="2059" w:val="left" w:leader="none"/>
        </w:tabs>
        <w:spacing w:line="240" w:lineRule="auto" w:before="35"/>
        <w:ind w:left="800" w:right="266"/>
        <w:jc w:val="left"/>
        <w:rPr>
          <w:b w:val="0"/>
          <w:bCs w:val="0"/>
        </w:rPr>
      </w:pPr>
      <w:r>
        <w:rPr>
          <w:w w:val="95"/>
        </w:rPr>
        <w:t>（二十一）</w:t>
        <w:tab/>
      </w:r>
      <w:r>
        <w:rPr/>
        <w:t>其他应付款</w:t>
      </w:r>
      <w:r>
        <w:rPr>
          <w:b w:val="0"/>
          <w:bCs w:val="0"/>
        </w:rPr>
      </w:r>
    </w:p>
    <w:p>
      <w:pPr>
        <w:spacing w:line="240" w:lineRule="auto" w:before="6"/>
        <w:rPr>
          <w:rFonts w:ascii="宋体" w:hAnsi="宋体" w:cs="宋体" w:eastAsia="宋体" w:hint="default"/>
          <w:b/>
          <w:bCs/>
          <w:sz w:val="14"/>
          <w:szCs w:val="14"/>
        </w:rPr>
      </w:pPr>
    </w:p>
    <w:tbl>
      <w:tblPr>
        <w:tblW w:w="0" w:type="auto"/>
        <w:jc w:val="left"/>
        <w:tblInd w:w="1169" w:type="dxa"/>
        <w:tblLayout w:type="fixed"/>
        <w:tblCellMar>
          <w:top w:w="0" w:type="dxa"/>
          <w:left w:w="0" w:type="dxa"/>
          <w:bottom w:w="0" w:type="dxa"/>
          <w:right w:w="0" w:type="dxa"/>
        </w:tblCellMar>
        <w:tblLook w:val="01E0"/>
      </w:tblPr>
      <w:tblGrid>
        <w:gridCol w:w="3118"/>
        <w:gridCol w:w="1800"/>
        <w:gridCol w:w="1800"/>
      </w:tblGrid>
      <w:tr>
        <w:trPr>
          <w:trHeight w:val="349"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74" w:lineRule="exact"/>
              <w:ind w:right="1"/>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8" w:right="0"/>
              <w:jc w:val="left"/>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8" w:right="0"/>
              <w:jc w:val="left"/>
              <w:rPr>
                <w:rFonts w:ascii="宋体" w:hAnsi="宋体" w:cs="宋体" w:eastAsia="宋体" w:hint="default"/>
                <w:sz w:val="21"/>
                <w:szCs w:val="21"/>
              </w:rPr>
            </w:pPr>
            <w:r>
              <w:rPr>
                <w:rFonts w:ascii="宋体" w:hAnsi="宋体" w:cs="宋体" w:eastAsia="宋体" w:hint="default"/>
                <w:b/>
                <w:bCs/>
                <w:sz w:val="21"/>
                <w:szCs w:val="21"/>
              </w:rPr>
              <w:t>年初数</w:t>
            </w:r>
            <w:r>
              <w:rPr>
                <w:rFonts w:ascii="宋体" w:hAnsi="宋体" w:cs="宋体" w:eastAsia="宋体" w:hint="default"/>
                <w:sz w:val="21"/>
                <w:szCs w:val="21"/>
              </w:rPr>
            </w:r>
          </w:p>
        </w:tc>
      </w:tr>
      <w:tr>
        <w:trPr>
          <w:trHeight w:val="350"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spacing w:val="-1"/>
                <w:sz w:val="21"/>
              </w:rPr>
              <w:t>12,282,380.29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spacing w:val="-1"/>
                <w:sz w:val="21"/>
              </w:rPr>
              <w:t>4,360,895.38</w:t>
            </w:r>
          </w:p>
        </w:tc>
      </w:tr>
      <w:tr>
        <w:trPr>
          <w:trHeight w:val="350"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1"/>
                <w:szCs w:val="21"/>
              </w:rPr>
            </w:pPr>
            <w:r>
              <w:rPr>
                <w:rFonts w:ascii="Times New Roman"/>
                <w:spacing w:val="-1"/>
                <w:sz w:val="21"/>
              </w:rPr>
              <w:t>487,070.09</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4"/>
              <w:jc w:val="right"/>
              <w:rPr>
                <w:rFonts w:ascii="Times New Roman" w:hAnsi="Times New Roman" w:cs="Times New Roman" w:eastAsia="Times New Roman" w:hint="default"/>
                <w:sz w:val="21"/>
                <w:szCs w:val="21"/>
              </w:rPr>
            </w:pPr>
            <w:r>
              <w:rPr>
                <w:rFonts w:ascii="Times New Roman"/>
                <w:spacing w:val="-1"/>
                <w:sz w:val="21"/>
              </w:rPr>
              <w:t>261,276.60</w:t>
            </w:r>
            <w:r>
              <w:rPr>
                <w:rFonts w:ascii="Times New Roman"/>
                <w:sz w:val="21"/>
              </w:rPr>
            </w:r>
          </w:p>
        </w:tc>
      </w:tr>
      <w:tr>
        <w:trPr>
          <w:trHeight w:val="349"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3"/>
              <w:jc w:val="right"/>
              <w:rPr>
                <w:rFonts w:ascii="Times New Roman" w:hAnsi="Times New Roman" w:cs="Times New Roman" w:eastAsia="Times New Roman" w:hint="default"/>
                <w:sz w:val="21"/>
                <w:szCs w:val="21"/>
              </w:rPr>
            </w:pPr>
            <w:r>
              <w:rPr>
                <w:rFonts w:ascii="Times New Roman"/>
                <w:spacing w:val="-1"/>
                <w:sz w:val="21"/>
              </w:rPr>
              <w:t>108,076.60</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3"/>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r>
      <w:tr>
        <w:trPr>
          <w:trHeight w:val="350"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1"/>
                <w:szCs w:val="21"/>
              </w:rPr>
            </w:pPr>
            <w:r>
              <w:rPr>
                <w:rFonts w:ascii="Times New Roman"/>
                <w:spacing w:val="-1"/>
                <w:sz w:val="21"/>
              </w:rPr>
              <w:t>122,500.00</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4"/>
              <w:jc w:val="right"/>
              <w:rPr>
                <w:rFonts w:ascii="Times New Roman" w:hAnsi="Times New Roman" w:cs="Times New Roman" w:eastAsia="Times New Roman" w:hint="default"/>
                <w:sz w:val="21"/>
                <w:szCs w:val="21"/>
              </w:rPr>
            </w:pPr>
            <w:r>
              <w:rPr>
                <w:rFonts w:ascii="Times New Roman"/>
                <w:spacing w:val="-1"/>
                <w:sz w:val="21"/>
              </w:rPr>
              <w:t>122,500.00</w:t>
            </w:r>
            <w:r>
              <w:rPr>
                <w:rFonts w:ascii="Times New Roman"/>
                <w:sz w:val="21"/>
              </w:rPr>
            </w:r>
          </w:p>
        </w:tc>
      </w:tr>
      <w:tr>
        <w:trPr>
          <w:trHeight w:val="350"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spacing w:val="-1"/>
                <w:sz w:val="21"/>
              </w:rPr>
              <w:t>13,000,026.98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spacing w:val="-1"/>
                <w:sz w:val="21"/>
              </w:rPr>
              <w:t>4,744,671.98</w:t>
            </w:r>
          </w:p>
        </w:tc>
      </w:tr>
      <w:tr>
        <w:trPr>
          <w:trHeight w:val="350"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其中：预提费用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spacing w:val="-1"/>
                <w:sz w:val="21"/>
              </w:rPr>
              <w:t>10,257,163.00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spacing w:val="-1"/>
                <w:sz w:val="21"/>
              </w:rPr>
              <w:t>3,373,580.00</w:t>
            </w:r>
          </w:p>
        </w:tc>
      </w:tr>
    </w:tbl>
    <w:p>
      <w:pPr>
        <w:spacing w:line="240" w:lineRule="auto" w:before="3"/>
        <w:rPr>
          <w:rFonts w:ascii="宋体" w:hAnsi="宋体" w:cs="宋体" w:eastAsia="宋体" w:hint="default"/>
          <w:b/>
          <w:bCs/>
          <w:sz w:val="10"/>
          <w:szCs w:val="10"/>
        </w:rPr>
      </w:pPr>
    </w:p>
    <w:p>
      <w:pPr>
        <w:pStyle w:val="BodyText"/>
        <w:spacing w:line="240" w:lineRule="auto" w:before="35"/>
        <w:ind w:left="800" w:right="266"/>
        <w:jc w:val="left"/>
      </w:pPr>
      <w:r>
        <w:rPr/>
        <w:t>1、年末余额中无欠持本公司</w:t>
      </w:r>
      <w:r>
        <w:rPr>
          <w:spacing w:val="-56"/>
        </w:rPr>
        <w:t> </w:t>
      </w:r>
      <w:r>
        <w:rPr/>
        <w:t>5％以上（含</w:t>
      </w:r>
      <w:r>
        <w:rPr>
          <w:spacing w:val="-56"/>
        </w:rPr>
        <w:t> </w:t>
      </w:r>
      <w:r>
        <w:rPr/>
        <w:t>5％）表决权股份的股东款项。</w:t>
      </w:r>
    </w:p>
    <w:p>
      <w:pPr>
        <w:pStyle w:val="BodyText"/>
        <w:spacing w:line="240" w:lineRule="auto" w:before="44"/>
        <w:ind w:left="800" w:right="266"/>
        <w:jc w:val="left"/>
      </w:pPr>
      <w:r>
        <w:rPr/>
        <w:t>2、年末余额中无欠关联方款项。</w:t>
      </w:r>
    </w:p>
    <w:p>
      <w:pPr>
        <w:pStyle w:val="BodyText"/>
        <w:spacing w:line="240" w:lineRule="auto" w:before="45"/>
        <w:ind w:left="800" w:right="266"/>
        <w:jc w:val="left"/>
      </w:pPr>
      <w:r>
        <w:rPr/>
        <w:t>3、账龄超过一年的其他应付款:</w:t>
      </w:r>
    </w:p>
    <w:p>
      <w:pPr>
        <w:spacing w:line="240" w:lineRule="auto" w:before="6"/>
        <w:rPr>
          <w:rFonts w:ascii="宋体" w:hAnsi="宋体" w:cs="宋体" w:eastAsia="宋体" w:hint="default"/>
          <w:sz w:val="14"/>
          <w:szCs w:val="14"/>
        </w:rPr>
      </w:pPr>
    </w:p>
    <w:tbl>
      <w:tblPr>
        <w:tblW w:w="0" w:type="auto"/>
        <w:jc w:val="left"/>
        <w:tblInd w:w="675" w:type="dxa"/>
        <w:tblLayout w:type="fixed"/>
        <w:tblCellMar>
          <w:top w:w="0" w:type="dxa"/>
          <w:left w:w="0" w:type="dxa"/>
          <w:bottom w:w="0" w:type="dxa"/>
          <w:right w:w="0" w:type="dxa"/>
        </w:tblCellMar>
        <w:tblLook w:val="01E0"/>
      </w:tblPr>
      <w:tblGrid>
        <w:gridCol w:w="2220"/>
        <w:gridCol w:w="1558"/>
        <w:gridCol w:w="2342"/>
        <w:gridCol w:w="1586"/>
      </w:tblGrid>
      <w:tr>
        <w:trPr>
          <w:trHeight w:val="322"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客户名称</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tabs>
                <w:tab w:pos="932" w:val="left" w:leader="none"/>
              </w:tabs>
              <w:spacing w:line="260" w:lineRule="exact"/>
              <w:ind w:left="404" w:right="0"/>
              <w:jc w:val="left"/>
              <w:rPr>
                <w:rFonts w:ascii="宋体" w:hAnsi="宋体" w:cs="宋体" w:eastAsia="宋体" w:hint="default"/>
                <w:sz w:val="21"/>
                <w:szCs w:val="21"/>
              </w:rPr>
            </w:pPr>
            <w:r>
              <w:rPr>
                <w:rFonts w:ascii="宋体" w:hAnsi="宋体" w:cs="宋体" w:eastAsia="宋体" w:hint="default"/>
                <w:b/>
                <w:bCs/>
                <w:w w:val="95"/>
                <w:sz w:val="21"/>
                <w:szCs w:val="21"/>
              </w:rPr>
              <w:t>金</w:t>
              <w:tab/>
            </w:r>
            <w:r>
              <w:rPr>
                <w:rFonts w:ascii="宋体" w:hAnsi="宋体" w:cs="宋体" w:eastAsia="宋体" w:hint="default"/>
                <w:b/>
                <w:bCs/>
                <w:sz w:val="21"/>
                <w:szCs w:val="21"/>
              </w:rPr>
              <w:t>额</w:t>
            </w:r>
            <w:r>
              <w:rPr>
                <w:rFonts w:ascii="宋体" w:hAnsi="宋体" w:cs="宋体" w:eastAsia="宋体" w:hint="default"/>
                <w:sz w:val="21"/>
                <w:szCs w:val="21"/>
              </w:rPr>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未偿还原因</w:t>
            </w:r>
            <w:r>
              <w:rPr>
                <w:rFonts w:ascii="宋体" w:hAnsi="宋体" w:cs="宋体" w:eastAsia="宋体" w:hint="default"/>
                <w:sz w:val="21"/>
                <w:szCs w:val="21"/>
              </w:rPr>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322"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电脑扣款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01" w:right="0"/>
              <w:jc w:val="left"/>
              <w:rPr>
                <w:rFonts w:ascii="Times New Roman" w:hAnsi="Times New Roman" w:cs="Times New Roman" w:eastAsia="Times New Roman" w:hint="default"/>
                <w:sz w:val="21"/>
                <w:szCs w:val="21"/>
              </w:rPr>
            </w:pPr>
            <w:r>
              <w:rPr>
                <w:rFonts w:ascii="Times New Roman"/>
                <w:sz w:val="21"/>
              </w:rPr>
              <w:t>587,646.69</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2"/>
              <w:jc w:val="center"/>
              <w:rPr>
                <w:rFonts w:ascii="宋体" w:hAnsi="宋体" w:cs="宋体" w:eastAsia="宋体" w:hint="default"/>
                <w:sz w:val="21"/>
                <w:szCs w:val="21"/>
              </w:rPr>
            </w:pPr>
            <w:r>
              <w:rPr>
                <w:rFonts w:ascii="宋体" w:hAnsi="宋体" w:cs="宋体" w:eastAsia="宋体" w:hint="default"/>
                <w:spacing w:val="-8"/>
                <w:sz w:val="21"/>
                <w:szCs w:val="21"/>
              </w:rPr>
              <w:t>电脑扣款（转让时支付）</w:t>
            </w: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集团拨付工龄补偿金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01" w:right="0"/>
              <w:jc w:val="left"/>
              <w:rPr>
                <w:rFonts w:ascii="Times New Roman" w:hAnsi="Times New Roman" w:cs="Times New Roman" w:eastAsia="Times New Roman" w:hint="default"/>
                <w:sz w:val="21"/>
                <w:szCs w:val="21"/>
              </w:rPr>
            </w:pPr>
            <w:r>
              <w:rPr>
                <w:rFonts w:ascii="Times New Roman"/>
                <w:sz w:val="21"/>
              </w:rPr>
              <w:t>100,000.00</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职工离职时支付</w:t>
            </w: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集团拨付住房补贴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52" w:right="0"/>
              <w:jc w:val="left"/>
              <w:rPr>
                <w:rFonts w:ascii="Times New Roman" w:hAnsi="Times New Roman" w:cs="Times New Roman" w:eastAsia="Times New Roman" w:hint="default"/>
                <w:sz w:val="21"/>
                <w:szCs w:val="21"/>
              </w:rPr>
            </w:pPr>
            <w:r>
              <w:rPr>
                <w:rFonts w:ascii="Times New Roman"/>
                <w:sz w:val="21"/>
              </w:rPr>
              <w:t>22,500.00</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职工离职时支付</w:t>
            </w: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05" w:right="0"/>
              <w:jc w:val="left"/>
              <w:rPr>
                <w:rFonts w:ascii="Times New Roman" w:hAnsi="Times New Roman" w:cs="Times New Roman" w:eastAsia="Times New Roman" w:hint="default"/>
                <w:sz w:val="21"/>
                <w:szCs w:val="21"/>
              </w:rPr>
            </w:pPr>
            <w:r>
              <w:rPr>
                <w:rFonts w:ascii="Times New Roman"/>
                <w:sz w:val="21"/>
              </w:rPr>
              <w:t>7,500.00</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暂未支付</w:t>
            </w:r>
          </w:p>
        </w:tc>
        <w:tc>
          <w:tcPr>
            <w:tcW w:w="15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400" w:footer="982" w:top="1100" w:bottom="1180" w:left="1420" w:right="1420"/>
        </w:sectPr>
      </w:pPr>
    </w:p>
    <w:p>
      <w:pPr>
        <w:spacing w:line="240" w:lineRule="auto" w:before="12"/>
        <w:rPr>
          <w:rFonts w:ascii="宋体" w:hAnsi="宋体" w:cs="宋体" w:eastAsia="宋体" w:hint="default"/>
          <w:sz w:val="28"/>
          <w:szCs w:val="28"/>
        </w:rPr>
      </w:pPr>
    </w:p>
    <w:p>
      <w:pPr>
        <w:pStyle w:val="BodyText"/>
        <w:spacing w:line="240" w:lineRule="auto" w:before="35"/>
        <w:ind w:left="1320" w:right="0"/>
        <w:jc w:val="left"/>
      </w:pPr>
      <w:r>
        <w:rPr/>
        <w:t>4、按费用类别列示预提费用:</w:t>
      </w:r>
    </w:p>
    <w:p>
      <w:pPr>
        <w:spacing w:line="240" w:lineRule="auto" w:before="4"/>
        <w:rPr>
          <w:rFonts w:ascii="宋体" w:hAnsi="宋体" w:cs="宋体" w:eastAsia="宋体" w:hint="default"/>
          <w:sz w:val="14"/>
          <w:szCs w:val="14"/>
        </w:rPr>
      </w:pPr>
    </w:p>
    <w:tbl>
      <w:tblPr>
        <w:tblW w:w="0" w:type="auto"/>
        <w:jc w:val="left"/>
        <w:tblInd w:w="1330" w:type="dxa"/>
        <w:tblLayout w:type="fixed"/>
        <w:tblCellMar>
          <w:top w:w="0" w:type="dxa"/>
          <w:left w:w="0" w:type="dxa"/>
          <w:bottom w:w="0" w:type="dxa"/>
          <w:right w:w="0" w:type="dxa"/>
        </w:tblCellMar>
        <w:tblLook w:val="01E0"/>
      </w:tblPr>
      <w:tblGrid>
        <w:gridCol w:w="1620"/>
        <w:gridCol w:w="1674"/>
        <w:gridCol w:w="1675"/>
        <w:gridCol w:w="2465"/>
      </w:tblGrid>
      <w:tr>
        <w:trPr>
          <w:trHeight w:val="32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费用类别</w:t>
            </w:r>
            <w:r>
              <w:rPr>
                <w:rFonts w:ascii="宋体" w:hAnsi="宋体" w:cs="宋体" w:eastAsia="宋体" w:hint="default"/>
                <w:sz w:val="21"/>
                <w:szCs w:val="21"/>
              </w:rPr>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年初数</w:t>
            </w:r>
            <w:r>
              <w:rPr>
                <w:rFonts w:ascii="宋体" w:hAnsi="宋体" w:cs="宋体" w:eastAsia="宋体" w:hint="default"/>
                <w:sz w:val="21"/>
                <w:szCs w:val="21"/>
              </w:rPr>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年末结余原因</w:t>
            </w:r>
            <w:r>
              <w:rPr>
                <w:rFonts w:ascii="宋体" w:hAnsi="宋体" w:cs="宋体" w:eastAsia="宋体" w:hint="default"/>
                <w:sz w:val="21"/>
                <w:szCs w:val="21"/>
              </w:rPr>
            </w:r>
          </w:p>
        </w:tc>
      </w:tr>
      <w:tr>
        <w:trPr>
          <w:trHeight w:val="32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技术服务费</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7,874,618.00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1,857,500.00</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按合同应计提</w:t>
            </w:r>
          </w:p>
        </w:tc>
      </w:tr>
      <w:tr>
        <w:trPr>
          <w:trHeight w:val="32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宋体" w:hAnsi="宋体" w:cs="宋体" w:eastAsia="宋体" w:hint="default"/>
                <w:sz w:val="21"/>
                <w:szCs w:val="21"/>
              </w:rPr>
              <w:t>预提</w:t>
            </w:r>
            <w:r>
              <w:rPr>
                <w:rFonts w:ascii="Times New Roman" w:hAnsi="Times New Roman" w:cs="Times New Roman" w:eastAsia="Times New Roman" w:hint="default"/>
                <w:sz w:val="21"/>
                <w:szCs w:val="21"/>
              </w:rPr>
              <w:t>-</w:t>
            </w:r>
            <w:r>
              <w:rPr>
                <w:rFonts w:ascii="宋体" w:hAnsi="宋体" w:cs="宋体" w:eastAsia="宋体" w:hint="default"/>
                <w:sz w:val="21"/>
                <w:szCs w:val="21"/>
              </w:rPr>
              <w:t>代理费</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2,382,545.00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1,019,280.00</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销售代理</w:t>
            </w:r>
          </w:p>
        </w:tc>
      </w:tr>
      <w:tr>
        <w:trPr>
          <w:trHeight w:val="32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宋体" w:hAnsi="宋体" w:cs="宋体" w:eastAsia="宋体" w:hint="default"/>
                <w:sz w:val="21"/>
                <w:szCs w:val="21"/>
              </w:rPr>
              <w:t>预提</w:t>
            </w: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1674"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496,800.00</w:t>
            </w:r>
          </w:p>
        </w:tc>
        <w:tc>
          <w:tcPr>
            <w:tcW w:w="24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3"/>
          <w:szCs w:val="13"/>
        </w:rPr>
      </w:pPr>
    </w:p>
    <w:p>
      <w:pPr>
        <w:pStyle w:val="BodyText"/>
        <w:spacing w:line="297" w:lineRule="auto" w:before="35"/>
        <w:ind w:left="900" w:right="0" w:firstLine="420"/>
        <w:jc w:val="left"/>
      </w:pPr>
      <w:r>
        <w:rPr/>
        <w:t>5、其他应付款年末数与年初数增加 </w:t>
      </w:r>
      <w:r>
        <w:rPr>
          <w:rFonts w:ascii="Times New Roman" w:hAnsi="Times New Roman" w:cs="Times New Roman" w:eastAsia="Times New Roman" w:hint="default"/>
        </w:rPr>
        <w:t>8,255,355.00 </w:t>
      </w:r>
      <w:r>
        <w:rPr/>
        <w:t>元，增加比例为</w:t>
      </w:r>
      <w:r>
        <w:rPr>
          <w:spacing w:val="-70"/>
        </w:rPr>
        <w:t> </w:t>
      </w:r>
      <w:r>
        <w:rPr>
          <w:rFonts w:ascii="Times New Roman" w:hAnsi="Times New Roman" w:cs="Times New Roman" w:eastAsia="Times New Roman" w:hint="default"/>
        </w:rPr>
        <w:t>173.99%</w:t>
      </w:r>
      <w:r>
        <w:rPr/>
        <w:t>，变动的主 要原因为：按合同计提的技术服务费及代理费增加。</w:t>
      </w:r>
    </w:p>
    <w:p>
      <w:pPr>
        <w:spacing w:line="240" w:lineRule="auto" w:before="8"/>
        <w:rPr>
          <w:rFonts w:ascii="宋体" w:hAnsi="宋体" w:cs="宋体" w:eastAsia="宋体" w:hint="default"/>
          <w:sz w:val="17"/>
          <w:szCs w:val="17"/>
        </w:rPr>
      </w:pPr>
    </w:p>
    <w:p>
      <w:pPr>
        <w:tabs>
          <w:tab w:pos="2579" w:val="left" w:leader="none"/>
        </w:tabs>
        <w:spacing w:line="348" w:lineRule="auto" w:before="0"/>
        <w:ind w:left="1320" w:right="6046" w:firstLine="0"/>
        <w:jc w:val="left"/>
        <w:rPr>
          <w:rFonts w:ascii="宋体" w:hAnsi="宋体" w:cs="宋体" w:eastAsia="宋体" w:hint="default"/>
          <w:sz w:val="21"/>
          <w:szCs w:val="21"/>
        </w:rPr>
      </w:pPr>
      <w:r>
        <w:rPr>
          <w:rFonts w:ascii="宋体" w:hAnsi="宋体" w:cs="宋体" w:eastAsia="宋体" w:hint="default"/>
          <w:b/>
          <w:bCs/>
          <w:w w:val="95"/>
          <w:sz w:val="21"/>
          <w:szCs w:val="21"/>
        </w:rPr>
        <w:t>（二十二）</w:t>
        <w:tab/>
      </w:r>
      <w:r>
        <w:rPr>
          <w:rFonts w:ascii="宋体" w:hAnsi="宋体" w:cs="宋体" w:eastAsia="宋体" w:hint="default"/>
          <w:b/>
          <w:bCs/>
          <w:sz w:val="21"/>
          <w:szCs w:val="21"/>
        </w:rPr>
        <w:t>其他非流动负债</w:t>
      </w:r>
      <w:r>
        <w:rPr>
          <w:rFonts w:ascii="宋体" w:hAnsi="宋体" w:cs="宋体" w:eastAsia="宋体" w:hint="default"/>
          <w:b/>
          <w:bCs/>
          <w:spacing w:val="1"/>
          <w:w w:val="99"/>
          <w:sz w:val="21"/>
          <w:szCs w:val="21"/>
        </w:rPr>
        <w:t> </w:t>
      </w:r>
      <w:r>
        <w:rPr>
          <w:rFonts w:ascii="宋体" w:hAnsi="宋体" w:cs="宋体" w:eastAsia="宋体" w:hint="default"/>
          <w:sz w:val="21"/>
          <w:szCs w:val="21"/>
        </w:rPr>
        <w:t>1、项目情况：</w:t>
      </w:r>
    </w:p>
    <w:p>
      <w:pPr>
        <w:spacing w:line="240" w:lineRule="auto" w:before="3"/>
        <w:rPr>
          <w:rFonts w:ascii="宋体" w:hAnsi="宋体" w:cs="宋体" w:eastAsia="宋体" w:hint="default"/>
          <w:sz w:val="7"/>
          <w:szCs w:val="7"/>
        </w:rPr>
      </w:pPr>
    </w:p>
    <w:tbl>
      <w:tblPr>
        <w:tblW w:w="0" w:type="auto"/>
        <w:jc w:val="left"/>
        <w:tblInd w:w="638" w:type="dxa"/>
        <w:tblLayout w:type="fixed"/>
        <w:tblCellMar>
          <w:top w:w="0" w:type="dxa"/>
          <w:left w:w="0" w:type="dxa"/>
          <w:bottom w:w="0" w:type="dxa"/>
          <w:right w:w="0" w:type="dxa"/>
        </w:tblCellMar>
        <w:tblLook w:val="01E0"/>
      </w:tblPr>
      <w:tblGrid>
        <w:gridCol w:w="1520"/>
        <w:gridCol w:w="1483"/>
        <w:gridCol w:w="1373"/>
        <w:gridCol w:w="1564"/>
        <w:gridCol w:w="1440"/>
        <w:gridCol w:w="1440"/>
      </w:tblGrid>
      <w:tr>
        <w:trPr>
          <w:trHeight w:val="634"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拨款项目名称</w:t>
            </w:r>
            <w:r>
              <w:rPr>
                <w:rFonts w:ascii="宋体" w:hAnsi="宋体" w:cs="宋体" w:eastAsia="宋体" w:hint="default"/>
                <w:sz w:val="21"/>
                <w:szCs w:val="21"/>
              </w:rPr>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年初数</w:t>
            </w:r>
            <w:r>
              <w:rPr>
                <w:rFonts w:ascii="宋体" w:hAnsi="宋体" w:cs="宋体" w:eastAsia="宋体" w:hint="default"/>
                <w:sz w:val="21"/>
                <w:szCs w:val="21"/>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本年新增</w:t>
            </w:r>
            <w:r>
              <w:rPr>
                <w:rFonts w:ascii="宋体" w:hAnsi="宋体" w:cs="宋体" w:eastAsia="宋体" w:hint="default"/>
                <w:sz w:val="21"/>
                <w:szCs w:val="21"/>
              </w:rPr>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本年资本性支</w:t>
            </w:r>
            <w:r>
              <w:rPr>
                <w:rFonts w:ascii="宋体" w:hAnsi="宋体" w:cs="宋体" w:eastAsia="宋体" w:hint="default"/>
                <w:sz w:val="21"/>
                <w:szCs w:val="21"/>
              </w:rPr>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b/>
                <w:bCs/>
                <w:sz w:val="21"/>
                <w:szCs w:val="21"/>
              </w:rPr>
              <w:t>出分配</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本年收益性</w:t>
            </w:r>
            <w:r>
              <w:rPr>
                <w:rFonts w:ascii="宋体" w:hAnsi="宋体" w:cs="宋体" w:eastAsia="宋体" w:hint="default"/>
                <w:sz w:val="21"/>
                <w:szCs w:val="21"/>
              </w:rPr>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b/>
                <w:bCs/>
                <w:sz w:val="21"/>
                <w:szCs w:val="21"/>
              </w:rPr>
              <w:t>支出分配</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r>
      <w:tr>
        <w:trPr>
          <w:trHeight w:val="322"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科技三项费用</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63"/>
              <w:jc w:val="center"/>
              <w:rPr>
                <w:rFonts w:ascii="Times New Roman" w:hAnsi="Times New Roman" w:cs="Times New Roman" w:eastAsia="Times New Roman" w:hint="default"/>
                <w:sz w:val="21"/>
                <w:szCs w:val="21"/>
              </w:rPr>
            </w:pPr>
            <w:r>
              <w:rPr>
                <w:rFonts w:ascii="Times New Roman"/>
                <w:sz w:val="21"/>
              </w:rPr>
              <w:t>11,094,152.55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0"/>
              <w:jc w:val="center"/>
              <w:rPr>
                <w:rFonts w:ascii="Times New Roman" w:hAnsi="Times New Roman" w:cs="Times New Roman" w:eastAsia="Times New Roman" w:hint="default"/>
                <w:sz w:val="21"/>
                <w:szCs w:val="21"/>
              </w:rPr>
            </w:pPr>
            <w:r>
              <w:rPr>
                <w:rFonts w:ascii="Times New Roman"/>
                <w:sz w:val="21"/>
              </w:rPr>
              <w:t>7,100,000.00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1,620,318.78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5,163,914.95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center"/>
              <w:rPr>
                <w:rFonts w:ascii="Times New Roman" w:hAnsi="Times New Roman" w:cs="Times New Roman" w:eastAsia="Times New Roman" w:hint="default"/>
                <w:sz w:val="21"/>
                <w:szCs w:val="21"/>
              </w:rPr>
            </w:pPr>
            <w:r>
              <w:rPr>
                <w:rFonts w:ascii="Times New Roman"/>
                <w:sz w:val="21"/>
              </w:rPr>
              <w:t>11,409,918.82</w:t>
            </w:r>
          </w:p>
        </w:tc>
      </w:tr>
      <w:tr>
        <w:trPr>
          <w:trHeight w:val="323"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63"/>
              <w:jc w:val="center"/>
              <w:rPr>
                <w:rFonts w:ascii="Times New Roman" w:hAnsi="Times New Roman" w:cs="Times New Roman" w:eastAsia="Times New Roman" w:hint="default"/>
                <w:sz w:val="21"/>
                <w:szCs w:val="21"/>
              </w:rPr>
            </w:pPr>
            <w:r>
              <w:rPr>
                <w:rFonts w:ascii="Times New Roman"/>
                <w:sz w:val="21"/>
              </w:rPr>
              <w:t>11,094,152.55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0"/>
              <w:jc w:val="center"/>
              <w:rPr>
                <w:rFonts w:ascii="Times New Roman" w:hAnsi="Times New Roman" w:cs="Times New Roman" w:eastAsia="Times New Roman" w:hint="default"/>
                <w:sz w:val="21"/>
                <w:szCs w:val="21"/>
              </w:rPr>
            </w:pPr>
            <w:r>
              <w:rPr>
                <w:rFonts w:ascii="Times New Roman"/>
                <w:sz w:val="21"/>
              </w:rPr>
              <w:t>7,100,000.00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1,620,318.78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5,163,914.95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center"/>
              <w:rPr>
                <w:rFonts w:ascii="Times New Roman" w:hAnsi="Times New Roman" w:cs="Times New Roman" w:eastAsia="Times New Roman" w:hint="default"/>
                <w:sz w:val="21"/>
                <w:szCs w:val="21"/>
              </w:rPr>
            </w:pPr>
            <w:r>
              <w:rPr>
                <w:rFonts w:ascii="Times New Roman"/>
                <w:sz w:val="21"/>
              </w:rPr>
              <w:t>11,409,918.82</w:t>
            </w:r>
          </w:p>
        </w:tc>
      </w:tr>
    </w:tbl>
    <w:p>
      <w:pPr>
        <w:spacing w:line="240" w:lineRule="auto" w:before="4"/>
        <w:rPr>
          <w:rFonts w:ascii="宋体" w:hAnsi="宋体" w:cs="宋体" w:eastAsia="宋体" w:hint="default"/>
          <w:sz w:val="13"/>
          <w:szCs w:val="13"/>
        </w:rPr>
      </w:pPr>
    </w:p>
    <w:p>
      <w:pPr>
        <w:pStyle w:val="BodyText"/>
        <w:spacing w:line="297" w:lineRule="auto" w:before="35"/>
        <w:ind w:left="900" w:right="889" w:firstLine="420"/>
        <w:jc w:val="left"/>
      </w:pPr>
      <w:r>
        <w:rPr/>
        <w:t>2、本期新增金额</w:t>
      </w:r>
      <w:r>
        <w:rPr>
          <w:spacing w:val="-40"/>
        </w:rPr>
        <w:t> </w:t>
      </w:r>
      <w:r>
        <w:rPr>
          <w:rFonts w:ascii="Times New Roman" w:hAnsi="Times New Roman" w:cs="Times New Roman" w:eastAsia="Times New Roman" w:hint="default"/>
        </w:rPr>
        <w:t>7,100,000.00</w:t>
      </w:r>
      <w:r>
        <w:rPr>
          <w:rFonts w:ascii="Times New Roman" w:hAnsi="Times New Roman" w:cs="Times New Roman" w:eastAsia="Times New Roman" w:hint="default"/>
          <w:spacing w:val="13"/>
        </w:rPr>
        <w:t> </w:t>
      </w:r>
      <w:r>
        <w:rPr/>
        <w:t>元，明细为收到信息产业部“面向银行</w:t>
      </w:r>
      <w:r>
        <w:rPr>
          <w:spacing w:val="-40"/>
        </w:rPr>
        <w:t> </w:t>
      </w:r>
      <w:r>
        <w:rPr/>
        <w:t>ATM</w:t>
      </w:r>
      <w:r>
        <w:rPr>
          <w:spacing w:val="-39"/>
        </w:rPr>
        <w:t> </w:t>
      </w:r>
      <w:r>
        <w:rPr/>
        <w:t>终端的安全</w:t>
      </w:r>
      <w:r>
        <w:rPr/>
        <w:t> 中间件应用”项目专项拨款</w:t>
      </w:r>
      <w:r>
        <w:rPr>
          <w:spacing w:val="-79"/>
        </w:rPr>
        <w:t> </w:t>
      </w:r>
      <w:r>
        <w:rPr>
          <w:rFonts w:ascii="Times New Roman" w:hAnsi="Times New Roman" w:cs="Times New Roman" w:eastAsia="Times New Roman" w:hint="default"/>
        </w:rPr>
        <w:t>2,000,000.00</w:t>
      </w:r>
      <w:r>
        <w:rPr>
          <w:rFonts w:ascii="Times New Roman" w:hAnsi="Times New Roman" w:cs="Times New Roman" w:eastAsia="Times New Roman" w:hint="default"/>
          <w:spacing w:val="-26"/>
        </w:rPr>
        <w:t> </w:t>
      </w:r>
      <w:r>
        <w:rPr/>
        <w:t>元；收到广东省经济贸易委员会“自助服务设备平</w:t>
      </w:r>
    </w:p>
    <w:p>
      <w:pPr>
        <w:pStyle w:val="BodyText"/>
        <w:spacing w:line="240" w:lineRule="auto" w:before="13"/>
        <w:ind w:left="899" w:right="0"/>
        <w:jc w:val="left"/>
      </w:pPr>
      <w:r>
        <w:rPr/>
        <w:t>台生产技术改造”项目专项拨款</w:t>
      </w:r>
      <w:r>
        <w:rPr>
          <w:spacing w:val="-79"/>
        </w:rPr>
        <w:t> </w:t>
      </w:r>
      <w:r>
        <w:rPr>
          <w:rFonts w:ascii="Times New Roman" w:hAnsi="Times New Roman" w:cs="Times New Roman" w:eastAsia="Times New Roman" w:hint="default"/>
        </w:rPr>
        <w:t>4,000,000.00</w:t>
      </w:r>
      <w:r>
        <w:rPr>
          <w:rFonts w:ascii="Times New Roman" w:hAnsi="Times New Roman" w:cs="Times New Roman" w:eastAsia="Times New Roman" w:hint="default"/>
          <w:spacing w:val="-26"/>
        </w:rPr>
        <w:t> </w:t>
      </w:r>
      <w:r>
        <w:rPr/>
        <w:t>元；收到省经济贸易委员会“高速铁路智能票</w:t>
      </w:r>
    </w:p>
    <w:p>
      <w:pPr>
        <w:pStyle w:val="BodyText"/>
        <w:spacing w:line="297" w:lineRule="auto" w:before="69"/>
        <w:ind w:left="900" w:right="883" w:hanging="1"/>
        <w:jc w:val="left"/>
      </w:pPr>
      <w:r>
        <w:rPr/>
        <w:t>务系统及设备产业化改造”项目专项拨款</w:t>
      </w:r>
      <w:r>
        <w:rPr>
          <w:spacing w:val="-68"/>
        </w:rPr>
        <w:t> </w:t>
      </w:r>
      <w:r>
        <w:rPr>
          <w:rFonts w:ascii="Times New Roman" w:hAnsi="Times New Roman" w:cs="Times New Roman" w:eastAsia="Times New Roman" w:hint="default"/>
        </w:rPr>
        <w:t>600,000.00</w:t>
      </w:r>
      <w:r>
        <w:rPr>
          <w:rFonts w:ascii="Times New Roman" w:hAnsi="Times New Roman" w:cs="Times New Roman" w:eastAsia="Times New Roman" w:hint="default"/>
          <w:spacing w:val="-15"/>
        </w:rPr>
        <w:t> </w:t>
      </w:r>
      <w:r>
        <w:rPr>
          <w:spacing w:val="-4"/>
        </w:rPr>
        <w:t>元；收到广州市天河区科学技术局“面</w:t>
      </w:r>
      <w:r>
        <w:rPr/>
        <w:t> 向银行</w:t>
      </w:r>
      <w:r>
        <w:rPr>
          <w:spacing w:val="-54"/>
        </w:rPr>
        <w:t> </w:t>
      </w:r>
      <w:r>
        <w:rPr/>
        <w:t>ATM</w:t>
      </w:r>
      <w:r>
        <w:rPr>
          <w:spacing w:val="-54"/>
        </w:rPr>
        <w:t> </w:t>
      </w:r>
      <w:r>
        <w:rPr/>
        <w:t>终端的安全中间件应用”项目专项拨款</w:t>
      </w:r>
      <w:r>
        <w:rPr>
          <w:spacing w:val="-54"/>
        </w:rPr>
        <w:t> </w:t>
      </w:r>
      <w:r>
        <w:rPr>
          <w:rFonts w:ascii="Times New Roman" w:hAnsi="Times New Roman" w:cs="Times New Roman" w:eastAsia="Times New Roman" w:hint="default"/>
        </w:rPr>
        <w:t>500,000.00</w:t>
      </w:r>
      <w:r>
        <w:rPr>
          <w:rFonts w:ascii="Times New Roman" w:hAnsi="Times New Roman" w:cs="Times New Roman" w:eastAsia="Times New Roman" w:hint="default"/>
          <w:spacing w:val="-1"/>
        </w:rPr>
        <w:t> </w:t>
      </w:r>
      <w:r>
        <w:rPr/>
        <w:t>元。</w:t>
      </w:r>
    </w:p>
    <w:p>
      <w:pPr>
        <w:pStyle w:val="BodyText"/>
        <w:spacing w:line="297" w:lineRule="auto" w:before="13"/>
        <w:ind w:left="900" w:right="886" w:firstLine="420"/>
        <w:jc w:val="left"/>
      </w:pPr>
      <w:r>
        <w:rPr/>
        <w:t>3、本期资本性支出分配金额 </w:t>
      </w:r>
      <w:r>
        <w:rPr>
          <w:rFonts w:ascii="Times New Roman" w:hAnsi="Times New Roman" w:cs="Times New Roman" w:eastAsia="Times New Roman" w:hint="default"/>
        </w:rPr>
        <w:t>1,620,318.78</w:t>
      </w:r>
      <w:r>
        <w:rPr>
          <w:rFonts w:ascii="Times New Roman" w:hAnsi="Times New Roman" w:cs="Times New Roman" w:eastAsia="Times New Roman" w:hint="default"/>
          <w:spacing w:val="3"/>
        </w:rPr>
        <w:t> </w:t>
      </w:r>
      <w:r>
        <w:rPr/>
        <w:t>元，为使用项目专项拨款形成固定资产部分 在本期计提的累计折旧金额。</w:t>
      </w:r>
    </w:p>
    <w:p>
      <w:pPr>
        <w:pStyle w:val="BodyText"/>
        <w:spacing w:line="297" w:lineRule="auto" w:before="34"/>
        <w:ind w:left="900" w:right="886" w:firstLine="420"/>
        <w:jc w:val="left"/>
      </w:pPr>
      <w:r>
        <w:rPr/>
        <w:t>4、本期收益性支出分配金额 </w:t>
      </w:r>
      <w:r>
        <w:rPr>
          <w:rFonts w:ascii="Times New Roman" w:hAnsi="Times New Roman" w:cs="Times New Roman" w:eastAsia="Times New Roman" w:hint="default"/>
        </w:rPr>
        <w:t>5,163,914.95</w:t>
      </w:r>
      <w:r>
        <w:rPr>
          <w:rFonts w:ascii="Times New Roman" w:hAnsi="Times New Roman" w:cs="Times New Roman" w:eastAsia="Times New Roman" w:hint="default"/>
          <w:spacing w:val="3"/>
        </w:rPr>
        <w:t> </w:t>
      </w:r>
      <w:r>
        <w:rPr/>
        <w:t>元，为使用项目专项拨款未形成固定资产部 分。</w:t>
      </w:r>
    </w:p>
    <w:p>
      <w:pPr>
        <w:spacing w:line="240" w:lineRule="auto" w:before="8"/>
        <w:rPr>
          <w:rFonts w:ascii="宋体" w:hAnsi="宋体" w:cs="宋体" w:eastAsia="宋体" w:hint="default"/>
          <w:sz w:val="17"/>
          <w:szCs w:val="17"/>
        </w:rPr>
      </w:pPr>
    </w:p>
    <w:p>
      <w:pPr>
        <w:pStyle w:val="Heading4"/>
        <w:tabs>
          <w:tab w:pos="2579" w:val="left" w:leader="none"/>
        </w:tabs>
        <w:spacing w:line="240" w:lineRule="auto"/>
        <w:ind w:left="1320" w:right="0"/>
        <w:jc w:val="left"/>
        <w:rPr>
          <w:b w:val="0"/>
          <w:bCs w:val="0"/>
        </w:rPr>
      </w:pPr>
      <w:r>
        <w:rPr>
          <w:w w:val="95"/>
        </w:rPr>
        <w:t>（二十三）</w:t>
        <w:tab/>
      </w:r>
      <w:r>
        <w:rPr/>
        <w:t>股本</w:t>
      </w:r>
      <w:r>
        <w:rPr>
          <w:b w:val="0"/>
          <w:bCs w:val="0"/>
        </w:rPr>
      </w:r>
    </w:p>
    <w:p>
      <w:pPr>
        <w:spacing w:line="240" w:lineRule="auto" w:before="5"/>
        <w:rPr>
          <w:rFonts w:ascii="宋体" w:hAnsi="宋体" w:cs="宋体" w:eastAsia="宋体" w:hint="default"/>
          <w:b/>
          <w:bCs/>
          <w:sz w:val="14"/>
          <w:szCs w:val="14"/>
        </w:rPr>
      </w:pPr>
    </w:p>
    <w:tbl>
      <w:tblPr>
        <w:tblW w:w="0" w:type="auto"/>
        <w:jc w:val="left"/>
        <w:tblInd w:w="111" w:type="dxa"/>
        <w:tblLayout w:type="fixed"/>
        <w:tblCellMar>
          <w:top w:w="0" w:type="dxa"/>
          <w:left w:w="0" w:type="dxa"/>
          <w:bottom w:w="0" w:type="dxa"/>
          <w:right w:w="0" w:type="dxa"/>
        </w:tblCellMar>
        <w:tblLook w:val="01E0"/>
      </w:tblPr>
      <w:tblGrid>
        <w:gridCol w:w="1734"/>
        <w:gridCol w:w="1152"/>
        <w:gridCol w:w="720"/>
        <w:gridCol w:w="424"/>
        <w:gridCol w:w="238"/>
        <w:gridCol w:w="1232"/>
        <w:gridCol w:w="1231"/>
        <w:gridCol w:w="1208"/>
        <w:gridCol w:w="1218"/>
        <w:gridCol w:w="714"/>
      </w:tblGrid>
      <w:tr>
        <w:trPr>
          <w:trHeight w:val="251" w:hRule="exact"/>
        </w:trPr>
        <w:tc>
          <w:tcPr>
            <w:tcW w:w="17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tabs>
                <w:tab w:pos="1041" w:val="left" w:leader="none"/>
              </w:tabs>
              <w:spacing w:line="240" w:lineRule="auto"/>
              <w:ind w:left="499"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8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b/>
                <w:bCs/>
                <w:sz w:val="18"/>
                <w:szCs w:val="18"/>
              </w:rPr>
              <w:t>年初数</w:t>
            </w:r>
            <w:r>
              <w:rPr>
                <w:rFonts w:ascii="宋体" w:hAnsi="宋体" w:cs="宋体" w:eastAsia="宋体" w:hint="default"/>
                <w:sz w:val="18"/>
                <w:szCs w:val="18"/>
              </w:rPr>
            </w:r>
          </w:p>
        </w:tc>
        <w:tc>
          <w:tcPr>
            <w:tcW w:w="4333" w:type="dxa"/>
            <w:gridSpan w:val="5"/>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115" w:right="0"/>
              <w:jc w:val="left"/>
              <w:rPr>
                <w:rFonts w:ascii="宋体" w:hAnsi="宋体" w:cs="宋体" w:eastAsia="宋体" w:hint="default"/>
                <w:sz w:val="18"/>
                <w:szCs w:val="18"/>
              </w:rPr>
            </w:pPr>
            <w:r>
              <w:rPr>
                <w:rFonts w:ascii="宋体" w:hAnsi="宋体" w:cs="宋体" w:eastAsia="宋体" w:hint="default"/>
                <w:b/>
                <w:bCs/>
                <w:sz w:val="18"/>
                <w:szCs w:val="18"/>
              </w:rPr>
              <w:t>本年变动增（</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）减（－）</w:t>
            </w:r>
            <w:r>
              <w:rPr>
                <w:rFonts w:ascii="宋体" w:hAnsi="宋体" w:cs="宋体" w:eastAsia="宋体" w:hint="default"/>
                <w:sz w:val="18"/>
                <w:szCs w:val="18"/>
              </w:rPr>
            </w:r>
          </w:p>
        </w:tc>
        <w:tc>
          <w:tcPr>
            <w:tcW w:w="19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年末数</w:t>
            </w:r>
            <w:r>
              <w:rPr>
                <w:rFonts w:ascii="宋体" w:hAnsi="宋体" w:cs="宋体" w:eastAsia="宋体" w:hint="default"/>
                <w:sz w:val="18"/>
                <w:szCs w:val="18"/>
              </w:rPr>
            </w:r>
          </w:p>
        </w:tc>
      </w:tr>
      <w:tr>
        <w:trPr>
          <w:trHeight w:val="490" w:hRule="exact"/>
        </w:trPr>
        <w:tc>
          <w:tcPr>
            <w:tcW w:w="1734" w:type="dxa"/>
            <w:vMerge/>
            <w:tcBorders>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23" w:firstLine="1"/>
              <w:jc w:val="left"/>
              <w:rPr>
                <w:rFonts w:ascii="宋体" w:hAnsi="宋体" w:cs="宋体" w:eastAsia="宋体" w:hint="default"/>
                <w:sz w:val="18"/>
                <w:szCs w:val="18"/>
              </w:rPr>
            </w:pPr>
            <w:r>
              <w:rPr>
                <w:rFonts w:ascii="宋体" w:hAnsi="宋体" w:cs="宋体" w:eastAsia="宋体" w:hint="default"/>
                <w:b/>
                <w:bCs/>
                <w:sz w:val="18"/>
                <w:szCs w:val="18"/>
              </w:rPr>
              <w:t>发行</w:t>
            </w:r>
            <w:r>
              <w:rPr>
                <w:rFonts w:ascii="宋体" w:hAnsi="宋体" w:cs="宋体" w:eastAsia="宋体" w:hint="default"/>
                <w:b/>
                <w:bCs/>
                <w:spacing w:val="1"/>
                <w:w w:val="99"/>
                <w:sz w:val="18"/>
                <w:szCs w:val="18"/>
              </w:rPr>
              <w:t> </w:t>
            </w:r>
            <w:r>
              <w:rPr>
                <w:rFonts w:ascii="宋体" w:hAnsi="宋体" w:cs="宋体" w:eastAsia="宋体" w:hint="default"/>
                <w:b/>
                <w:bCs/>
                <w:sz w:val="18"/>
                <w:szCs w:val="18"/>
              </w:rPr>
              <w:t>新股</w:t>
            </w:r>
            <w:r>
              <w:rPr>
                <w:rFonts w:ascii="宋体" w:hAnsi="宋体" w:cs="宋体" w:eastAsia="宋体" w:hint="default"/>
                <w:sz w:val="18"/>
                <w:szCs w:val="18"/>
              </w:rPr>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23"/>
              <w:jc w:val="left"/>
              <w:rPr>
                <w:rFonts w:ascii="宋体" w:hAnsi="宋体" w:cs="宋体" w:eastAsia="宋体" w:hint="default"/>
                <w:sz w:val="18"/>
                <w:szCs w:val="18"/>
              </w:rPr>
            </w:pPr>
            <w:r>
              <w:rPr>
                <w:rFonts w:ascii="宋体" w:hAnsi="宋体" w:cs="宋体" w:eastAsia="宋体" w:hint="default"/>
                <w:b/>
                <w:bCs/>
                <w:sz w:val="18"/>
                <w:szCs w:val="18"/>
              </w:rPr>
              <w:t>送</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58" w:right="0"/>
              <w:jc w:val="left"/>
              <w:rPr>
                <w:rFonts w:ascii="宋体" w:hAnsi="宋体" w:cs="宋体" w:eastAsia="宋体" w:hint="default"/>
                <w:sz w:val="18"/>
                <w:szCs w:val="18"/>
              </w:rPr>
            </w:pPr>
            <w:r>
              <w:rPr>
                <w:rFonts w:ascii="宋体" w:hAnsi="宋体" w:cs="宋体" w:eastAsia="宋体" w:hint="default"/>
                <w:b/>
                <w:bCs/>
                <w:sz w:val="18"/>
                <w:szCs w:val="18"/>
              </w:rPr>
              <w:t>公积金转股</w:t>
            </w:r>
            <w:r>
              <w:rPr>
                <w:rFonts w:ascii="宋体" w:hAnsi="宋体" w:cs="宋体" w:eastAsia="宋体" w:hint="default"/>
                <w:sz w:val="18"/>
                <w:szCs w:val="18"/>
              </w:rPr>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81"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25" w:hRule="exact"/>
        </w:trPr>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．有限售条件股份</w:t>
            </w:r>
          </w:p>
        </w:tc>
        <w:tc>
          <w:tcPr>
            <w:tcW w:w="115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5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71,600,700.00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z w:val="18"/>
              </w:rPr>
              <w:t>50.23%</w:t>
            </w:r>
          </w:p>
        </w:tc>
        <w:tc>
          <w:tcPr>
            <w:tcW w:w="424"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71,600,700.00</w:t>
            </w:r>
          </w:p>
        </w:tc>
        <w:tc>
          <w:tcPr>
            <w:tcW w:w="1231"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71,600,700.00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143,201,400.00</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z w:val="18"/>
              </w:rPr>
              <w:t>50.23%</w:t>
            </w:r>
          </w:p>
        </w:tc>
      </w:tr>
      <w:tr>
        <w:trPr>
          <w:trHeight w:val="325" w:hRule="exact"/>
        </w:trPr>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34,958,310.00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z w:val="18"/>
              </w:rPr>
              <w:t>24.52%</w:t>
            </w:r>
          </w:p>
        </w:tc>
        <w:tc>
          <w:tcPr>
            <w:tcW w:w="424"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34,958,310.00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6" w:right="-2"/>
              <w:jc w:val="center"/>
              <w:rPr>
                <w:rFonts w:ascii="Times New Roman" w:hAnsi="Times New Roman" w:cs="Times New Roman" w:eastAsia="Times New Roman" w:hint="default"/>
                <w:sz w:val="18"/>
                <w:szCs w:val="18"/>
              </w:rPr>
            </w:pPr>
            <w:r>
              <w:rPr>
                <w:rFonts w:ascii="Times New Roman"/>
                <w:sz w:val="18"/>
              </w:rPr>
              <w:t>-69,916,620.00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18"/>
                <w:szCs w:val="18"/>
              </w:rPr>
            </w:pPr>
            <w:r>
              <w:rPr>
                <w:rFonts w:ascii="Times New Roman"/>
                <w:spacing w:val="-1"/>
                <w:sz w:val="18"/>
              </w:rPr>
              <w:t>-34,958,310.00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z w:val="18"/>
              </w:rPr>
              <w:t>0.00</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z w:val="18"/>
              </w:rPr>
              <w:t>0.00%</w:t>
            </w:r>
          </w:p>
        </w:tc>
      </w:tr>
      <w:tr>
        <w:trPr>
          <w:trHeight w:val="325" w:hRule="exact"/>
        </w:trPr>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15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境内非国有法人持股</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16,031,310.00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2"/>
                <w:sz w:val="18"/>
              </w:rPr>
              <w:t>11.25%</w:t>
            </w:r>
          </w:p>
        </w:tc>
        <w:tc>
          <w:tcPr>
            <w:tcW w:w="424"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16,031,310.00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6" w:right="-2"/>
              <w:jc w:val="center"/>
              <w:rPr>
                <w:rFonts w:ascii="Times New Roman" w:hAnsi="Times New Roman" w:cs="Times New Roman" w:eastAsia="Times New Roman" w:hint="default"/>
                <w:sz w:val="18"/>
                <w:szCs w:val="18"/>
              </w:rPr>
            </w:pPr>
            <w:r>
              <w:rPr>
                <w:rFonts w:ascii="Times New Roman"/>
                <w:sz w:val="18"/>
              </w:rPr>
              <w:t>-32,062,620.00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18"/>
                <w:szCs w:val="18"/>
              </w:rPr>
            </w:pPr>
            <w:r>
              <w:rPr>
                <w:rFonts w:ascii="Times New Roman"/>
                <w:spacing w:val="-1"/>
                <w:sz w:val="18"/>
              </w:rPr>
              <w:t>-16,031,310.00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z w:val="18"/>
              </w:rPr>
              <w:t>0.00</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z w:val="18"/>
              </w:rPr>
              <w:t>0.00%</w:t>
            </w:r>
          </w:p>
        </w:tc>
      </w:tr>
      <w:tr>
        <w:trPr>
          <w:trHeight w:val="325" w:hRule="exact"/>
        </w:trPr>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18,927,000.00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z w:val="18"/>
              </w:rPr>
              <w:t>13.28%</w:t>
            </w:r>
          </w:p>
        </w:tc>
        <w:tc>
          <w:tcPr>
            <w:tcW w:w="424"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18,927,000.00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6" w:right="-2"/>
              <w:jc w:val="center"/>
              <w:rPr>
                <w:rFonts w:ascii="Times New Roman" w:hAnsi="Times New Roman" w:cs="Times New Roman" w:eastAsia="Times New Roman" w:hint="default"/>
                <w:sz w:val="18"/>
                <w:szCs w:val="18"/>
              </w:rPr>
            </w:pPr>
            <w:r>
              <w:rPr>
                <w:rFonts w:ascii="Times New Roman"/>
                <w:sz w:val="18"/>
              </w:rPr>
              <w:t>-37,854,000.00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18"/>
                <w:szCs w:val="18"/>
              </w:rPr>
            </w:pPr>
            <w:r>
              <w:rPr>
                <w:rFonts w:ascii="Times New Roman"/>
                <w:spacing w:val="-1"/>
                <w:sz w:val="18"/>
              </w:rPr>
              <w:t>-18,927,000.00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z w:val="18"/>
              </w:rPr>
              <w:t>0.00</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z w:val="18"/>
              </w:rPr>
              <w:t>0.00%</w:t>
            </w:r>
          </w:p>
        </w:tc>
      </w:tr>
      <w:tr>
        <w:trPr>
          <w:trHeight w:val="325" w:hRule="exact"/>
        </w:trPr>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5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15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境外法人持股</w:t>
            </w:r>
          </w:p>
        </w:tc>
        <w:tc>
          <w:tcPr>
            <w:tcW w:w="115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15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有限售条件股份合计</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18"/>
                <w:szCs w:val="18"/>
              </w:rPr>
            </w:pPr>
            <w:r>
              <w:rPr>
                <w:rFonts w:ascii="Times New Roman"/>
                <w:spacing w:val="-1"/>
                <w:sz w:val="18"/>
              </w:rPr>
              <w:t>106,559,010.00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z w:val="18"/>
              </w:rPr>
              <w:t>74.75%</w:t>
            </w:r>
          </w:p>
        </w:tc>
        <w:tc>
          <w:tcPr>
            <w:tcW w:w="424"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106,559,010.00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6" w:right="-1"/>
              <w:jc w:val="center"/>
              <w:rPr>
                <w:rFonts w:ascii="Times New Roman" w:hAnsi="Times New Roman" w:cs="Times New Roman" w:eastAsia="Times New Roman" w:hint="default"/>
                <w:sz w:val="18"/>
                <w:szCs w:val="18"/>
              </w:rPr>
            </w:pPr>
            <w:r>
              <w:rPr>
                <w:rFonts w:ascii="Times New Roman"/>
                <w:sz w:val="18"/>
              </w:rPr>
              <w:t>-69,916,620.00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36,642,390.00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143,201,400.00</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z w:val="18"/>
              </w:rPr>
              <w:t>50.23%</w:t>
            </w:r>
          </w:p>
        </w:tc>
      </w:tr>
    </w:tbl>
    <w:p>
      <w:pPr>
        <w:spacing w:after="0" w:line="240" w:lineRule="auto"/>
        <w:jc w:val="right"/>
        <w:rPr>
          <w:rFonts w:ascii="Times New Roman" w:hAnsi="Times New Roman" w:cs="Times New Roman" w:eastAsia="Times New Roman" w:hint="default"/>
          <w:sz w:val="18"/>
          <w:szCs w:val="18"/>
        </w:rPr>
        <w:sectPr>
          <w:pgSz w:w="11910" w:h="16840"/>
          <w:pgMar w:header="400" w:footer="982" w:top="1100" w:bottom="1180" w:left="900" w:right="900"/>
        </w:sectPr>
      </w:pPr>
    </w:p>
    <w:p>
      <w:pPr>
        <w:spacing w:line="240" w:lineRule="auto" w:before="6"/>
        <w:rPr>
          <w:rFonts w:ascii="宋体" w:hAnsi="宋体" w:cs="宋体" w:eastAsia="宋体" w:hint="default"/>
          <w:b/>
          <w:bCs/>
          <w:sz w:val="24"/>
          <w:szCs w:val="24"/>
        </w:rPr>
      </w:pPr>
    </w:p>
    <w:tbl>
      <w:tblPr>
        <w:tblW w:w="0" w:type="auto"/>
        <w:jc w:val="left"/>
        <w:tblInd w:w="111" w:type="dxa"/>
        <w:tblLayout w:type="fixed"/>
        <w:tblCellMar>
          <w:top w:w="0" w:type="dxa"/>
          <w:left w:w="0" w:type="dxa"/>
          <w:bottom w:w="0" w:type="dxa"/>
          <w:right w:w="0" w:type="dxa"/>
        </w:tblCellMar>
        <w:tblLook w:val="01E0"/>
      </w:tblPr>
      <w:tblGrid>
        <w:gridCol w:w="1734"/>
        <w:gridCol w:w="1152"/>
        <w:gridCol w:w="720"/>
        <w:gridCol w:w="424"/>
        <w:gridCol w:w="238"/>
        <w:gridCol w:w="1232"/>
        <w:gridCol w:w="1231"/>
        <w:gridCol w:w="1208"/>
        <w:gridCol w:w="1218"/>
        <w:gridCol w:w="714"/>
      </w:tblGrid>
      <w:tr>
        <w:trPr>
          <w:trHeight w:val="250" w:hRule="exact"/>
        </w:trPr>
        <w:tc>
          <w:tcPr>
            <w:tcW w:w="17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tabs>
                <w:tab w:pos="1041" w:val="left" w:leader="none"/>
              </w:tabs>
              <w:spacing w:line="240" w:lineRule="auto"/>
              <w:ind w:left="499"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8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b/>
                <w:bCs/>
                <w:sz w:val="18"/>
                <w:szCs w:val="18"/>
              </w:rPr>
              <w:t>年初数</w:t>
            </w:r>
            <w:r>
              <w:rPr>
                <w:rFonts w:ascii="宋体" w:hAnsi="宋体" w:cs="宋体" w:eastAsia="宋体" w:hint="default"/>
                <w:sz w:val="18"/>
                <w:szCs w:val="18"/>
              </w:rPr>
            </w:r>
          </w:p>
        </w:tc>
        <w:tc>
          <w:tcPr>
            <w:tcW w:w="4333" w:type="dxa"/>
            <w:gridSpan w:val="5"/>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115" w:right="0"/>
              <w:jc w:val="left"/>
              <w:rPr>
                <w:rFonts w:ascii="宋体" w:hAnsi="宋体" w:cs="宋体" w:eastAsia="宋体" w:hint="default"/>
                <w:sz w:val="18"/>
                <w:szCs w:val="18"/>
              </w:rPr>
            </w:pPr>
            <w:r>
              <w:rPr>
                <w:rFonts w:ascii="宋体" w:hAnsi="宋体" w:cs="宋体" w:eastAsia="宋体" w:hint="default"/>
                <w:b/>
                <w:bCs/>
                <w:sz w:val="18"/>
                <w:szCs w:val="18"/>
              </w:rPr>
              <w:t>本年变动增（</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）减（－）</w:t>
            </w:r>
            <w:r>
              <w:rPr>
                <w:rFonts w:ascii="宋体" w:hAnsi="宋体" w:cs="宋体" w:eastAsia="宋体" w:hint="default"/>
                <w:sz w:val="18"/>
                <w:szCs w:val="18"/>
              </w:rPr>
            </w:r>
          </w:p>
        </w:tc>
        <w:tc>
          <w:tcPr>
            <w:tcW w:w="19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年末数</w:t>
            </w:r>
            <w:r>
              <w:rPr>
                <w:rFonts w:ascii="宋体" w:hAnsi="宋体" w:cs="宋体" w:eastAsia="宋体" w:hint="default"/>
                <w:sz w:val="18"/>
                <w:szCs w:val="18"/>
              </w:rPr>
            </w:r>
          </w:p>
        </w:tc>
      </w:tr>
      <w:tr>
        <w:trPr>
          <w:trHeight w:val="491" w:hRule="exact"/>
        </w:trPr>
        <w:tc>
          <w:tcPr>
            <w:tcW w:w="1734" w:type="dxa"/>
            <w:vMerge/>
            <w:tcBorders>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84"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23" w:firstLine="1"/>
              <w:jc w:val="left"/>
              <w:rPr>
                <w:rFonts w:ascii="宋体" w:hAnsi="宋体" w:cs="宋体" w:eastAsia="宋体" w:hint="default"/>
                <w:sz w:val="18"/>
                <w:szCs w:val="18"/>
              </w:rPr>
            </w:pPr>
            <w:r>
              <w:rPr>
                <w:rFonts w:ascii="宋体" w:hAnsi="宋体" w:cs="宋体" w:eastAsia="宋体" w:hint="default"/>
                <w:b/>
                <w:bCs/>
                <w:sz w:val="18"/>
                <w:szCs w:val="18"/>
              </w:rPr>
              <w:t>发行</w:t>
            </w:r>
            <w:r>
              <w:rPr>
                <w:rFonts w:ascii="宋体" w:hAnsi="宋体" w:cs="宋体" w:eastAsia="宋体" w:hint="default"/>
                <w:b/>
                <w:bCs/>
                <w:spacing w:val="1"/>
                <w:w w:val="99"/>
                <w:sz w:val="18"/>
                <w:szCs w:val="18"/>
              </w:rPr>
              <w:t> </w:t>
            </w:r>
            <w:r>
              <w:rPr>
                <w:rFonts w:ascii="宋体" w:hAnsi="宋体" w:cs="宋体" w:eastAsia="宋体" w:hint="default"/>
                <w:b/>
                <w:bCs/>
                <w:sz w:val="18"/>
                <w:szCs w:val="18"/>
              </w:rPr>
              <w:t>新股</w:t>
            </w:r>
            <w:r>
              <w:rPr>
                <w:rFonts w:ascii="宋体" w:hAnsi="宋体" w:cs="宋体" w:eastAsia="宋体" w:hint="default"/>
                <w:sz w:val="18"/>
                <w:szCs w:val="18"/>
              </w:rPr>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23"/>
              <w:jc w:val="left"/>
              <w:rPr>
                <w:rFonts w:ascii="宋体" w:hAnsi="宋体" w:cs="宋体" w:eastAsia="宋体" w:hint="default"/>
                <w:sz w:val="18"/>
                <w:szCs w:val="18"/>
              </w:rPr>
            </w:pPr>
            <w:r>
              <w:rPr>
                <w:rFonts w:ascii="宋体" w:hAnsi="宋体" w:cs="宋体" w:eastAsia="宋体" w:hint="default"/>
                <w:b/>
                <w:bCs/>
                <w:sz w:val="18"/>
                <w:szCs w:val="18"/>
              </w:rPr>
              <w:t>送</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58" w:right="0"/>
              <w:jc w:val="left"/>
              <w:rPr>
                <w:rFonts w:ascii="宋体" w:hAnsi="宋体" w:cs="宋体" w:eastAsia="宋体" w:hint="default"/>
                <w:sz w:val="18"/>
                <w:szCs w:val="18"/>
              </w:rPr>
            </w:pPr>
            <w:r>
              <w:rPr>
                <w:rFonts w:ascii="宋体" w:hAnsi="宋体" w:cs="宋体" w:eastAsia="宋体" w:hint="default"/>
                <w:b/>
                <w:bCs/>
                <w:sz w:val="18"/>
                <w:szCs w:val="18"/>
              </w:rPr>
              <w:t>公积金转股</w:t>
            </w:r>
            <w:r>
              <w:rPr>
                <w:rFonts w:ascii="宋体" w:hAnsi="宋体" w:cs="宋体" w:eastAsia="宋体" w:hint="default"/>
                <w:sz w:val="18"/>
                <w:szCs w:val="18"/>
              </w:rPr>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81"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25" w:hRule="exact"/>
        </w:trPr>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．无限售条件股份</w:t>
            </w:r>
          </w:p>
        </w:tc>
        <w:tc>
          <w:tcPr>
            <w:tcW w:w="115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36,000,000.00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z w:val="18"/>
              </w:rPr>
              <w:t>25.25%</w:t>
            </w:r>
          </w:p>
        </w:tc>
        <w:tc>
          <w:tcPr>
            <w:tcW w:w="424"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36,000,000.00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69,916,620.00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3" w:right="-1"/>
              <w:jc w:val="center"/>
              <w:rPr>
                <w:rFonts w:ascii="Times New Roman" w:hAnsi="Times New Roman" w:cs="Times New Roman" w:eastAsia="Times New Roman" w:hint="default"/>
                <w:sz w:val="18"/>
                <w:szCs w:val="18"/>
              </w:rPr>
            </w:pPr>
            <w:r>
              <w:rPr>
                <w:rFonts w:ascii="Times New Roman"/>
                <w:sz w:val="18"/>
              </w:rPr>
              <w:t>105,916,620.00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 w:right="-1"/>
              <w:jc w:val="center"/>
              <w:rPr>
                <w:rFonts w:ascii="Times New Roman" w:hAnsi="Times New Roman" w:cs="Times New Roman" w:eastAsia="Times New Roman" w:hint="default"/>
                <w:sz w:val="18"/>
                <w:szCs w:val="18"/>
              </w:rPr>
            </w:pPr>
            <w:r>
              <w:rPr>
                <w:rFonts w:ascii="Times New Roman"/>
                <w:sz w:val="18"/>
              </w:rPr>
              <w:t>141,916,620.00</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z w:val="18"/>
              </w:rPr>
              <w:t>49.77%</w:t>
            </w:r>
          </w:p>
        </w:tc>
      </w:tr>
      <w:tr>
        <w:trPr>
          <w:trHeight w:val="325" w:hRule="exact"/>
        </w:trPr>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15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15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5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424"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无限售条件股份合计</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36,000,000.00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z w:val="18"/>
              </w:rPr>
              <w:t>25.25%</w:t>
            </w:r>
          </w:p>
        </w:tc>
        <w:tc>
          <w:tcPr>
            <w:tcW w:w="424"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36,000,000.00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69,916,620.00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 w:right="-1"/>
              <w:jc w:val="center"/>
              <w:rPr>
                <w:rFonts w:ascii="Times New Roman" w:hAnsi="Times New Roman" w:cs="Times New Roman" w:eastAsia="Times New Roman" w:hint="default"/>
                <w:sz w:val="18"/>
                <w:szCs w:val="18"/>
              </w:rPr>
            </w:pPr>
            <w:r>
              <w:rPr>
                <w:rFonts w:ascii="Times New Roman"/>
                <w:sz w:val="18"/>
              </w:rPr>
              <w:t>105,916,620.00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 w:right="-1"/>
              <w:jc w:val="center"/>
              <w:rPr>
                <w:rFonts w:ascii="Times New Roman" w:hAnsi="Times New Roman" w:cs="Times New Roman" w:eastAsia="Times New Roman" w:hint="default"/>
                <w:sz w:val="18"/>
                <w:szCs w:val="18"/>
              </w:rPr>
            </w:pPr>
            <w:r>
              <w:rPr>
                <w:rFonts w:ascii="Times New Roman"/>
                <w:sz w:val="18"/>
              </w:rPr>
              <w:t>141,916,620.00</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z w:val="18"/>
              </w:rPr>
              <w:t>49.77%</w:t>
            </w:r>
          </w:p>
        </w:tc>
      </w:tr>
      <w:tr>
        <w:trPr>
          <w:trHeight w:val="325" w:hRule="exact"/>
        </w:trPr>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．股份总数</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18"/>
                <w:szCs w:val="18"/>
              </w:rPr>
            </w:pPr>
            <w:r>
              <w:rPr>
                <w:rFonts w:ascii="Times New Roman"/>
                <w:spacing w:val="-1"/>
                <w:sz w:val="18"/>
              </w:rPr>
              <w:t>142,559,010.00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424"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142,559,010.00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 w:right="-2"/>
              <w:jc w:val="center"/>
              <w:rPr>
                <w:rFonts w:ascii="Times New Roman" w:hAnsi="Times New Roman" w:cs="Times New Roman" w:eastAsia="Times New Roman" w:hint="default"/>
                <w:sz w:val="18"/>
                <w:szCs w:val="18"/>
              </w:rPr>
            </w:pPr>
            <w:r>
              <w:rPr>
                <w:rFonts w:ascii="Times New Roman"/>
                <w:sz w:val="18"/>
              </w:rPr>
              <w:t>142,559,010.00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9" w:right="-1"/>
              <w:jc w:val="center"/>
              <w:rPr>
                <w:rFonts w:ascii="Times New Roman" w:hAnsi="Times New Roman" w:cs="Times New Roman" w:eastAsia="Times New Roman" w:hint="default"/>
                <w:sz w:val="18"/>
                <w:szCs w:val="18"/>
              </w:rPr>
            </w:pPr>
            <w:r>
              <w:rPr>
                <w:rFonts w:ascii="Times New Roman"/>
                <w:spacing w:val="-1"/>
                <w:sz w:val="18"/>
              </w:rPr>
              <w:t>285,118,020.00</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line="240" w:lineRule="auto" w:before="10"/>
        <w:rPr>
          <w:rFonts w:ascii="宋体" w:hAnsi="宋体" w:cs="宋体" w:eastAsia="宋体" w:hint="default"/>
          <w:b/>
          <w:bCs/>
          <w:sz w:val="14"/>
          <w:szCs w:val="14"/>
        </w:rPr>
      </w:pPr>
    </w:p>
    <w:p>
      <w:pPr>
        <w:pStyle w:val="BodyText"/>
        <w:spacing w:line="331" w:lineRule="auto" w:before="35"/>
        <w:ind w:left="900" w:right="895" w:firstLine="420"/>
        <w:jc w:val="both"/>
        <w:rPr>
          <w:rFonts w:ascii="Times New Roman" w:hAnsi="Times New Roman" w:cs="Times New Roman" w:eastAsia="Times New Roman" w:hint="default"/>
        </w:rPr>
      </w:pPr>
      <w:r>
        <w:rPr/>
        <w:t>1、经广州市经济贸易委员会穗经贸函[2005]492</w:t>
      </w:r>
      <w:r>
        <w:rPr>
          <w:spacing w:val="7"/>
        </w:rPr>
        <w:t> </w:t>
      </w:r>
      <w:r>
        <w:rPr/>
        <w:t>号文批复，公司以整体变更方式发起</w:t>
      </w:r>
      <w:r>
        <w:rPr/>
        <w:t> </w:t>
      </w:r>
      <w:r>
        <w:rPr>
          <w:spacing w:val="-5"/>
        </w:rPr>
        <w:t>设立为广州广电运通金融电子股份有限公司，以截至</w:t>
      </w:r>
      <w:r>
        <w:rPr>
          <w:spacing w:val="-49"/>
        </w:rPr>
        <w:t> </w:t>
      </w:r>
      <w:r>
        <w:rPr>
          <w:spacing w:val="-1"/>
        </w:rPr>
        <w:t>2005</w:t>
      </w:r>
      <w:r>
        <w:rPr>
          <w:spacing w:val="-48"/>
        </w:rPr>
        <w:t> </w:t>
      </w:r>
      <w:r>
        <w:rPr/>
        <w:t>年</w:t>
      </w:r>
      <w:r>
        <w:rPr>
          <w:spacing w:val="-50"/>
        </w:rPr>
        <w:t> </w:t>
      </w:r>
      <w:r>
        <w:rPr/>
        <w:t>3</w:t>
      </w:r>
      <w:r>
        <w:rPr>
          <w:spacing w:val="-48"/>
        </w:rPr>
        <w:t> </w:t>
      </w:r>
      <w:r>
        <w:rPr/>
        <w:t>月</w:t>
      </w:r>
      <w:r>
        <w:rPr>
          <w:spacing w:val="-50"/>
        </w:rPr>
        <w:t> </w:t>
      </w:r>
      <w:r>
        <w:rPr/>
        <w:t>31</w:t>
      </w:r>
      <w:r>
        <w:rPr>
          <w:spacing w:val="-48"/>
        </w:rPr>
        <w:t> </w:t>
      </w:r>
      <w:r>
        <w:rPr>
          <w:spacing w:val="-2"/>
        </w:rPr>
        <w:t>日的经广东羊城会计师</w:t>
      </w:r>
      <w:r>
        <w:rPr>
          <w:spacing w:val="-103"/>
        </w:rPr>
        <w:t> </w:t>
      </w:r>
      <w:r>
        <w:rPr>
          <w:spacing w:val="-103"/>
        </w:rPr>
      </w:r>
      <w:r>
        <w:rPr>
          <w:spacing w:val="8"/>
        </w:rPr>
        <w:t>事务所有限公司审计的广州广电运通金融电子有限公司净资产按一元一股计算股份总数</w:t>
      </w:r>
      <w:r>
        <w:rPr>
          <w:spacing w:val="-101"/>
        </w:rPr>
        <w:t> </w:t>
      </w:r>
      <w:r>
        <w:rPr>
          <w:spacing w:val="-101"/>
        </w:rPr>
      </w:r>
      <w:r>
        <w:rPr>
          <w:rFonts w:ascii="Times New Roman" w:hAnsi="Times New Roman" w:cs="Times New Roman" w:eastAsia="Times New Roman" w:hint="default"/>
        </w:rPr>
        <w:t>106,559,010</w:t>
      </w:r>
      <w:r>
        <w:rPr>
          <w:rFonts w:ascii="Times New Roman" w:hAnsi="Times New Roman" w:cs="Times New Roman" w:eastAsia="Times New Roman" w:hint="default"/>
          <w:spacing w:val="-3"/>
        </w:rPr>
        <w:t> </w:t>
      </w:r>
      <w:r>
        <w:rPr>
          <w:spacing w:val="-3"/>
        </w:rPr>
        <w:t>股，本公司股份构成为：广州无线电集团有限公司</w:t>
      </w:r>
      <w:r>
        <w:rPr>
          <w:spacing w:val="-56"/>
        </w:rPr>
        <w:t> </w:t>
      </w:r>
      <w:r>
        <w:rPr>
          <w:rFonts w:ascii="Times New Roman" w:hAnsi="Times New Roman" w:cs="Times New Roman" w:eastAsia="Times New Roman" w:hint="default"/>
        </w:rPr>
        <w:t>66,244,500</w:t>
      </w:r>
      <w:r>
        <w:rPr>
          <w:rFonts w:ascii="Times New Roman" w:hAnsi="Times New Roman" w:cs="Times New Roman" w:eastAsia="Times New Roman" w:hint="default"/>
          <w:spacing w:val="-3"/>
        </w:rPr>
        <w:t> </w:t>
      </w:r>
      <w:r>
        <w:rPr>
          <w:spacing w:val="-11"/>
        </w:rPr>
        <w:t>股，计</w:t>
      </w:r>
      <w:r>
        <w:rPr>
          <w:spacing w:val="-56"/>
        </w:rPr>
        <w:t> </w:t>
      </w:r>
      <w:r>
        <w:rPr>
          <w:rFonts w:ascii="Times New Roman" w:hAnsi="Times New Roman" w:cs="Times New Roman" w:eastAsia="Times New Roman" w:hint="default"/>
        </w:rPr>
        <w:t>66,244,500</w:t>
      </w:r>
    </w:p>
    <w:p>
      <w:pPr>
        <w:pStyle w:val="BodyText"/>
        <w:spacing w:line="240" w:lineRule="auto" w:before="1"/>
        <w:ind w:left="899" w:right="0"/>
        <w:jc w:val="both"/>
      </w:pPr>
      <w:r>
        <w:rPr>
          <w:spacing w:val="-3"/>
        </w:rPr>
        <w:t>元，占股份总额</w:t>
      </w:r>
      <w:r>
        <w:rPr>
          <w:spacing w:val="-58"/>
        </w:rPr>
        <w:t> </w:t>
      </w:r>
      <w:r>
        <w:rPr>
          <w:rFonts w:ascii="Times New Roman" w:hAnsi="Times New Roman" w:cs="Times New Roman" w:eastAsia="Times New Roman" w:hint="default"/>
        </w:rPr>
        <w:t>62.167%</w:t>
      </w:r>
      <w:r>
        <w:rPr/>
        <w:t>；深圳市德通投资有限公司</w:t>
      </w:r>
      <w:r>
        <w:rPr>
          <w:spacing w:val="-58"/>
        </w:rPr>
        <w:t> </w:t>
      </w:r>
      <w:r>
        <w:rPr>
          <w:rFonts w:ascii="Times New Roman" w:hAnsi="Times New Roman" w:cs="Times New Roman" w:eastAsia="Times New Roman" w:hint="default"/>
        </w:rPr>
        <w:t>18,927,000</w:t>
      </w:r>
      <w:r>
        <w:rPr>
          <w:rFonts w:ascii="Times New Roman" w:hAnsi="Times New Roman" w:cs="Times New Roman" w:eastAsia="Times New Roman" w:hint="default"/>
          <w:spacing w:val="-5"/>
        </w:rPr>
        <w:t> </w:t>
      </w:r>
      <w:r>
        <w:rPr>
          <w:spacing w:val="-6"/>
        </w:rPr>
        <w:t>股，计</w:t>
      </w:r>
      <w:r>
        <w:rPr>
          <w:spacing w:val="-58"/>
        </w:rPr>
        <w:t> </w:t>
      </w:r>
      <w:r>
        <w:rPr>
          <w:rFonts w:ascii="Times New Roman" w:hAnsi="Times New Roman" w:cs="Times New Roman" w:eastAsia="Times New Roman" w:hint="default"/>
        </w:rPr>
        <w:t>18,927,000</w:t>
      </w:r>
      <w:r>
        <w:rPr>
          <w:rFonts w:ascii="Times New Roman" w:hAnsi="Times New Roman" w:cs="Times New Roman" w:eastAsia="Times New Roman" w:hint="default"/>
          <w:spacing w:val="-4"/>
        </w:rPr>
        <w:t> </w:t>
      </w:r>
      <w:r>
        <w:rPr>
          <w:spacing w:val="-4"/>
        </w:rPr>
        <w:t>元，占股</w:t>
      </w:r>
    </w:p>
    <w:p>
      <w:pPr>
        <w:pStyle w:val="BodyText"/>
        <w:spacing w:line="240" w:lineRule="auto" w:before="88"/>
        <w:ind w:left="899" w:right="0"/>
        <w:jc w:val="both"/>
      </w:pPr>
      <w:r>
        <w:rPr/>
        <w:t>份总额</w:t>
      </w:r>
      <w:r>
        <w:rPr>
          <w:spacing w:val="-61"/>
        </w:rPr>
        <w:t> </w:t>
      </w:r>
      <w:r>
        <w:rPr>
          <w:rFonts w:ascii="Times New Roman" w:hAnsi="Times New Roman" w:cs="Times New Roman" w:eastAsia="Times New Roman" w:hint="default"/>
        </w:rPr>
        <w:t>17.762%</w:t>
      </w:r>
      <w:r>
        <w:rPr/>
        <w:t>；盈富泰克创业投资有限公司</w:t>
      </w:r>
      <w:r>
        <w:rPr>
          <w:spacing w:val="-61"/>
        </w:rPr>
        <w:t> </w:t>
      </w:r>
      <w:r>
        <w:rPr>
          <w:rFonts w:ascii="Times New Roman" w:hAnsi="Times New Roman" w:cs="Times New Roman" w:eastAsia="Times New Roman" w:hint="default"/>
        </w:rPr>
        <w:t>11,356,200</w:t>
      </w:r>
      <w:r>
        <w:rPr>
          <w:rFonts w:ascii="Times New Roman" w:hAnsi="Times New Roman" w:cs="Times New Roman" w:eastAsia="Times New Roman" w:hint="default"/>
          <w:spacing w:val="-9"/>
        </w:rPr>
        <w:t> </w:t>
      </w:r>
      <w:r>
        <w:rPr>
          <w:spacing w:val="-6"/>
        </w:rPr>
        <w:t>股，计</w:t>
      </w:r>
      <w:r>
        <w:rPr>
          <w:spacing w:val="-61"/>
        </w:rPr>
        <w:t> </w:t>
      </w:r>
      <w:r>
        <w:rPr>
          <w:rFonts w:ascii="Times New Roman" w:hAnsi="Times New Roman" w:cs="Times New Roman" w:eastAsia="Times New Roman" w:hint="default"/>
        </w:rPr>
        <w:t>11,356,200</w:t>
      </w:r>
      <w:r>
        <w:rPr>
          <w:rFonts w:ascii="Times New Roman" w:hAnsi="Times New Roman" w:cs="Times New Roman" w:eastAsia="Times New Roman" w:hint="default"/>
          <w:spacing w:val="-9"/>
        </w:rPr>
        <w:t> </w:t>
      </w:r>
      <w:r>
        <w:rPr>
          <w:spacing w:val="-3"/>
        </w:rPr>
        <w:t>元，占股份总额</w:t>
      </w:r>
    </w:p>
    <w:p>
      <w:pPr>
        <w:pStyle w:val="BodyText"/>
        <w:spacing w:line="240" w:lineRule="auto" w:before="89"/>
        <w:ind w:left="899" w:right="0"/>
        <w:jc w:val="both"/>
      </w:pPr>
      <w:r>
        <w:rPr>
          <w:rFonts w:ascii="Times New Roman" w:hAnsi="Times New Roman" w:cs="Times New Roman" w:eastAsia="Times New Roman" w:hint="default"/>
        </w:rPr>
        <w:t>10.657%</w:t>
      </w:r>
      <w:r>
        <w:rPr/>
        <w:t>；梅州敬基金属制品有限公司</w:t>
      </w:r>
      <w:r>
        <w:rPr>
          <w:spacing w:val="-57"/>
        </w:rPr>
        <w:t> </w:t>
      </w:r>
      <w:r>
        <w:rPr>
          <w:rFonts w:ascii="Times New Roman" w:hAnsi="Times New Roman" w:cs="Times New Roman" w:eastAsia="Times New Roman" w:hint="default"/>
        </w:rPr>
        <w:t>9,463,500</w:t>
      </w:r>
      <w:r>
        <w:rPr>
          <w:rFonts w:ascii="Times New Roman" w:hAnsi="Times New Roman" w:cs="Times New Roman" w:eastAsia="Times New Roman" w:hint="default"/>
          <w:spacing w:val="-5"/>
        </w:rPr>
        <w:t> </w:t>
      </w:r>
      <w:r>
        <w:rPr/>
        <w:t>股，计</w:t>
      </w:r>
      <w:r>
        <w:rPr>
          <w:spacing w:val="-57"/>
        </w:rPr>
        <w:t> </w:t>
      </w:r>
      <w:r>
        <w:rPr>
          <w:rFonts w:ascii="Times New Roman" w:hAnsi="Times New Roman" w:cs="Times New Roman" w:eastAsia="Times New Roman" w:hint="default"/>
        </w:rPr>
        <w:t>9,463,500</w:t>
      </w:r>
      <w:r>
        <w:rPr>
          <w:rFonts w:ascii="Times New Roman" w:hAnsi="Times New Roman" w:cs="Times New Roman" w:eastAsia="Times New Roman" w:hint="default"/>
          <w:spacing w:val="-4"/>
        </w:rPr>
        <w:t> </w:t>
      </w:r>
      <w:r>
        <w:rPr/>
        <w:t>元，占股份总额</w:t>
      </w:r>
      <w:r>
        <w:rPr>
          <w:spacing w:val="-57"/>
        </w:rPr>
        <w:t> </w:t>
      </w:r>
      <w:r>
        <w:rPr>
          <w:rFonts w:ascii="Times New Roman" w:hAnsi="Times New Roman" w:cs="Times New Roman" w:eastAsia="Times New Roman" w:hint="default"/>
        </w:rPr>
        <w:t>8.881%</w:t>
      </w:r>
      <w:r>
        <w:rPr/>
        <w:t>；</w:t>
      </w:r>
    </w:p>
    <w:p>
      <w:pPr>
        <w:pStyle w:val="BodyText"/>
        <w:spacing w:line="240" w:lineRule="auto" w:before="89"/>
        <w:ind w:left="899" w:right="0"/>
        <w:jc w:val="both"/>
      </w:pPr>
      <w:r>
        <w:rPr/>
        <w:t>广州藤川科技有限公司</w:t>
      </w:r>
      <w:r>
        <w:rPr>
          <w:spacing w:val="-58"/>
        </w:rPr>
        <w:t> </w:t>
      </w:r>
      <w:r>
        <w:rPr>
          <w:rFonts w:ascii="Times New Roman" w:hAnsi="Times New Roman" w:cs="Times New Roman" w:eastAsia="Times New Roman" w:hint="default"/>
        </w:rPr>
        <w:t>567,810</w:t>
      </w:r>
      <w:r>
        <w:rPr>
          <w:rFonts w:ascii="Times New Roman" w:hAnsi="Times New Roman" w:cs="Times New Roman" w:eastAsia="Times New Roman" w:hint="default"/>
          <w:spacing w:val="-5"/>
        </w:rPr>
        <w:t> </w:t>
      </w:r>
      <w:r>
        <w:rPr>
          <w:spacing w:val="-7"/>
        </w:rPr>
        <w:t>股，计</w:t>
      </w:r>
      <w:r>
        <w:rPr>
          <w:spacing w:val="-58"/>
        </w:rPr>
        <w:t> </w:t>
      </w:r>
      <w:r>
        <w:rPr>
          <w:rFonts w:ascii="Times New Roman" w:hAnsi="Times New Roman" w:cs="Times New Roman" w:eastAsia="Times New Roman" w:hint="default"/>
        </w:rPr>
        <w:t>567,810</w:t>
      </w:r>
      <w:r>
        <w:rPr>
          <w:rFonts w:ascii="Times New Roman" w:hAnsi="Times New Roman" w:cs="Times New Roman" w:eastAsia="Times New Roman" w:hint="default"/>
          <w:spacing w:val="-5"/>
        </w:rPr>
        <w:t> </w:t>
      </w:r>
      <w:r>
        <w:rPr>
          <w:spacing w:val="-4"/>
        </w:rPr>
        <w:t>元，占股份总额</w:t>
      </w:r>
      <w:r>
        <w:rPr>
          <w:spacing w:val="-58"/>
        </w:rPr>
        <w:t> </w:t>
      </w:r>
      <w:r>
        <w:rPr>
          <w:rFonts w:ascii="Times New Roman" w:hAnsi="Times New Roman" w:cs="Times New Roman" w:eastAsia="Times New Roman" w:hint="default"/>
        </w:rPr>
        <w:t>0.533%</w:t>
      </w:r>
      <w:r>
        <w:rPr/>
        <w:t>。以上实收资本已经</w:t>
      </w:r>
    </w:p>
    <w:p>
      <w:pPr>
        <w:pStyle w:val="BodyText"/>
        <w:spacing w:line="240" w:lineRule="auto" w:before="88"/>
        <w:ind w:left="899" w:right="0"/>
        <w:jc w:val="both"/>
      </w:pPr>
      <w:r>
        <w:rPr/>
        <w:t>广东羊城会计师事务所有限公司(2005)羊验字第</w:t>
      </w:r>
      <w:r>
        <w:rPr>
          <w:spacing w:val="-42"/>
        </w:rPr>
        <w:t> </w:t>
      </w:r>
      <w:r>
        <w:rPr/>
        <w:t>5839</w:t>
      </w:r>
      <w:r>
        <w:rPr>
          <w:spacing w:val="-41"/>
        </w:rPr>
        <w:t> </w:t>
      </w:r>
      <w:r>
        <w:rPr/>
        <w:t>号验资报告验证。本公司</w:t>
      </w:r>
      <w:r>
        <w:rPr>
          <w:spacing w:val="-42"/>
        </w:rPr>
        <w:t> </w:t>
      </w:r>
      <w:r>
        <w:rPr/>
        <w:t>2005</w:t>
      </w:r>
      <w:r>
        <w:rPr>
          <w:spacing w:val="-42"/>
        </w:rPr>
        <w:t> </w:t>
      </w:r>
      <w:r>
        <w:rPr/>
        <w:t>年</w:t>
      </w:r>
      <w:r>
        <w:rPr>
          <w:spacing w:val="-42"/>
        </w:rPr>
        <w:t> </w:t>
      </w:r>
      <w:r>
        <w:rPr/>
        <w:t>10</w:t>
      </w:r>
    </w:p>
    <w:p>
      <w:pPr>
        <w:pStyle w:val="BodyText"/>
        <w:spacing w:line="240" w:lineRule="auto" w:before="105"/>
        <w:ind w:left="899" w:right="0"/>
        <w:jc w:val="both"/>
      </w:pPr>
      <w:r>
        <w:rPr/>
        <w:t>月</w:t>
      </w:r>
      <w:r>
        <w:rPr>
          <w:spacing w:val="-55"/>
        </w:rPr>
        <w:t> </w:t>
      </w:r>
      <w:r>
        <w:rPr/>
        <w:t>18</w:t>
      </w:r>
      <w:r>
        <w:rPr>
          <w:spacing w:val="-54"/>
        </w:rPr>
        <w:t> </w:t>
      </w:r>
      <w:r>
        <w:rPr/>
        <w:t>日变更了企业法人营业执照。</w:t>
      </w:r>
    </w:p>
    <w:p>
      <w:pPr>
        <w:pStyle w:val="BodyText"/>
        <w:spacing w:line="319" w:lineRule="auto" w:before="105"/>
        <w:ind w:left="899" w:right="893" w:firstLine="420"/>
        <w:jc w:val="both"/>
      </w:pPr>
      <w:r>
        <w:rPr/>
        <w:t>2、2006</w:t>
      </w:r>
      <w:r>
        <w:rPr>
          <w:spacing w:val="-33"/>
        </w:rPr>
        <w:t> </w:t>
      </w:r>
      <w:r>
        <w:rPr/>
        <w:t>年</w:t>
      </w:r>
      <w:r>
        <w:rPr>
          <w:spacing w:val="-33"/>
        </w:rPr>
        <w:t> </w:t>
      </w:r>
      <w:r>
        <w:rPr/>
        <w:t>12</w:t>
      </w:r>
      <w:r>
        <w:rPr>
          <w:spacing w:val="-33"/>
        </w:rPr>
        <w:t> </w:t>
      </w:r>
      <w:r>
        <w:rPr/>
        <w:t>月，经公司股东大会审议通过，公司股东盈富泰克创业投资有限公司将</w:t>
      </w:r>
      <w:r>
        <w:rPr/>
        <w:t> 其所持有本公司 </w:t>
      </w:r>
      <w:r>
        <w:rPr>
          <w:rFonts w:ascii="Times New Roman" w:hAnsi="Times New Roman" w:cs="Times New Roman" w:eastAsia="Times New Roman" w:hint="default"/>
        </w:rPr>
        <w:t>10.657%</w:t>
      </w:r>
      <w:r>
        <w:rPr/>
        <w:t>股权的</w:t>
      </w:r>
      <w:r>
        <w:rPr>
          <w:spacing w:val="-31"/>
        </w:rPr>
        <w:t> </w:t>
      </w:r>
      <w:r>
        <w:rPr>
          <w:rFonts w:ascii="Times New Roman" w:hAnsi="Times New Roman" w:cs="Times New Roman" w:eastAsia="Times New Roman" w:hint="default"/>
        </w:rPr>
        <w:t>5.026%</w:t>
      </w:r>
      <w:r>
        <w:rPr/>
        <w:t>转让给公司股东广州无线电集团有限公司，公司股 </w:t>
      </w:r>
      <w:r>
        <w:rPr>
          <w:spacing w:val="2"/>
        </w:rPr>
        <w:t>东深圳市德通投资有限公司将其所持有本公司</w:t>
      </w:r>
      <w:r>
        <w:rPr>
          <w:spacing w:val="32"/>
        </w:rPr>
        <w:t> </w:t>
      </w:r>
      <w:r>
        <w:rPr>
          <w:rFonts w:ascii="Times New Roman" w:hAnsi="Times New Roman" w:cs="Times New Roman" w:eastAsia="Times New Roman" w:hint="default"/>
        </w:rPr>
        <w:t>17.762%</w:t>
      </w:r>
      <w:r>
        <w:rPr/>
        <w:t>股权的全部转让给自然人股东叶子</w:t>
      </w:r>
      <w:r>
        <w:rPr>
          <w:spacing w:val="-97"/>
        </w:rPr>
        <w:t> </w:t>
      </w:r>
      <w:r>
        <w:rPr>
          <w:spacing w:val="-97"/>
        </w:rPr>
      </w:r>
      <w:r>
        <w:rPr/>
        <w:t>瑜等</w:t>
      </w:r>
      <w:r>
        <w:rPr>
          <w:spacing w:val="-48"/>
        </w:rPr>
        <w:t> </w:t>
      </w:r>
      <w:r>
        <w:rPr/>
        <w:t>48</w:t>
      </w:r>
      <w:r>
        <w:rPr>
          <w:spacing w:val="-47"/>
        </w:rPr>
        <w:t> </w:t>
      </w:r>
      <w:r>
        <w:rPr/>
        <w:t>人；本次股权转让完成后，各股东出资金额及股权比例分别为：广州无线电集团有</w:t>
      </w:r>
    </w:p>
    <w:p>
      <w:pPr>
        <w:pStyle w:val="BodyText"/>
        <w:spacing w:line="314" w:lineRule="auto" w:before="35"/>
        <w:ind w:left="899" w:right="894"/>
        <w:jc w:val="both"/>
      </w:pPr>
      <w:r>
        <w:rPr/>
        <w:t>限公司出资 </w:t>
      </w:r>
      <w:r>
        <w:rPr>
          <w:rFonts w:ascii="Times New Roman" w:hAnsi="Times New Roman" w:cs="Times New Roman" w:eastAsia="Times New Roman" w:hint="default"/>
        </w:rPr>
        <w:t>7,160.07 </w:t>
      </w:r>
      <w:r>
        <w:rPr/>
        <w:t>万元，占注册资本的 </w:t>
      </w:r>
      <w:r>
        <w:rPr>
          <w:rFonts w:ascii="Times New Roman" w:hAnsi="Times New Roman" w:cs="Times New Roman" w:eastAsia="Times New Roman" w:hint="default"/>
        </w:rPr>
        <w:t>67.1934%</w:t>
      </w:r>
      <w:r>
        <w:rPr/>
        <w:t>；盈富泰克创业投资有限公司出资</w:t>
      </w:r>
      <w:r>
        <w:rPr>
          <w:spacing w:val="-72"/>
        </w:rPr>
        <w:t> </w:t>
      </w:r>
      <w:r>
        <w:rPr>
          <w:rFonts w:ascii="Times New Roman" w:hAnsi="Times New Roman" w:cs="Times New Roman" w:eastAsia="Times New Roman" w:hint="default"/>
        </w:rPr>
        <w:t>600 </w:t>
      </w:r>
      <w:r>
        <w:rPr/>
        <w:t>万元，占注册资本的 </w:t>
      </w:r>
      <w:r>
        <w:rPr>
          <w:rFonts w:ascii="Times New Roman" w:hAnsi="Times New Roman" w:cs="Times New Roman" w:eastAsia="Times New Roman" w:hint="default"/>
        </w:rPr>
        <w:t>5.6306%</w:t>
      </w:r>
      <w:r>
        <w:rPr/>
        <w:t>；梅州敬基金属制品有限公司出资 </w:t>
      </w:r>
      <w:r>
        <w:rPr>
          <w:rFonts w:ascii="Times New Roman" w:hAnsi="Times New Roman" w:cs="Times New Roman" w:eastAsia="Times New Roman" w:hint="default"/>
        </w:rPr>
        <w:t>946.35</w:t>
      </w:r>
      <w:r>
        <w:rPr>
          <w:rFonts w:ascii="Times New Roman" w:hAnsi="Times New Roman" w:cs="Times New Roman" w:eastAsia="Times New Roman" w:hint="default"/>
          <w:spacing w:val="-15"/>
        </w:rPr>
        <w:t> </w:t>
      </w:r>
      <w:r>
        <w:rPr/>
        <w:t>万元，占注册资本 的</w:t>
      </w:r>
      <w:r>
        <w:rPr>
          <w:spacing w:val="-58"/>
        </w:rPr>
        <w:t> </w:t>
      </w:r>
      <w:r>
        <w:rPr>
          <w:rFonts w:ascii="Times New Roman" w:hAnsi="Times New Roman" w:cs="Times New Roman" w:eastAsia="Times New Roman" w:hint="default"/>
        </w:rPr>
        <w:t>8.8809%</w:t>
      </w:r>
      <w:r>
        <w:rPr/>
        <w:t>；广州藤川科技有限公司出资</w:t>
      </w:r>
      <w:r>
        <w:rPr>
          <w:spacing w:val="-58"/>
        </w:rPr>
        <w:t> </w:t>
      </w:r>
      <w:r>
        <w:rPr>
          <w:rFonts w:ascii="Times New Roman" w:hAnsi="Times New Roman" w:cs="Times New Roman" w:eastAsia="Times New Roman" w:hint="default"/>
        </w:rPr>
        <w:t>56.781</w:t>
      </w:r>
      <w:r>
        <w:rPr>
          <w:rFonts w:ascii="Times New Roman" w:hAnsi="Times New Roman" w:cs="Times New Roman" w:eastAsia="Times New Roman" w:hint="default"/>
          <w:spacing w:val="-6"/>
        </w:rPr>
        <w:t> </w:t>
      </w:r>
      <w:r>
        <w:rPr>
          <w:spacing w:val="-3"/>
        </w:rPr>
        <w:t>万元，占注册资本的</w:t>
      </w:r>
      <w:r>
        <w:rPr>
          <w:spacing w:val="-58"/>
        </w:rPr>
        <w:t> </w:t>
      </w:r>
      <w:r>
        <w:rPr>
          <w:rFonts w:ascii="Times New Roman" w:hAnsi="Times New Roman" w:cs="Times New Roman" w:eastAsia="Times New Roman" w:hint="default"/>
          <w:spacing w:val="-3"/>
        </w:rPr>
        <w:t>0.5328%</w:t>
      </w:r>
      <w:r>
        <w:rPr>
          <w:spacing w:val="-3"/>
        </w:rPr>
        <w:t>；自然人股东</w:t>
      </w:r>
      <w:r>
        <w:rPr/>
        <w:t> 叶子瑜等</w:t>
      </w:r>
      <w:r>
        <w:rPr>
          <w:spacing w:val="-56"/>
        </w:rPr>
        <w:t> </w:t>
      </w:r>
      <w:r>
        <w:rPr/>
        <w:t>48</w:t>
      </w:r>
      <w:r>
        <w:rPr>
          <w:spacing w:val="-56"/>
        </w:rPr>
        <w:t> </w:t>
      </w:r>
      <w:r>
        <w:rPr/>
        <w:t>人出资</w:t>
      </w:r>
      <w:r>
        <w:rPr>
          <w:spacing w:val="-55"/>
        </w:rPr>
        <w:t> </w:t>
      </w:r>
      <w:r>
        <w:rPr>
          <w:rFonts w:ascii="Times New Roman" w:hAnsi="Times New Roman" w:cs="Times New Roman" w:eastAsia="Times New Roman" w:hint="default"/>
        </w:rPr>
        <w:t>1,892.70</w:t>
      </w:r>
      <w:r>
        <w:rPr>
          <w:rFonts w:ascii="Times New Roman" w:hAnsi="Times New Roman" w:cs="Times New Roman" w:eastAsia="Times New Roman" w:hint="default"/>
          <w:spacing w:val="-3"/>
        </w:rPr>
        <w:t> </w:t>
      </w:r>
      <w:r>
        <w:rPr/>
        <w:t>万元，占注册资本的</w:t>
      </w:r>
      <w:r>
        <w:rPr>
          <w:spacing w:val="-56"/>
        </w:rPr>
        <w:t> </w:t>
      </w:r>
      <w:r>
        <w:rPr>
          <w:rFonts w:ascii="Times New Roman" w:hAnsi="Times New Roman" w:cs="Times New Roman" w:eastAsia="Times New Roman" w:hint="default"/>
        </w:rPr>
        <w:t>17.7623%</w:t>
      </w:r>
      <w:r>
        <w:rPr/>
        <w:t>。</w:t>
      </w:r>
    </w:p>
    <w:p>
      <w:pPr>
        <w:pStyle w:val="BodyText"/>
        <w:spacing w:line="240" w:lineRule="auto" w:before="17"/>
        <w:ind w:left="1320" w:right="0"/>
        <w:jc w:val="left"/>
      </w:pPr>
      <w:r>
        <w:rPr/>
        <w:t>3、根据公司</w:t>
      </w:r>
      <w:r>
        <w:rPr>
          <w:spacing w:val="-36"/>
        </w:rPr>
        <w:t> </w:t>
      </w:r>
      <w:r>
        <w:rPr/>
        <w:t>2007</w:t>
      </w:r>
      <w:r>
        <w:rPr>
          <w:spacing w:val="-34"/>
        </w:rPr>
        <w:t> </w:t>
      </w:r>
      <w:r>
        <w:rPr/>
        <w:t>年</w:t>
      </w:r>
      <w:r>
        <w:rPr>
          <w:spacing w:val="-36"/>
        </w:rPr>
        <w:t> </w:t>
      </w:r>
      <w:r>
        <w:rPr/>
        <w:t>2</w:t>
      </w:r>
      <w:r>
        <w:rPr>
          <w:spacing w:val="-35"/>
        </w:rPr>
        <w:t> </w:t>
      </w:r>
      <w:r>
        <w:rPr/>
        <w:t>月</w:t>
      </w:r>
      <w:r>
        <w:rPr>
          <w:spacing w:val="-34"/>
        </w:rPr>
        <w:t> </w:t>
      </w:r>
      <w:r>
        <w:rPr/>
        <w:t>1</w:t>
      </w:r>
      <w:r>
        <w:rPr>
          <w:spacing w:val="-34"/>
        </w:rPr>
        <w:t> </w:t>
      </w:r>
      <w:r>
        <w:rPr/>
        <w:t>日之股东大会决议和中国证券监督管理委员会证监发行字</w:t>
      </w:r>
    </w:p>
    <w:p>
      <w:pPr>
        <w:pStyle w:val="BodyText"/>
        <w:spacing w:line="321" w:lineRule="auto" w:before="105"/>
        <w:ind w:left="900" w:right="895"/>
        <w:jc w:val="both"/>
      </w:pPr>
      <w:r>
        <w:rPr/>
        <w:t>[2007]188</w:t>
      </w:r>
      <w:r>
        <w:rPr>
          <w:spacing w:val="-30"/>
        </w:rPr>
        <w:t> </w:t>
      </w:r>
      <w:r>
        <w:rPr>
          <w:spacing w:val="-2"/>
        </w:rPr>
        <w:t>号《关于核准广州广电运通金融电子股份有限公司首次公开发行股票的通知》的</w:t>
      </w:r>
      <w:r>
        <w:rPr>
          <w:spacing w:val="-101"/>
        </w:rPr>
        <w:t> </w:t>
      </w:r>
      <w:r>
        <w:rPr>
          <w:spacing w:val="-101"/>
        </w:rPr>
      </w:r>
      <w:r>
        <w:rPr/>
        <w:t>核准，公司向社会公开发行人民币普通股（A</w:t>
      </w:r>
      <w:r>
        <w:rPr>
          <w:spacing w:val="-59"/>
        </w:rPr>
        <w:t> </w:t>
      </w:r>
      <w:r>
        <w:rPr>
          <w:spacing w:val="-4"/>
        </w:rPr>
        <w:t>股）</w:t>
      </w:r>
      <w:r>
        <w:rPr>
          <w:rFonts w:ascii="Times New Roman" w:hAnsi="Times New Roman" w:cs="Times New Roman" w:eastAsia="Times New Roman" w:hint="default"/>
          <w:spacing w:val="-4"/>
        </w:rPr>
        <w:t>3600</w:t>
      </w:r>
      <w:r>
        <w:rPr>
          <w:rFonts w:ascii="Times New Roman" w:hAnsi="Times New Roman" w:cs="Times New Roman" w:eastAsia="Times New Roman" w:hint="default"/>
          <w:spacing w:val="-7"/>
        </w:rPr>
        <w:t> </w:t>
      </w:r>
      <w:r>
        <w:rPr>
          <w:spacing w:val="-4"/>
        </w:rPr>
        <w:t>万股，每股面值</w:t>
      </w:r>
      <w:r>
        <w:rPr>
          <w:spacing w:val="-60"/>
        </w:rPr>
        <w:t> </w:t>
      </w:r>
      <w:r>
        <w:rPr/>
        <w:t>1</w:t>
      </w:r>
      <w:r>
        <w:rPr>
          <w:spacing w:val="-59"/>
        </w:rPr>
        <w:t> </w:t>
      </w:r>
      <w:r>
        <w:rPr>
          <w:spacing w:val="-3"/>
        </w:rPr>
        <w:t>元，增加股本人民</w:t>
      </w:r>
      <w:r>
        <w:rPr/>
        <w:t> 币</w:t>
      </w:r>
      <w:r>
        <w:rPr>
          <w:spacing w:val="-54"/>
        </w:rPr>
        <w:t> </w:t>
      </w:r>
      <w:r>
        <w:rPr>
          <w:rFonts w:ascii="Times New Roman" w:hAnsi="Times New Roman" w:cs="Times New Roman" w:eastAsia="Times New Roman" w:hint="default"/>
        </w:rPr>
        <w:t>36,000,000.00</w:t>
      </w:r>
      <w:r>
        <w:rPr>
          <w:rFonts w:ascii="Times New Roman" w:hAnsi="Times New Roman" w:cs="Times New Roman" w:eastAsia="Times New Roman" w:hint="default"/>
          <w:spacing w:val="49"/>
        </w:rPr>
        <w:t> </w:t>
      </w:r>
      <w:r>
        <w:rPr/>
        <w:t>元，变更后的股本为人民币</w:t>
      </w:r>
      <w:r>
        <w:rPr>
          <w:spacing w:val="-54"/>
        </w:rPr>
        <w:t> </w:t>
      </w:r>
      <w:r>
        <w:rPr>
          <w:rFonts w:ascii="Times New Roman" w:hAnsi="Times New Roman" w:cs="Times New Roman" w:eastAsia="Times New Roman" w:hint="default"/>
        </w:rPr>
        <w:t>142,559,010.00 </w:t>
      </w:r>
      <w:r>
        <w:rPr/>
        <w:t>元。上述资金于</w:t>
      </w:r>
      <w:r>
        <w:rPr>
          <w:spacing w:val="-54"/>
        </w:rPr>
        <w:t> </w:t>
      </w:r>
      <w:r>
        <w:rPr/>
        <w:t>2007</w:t>
      </w:r>
      <w:r>
        <w:rPr>
          <w:spacing w:val="-53"/>
        </w:rPr>
        <w:t> </w:t>
      </w:r>
      <w:r>
        <w:rPr/>
        <w:t>年</w:t>
      </w:r>
      <w:r>
        <w:rPr>
          <w:spacing w:val="-55"/>
        </w:rPr>
        <w:t> </w:t>
      </w:r>
      <w:r>
        <w:rPr/>
        <w:t>8</w:t>
      </w:r>
      <w:r>
        <w:rPr>
          <w:spacing w:val="-54"/>
        </w:rPr>
        <w:t> </w:t>
      </w:r>
      <w:r>
        <w:rPr/>
        <w:t>月</w:t>
      </w:r>
      <w:r>
        <w:rPr>
          <w:spacing w:val="-54"/>
        </w:rPr>
        <w:t> </w:t>
      </w:r>
      <w:r>
        <w:rPr/>
        <w:t>3</w:t>
      </w:r>
    </w:p>
    <w:p>
      <w:pPr>
        <w:pStyle w:val="BodyText"/>
        <w:spacing w:line="331" w:lineRule="auto" w:before="10"/>
        <w:ind w:left="900" w:right="894"/>
        <w:jc w:val="both"/>
      </w:pPr>
      <w:r>
        <w:rPr/>
        <w:t>日到位，业经广东羊城会计师事务所</w:t>
      </w:r>
      <w:r>
        <w:rPr>
          <w:spacing w:val="-52"/>
        </w:rPr>
        <w:t> </w:t>
      </w:r>
      <w:r>
        <w:rPr/>
        <w:t>2007</w:t>
      </w:r>
      <w:r>
        <w:rPr>
          <w:spacing w:val="-52"/>
        </w:rPr>
        <w:t> </w:t>
      </w:r>
      <w:r>
        <w:rPr/>
        <w:t>年</w:t>
      </w:r>
      <w:r>
        <w:rPr>
          <w:spacing w:val="-54"/>
        </w:rPr>
        <w:t> </w:t>
      </w:r>
      <w:r>
        <w:rPr/>
        <w:t>8</w:t>
      </w:r>
      <w:r>
        <w:rPr>
          <w:spacing w:val="-53"/>
        </w:rPr>
        <w:t> </w:t>
      </w:r>
      <w:r>
        <w:rPr/>
        <w:t>月</w:t>
      </w:r>
      <w:r>
        <w:rPr>
          <w:spacing w:val="-52"/>
        </w:rPr>
        <w:t> </w:t>
      </w:r>
      <w:r>
        <w:rPr/>
        <w:t>3</w:t>
      </w:r>
      <w:r>
        <w:rPr>
          <w:spacing w:val="-52"/>
        </w:rPr>
        <w:t> </w:t>
      </w:r>
      <w:r>
        <w:rPr/>
        <w:t>日出具的(2007)羊验字第</w:t>
      </w:r>
      <w:r>
        <w:rPr>
          <w:spacing w:val="-52"/>
        </w:rPr>
        <w:t> </w:t>
      </w:r>
      <w:r>
        <w:rPr/>
        <w:t>11535</w:t>
      </w:r>
      <w:r>
        <w:rPr>
          <w:spacing w:val="-52"/>
        </w:rPr>
        <w:t> </w:t>
      </w:r>
      <w:r>
        <w:rPr/>
        <w:t>号验资</w:t>
      </w:r>
      <w:r>
        <w:rPr/>
        <w:t> 报告予以验证。</w:t>
      </w:r>
    </w:p>
    <w:p>
      <w:pPr>
        <w:pStyle w:val="BodyText"/>
        <w:spacing w:line="240" w:lineRule="auto" w:before="25"/>
        <w:ind w:left="1320" w:right="0"/>
        <w:jc w:val="left"/>
      </w:pPr>
      <w:r>
        <w:rPr/>
        <w:t>4、经公司第一届董事会第十五次会议、2008</w:t>
      </w:r>
      <w:r>
        <w:rPr>
          <w:spacing w:val="-41"/>
        </w:rPr>
        <w:t> </w:t>
      </w:r>
      <w:r>
        <w:rPr/>
        <w:t>年</w:t>
      </w:r>
      <w:r>
        <w:rPr>
          <w:spacing w:val="-42"/>
        </w:rPr>
        <w:t> </w:t>
      </w:r>
      <w:r>
        <w:rPr/>
        <w:t>4</w:t>
      </w:r>
      <w:r>
        <w:rPr>
          <w:spacing w:val="-41"/>
        </w:rPr>
        <w:t> </w:t>
      </w:r>
      <w:r>
        <w:rPr/>
        <w:t>月</w:t>
      </w:r>
      <w:r>
        <w:rPr>
          <w:spacing w:val="-42"/>
        </w:rPr>
        <w:t> </w:t>
      </w:r>
      <w:r>
        <w:rPr/>
        <w:t>18</w:t>
      </w:r>
      <w:r>
        <w:rPr>
          <w:spacing w:val="-41"/>
        </w:rPr>
        <w:t> </w:t>
      </w:r>
      <w:r>
        <w:rPr/>
        <w:t>日股东大会决议通过，公司以</w:t>
      </w:r>
    </w:p>
    <w:p>
      <w:pPr>
        <w:pStyle w:val="BodyText"/>
        <w:spacing w:line="240" w:lineRule="auto" w:before="105"/>
        <w:ind w:left="900" w:right="0"/>
        <w:jc w:val="both"/>
      </w:pPr>
      <w:r>
        <w:rPr/>
        <w:t>2007</w:t>
      </w:r>
      <w:r>
        <w:rPr>
          <w:spacing w:val="-51"/>
        </w:rPr>
        <w:t> </w:t>
      </w:r>
      <w:r>
        <w:rPr/>
        <w:t>年末总股本为基数，以资本公积向全体股东每</w:t>
      </w:r>
      <w:r>
        <w:rPr>
          <w:spacing w:val="-51"/>
        </w:rPr>
        <w:t> </w:t>
      </w:r>
      <w:r>
        <w:rPr/>
        <w:t>10</w:t>
      </w:r>
      <w:r>
        <w:rPr>
          <w:spacing w:val="-2"/>
        </w:rPr>
        <w:t> </w:t>
      </w:r>
      <w:r>
        <w:rPr/>
        <w:t>股转增</w:t>
      </w:r>
      <w:r>
        <w:rPr>
          <w:spacing w:val="-51"/>
        </w:rPr>
        <w:t> </w:t>
      </w:r>
      <w:r>
        <w:rPr/>
        <w:t>10</w:t>
      </w:r>
      <w:r>
        <w:rPr>
          <w:spacing w:val="-51"/>
        </w:rPr>
        <w:t> </w:t>
      </w:r>
      <w:r>
        <w:rPr/>
        <w:t>股股本。变更后的股本为</w:t>
      </w:r>
    </w:p>
    <w:p>
      <w:pPr>
        <w:pStyle w:val="BodyText"/>
        <w:spacing w:line="240" w:lineRule="auto" w:before="104"/>
        <w:ind w:left="900" w:right="0"/>
        <w:jc w:val="both"/>
      </w:pPr>
      <w:r>
        <w:rPr/>
        <w:t>人民币</w:t>
      </w:r>
      <w:r>
        <w:rPr>
          <w:spacing w:val="-54"/>
        </w:rPr>
        <w:t> </w:t>
      </w:r>
      <w:r>
        <w:rPr>
          <w:rFonts w:ascii="Times New Roman" w:hAnsi="Times New Roman" w:cs="Times New Roman" w:eastAsia="Times New Roman" w:hint="default"/>
        </w:rPr>
        <w:t>285,118,020.00</w:t>
      </w:r>
      <w:r>
        <w:rPr>
          <w:rFonts w:ascii="Times New Roman" w:hAnsi="Times New Roman" w:cs="Times New Roman" w:eastAsia="Times New Roman" w:hint="default"/>
          <w:spacing w:val="-1"/>
        </w:rPr>
        <w:t> </w:t>
      </w:r>
      <w:r>
        <w:rPr>
          <w:spacing w:val="-3"/>
        </w:rPr>
        <w:t>元。上述增资业经立信羊城会计师事务所有限公司</w:t>
      </w:r>
      <w:r>
        <w:rPr>
          <w:spacing w:val="-54"/>
        </w:rPr>
        <w:t> </w:t>
      </w:r>
      <w:r>
        <w:rPr/>
        <w:t>2008</w:t>
      </w:r>
      <w:r>
        <w:rPr>
          <w:spacing w:val="-53"/>
        </w:rPr>
        <w:t> </w:t>
      </w:r>
      <w:r>
        <w:rPr/>
        <w:t>年</w:t>
      </w:r>
      <w:r>
        <w:rPr>
          <w:spacing w:val="-55"/>
        </w:rPr>
        <w:t> </w:t>
      </w:r>
      <w:r>
        <w:rPr/>
        <w:t>6</w:t>
      </w:r>
      <w:r>
        <w:rPr>
          <w:spacing w:val="-53"/>
        </w:rPr>
        <w:t> </w:t>
      </w:r>
      <w:r>
        <w:rPr/>
        <w:t>月</w:t>
      </w:r>
      <w:r>
        <w:rPr>
          <w:spacing w:val="-55"/>
        </w:rPr>
        <w:t> </w:t>
      </w:r>
      <w:r>
        <w:rPr/>
        <w:t>11</w:t>
      </w:r>
      <w:r>
        <w:rPr>
          <w:spacing w:val="-53"/>
        </w:rPr>
        <w:t> </w:t>
      </w:r>
      <w:r>
        <w:rPr/>
        <w:t>日</w:t>
      </w:r>
    </w:p>
    <w:p>
      <w:pPr>
        <w:pStyle w:val="BodyText"/>
        <w:spacing w:line="240" w:lineRule="auto" w:before="89"/>
        <w:ind w:left="900" w:right="0"/>
        <w:jc w:val="both"/>
      </w:pPr>
      <w:r>
        <w:rPr/>
        <w:t>出具的(2008)羊验字第</w:t>
      </w:r>
      <w:r>
        <w:rPr>
          <w:spacing w:val="-67"/>
        </w:rPr>
        <w:t> </w:t>
      </w:r>
      <w:r>
        <w:rPr/>
        <w:t>14626</w:t>
      </w:r>
      <w:r>
        <w:rPr>
          <w:spacing w:val="-66"/>
        </w:rPr>
        <w:t> </w:t>
      </w:r>
      <w:r>
        <w:rPr/>
        <w:t>号验资报告予以验证。</w:t>
      </w:r>
    </w:p>
    <w:p>
      <w:pPr>
        <w:spacing w:after="0" w:line="240" w:lineRule="auto"/>
        <w:jc w:val="both"/>
        <w:sectPr>
          <w:pgSz w:w="11910" w:h="16840"/>
          <w:pgMar w:header="400" w:footer="982" w:top="1100" w:bottom="1180" w:left="900" w:right="900"/>
        </w:sectPr>
      </w:pPr>
    </w:p>
    <w:p>
      <w:pPr>
        <w:spacing w:line="240" w:lineRule="auto" w:before="12"/>
        <w:rPr>
          <w:rFonts w:ascii="宋体" w:hAnsi="宋体" w:cs="宋体" w:eastAsia="宋体" w:hint="default"/>
          <w:sz w:val="28"/>
          <w:szCs w:val="28"/>
        </w:rPr>
      </w:pPr>
    </w:p>
    <w:p>
      <w:pPr>
        <w:pStyle w:val="Heading4"/>
        <w:tabs>
          <w:tab w:pos="1819" w:val="left" w:leader="none"/>
        </w:tabs>
        <w:spacing w:line="240" w:lineRule="auto" w:before="35"/>
        <w:ind w:right="1090"/>
        <w:jc w:val="left"/>
        <w:rPr>
          <w:b w:val="0"/>
          <w:bCs w:val="0"/>
        </w:rPr>
      </w:pPr>
      <w:r>
        <w:rPr>
          <w:w w:val="95"/>
        </w:rPr>
        <w:t>（二十四）</w:t>
        <w:tab/>
      </w:r>
      <w:r>
        <w:rPr/>
        <w:t>资本公积</w:t>
      </w:r>
      <w:r>
        <w:rPr>
          <w:b w:val="0"/>
          <w:bCs w:val="0"/>
        </w:rPr>
      </w:r>
    </w:p>
    <w:p>
      <w:pPr>
        <w:spacing w:line="240" w:lineRule="auto" w:before="4"/>
        <w:rPr>
          <w:rFonts w:ascii="宋体" w:hAnsi="宋体" w:cs="宋体" w:eastAsia="宋体" w:hint="default"/>
          <w:b/>
          <w:bCs/>
          <w:sz w:val="14"/>
          <w:szCs w:val="14"/>
        </w:rPr>
      </w:pPr>
    </w:p>
    <w:tbl>
      <w:tblPr>
        <w:tblW w:w="0" w:type="auto"/>
        <w:jc w:val="left"/>
        <w:tblInd w:w="176" w:type="dxa"/>
        <w:tblLayout w:type="fixed"/>
        <w:tblCellMar>
          <w:top w:w="0" w:type="dxa"/>
          <w:left w:w="0" w:type="dxa"/>
          <w:bottom w:w="0" w:type="dxa"/>
          <w:right w:w="0" w:type="dxa"/>
        </w:tblCellMar>
        <w:tblLook w:val="01E0"/>
      </w:tblPr>
      <w:tblGrid>
        <w:gridCol w:w="1800"/>
        <w:gridCol w:w="1620"/>
        <w:gridCol w:w="1565"/>
        <w:gridCol w:w="1675"/>
        <w:gridCol w:w="1565"/>
      </w:tblGrid>
      <w:tr>
        <w:trPr>
          <w:trHeight w:val="32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88" w:right="0"/>
              <w:jc w:val="left"/>
              <w:rPr>
                <w:rFonts w:ascii="宋体" w:hAnsi="宋体" w:cs="宋体" w:eastAsia="宋体" w:hint="default"/>
                <w:sz w:val="21"/>
                <w:szCs w:val="21"/>
              </w:rPr>
            </w:pPr>
            <w:r>
              <w:rPr>
                <w:rFonts w:ascii="宋体" w:hAnsi="宋体" w:cs="宋体" w:eastAsia="宋体" w:hint="default"/>
                <w:b/>
                <w:bCs/>
                <w:sz w:val="21"/>
                <w:szCs w:val="21"/>
              </w:rPr>
              <w:t>年初数</w:t>
            </w:r>
            <w:r>
              <w:rPr>
                <w:rFonts w:ascii="宋体" w:hAnsi="宋体" w:cs="宋体" w:eastAsia="宋体" w:hint="default"/>
                <w:sz w:val="21"/>
                <w:szCs w:val="21"/>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5"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10"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60" w:right="0"/>
              <w:jc w:val="left"/>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r>
      <w:tr>
        <w:trPr>
          <w:trHeight w:val="32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股本溢价</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549,414,353.27</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142,559,010.00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406,855,343.27</w:t>
            </w:r>
          </w:p>
        </w:tc>
      </w:tr>
      <w:tr>
        <w:trPr>
          <w:trHeight w:val="40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其他资本公积</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8,780,104.29</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8,780,104.29</w:t>
            </w:r>
          </w:p>
        </w:tc>
      </w:tr>
      <w:tr>
        <w:trPr>
          <w:trHeight w:val="32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558,194,457.56</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0.00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142,559,010.00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415,635,447.56</w:t>
            </w:r>
          </w:p>
        </w:tc>
      </w:tr>
    </w:tbl>
    <w:p>
      <w:pPr>
        <w:pStyle w:val="BodyText"/>
        <w:spacing w:line="350" w:lineRule="auto" w:before="93"/>
        <w:ind w:right="121" w:firstLine="420"/>
        <w:jc w:val="left"/>
      </w:pPr>
      <w:r>
        <w:rPr/>
        <w:t>注</w:t>
      </w:r>
      <w:r>
        <w:rPr>
          <w:spacing w:val="-51"/>
        </w:rPr>
        <w:t> </w:t>
      </w:r>
      <w:r>
        <w:rPr/>
        <w:t>1：经公司第一届董事会第十五次会议、2008</w:t>
      </w:r>
      <w:r>
        <w:rPr>
          <w:spacing w:val="-52"/>
        </w:rPr>
        <w:t> </w:t>
      </w:r>
      <w:r>
        <w:rPr/>
        <w:t>年</w:t>
      </w:r>
      <w:r>
        <w:rPr>
          <w:spacing w:val="-51"/>
        </w:rPr>
        <w:t> </w:t>
      </w:r>
      <w:r>
        <w:rPr/>
        <w:t>4</w:t>
      </w:r>
      <w:r>
        <w:rPr>
          <w:spacing w:val="-51"/>
        </w:rPr>
        <w:t> </w:t>
      </w:r>
      <w:r>
        <w:rPr/>
        <w:t>月</w:t>
      </w:r>
      <w:r>
        <w:rPr>
          <w:spacing w:val="-51"/>
        </w:rPr>
        <w:t> </w:t>
      </w:r>
      <w:r>
        <w:rPr/>
        <w:t>18</w:t>
      </w:r>
      <w:r>
        <w:rPr>
          <w:spacing w:val="-51"/>
        </w:rPr>
        <w:t> </w:t>
      </w:r>
      <w:r>
        <w:rPr/>
        <w:t>日股东大会决议通过，公司</w:t>
      </w:r>
      <w:r>
        <w:rPr/>
        <w:t> 以</w:t>
      </w:r>
      <w:r>
        <w:rPr>
          <w:spacing w:val="-59"/>
        </w:rPr>
        <w:t> </w:t>
      </w:r>
      <w:r>
        <w:rPr/>
        <w:t>2007</w:t>
      </w:r>
      <w:r>
        <w:rPr>
          <w:spacing w:val="-58"/>
        </w:rPr>
        <w:t> </w:t>
      </w:r>
      <w:r>
        <w:rPr/>
        <w:t>年末总股本为基数，以资本公积向全体股东每</w:t>
      </w:r>
      <w:r>
        <w:rPr>
          <w:spacing w:val="-59"/>
        </w:rPr>
        <w:t> </w:t>
      </w:r>
      <w:r>
        <w:rPr/>
        <w:t>10</w:t>
      </w:r>
      <w:r>
        <w:rPr>
          <w:spacing w:val="-12"/>
        </w:rPr>
        <w:t> </w:t>
      </w:r>
      <w:r>
        <w:rPr/>
        <w:t>股转增</w:t>
      </w:r>
      <w:r>
        <w:rPr>
          <w:spacing w:val="-59"/>
        </w:rPr>
        <w:t> </w:t>
      </w:r>
      <w:r>
        <w:rPr/>
        <w:t>10</w:t>
      </w:r>
      <w:r>
        <w:rPr>
          <w:spacing w:val="-58"/>
        </w:rPr>
        <w:t> </w:t>
      </w:r>
      <w:r>
        <w:rPr>
          <w:spacing w:val="-4"/>
        </w:rPr>
        <w:t>股股本，上述转增股份</w:t>
      </w:r>
      <w:r>
        <w:rPr/>
      </w:r>
    </w:p>
    <w:p>
      <w:pPr>
        <w:pStyle w:val="BodyText"/>
        <w:spacing w:line="240" w:lineRule="auto" w:before="28"/>
        <w:ind w:right="1090"/>
        <w:jc w:val="left"/>
      </w:pPr>
      <w:r>
        <w:rPr/>
        <w:t>已于</w:t>
      </w:r>
      <w:r>
        <w:rPr>
          <w:spacing w:val="-57"/>
        </w:rPr>
        <w:t> </w:t>
      </w:r>
      <w:r>
        <w:rPr/>
        <w:t>2008</w:t>
      </w:r>
      <w:r>
        <w:rPr>
          <w:spacing w:val="-56"/>
        </w:rPr>
        <w:t> </w:t>
      </w:r>
      <w:r>
        <w:rPr/>
        <w:t>年</w:t>
      </w:r>
      <w:r>
        <w:rPr>
          <w:spacing w:val="-58"/>
        </w:rPr>
        <w:t> </w:t>
      </w:r>
      <w:r>
        <w:rPr/>
        <w:t>5</w:t>
      </w:r>
      <w:r>
        <w:rPr>
          <w:spacing w:val="-56"/>
        </w:rPr>
        <w:t> </w:t>
      </w:r>
      <w:r>
        <w:rPr/>
        <w:t>月</w:t>
      </w:r>
      <w:r>
        <w:rPr>
          <w:spacing w:val="-58"/>
        </w:rPr>
        <w:t> </w:t>
      </w:r>
      <w:r>
        <w:rPr/>
        <w:t>7</w:t>
      </w:r>
      <w:r>
        <w:rPr>
          <w:spacing w:val="-56"/>
        </w:rPr>
        <w:t> </w:t>
      </w:r>
      <w:r>
        <w:rPr/>
        <w:t>日实施，减少了资本公积</w:t>
      </w:r>
      <w:r>
        <w:rPr>
          <w:spacing w:val="-57"/>
        </w:rPr>
        <w:t> </w:t>
      </w:r>
      <w:r>
        <w:rPr>
          <w:rFonts w:ascii="Times New Roman" w:hAnsi="Times New Roman" w:cs="Times New Roman" w:eastAsia="Times New Roman" w:hint="default"/>
        </w:rPr>
        <w:t>142,559,010.00</w:t>
      </w:r>
      <w:r>
        <w:rPr>
          <w:rFonts w:ascii="Times New Roman" w:hAnsi="Times New Roman" w:cs="Times New Roman" w:eastAsia="Times New Roman" w:hint="default"/>
          <w:spacing w:val="-4"/>
        </w:rPr>
        <w:t> </w:t>
      </w:r>
      <w:r>
        <w:rPr/>
        <w:t>元。</w:t>
      </w:r>
    </w:p>
    <w:p>
      <w:pPr>
        <w:spacing w:line="240" w:lineRule="auto" w:before="3"/>
        <w:rPr>
          <w:rFonts w:ascii="宋体" w:hAnsi="宋体" w:cs="宋体" w:eastAsia="宋体" w:hint="default"/>
          <w:sz w:val="20"/>
          <w:szCs w:val="20"/>
        </w:rPr>
      </w:pPr>
    </w:p>
    <w:p>
      <w:pPr>
        <w:pStyle w:val="Heading4"/>
        <w:tabs>
          <w:tab w:pos="1819" w:val="left" w:leader="none"/>
        </w:tabs>
        <w:spacing w:line="240" w:lineRule="auto"/>
        <w:ind w:right="1090"/>
        <w:jc w:val="left"/>
        <w:rPr>
          <w:b w:val="0"/>
          <w:bCs w:val="0"/>
        </w:rPr>
      </w:pPr>
      <w:r>
        <w:rPr>
          <w:w w:val="95"/>
        </w:rPr>
        <w:t>（二十五）</w:t>
        <w:tab/>
      </w:r>
      <w:r>
        <w:rPr/>
        <w:t>盈余公积</w:t>
      </w:r>
      <w:r>
        <w:rPr>
          <w:b w:val="0"/>
          <w:bCs w:val="0"/>
        </w:rPr>
      </w:r>
    </w:p>
    <w:p>
      <w:pPr>
        <w:spacing w:line="240" w:lineRule="auto" w:before="5"/>
        <w:rPr>
          <w:rFonts w:ascii="宋体" w:hAnsi="宋体" w:cs="宋体" w:eastAsia="宋体" w:hint="default"/>
          <w:b/>
          <w:bCs/>
          <w:sz w:val="14"/>
          <w:szCs w:val="14"/>
        </w:rPr>
      </w:pPr>
    </w:p>
    <w:tbl>
      <w:tblPr>
        <w:tblW w:w="0" w:type="auto"/>
        <w:jc w:val="left"/>
        <w:tblInd w:w="245" w:type="dxa"/>
        <w:tblLayout w:type="fixed"/>
        <w:tblCellMar>
          <w:top w:w="0" w:type="dxa"/>
          <w:left w:w="0" w:type="dxa"/>
          <w:bottom w:w="0" w:type="dxa"/>
          <w:right w:w="0" w:type="dxa"/>
        </w:tblCellMar>
        <w:tblLook w:val="01E0"/>
      </w:tblPr>
      <w:tblGrid>
        <w:gridCol w:w="1800"/>
        <w:gridCol w:w="1620"/>
        <w:gridCol w:w="1564"/>
        <w:gridCol w:w="1676"/>
        <w:gridCol w:w="1564"/>
      </w:tblGrid>
      <w:tr>
        <w:trPr>
          <w:trHeight w:val="32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87" w:right="0"/>
              <w:jc w:val="left"/>
              <w:rPr>
                <w:rFonts w:ascii="宋体" w:hAnsi="宋体" w:cs="宋体" w:eastAsia="宋体" w:hint="default"/>
                <w:sz w:val="21"/>
                <w:szCs w:val="21"/>
              </w:rPr>
            </w:pPr>
            <w:r>
              <w:rPr>
                <w:rFonts w:ascii="宋体" w:hAnsi="宋体" w:cs="宋体" w:eastAsia="宋体" w:hint="default"/>
                <w:b/>
                <w:bCs/>
                <w:sz w:val="21"/>
                <w:szCs w:val="21"/>
              </w:rPr>
              <w:t>年初数</w:t>
            </w:r>
            <w:r>
              <w:rPr>
                <w:rFonts w:ascii="宋体" w:hAnsi="宋体" w:cs="宋体" w:eastAsia="宋体" w:hint="default"/>
                <w:sz w:val="21"/>
                <w:szCs w:val="21"/>
              </w:rPr>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4"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10"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59" w:right="0"/>
              <w:jc w:val="left"/>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r>
      <w:tr>
        <w:trPr>
          <w:trHeight w:val="32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法定盈余公积</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36,187,831.21</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31,555,988.32</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0.00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67,743,819.53</w:t>
            </w:r>
          </w:p>
        </w:tc>
      </w:tr>
      <w:tr>
        <w:trPr>
          <w:trHeight w:val="40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任意盈余公积</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36,187,831.21</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31,555,988.32</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67,743,819.53</w:t>
            </w:r>
          </w:p>
        </w:tc>
      </w:tr>
    </w:tbl>
    <w:p>
      <w:pPr>
        <w:pStyle w:val="BodyText"/>
        <w:spacing w:line="328" w:lineRule="auto" w:before="93"/>
        <w:ind w:right="135" w:firstLine="420"/>
        <w:jc w:val="left"/>
      </w:pPr>
      <w:r>
        <w:rPr/>
        <w:t>盈余公积年末数比年初数增加</w:t>
      </w:r>
      <w:r>
        <w:rPr>
          <w:spacing w:val="-61"/>
        </w:rPr>
        <w:t> </w:t>
      </w:r>
      <w:r>
        <w:rPr>
          <w:rFonts w:ascii="Times New Roman" w:hAnsi="Times New Roman" w:cs="Times New Roman" w:eastAsia="Times New Roman" w:hint="default"/>
        </w:rPr>
        <w:t>31,555,988.32</w:t>
      </w:r>
      <w:r>
        <w:rPr>
          <w:rFonts w:ascii="Times New Roman" w:hAnsi="Times New Roman" w:cs="Times New Roman" w:eastAsia="Times New Roman" w:hint="default"/>
          <w:spacing w:val="-7"/>
        </w:rPr>
        <w:t> </w:t>
      </w:r>
      <w:r>
        <w:rPr/>
        <w:t>元，增加比例为</w:t>
      </w:r>
      <w:r>
        <w:rPr>
          <w:spacing w:val="-61"/>
        </w:rPr>
        <w:t> </w:t>
      </w:r>
      <w:r>
        <w:rPr>
          <w:rFonts w:ascii="Times New Roman" w:hAnsi="Times New Roman" w:cs="Times New Roman" w:eastAsia="Times New Roman" w:hint="default"/>
        </w:rPr>
        <w:t>87.20%</w:t>
      </w:r>
      <w:r>
        <w:rPr/>
        <w:t>，变动原因为：本 年度按照公司章程，按净利润的</w:t>
      </w:r>
      <w:r>
        <w:rPr>
          <w:spacing w:val="-54"/>
        </w:rPr>
        <w:t> </w:t>
      </w:r>
      <w:r>
        <w:rPr>
          <w:rFonts w:ascii="Times New Roman" w:hAnsi="Times New Roman" w:cs="Times New Roman" w:eastAsia="Times New Roman" w:hint="default"/>
        </w:rPr>
        <w:t>10%</w:t>
      </w:r>
      <w:r>
        <w:rPr/>
        <w:t>计提法定盈余公积。</w:t>
      </w:r>
    </w:p>
    <w:p>
      <w:pPr>
        <w:pStyle w:val="Heading4"/>
        <w:spacing w:line="240" w:lineRule="auto" w:before="180"/>
        <w:ind w:left="559" w:right="1090"/>
        <w:jc w:val="left"/>
        <w:rPr>
          <w:b w:val="0"/>
          <w:bCs w:val="0"/>
        </w:rPr>
      </w:pPr>
      <w:r>
        <w:rPr/>
        <w:t>（二十六）</w:t>
      </w:r>
      <w:r>
        <w:rPr>
          <w:spacing w:val="35"/>
        </w:rPr>
        <w:t> </w:t>
      </w:r>
      <w:r>
        <w:rPr/>
        <w:t>未分配利润</w:t>
      </w:r>
      <w:r>
        <w:rPr>
          <w:b w:val="0"/>
          <w:bCs w:val="0"/>
        </w:rPr>
      </w:r>
    </w:p>
    <w:p>
      <w:pPr>
        <w:spacing w:line="240" w:lineRule="auto" w:before="5"/>
        <w:rPr>
          <w:rFonts w:ascii="宋体" w:hAnsi="宋体" w:cs="宋体" w:eastAsia="宋体" w:hint="default"/>
          <w:b/>
          <w:bCs/>
          <w:sz w:val="14"/>
          <w:szCs w:val="14"/>
        </w:rPr>
      </w:pPr>
    </w:p>
    <w:tbl>
      <w:tblPr>
        <w:tblW w:w="0" w:type="auto"/>
        <w:jc w:val="left"/>
        <w:tblInd w:w="112" w:type="dxa"/>
        <w:tblLayout w:type="fixed"/>
        <w:tblCellMar>
          <w:top w:w="0" w:type="dxa"/>
          <w:left w:w="0" w:type="dxa"/>
          <w:bottom w:w="0" w:type="dxa"/>
          <w:right w:w="0" w:type="dxa"/>
        </w:tblCellMar>
        <w:tblLook w:val="01E0"/>
      </w:tblPr>
      <w:tblGrid>
        <w:gridCol w:w="4412"/>
        <w:gridCol w:w="1798"/>
        <w:gridCol w:w="2142"/>
      </w:tblGrid>
      <w:tr>
        <w:trPr>
          <w:trHeight w:val="322"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tabs>
                <w:tab w:pos="999" w:val="left" w:leader="none"/>
              </w:tabs>
              <w:spacing w:line="260" w:lineRule="exact"/>
              <w:ind w:left="576" w:right="0"/>
              <w:jc w:val="left"/>
              <w:rPr>
                <w:rFonts w:ascii="宋体" w:hAnsi="宋体" w:cs="宋体" w:eastAsia="宋体" w:hint="default"/>
                <w:sz w:val="21"/>
                <w:szCs w:val="21"/>
              </w:rPr>
            </w:pPr>
            <w:r>
              <w:rPr>
                <w:rFonts w:ascii="宋体" w:hAnsi="宋体" w:cs="宋体" w:eastAsia="宋体" w:hint="default"/>
                <w:b/>
                <w:bCs/>
                <w:w w:val="95"/>
                <w:sz w:val="21"/>
                <w:szCs w:val="21"/>
              </w:rPr>
              <w:t>金</w:t>
              <w:tab/>
            </w:r>
            <w:r>
              <w:rPr>
                <w:rFonts w:ascii="宋体" w:hAnsi="宋体" w:cs="宋体" w:eastAsia="宋体" w:hint="default"/>
                <w:b/>
                <w:bCs/>
                <w:sz w:val="21"/>
                <w:szCs w:val="21"/>
              </w:rPr>
              <w:t>额</w:t>
            </w:r>
            <w:r>
              <w:rPr>
                <w:rFonts w:ascii="宋体" w:hAnsi="宋体" w:cs="宋体" w:eastAsia="宋体" w:hint="default"/>
                <w:sz w:val="21"/>
                <w:szCs w:val="21"/>
              </w:rPr>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提取或分配比例</w:t>
            </w:r>
            <w:r>
              <w:rPr>
                <w:rFonts w:ascii="宋体" w:hAnsi="宋体" w:cs="宋体" w:eastAsia="宋体" w:hint="default"/>
                <w:sz w:val="21"/>
                <w:szCs w:val="21"/>
              </w:rPr>
            </w:r>
          </w:p>
        </w:tc>
      </w:tr>
      <w:tr>
        <w:trPr>
          <w:trHeight w:val="32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调整前年初未分配利润</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6"/>
              <w:jc w:val="right"/>
              <w:rPr>
                <w:rFonts w:ascii="Times New Roman" w:hAnsi="Times New Roman" w:cs="Times New Roman" w:eastAsia="Times New Roman" w:hint="default"/>
                <w:sz w:val="21"/>
                <w:szCs w:val="21"/>
              </w:rPr>
            </w:pPr>
            <w:r>
              <w:rPr>
                <w:rFonts w:ascii="Times New Roman"/>
                <w:spacing w:val="-1"/>
                <w:sz w:val="21"/>
              </w:rPr>
              <w:t>290,107,280.29</w:t>
            </w:r>
          </w:p>
        </w:tc>
        <w:tc>
          <w:tcPr>
            <w:tcW w:w="214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调整年初未分配利润（调增＋，调减－）</w:t>
            </w:r>
          </w:p>
        </w:tc>
        <w:tc>
          <w:tcPr>
            <w:tcW w:w="1798" w:type="dxa"/>
            <w:tcBorders>
              <w:top w:val="single" w:sz="4" w:space="0" w:color="000000"/>
              <w:left w:val="single" w:sz="4" w:space="0" w:color="000000"/>
              <w:bottom w:val="single" w:sz="4" w:space="0" w:color="000000"/>
              <w:right w:val="single" w:sz="4" w:space="0" w:color="000000"/>
            </w:tcBorders>
          </w:tcPr>
          <w:p>
            <w:pPr/>
          </w:p>
        </w:tc>
        <w:tc>
          <w:tcPr>
            <w:tcW w:w="214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调整后年初未分配利润</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6"/>
              <w:jc w:val="right"/>
              <w:rPr>
                <w:rFonts w:ascii="Times New Roman" w:hAnsi="Times New Roman" w:cs="Times New Roman" w:eastAsia="Times New Roman" w:hint="default"/>
                <w:sz w:val="21"/>
                <w:szCs w:val="21"/>
              </w:rPr>
            </w:pPr>
            <w:r>
              <w:rPr>
                <w:rFonts w:ascii="Times New Roman"/>
                <w:spacing w:val="-1"/>
                <w:sz w:val="21"/>
              </w:rPr>
              <w:t>290,107,280.29</w:t>
            </w:r>
          </w:p>
        </w:tc>
        <w:tc>
          <w:tcPr>
            <w:tcW w:w="2142"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加：本年净利润</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6"/>
              <w:jc w:val="right"/>
              <w:rPr>
                <w:rFonts w:ascii="Times New Roman" w:hAnsi="Times New Roman" w:cs="Times New Roman" w:eastAsia="Times New Roman" w:hint="default"/>
                <w:sz w:val="21"/>
                <w:szCs w:val="21"/>
              </w:rPr>
            </w:pPr>
            <w:r>
              <w:rPr>
                <w:rFonts w:ascii="Times New Roman"/>
                <w:spacing w:val="-1"/>
                <w:sz w:val="21"/>
              </w:rPr>
              <w:t>331,548,801.34</w:t>
            </w:r>
          </w:p>
        </w:tc>
        <w:tc>
          <w:tcPr>
            <w:tcW w:w="2142" w:type="dxa"/>
            <w:tcBorders>
              <w:top w:val="single" w:sz="4" w:space="0" w:color="000000"/>
              <w:left w:val="single" w:sz="4" w:space="0" w:color="000000"/>
              <w:bottom w:val="single" w:sz="4" w:space="0" w:color="000000"/>
              <w:right w:val="single" w:sz="4" w:space="0" w:color="000000"/>
            </w:tcBorders>
          </w:tcPr>
          <w:p>
            <w:pPr/>
          </w:p>
        </w:tc>
      </w:tr>
      <w:tr>
        <w:trPr>
          <w:trHeight w:val="390"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87"/>
              <w:jc w:val="right"/>
              <w:rPr>
                <w:rFonts w:ascii="Times New Roman" w:hAnsi="Times New Roman" w:cs="Times New Roman" w:eastAsia="Times New Roman" w:hint="default"/>
                <w:sz w:val="21"/>
                <w:szCs w:val="21"/>
              </w:rPr>
            </w:pPr>
            <w:r>
              <w:rPr>
                <w:rFonts w:ascii="Times New Roman"/>
                <w:spacing w:val="-1"/>
                <w:sz w:val="21"/>
              </w:rPr>
              <w:t>31,555,988.32</w:t>
            </w:r>
          </w:p>
        </w:tc>
        <w:tc>
          <w:tcPr>
            <w:tcW w:w="214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90"/>
              <w:jc w:val="right"/>
              <w:rPr>
                <w:rFonts w:ascii="Times New Roman" w:hAnsi="Times New Roman" w:cs="Times New Roman" w:eastAsia="Times New Roman" w:hint="default"/>
                <w:sz w:val="21"/>
                <w:szCs w:val="21"/>
              </w:rPr>
            </w:pPr>
            <w:r>
              <w:rPr>
                <w:rFonts w:ascii="Times New Roman"/>
                <w:spacing w:val="-1"/>
                <w:sz w:val="21"/>
              </w:rPr>
              <w:t>28,511,802.00</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0.20/</w:t>
            </w:r>
            <w:r>
              <w:rPr>
                <w:rFonts w:ascii="宋体" w:hAnsi="宋体" w:cs="宋体" w:eastAsia="宋体" w:hint="default"/>
                <w:sz w:val="21"/>
                <w:szCs w:val="21"/>
              </w:rPr>
              <w:t>股</w:t>
            </w:r>
          </w:p>
        </w:tc>
      </w:tr>
      <w:tr>
        <w:trPr>
          <w:trHeight w:val="32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年末未分配利润</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6"/>
              <w:jc w:val="right"/>
              <w:rPr>
                <w:rFonts w:ascii="Times New Roman" w:hAnsi="Times New Roman" w:cs="Times New Roman" w:eastAsia="Times New Roman" w:hint="default"/>
                <w:sz w:val="21"/>
                <w:szCs w:val="21"/>
              </w:rPr>
            </w:pPr>
            <w:r>
              <w:rPr>
                <w:rFonts w:ascii="Times New Roman"/>
                <w:spacing w:val="-1"/>
                <w:sz w:val="21"/>
              </w:rPr>
              <w:t>561,588,291.31</w:t>
            </w:r>
          </w:p>
        </w:tc>
        <w:tc>
          <w:tcPr>
            <w:tcW w:w="214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93"/>
        <w:ind w:left="139" w:right="135" w:firstLine="420"/>
        <w:jc w:val="both"/>
      </w:pPr>
      <w:r>
        <w:rPr>
          <w:spacing w:val="-3"/>
        </w:rPr>
        <w:t>经公司第一届董事会第十五次会议、2008</w:t>
      </w:r>
      <w:r>
        <w:rPr>
          <w:spacing w:val="-51"/>
        </w:rPr>
        <w:t> </w:t>
      </w:r>
      <w:r>
        <w:rPr/>
        <w:t>年</w:t>
      </w:r>
      <w:r>
        <w:rPr>
          <w:spacing w:val="-51"/>
        </w:rPr>
        <w:t> </w:t>
      </w:r>
      <w:r>
        <w:rPr/>
        <w:t>4</w:t>
      </w:r>
      <w:r>
        <w:rPr>
          <w:spacing w:val="-51"/>
        </w:rPr>
        <w:t> </w:t>
      </w:r>
      <w:r>
        <w:rPr/>
        <w:t>月</w:t>
      </w:r>
      <w:r>
        <w:rPr>
          <w:spacing w:val="-52"/>
        </w:rPr>
        <w:t> </w:t>
      </w:r>
      <w:r>
        <w:rPr/>
        <w:t>18</w:t>
      </w:r>
      <w:r>
        <w:rPr>
          <w:spacing w:val="-50"/>
        </w:rPr>
        <w:t> </w:t>
      </w:r>
      <w:r>
        <w:rPr>
          <w:spacing w:val="-4"/>
        </w:rPr>
        <w:t>日股东大会决议通过，公司按</w:t>
      </w:r>
      <w:r>
        <w:rPr>
          <w:spacing w:val="-51"/>
        </w:rPr>
        <w:t> </w:t>
      </w:r>
      <w:r>
        <w:rPr/>
        <w:t>2007</w:t>
      </w:r>
      <w:r>
        <w:rPr/>
        <w:t> 年度实现净利润的</w:t>
      </w:r>
      <w:r>
        <w:rPr>
          <w:spacing w:val="-56"/>
        </w:rPr>
        <w:t> </w:t>
      </w:r>
      <w:r>
        <w:rPr>
          <w:rFonts w:ascii="Times New Roman" w:hAnsi="Times New Roman" w:cs="Times New Roman" w:eastAsia="Times New Roman" w:hint="default"/>
        </w:rPr>
        <w:t>10%</w:t>
      </w:r>
      <w:r>
        <w:rPr/>
        <w:t>提取盈余公积，以</w:t>
      </w:r>
      <w:r>
        <w:rPr>
          <w:spacing w:val="-56"/>
        </w:rPr>
        <w:t> </w:t>
      </w:r>
      <w:r>
        <w:rPr/>
        <w:t>2007</w:t>
      </w:r>
      <w:r>
        <w:rPr>
          <w:spacing w:val="-56"/>
        </w:rPr>
        <w:t> </w:t>
      </w:r>
      <w:r>
        <w:rPr/>
        <w:t>年末总股本为基数，以资本公积向全体股东</w:t>
      </w:r>
      <w:r>
        <w:rPr/>
        <w:t> 每</w:t>
      </w:r>
      <w:r>
        <w:rPr>
          <w:spacing w:val="-54"/>
        </w:rPr>
        <w:t> </w:t>
      </w:r>
      <w:r>
        <w:rPr/>
        <w:t>10</w:t>
      </w:r>
      <w:r>
        <w:rPr>
          <w:spacing w:val="-3"/>
        </w:rPr>
        <w:t> </w:t>
      </w:r>
      <w:r>
        <w:rPr/>
        <w:t>股转增</w:t>
      </w:r>
      <w:r>
        <w:rPr>
          <w:spacing w:val="-54"/>
        </w:rPr>
        <w:t> </w:t>
      </w:r>
      <w:r>
        <w:rPr/>
        <w:t>10</w:t>
      </w:r>
      <w:r>
        <w:rPr>
          <w:spacing w:val="-53"/>
        </w:rPr>
        <w:t> </w:t>
      </w:r>
      <w:r>
        <w:rPr>
          <w:spacing w:val="-3"/>
        </w:rPr>
        <w:t>股股本，同时向全体股东每</w:t>
      </w:r>
      <w:r>
        <w:rPr>
          <w:spacing w:val="-54"/>
        </w:rPr>
        <w:t> </w:t>
      </w:r>
      <w:r>
        <w:rPr/>
        <w:t>10</w:t>
      </w:r>
      <w:r>
        <w:rPr>
          <w:spacing w:val="-54"/>
        </w:rPr>
        <w:t> </w:t>
      </w:r>
      <w:r>
        <w:rPr/>
        <w:t>股派发现金</w:t>
      </w:r>
      <w:r>
        <w:rPr>
          <w:spacing w:val="-54"/>
        </w:rPr>
        <w:t> </w:t>
      </w:r>
      <w:r>
        <w:rPr/>
        <w:t>2</w:t>
      </w:r>
      <w:r>
        <w:rPr>
          <w:spacing w:val="-3"/>
        </w:rPr>
        <w:t> </w:t>
      </w:r>
      <w:r>
        <w:rPr>
          <w:spacing w:val="-6"/>
        </w:rPr>
        <w:t>元（含税）的现金股利，上述</w:t>
      </w:r>
    </w:p>
    <w:p>
      <w:pPr>
        <w:pStyle w:val="BodyText"/>
        <w:spacing w:line="240" w:lineRule="auto" w:before="40"/>
        <w:ind w:left="139" w:right="0"/>
        <w:jc w:val="left"/>
      </w:pPr>
      <w:r>
        <w:rPr/>
        <w:t>利润分配已于</w:t>
      </w:r>
      <w:r>
        <w:rPr>
          <w:spacing w:val="-35"/>
        </w:rPr>
        <w:t> </w:t>
      </w:r>
      <w:r>
        <w:rPr/>
        <w:t>2008</w:t>
      </w:r>
      <w:r>
        <w:rPr>
          <w:spacing w:val="-34"/>
        </w:rPr>
        <w:t> </w:t>
      </w:r>
      <w:r>
        <w:rPr/>
        <w:t>年</w:t>
      </w:r>
      <w:r>
        <w:rPr>
          <w:spacing w:val="-36"/>
        </w:rPr>
        <w:t> </w:t>
      </w:r>
      <w:r>
        <w:rPr/>
        <w:t>5</w:t>
      </w:r>
      <w:r>
        <w:rPr>
          <w:spacing w:val="-34"/>
        </w:rPr>
        <w:t> </w:t>
      </w:r>
      <w:r>
        <w:rPr/>
        <w:t>月</w:t>
      </w:r>
      <w:r>
        <w:rPr>
          <w:spacing w:val="-35"/>
        </w:rPr>
        <w:t> </w:t>
      </w:r>
      <w:r>
        <w:rPr/>
        <w:t>7</w:t>
      </w:r>
      <w:r>
        <w:rPr>
          <w:spacing w:val="-34"/>
        </w:rPr>
        <w:t> </w:t>
      </w:r>
      <w:r>
        <w:rPr/>
        <w:t>日实施，增资业经立信羊城会计师事务所有限公司</w:t>
      </w:r>
      <w:r>
        <w:rPr>
          <w:spacing w:val="-35"/>
        </w:rPr>
        <w:t> </w:t>
      </w:r>
      <w:r>
        <w:rPr/>
        <w:t>2008</w:t>
      </w:r>
      <w:r>
        <w:rPr>
          <w:spacing w:val="-34"/>
        </w:rPr>
        <w:t> </w:t>
      </w:r>
      <w:r>
        <w:rPr/>
        <w:t>年</w:t>
      </w:r>
      <w:r>
        <w:rPr>
          <w:spacing w:val="-35"/>
        </w:rPr>
        <w:t> </w:t>
      </w:r>
      <w:r>
        <w:rPr/>
        <w:t>6</w:t>
      </w:r>
    </w:p>
    <w:p>
      <w:pPr>
        <w:pStyle w:val="BodyText"/>
        <w:spacing w:line="240" w:lineRule="auto" w:before="125"/>
        <w:ind w:left="139" w:right="1090"/>
        <w:jc w:val="left"/>
      </w:pPr>
      <w:r>
        <w:rPr/>
        <w:t>月</w:t>
      </w:r>
      <w:r>
        <w:rPr>
          <w:spacing w:val="-55"/>
        </w:rPr>
        <w:t> </w:t>
      </w:r>
      <w:r>
        <w:rPr/>
        <w:t>11</w:t>
      </w:r>
      <w:r>
        <w:rPr>
          <w:spacing w:val="-54"/>
        </w:rPr>
        <w:t> </w:t>
      </w:r>
      <w:r>
        <w:rPr/>
        <w:t>日出具的(2008)羊验字第</w:t>
      </w:r>
      <w:r>
        <w:rPr>
          <w:spacing w:val="-55"/>
        </w:rPr>
        <w:t> </w:t>
      </w:r>
      <w:r>
        <w:rPr/>
        <w:t>14626</w:t>
      </w:r>
      <w:r>
        <w:rPr>
          <w:spacing w:val="-54"/>
        </w:rPr>
        <w:t> </w:t>
      </w:r>
      <w:r>
        <w:rPr/>
        <w:t>号验资报告予以验证。</w:t>
      </w:r>
    </w:p>
    <w:p>
      <w:pPr>
        <w:spacing w:line="240" w:lineRule="auto" w:before="6"/>
        <w:rPr>
          <w:rFonts w:ascii="宋体" w:hAnsi="宋体" w:cs="宋体" w:eastAsia="宋体" w:hint="default"/>
          <w:sz w:val="21"/>
          <w:szCs w:val="21"/>
        </w:rPr>
      </w:pPr>
    </w:p>
    <w:p>
      <w:pPr>
        <w:pStyle w:val="Heading4"/>
        <w:tabs>
          <w:tab w:pos="1819" w:val="left" w:leader="none"/>
        </w:tabs>
        <w:spacing w:line="240" w:lineRule="auto"/>
        <w:ind w:left="559" w:right="1090"/>
        <w:jc w:val="left"/>
        <w:rPr>
          <w:b w:val="0"/>
          <w:bCs w:val="0"/>
        </w:rPr>
      </w:pPr>
      <w:r>
        <w:rPr>
          <w:w w:val="95"/>
        </w:rPr>
        <w:t>（二十七）</w:t>
        <w:tab/>
      </w:r>
      <w:r>
        <w:rPr/>
        <w:t>营业收入及营业成本</w:t>
      </w:r>
      <w:r>
        <w:rPr>
          <w:b w:val="0"/>
          <w:bCs w:val="0"/>
        </w:rPr>
      </w:r>
    </w:p>
    <w:p>
      <w:pPr>
        <w:spacing w:line="240" w:lineRule="auto" w:before="5"/>
        <w:rPr>
          <w:rFonts w:ascii="宋体" w:hAnsi="宋体" w:cs="宋体" w:eastAsia="宋体" w:hint="default"/>
          <w:b/>
          <w:bCs/>
          <w:sz w:val="14"/>
          <w:szCs w:val="14"/>
        </w:rPr>
      </w:pPr>
    </w:p>
    <w:tbl>
      <w:tblPr>
        <w:tblW w:w="0" w:type="auto"/>
        <w:jc w:val="left"/>
        <w:tblInd w:w="600" w:type="dxa"/>
        <w:tblLayout w:type="fixed"/>
        <w:tblCellMar>
          <w:top w:w="0" w:type="dxa"/>
          <w:left w:w="0" w:type="dxa"/>
          <w:bottom w:w="0" w:type="dxa"/>
          <w:right w:w="0" w:type="dxa"/>
        </w:tblCellMar>
        <w:tblLook w:val="01E0"/>
      </w:tblPr>
      <w:tblGrid>
        <w:gridCol w:w="2520"/>
        <w:gridCol w:w="2340"/>
        <w:gridCol w:w="2514"/>
      </w:tblGrid>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sz w:val="21"/>
                <w:szCs w:val="21"/>
              </w:rPr>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上年发生额</w:t>
            </w:r>
            <w:r>
              <w:rPr>
                <w:rFonts w:ascii="宋体" w:hAnsi="宋体" w:cs="宋体" w:eastAsia="宋体" w:hint="default"/>
                <w:sz w:val="21"/>
                <w:szCs w:val="21"/>
              </w:rPr>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1,199,979,552.72</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780,896,518.60</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655,069,931.15</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412,477,648.47</w:t>
            </w:r>
          </w:p>
        </w:tc>
      </w:tr>
    </w:tbl>
    <w:p>
      <w:pPr>
        <w:spacing w:after="0" w:line="240" w:lineRule="auto"/>
        <w:jc w:val="center"/>
        <w:rPr>
          <w:rFonts w:ascii="Times New Roman" w:hAnsi="Times New Roman" w:cs="Times New Roman" w:eastAsia="Times New Roman" w:hint="default"/>
          <w:sz w:val="21"/>
          <w:szCs w:val="21"/>
        </w:rPr>
        <w:sectPr>
          <w:pgSz w:w="11910" w:h="16840"/>
          <w:pgMar w:header="400" w:footer="982" w:top="1100" w:bottom="1180" w:left="1660" w:right="1660"/>
        </w:sectPr>
      </w:pPr>
    </w:p>
    <w:p>
      <w:pPr>
        <w:spacing w:line="240" w:lineRule="auto" w:before="12"/>
        <w:rPr>
          <w:rFonts w:ascii="宋体" w:hAnsi="宋体" w:cs="宋体" w:eastAsia="宋体" w:hint="default"/>
          <w:b/>
          <w:bCs/>
          <w:sz w:val="28"/>
          <w:szCs w:val="28"/>
        </w:rPr>
      </w:pPr>
    </w:p>
    <w:p>
      <w:pPr>
        <w:pStyle w:val="BodyText"/>
        <w:spacing w:line="240" w:lineRule="auto" w:before="35"/>
        <w:ind w:left="1280" w:right="745"/>
        <w:jc w:val="left"/>
      </w:pPr>
      <w:r>
        <w:rPr/>
        <w:t>1、按业务类别列示营业收入、营业成本</w:t>
      </w:r>
    </w:p>
    <w:p>
      <w:pPr>
        <w:spacing w:line="240" w:lineRule="auto" w:before="4"/>
        <w:rPr>
          <w:rFonts w:ascii="宋体" w:hAnsi="宋体" w:cs="宋体" w:eastAsia="宋体" w:hint="default"/>
          <w:sz w:val="14"/>
          <w:szCs w:val="14"/>
        </w:rPr>
      </w:pPr>
    </w:p>
    <w:tbl>
      <w:tblPr>
        <w:tblW w:w="0" w:type="auto"/>
        <w:jc w:val="left"/>
        <w:tblInd w:w="944" w:type="dxa"/>
        <w:tblLayout w:type="fixed"/>
        <w:tblCellMar>
          <w:top w:w="0" w:type="dxa"/>
          <w:left w:w="0" w:type="dxa"/>
          <w:bottom w:w="0" w:type="dxa"/>
          <w:right w:w="0" w:type="dxa"/>
        </w:tblCellMar>
        <w:tblLook w:val="01E0"/>
      </w:tblPr>
      <w:tblGrid>
        <w:gridCol w:w="1716"/>
        <w:gridCol w:w="1686"/>
        <w:gridCol w:w="1590"/>
        <w:gridCol w:w="1607"/>
        <w:gridCol w:w="1529"/>
      </w:tblGrid>
      <w:tr>
        <w:trPr>
          <w:trHeight w:val="323" w:hRule="exact"/>
        </w:trPr>
        <w:tc>
          <w:tcPr>
            <w:tcW w:w="1716" w:type="dxa"/>
            <w:vMerge w:val="restart"/>
            <w:tcBorders>
              <w:top w:val="single" w:sz="4" w:space="0" w:color="000000"/>
              <w:left w:val="single" w:sz="4" w:space="0" w:color="000000"/>
              <w:right w:val="single" w:sz="4" w:space="0" w:color="000000"/>
            </w:tcBorders>
          </w:tcPr>
          <w:p>
            <w:pPr>
              <w:pStyle w:val="TableParagraph"/>
              <w:tabs>
                <w:tab w:pos="958" w:val="left" w:leader="none"/>
              </w:tabs>
              <w:spacing w:line="240" w:lineRule="auto" w:before="141"/>
              <w:ind w:left="536" w:right="0"/>
              <w:jc w:val="left"/>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3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3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r>
      <w:tr>
        <w:trPr>
          <w:trHeight w:val="322" w:hRule="exact"/>
        </w:trPr>
        <w:tc>
          <w:tcPr>
            <w:tcW w:w="1716" w:type="dxa"/>
            <w:vMerge/>
            <w:tcBorders>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10" w:right="0"/>
              <w:jc w:val="left"/>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sz w:val="21"/>
                <w:szCs w:val="21"/>
              </w:rPr>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2" w:right="0"/>
              <w:jc w:val="left"/>
              <w:rPr>
                <w:rFonts w:ascii="宋体" w:hAnsi="宋体" w:cs="宋体" w:eastAsia="宋体" w:hint="default"/>
                <w:sz w:val="21"/>
                <w:szCs w:val="21"/>
              </w:rPr>
            </w:pPr>
            <w:r>
              <w:rPr>
                <w:rFonts w:ascii="宋体" w:hAnsi="宋体" w:cs="宋体" w:eastAsia="宋体" w:hint="default"/>
                <w:b/>
                <w:bCs/>
                <w:sz w:val="21"/>
                <w:szCs w:val="21"/>
              </w:rPr>
              <w:t>上年发生额</w:t>
            </w:r>
            <w:r>
              <w:rPr>
                <w:rFonts w:ascii="宋体" w:hAnsi="宋体" w:cs="宋体" w:eastAsia="宋体" w:hint="default"/>
                <w:sz w:val="21"/>
                <w:szCs w:val="21"/>
              </w:rPr>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71" w:right="0"/>
              <w:jc w:val="left"/>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2" w:right="0"/>
              <w:jc w:val="left"/>
              <w:rPr>
                <w:rFonts w:ascii="宋体" w:hAnsi="宋体" w:cs="宋体" w:eastAsia="宋体" w:hint="default"/>
                <w:sz w:val="21"/>
                <w:szCs w:val="21"/>
              </w:rPr>
            </w:pPr>
            <w:r>
              <w:rPr>
                <w:rFonts w:ascii="宋体" w:hAnsi="宋体" w:cs="宋体" w:eastAsia="宋体" w:hint="default"/>
                <w:b/>
                <w:bCs/>
                <w:sz w:val="21"/>
                <w:szCs w:val="21"/>
              </w:rPr>
              <w:t>上年发生额</w:t>
            </w:r>
            <w:r>
              <w:rPr>
                <w:rFonts w:ascii="宋体" w:hAnsi="宋体" w:cs="宋体" w:eastAsia="宋体" w:hint="default"/>
                <w:sz w:val="21"/>
                <w:szCs w:val="21"/>
              </w:rPr>
            </w:r>
          </w:p>
        </w:tc>
      </w:tr>
      <w:tr>
        <w:trPr>
          <w:trHeight w:val="322"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）制造业</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1,115,638,150.85</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726,166,840.90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616,513,623.66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388,529,226.16</w:t>
            </w:r>
          </w:p>
        </w:tc>
      </w:tr>
      <w:tr>
        <w:trPr>
          <w:trHeight w:val="323"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）配件销售</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23,923,112.19</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12,648,443.03</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11,530,734.46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5,788,154.70</w:t>
            </w:r>
          </w:p>
        </w:tc>
      </w:tr>
      <w:tr>
        <w:trPr>
          <w:trHeight w:val="322"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）设备维护</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29,642,999.53</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19,195,014.42</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10,198,893.28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9,354,406.04</w:t>
            </w:r>
          </w:p>
        </w:tc>
      </w:tr>
      <w:tr>
        <w:trPr>
          <w:trHeight w:val="322"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4</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ATM</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营运</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30,775,290.15</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22,886,220.25</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16,826,679.75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8,805,861.57</w:t>
            </w:r>
          </w:p>
        </w:tc>
      </w:tr>
      <w:tr>
        <w:trPr>
          <w:trHeight w:val="323"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tabs>
                <w:tab w:pos="958" w:val="left" w:leader="none"/>
              </w:tabs>
              <w:spacing w:line="260" w:lineRule="exact"/>
              <w:ind w:left="537"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1,199,979,552.72</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780,896,518.60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655,069,931.15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412,477,648.47</w:t>
            </w:r>
          </w:p>
        </w:tc>
      </w:tr>
    </w:tbl>
    <w:p>
      <w:pPr>
        <w:spacing w:line="240" w:lineRule="auto" w:before="5"/>
        <w:rPr>
          <w:rFonts w:ascii="宋体" w:hAnsi="宋体" w:cs="宋体" w:eastAsia="宋体" w:hint="default"/>
          <w:sz w:val="16"/>
          <w:szCs w:val="16"/>
        </w:rPr>
      </w:pPr>
    </w:p>
    <w:p>
      <w:pPr>
        <w:pStyle w:val="BodyText"/>
        <w:spacing w:line="240" w:lineRule="auto" w:before="35"/>
        <w:ind w:left="1280" w:right="745"/>
        <w:jc w:val="left"/>
      </w:pPr>
      <w:r>
        <w:rPr/>
        <w:t>2、按产品类别列示营业收入、营业成本</w:t>
      </w:r>
    </w:p>
    <w:p>
      <w:pPr>
        <w:spacing w:line="240" w:lineRule="auto" w:before="4"/>
        <w:rPr>
          <w:rFonts w:ascii="宋体" w:hAnsi="宋体" w:cs="宋体" w:eastAsia="宋体" w:hint="default"/>
          <w:sz w:val="14"/>
          <w:szCs w:val="14"/>
        </w:rPr>
      </w:pPr>
    </w:p>
    <w:tbl>
      <w:tblPr>
        <w:tblW w:w="0" w:type="auto"/>
        <w:jc w:val="left"/>
        <w:tblInd w:w="1043" w:type="dxa"/>
        <w:tblLayout w:type="fixed"/>
        <w:tblCellMar>
          <w:top w:w="0" w:type="dxa"/>
          <w:left w:w="0" w:type="dxa"/>
          <w:bottom w:w="0" w:type="dxa"/>
          <w:right w:w="0" w:type="dxa"/>
        </w:tblCellMar>
        <w:tblLook w:val="01E0"/>
      </w:tblPr>
      <w:tblGrid>
        <w:gridCol w:w="1620"/>
        <w:gridCol w:w="1686"/>
        <w:gridCol w:w="1538"/>
        <w:gridCol w:w="1556"/>
        <w:gridCol w:w="1529"/>
      </w:tblGrid>
      <w:tr>
        <w:trPr>
          <w:trHeight w:val="323" w:hRule="exact"/>
        </w:trPr>
        <w:tc>
          <w:tcPr>
            <w:tcW w:w="1620" w:type="dxa"/>
            <w:vMerge w:val="restart"/>
            <w:tcBorders>
              <w:top w:val="single" w:sz="4" w:space="0" w:color="000000"/>
              <w:left w:val="single" w:sz="4" w:space="0" w:color="000000"/>
              <w:right w:val="single" w:sz="4" w:space="0" w:color="000000"/>
            </w:tcBorders>
          </w:tcPr>
          <w:p>
            <w:pPr>
              <w:pStyle w:val="TableParagraph"/>
              <w:tabs>
                <w:tab w:pos="910" w:val="left" w:leader="none"/>
              </w:tabs>
              <w:spacing w:line="240" w:lineRule="auto" w:before="141"/>
              <w:ind w:left="488" w:right="0"/>
              <w:jc w:val="left"/>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3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3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r>
      <w:tr>
        <w:trPr>
          <w:trHeight w:val="322" w:hRule="exact"/>
        </w:trPr>
        <w:tc>
          <w:tcPr>
            <w:tcW w:w="1620" w:type="dxa"/>
            <w:vMerge/>
            <w:tcBorders>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10" w:right="0"/>
              <w:jc w:val="left"/>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sz w:val="21"/>
                <w:szCs w:val="21"/>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7" w:right="0"/>
              <w:jc w:val="left"/>
              <w:rPr>
                <w:rFonts w:ascii="宋体" w:hAnsi="宋体" w:cs="宋体" w:eastAsia="宋体" w:hint="default"/>
                <w:sz w:val="21"/>
                <w:szCs w:val="21"/>
              </w:rPr>
            </w:pPr>
            <w:r>
              <w:rPr>
                <w:rFonts w:ascii="宋体" w:hAnsi="宋体" w:cs="宋体" w:eastAsia="宋体" w:hint="default"/>
                <w:b/>
                <w:bCs/>
                <w:sz w:val="21"/>
                <w:szCs w:val="21"/>
              </w:rPr>
              <w:t>上年发生额</w:t>
            </w:r>
            <w:r>
              <w:rPr>
                <w:rFonts w:ascii="宋体" w:hAnsi="宋体" w:cs="宋体" w:eastAsia="宋体" w:hint="default"/>
                <w:sz w:val="21"/>
                <w:szCs w:val="21"/>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5" w:right="0"/>
              <w:jc w:val="left"/>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2" w:right="0"/>
              <w:jc w:val="left"/>
              <w:rPr>
                <w:rFonts w:ascii="宋体" w:hAnsi="宋体" w:cs="宋体" w:eastAsia="宋体" w:hint="default"/>
                <w:sz w:val="21"/>
                <w:szCs w:val="21"/>
              </w:rPr>
            </w:pPr>
            <w:r>
              <w:rPr>
                <w:rFonts w:ascii="宋体" w:hAnsi="宋体" w:cs="宋体" w:eastAsia="宋体" w:hint="default"/>
                <w:b/>
                <w:bCs/>
                <w:sz w:val="21"/>
                <w:szCs w:val="21"/>
              </w:rPr>
              <w:t>上年发生额</w:t>
            </w:r>
            <w:r>
              <w:rPr>
                <w:rFonts w:ascii="宋体" w:hAnsi="宋体" w:cs="宋体" w:eastAsia="宋体" w:hint="default"/>
                <w:sz w:val="21"/>
                <w:szCs w:val="21"/>
              </w:rPr>
            </w:r>
          </w:p>
        </w:tc>
      </w:tr>
      <w:tr>
        <w:trPr>
          <w:trHeight w:val="32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ATM</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1,038,666,994.80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718,992,847.72</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569,587,359.55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384,063,887.45</w:t>
            </w:r>
          </w:p>
        </w:tc>
      </w:tr>
      <w:tr>
        <w:trPr>
          <w:trHeight w:val="32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AFC</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76,971,156.05</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7,173,993.18</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46,926,264.11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4,465,338.71</w:t>
            </w:r>
          </w:p>
        </w:tc>
      </w:tr>
      <w:tr>
        <w:trPr>
          <w:trHeight w:val="32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）设备配件</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23,923,112.19</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12,648,443.03</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11,530,734.46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5,788,154.70</w:t>
            </w:r>
          </w:p>
        </w:tc>
      </w:tr>
      <w:tr>
        <w:trPr>
          <w:trHeight w:val="32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）设备维护</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29,642,999.53</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19,195,014.42</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10,198,893.28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9,354,406.04</w:t>
            </w:r>
          </w:p>
        </w:tc>
      </w:tr>
      <w:tr>
        <w:trPr>
          <w:trHeight w:val="32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w:t>
            </w:r>
            <w:r>
              <w:rPr>
                <w:rFonts w:ascii="Times New Roman" w:hAnsi="Times New Roman" w:cs="Times New Roman" w:eastAsia="Times New Roman" w:hint="default"/>
                <w:spacing w:val="-11"/>
                <w:sz w:val="21"/>
                <w:szCs w:val="21"/>
              </w:rPr>
              <w:t>5</w:t>
            </w:r>
            <w:r>
              <w:rPr>
                <w:rFonts w:ascii="宋体" w:hAnsi="宋体" w:cs="宋体" w:eastAsia="宋体" w:hint="default"/>
                <w:spacing w:val="-11"/>
                <w:sz w:val="21"/>
                <w:szCs w:val="21"/>
              </w:rPr>
              <w:t>）</w:t>
            </w:r>
            <w:r>
              <w:rPr>
                <w:rFonts w:ascii="Times New Roman" w:hAnsi="Times New Roman" w:cs="Times New Roman" w:eastAsia="Times New Roman" w:hint="default"/>
                <w:spacing w:val="-11"/>
                <w:sz w:val="21"/>
                <w:szCs w:val="21"/>
              </w:rPr>
              <w:t>ATM</w:t>
            </w:r>
            <w:r>
              <w:rPr>
                <w:rFonts w:ascii="Times New Roman" w:hAnsi="Times New Roman" w:cs="Times New Roman" w:eastAsia="Times New Roman" w:hint="default"/>
                <w:sz w:val="21"/>
                <w:szCs w:val="21"/>
              </w:rPr>
              <w:t> </w:t>
            </w:r>
            <w:r>
              <w:rPr>
                <w:rFonts w:ascii="宋体" w:hAnsi="宋体" w:cs="宋体" w:eastAsia="宋体" w:hint="default"/>
                <w:sz w:val="21"/>
                <w:szCs w:val="21"/>
              </w:rPr>
              <w:t>营运</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30,775,290.15</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22,886,220.25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16,826,679.75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8,805,861.57</w:t>
            </w:r>
          </w:p>
        </w:tc>
      </w:tr>
      <w:tr>
        <w:trPr>
          <w:trHeight w:val="32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tabs>
                <w:tab w:pos="910" w:val="left" w:leader="none"/>
              </w:tabs>
              <w:spacing w:line="260" w:lineRule="exact"/>
              <w:ind w:left="489"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1,199,979,552.72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780,896,518.60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655,069,931.15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412,477,648.47</w:t>
            </w:r>
          </w:p>
        </w:tc>
      </w:tr>
    </w:tbl>
    <w:p>
      <w:pPr>
        <w:spacing w:line="240" w:lineRule="auto" w:before="5"/>
        <w:rPr>
          <w:rFonts w:ascii="宋体" w:hAnsi="宋体" w:cs="宋体" w:eastAsia="宋体" w:hint="default"/>
          <w:sz w:val="16"/>
          <w:szCs w:val="16"/>
        </w:rPr>
      </w:pPr>
    </w:p>
    <w:p>
      <w:pPr>
        <w:pStyle w:val="BodyText"/>
        <w:spacing w:line="240" w:lineRule="auto" w:before="35"/>
        <w:ind w:left="1280" w:right="745"/>
        <w:jc w:val="left"/>
      </w:pPr>
      <w:r>
        <w:rPr/>
        <w:t>3、按客户列示营业收入</w:t>
      </w:r>
    </w:p>
    <w:p>
      <w:pPr>
        <w:spacing w:line="240" w:lineRule="auto" w:before="6"/>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1440"/>
        <w:gridCol w:w="1384"/>
        <w:gridCol w:w="1148"/>
        <w:gridCol w:w="1120"/>
        <w:gridCol w:w="1106"/>
        <w:gridCol w:w="1105"/>
        <w:gridCol w:w="1512"/>
        <w:gridCol w:w="979"/>
      </w:tblGrid>
      <w:tr>
        <w:trPr>
          <w:trHeight w:val="52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352" w:right="0"/>
              <w:jc w:val="left"/>
              <w:rPr>
                <w:rFonts w:ascii="宋体" w:hAnsi="宋体" w:cs="宋体" w:eastAsia="宋体" w:hint="default"/>
                <w:sz w:val="18"/>
                <w:szCs w:val="18"/>
              </w:rPr>
            </w:pPr>
            <w:r>
              <w:rPr>
                <w:rFonts w:ascii="宋体" w:hAnsi="宋体" w:cs="宋体" w:eastAsia="宋体" w:hint="default"/>
                <w:b/>
                <w:bCs/>
                <w:sz w:val="18"/>
                <w:szCs w:val="18"/>
              </w:rPr>
              <w:t>客户名称</w:t>
            </w:r>
            <w:r>
              <w:rPr>
                <w:rFonts w:ascii="宋体" w:hAnsi="宋体" w:cs="宋体" w:eastAsia="宋体" w:hint="default"/>
                <w:sz w:val="18"/>
                <w:szCs w:val="18"/>
              </w:rPr>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Times New Roman" w:hAnsi="Times New Roman" w:cs="Times New Roman" w:eastAsia="Times New Roman" w:hint="default"/>
                <w:sz w:val="18"/>
                <w:szCs w:val="18"/>
              </w:rPr>
            </w:pPr>
            <w:r>
              <w:rPr>
                <w:rFonts w:ascii="Times New Roman"/>
                <w:b/>
                <w:spacing w:val="-5"/>
                <w:sz w:val="18"/>
              </w:rPr>
              <w:t>ATM</w:t>
            </w:r>
            <w:r>
              <w:rPr>
                <w:rFonts w:ascii="Times New Roman"/>
                <w:spacing w:val="-5"/>
                <w:sz w:val="18"/>
              </w:rPr>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
              <w:jc w:val="center"/>
              <w:rPr>
                <w:rFonts w:ascii="Times New Roman" w:hAnsi="Times New Roman" w:cs="Times New Roman" w:eastAsia="Times New Roman" w:hint="default"/>
                <w:sz w:val="18"/>
                <w:szCs w:val="18"/>
              </w:rPr>
            </w:pPr>
            <w:r>
              <w:rPr>
                <w:rFonts w:ascii="Times New Roman"/>
                <w:b/>
                <w:sz w:val="18"/>
              </w:rPr>
              <w:t>AFC</w:t>
            </w:r>
            <w:r>
              <w:rPr>
                <w:rFonts w:ascii="Times New Roman"/>
                <w:sz w:val="18"/>
              </w:rPr>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ind w:left="193" w:right="192" w:firstLine="180"/>
              <w:jc w:val="left"/>
              <w:rPr>
                <w:rFonts w:ascii="宋体" w:hAnsi="宋体" w:cs="宋体" w:eastAsia="宋体" w:hint="default"/>
                <w:sz w:val="18"/>
                <w:szCs w:val="18"/>
              </w:rPr>
            </w:pPr>
            <w:r>
              <w:rPr>
                <w:rFonts w:ascii="宋体" w:hAnsi="宋体" w:cs="宋体" w:eastAsia="宋体" w:hint="default"/>
                <w:b/>
                <w:bCs/>
                <w:sz w:val="18"/>
                <w:szCs w:val="18"/>
              </w:rPr>
              <w:t>设备</w:t>
            </w:r>
            <w:r>
              <w:rPr>
                <w:rFonts w:ascii="宋体" w:hAnsi="宋体" w:cs="宋体" w:eastAsia="宋体" w:hint="default"/>
                <w:b/>
                <w:bCs/>
                <w:spacing w:val="1"/>
                <w:w w:val="99"/>
                <w:sz w:val="18"/>
                <w:szCs w:val="18"/>
              </w:rPr>
              <w:t> </w:t>
            </w:r>
            <w:r>
              <w:rPr>
                <w:rFonts w:ascii="宋体" w:hAnsi="宋体" w:cs="宋体" w:eastAsia="宋体" w:hint="default"/>
                <w:b/>
                <w:bCs/>
                <w:sz w:val="18"/>
                <w:szCs w:val="18"/>
              </w:rPr>
              <w:t>配件销售</w:t>
            </w:r>
            <w:r>
              <w:rPr>
                <w:rFonts w:ascii="宋体" w:hAnsi="宋体" w:cs="宋体" w:eastAsia="宋体" w:hint="default"/>
                <w:sz w:val="18"/>
                <w:szCs w:val="18"/>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ind w:left="186" w:right="186" w:firstLine="181"/>
              <w:jc w:val="left"/>
              <w:rPr>
                <w:rFonts w:ascii="宋体" w:hAnsi="宋体" w:cs="宋体" w:eastAsia="宋体" w:hint="default"/>
                <w:sz w:val="18"/>
                <w:szCs w:val="18"/>
              </w:rPr>
            </w:pPr>
            <w:r>
              <w:rPr>
                <w:rFonts w:ascii="宋体" w:hAnsi="宋体" w:cs="宋体" w:eastAsia="宋体" w:hint="default"/>
                <w:b/>
                <w:bCs/>
                <w:sz w:val="18"/>
                <w:szCs w:val="18"/>
              </w:rPr>
              <w:t>设备</w:t>
            </w:r>
            <w:r>
              <w:rPr>
                <w:rFonts w:ascii="宋体" w:hAnsi="宋体" w:cs="宋体" w:eastAsia="宋体" w:hint="default"/>
                <w:b/>
                <w:bCs/>
                <w:spacing w:val="1"/>
                <w:w w:val="99"/>
                <w:sz w:val="18"/>
                <w:szCs w:val="18"/>
              </w:rPr>
              <w:t> </w:t>
            </w:r>
            <w:r>
              <w:rPr>
                <w:rFonts w:ascii="宋体" w:hAnsi="宋体" w:cs="宋体" w:eastAsia="宋体" w:hint="default"/>
                <w:b/>
                <w:bCs/>
                <w:sz w:val="18"/>
                <w:szCs w:val="18"/>
              </w:rPr>
              <w:t>维护收入</w:t>
            </w:r>
            <w:r>
              <w:rPr>
                <w:rFonts w:ascii="宋体" w:hAnsi="宋体" w:cs="宋体" w:eastAsia="宋体" w:hint="default"/>
                <w:sz w:val="18"/>
                <w:szCs w:val="18"/>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86" w:right="0"/>
              <w:jc w:val="left"/>
              <w:rPr>
                <w:rFonts w:ascii="宋体" w:hAnsi="宋体" w:cs="宋体" w:eastAsia="宋体" w:hint="default"/>
                <w:sz w:val="18"/>
                <w:szCs w:val="18"/>
              </w:rPr>
            </w:pPr>
            <w:r>
              <w:rPr>
                <w:rFonts w:ascii="宋体" w:hAnsi="宋体" w:cs="宋体" w:eastAsia="宋体" w:hint="default"/>
                <w:b/>
                <w:bCs/>
                <w:sz w:val="18"/>
                <w:szCs w:val="18"/>
              </w:rPr>
              <w:t>营运收入</w:t>
            </w:r>
            <w:r>
              <w:rPr>
                <w:rFonts w:ascii="宋体" w:hAnsi="宋体" w:cs="宋体" w:eastAsia="宋体" w:hint="default"/>
                <w:sz w:val="18"/>
                <w:szCs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ind w:left="122" w:right="121" w:firstLine="1"/>
              <w:jc w:val="left"/>
              <w:rPr>
                <w:rFonts w:ascii="宋体" w:hAnsi="宋体" w:cs="宋体" w:eastAsia="宋体" w:hint="default"/>
                <w:sz w:val="18"/>
                <w:szCs w:val="18"/>
              </w:rPr>
            </w:pPr>
            <w:r>
              <w:rPr>
                <w:rFonts w:ascii="宋体" w:hAnsi="宋体" w:cs="宋体" w:eastAsia="宋体" w:hint="default"/>
                <w:b/>
                <w:bCs/>
                <w:sz w:val="18"/>
                <w:szCs w:val="18"/>
              </w:rPr>
              <w:t>占营业收</w:t>
            </w:r>
            <w:r>
              <w:rPr>
                <w:rFonts w:ascii="宋体" w:hAnsi="宋体" w:cs="宋体" w:eastAsia="宋体" w:hint="default"/>
                <w:b/>
                <w:bCs/>
                <w:w w:val="99"/>
                <w:sz w:val="18"/>
                <w:szCs w:val="18"/>
              </w:rPr>
              <w:t> </w:t>
            </w:r>
            <w:r>
              <w:rPr>
                <w:rFonts w:ascii="宋体" w:hAnsi="宋体" w:cs="宋体" w:eastAsia="宋体" w:hint="default"/>
                <w:b/>
                <w:bCs/>
                <w:sz w:val="18"/>
                <w:szCs w:val="18"/>
              </w:rPr>
              <w:t>入的比例</w:t>
            </w:r>
            <w:r>
              <w:rPr>
                <w:rFonts w:ascii="宋体" w:hAnsi="宋体" w:cs="宋体" w:eastAsia="宋体" w:hint="default"/>
                <w:sz w:val="18"/>
                <w:szCs w:val="18"/>
              </w:rPr>
            </w:r>
          </w:p>
        </w:tc>
      </w:tr>
      <w:tr>
        <w:trPr>
          <w:trHeight w:val="52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中国农业银行</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326,900,302.69</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z w:val="18"/>
              </w:rPr>
              <w:t>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pacing w:val="-1"/>
                <w:sz w:val="18"/>
              </w:rPr>
              <w:t>6,688,144.25</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pacing w:val="-1"/>
                <w:sz w:val="18"/>
              </w:rPr>
              <w:t>12,197,921.23</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0"/>
              <w:jc w:val="right"/>
              <w:rPr>
                <w:rFonts w:ascii="Times New Roman" w:hAnsi="Times New Roman" w:cs="Times New Roman" w:eastAsia="Times New Roman" w:hint="default"/>
                <w:sz w:val="18"/>
                <w:szCs w:val="18"/>
              </w:rPr>
            </w:pPr>
            <w:r>
              <w:rPr>
                <w:rFonts w:ascii="Times New Roman"/>
                <w:spacing w:val="-1"/>
                <w:sz w:val="18"/>
              </w:rPr>
              <w:t>345,786,368.17</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z w:val="18"/>
              </w:rPr>
              <w:t>28.82%</w:t>
            </w:r>
          </w:p>
        </w:tc>
      </w:tr>
      <w:tr>
        <w:trPr>
          <w:trHeight w:val="52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ind w:left="103" w:right="72"/>
              <w:jc w:val="left"/>
              <w:rPr>
                <w:rFonts w:ascii="宋体" w:hAnsi="宋体" w:cs="宋体" w:eastAsia="宋体" w:hint="default"/>
                <w:sz w:val="18"/>
                <w:szCs w:val="18"/>
              </w:rPr>
            </w:pPr>
            <w:r>
              <w:rPr>
                <w:rFonts w:ascii="宋体" w:hAnsi="宋体" w:cs="宋体" w:eastAsia="宋体" w:hint="default"/>
                <w:spacing w:val="23"/>
                <w:sz w:val="18"/>
                <w:szCs w:val="18"/>
              </w:rPr>
              <w:t>中国银行股份</w:t>
            </w:r>
            <w:r>
              <w:rPr>
                <w:rFonts w:ascii="宋体" w:hAnsi="宋体" w:cs="宋体" w:eastAsia="宋体" w:hint="default"/>
                <w:spacing w:val="-62"/>
                <w:sz w:val="18"/>
                <w:szCs w:val="18"/>
              </w:rPr>
              <w:t> </w:t>
            </w:r>
            <w:r>
              <w:rPr>
                <w:rFonts w:ascii="宋体" w:hAnsi="宋体" w:cs="宋体" w:eastAsia="宋体" w:hint="default"/>
                <w:sz w:val="18"/>
                <w:szCs w:val="18"/>
              </w:rPr>
              <w:t>有限公司</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325,674,288.98</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z w:val="18"/>
              </w:rPr>
              <w:t>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pacing w:val="-1"/>
                <w:sz w:val="18"/>
              </w:rPr>
              <w:t>1,003,906.85</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pacing w:val="-1"/>
                <w:sz w:val="18"/>
              </w:rPr>
              <w:t>3,090,962.63</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0"/>
              <w:jc w:val="right"/>
              <w:rPr>
                <w:rFonts w:ascii="Times New Roman" w:hAnsi="Times New Roman" w:cs="Times New Roman" w:eastAsia="Times New Roman" w:hint="default"/>
                <w:sz w:val="18"/>
                <w:szCs w:val="18"/>
              </w:rPr>
            </w:pPr>
            <w:r>
              <w:rPr>
                <w:rFonts w:ascii="Times New Roman"/>
                <w:spacing w:val="-1"/>
                <w:sz w:val="18"/>
              </w:rPr>
              <w:t>329,769,158.46</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z w:val="18"/>
              </w:rPr>
              <w:t>27.48%</w:t>
            </w:r>
          </w:p>
        </w:tc>
      </w:tr>
      <w:tr>
        <w:trPr>
          <w:trHeight w:val="52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IAC</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公司</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pacing w:val="-1"/>
                <w:sz w:val="18"/>
              </w:rPr>
              <w:t>94,693,535.05</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z w:val="18"/>
              </w:rPr>
              <w:t>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z w:val="18"/>
              </w:rPr>
              <w:t>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z w:val="18"/>
              </w:rPr>
              <w:t>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94,693,535.05</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w w:val="95"/>
                <w:sz w:val="18"/>
              </w:rPr>
              <w:t>7.89%</w:t>
            </w:r>
            <w:r>
              <w:rPr>
                <w:rFonts w:ascii="Times New Roman"/>
                <w:sz w:val="18"/>
              </w:rPr>
            </w:r>
          </w:p>
        </w:tc>
      </w:tr>
      <w:tr>
        <w:trPr>
          <w:trHeight w:val="52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ind w:left="103" w:right="72"/>
              <w:jc w:val="left"/>
              <w:rPr>
                <w:rFonts w:ascii="宋体" w:hAnsi="宋体" w:cs="宋体" w:eastAsia="宋体" w:hint="default"/>
                <w:sz w:val="18"/>
                <w:szCs w:val="18"/>
              </w:rPr>
            </w:pPr>
            <w:r>
              <w:rPr>
                <w:rFonts w:ascii="宋体" w:hAnsi="宋体" w:cs="宋体" w:eastAsia="宋体" w:hint="default"/>
                <w:spacing w:val="23"/>
                <w:sz w:val="18"/>
                <w:szCs w:val="18"/>
              </w:rPr>
              <w:t>北京乐金系统</w:t>
            </w:r>
            <w:r>
              <w:rPr>
                <w:rFonts w:ascii="宋体" w:hAnsi="宋体" w:cs="宋体" w:eastAsia="宋体" w:hint="default"/>
                <w:spacing w:val="-62"/>
                <w:sz w:val="18"/>
                <w:szCs w:val="18"/>
              </w:rPr>
              <w:t> </w:t>
            </w:r>
            <w:r>
              <w:rPr>
                <w:rFonts w:ascii="宋体" w:hAnsi="宋体" w:cs="宋体" w:eastAsia="宋体" w:hint="default"/>
                <w:sz w:val="18"/>
                <w:szCs w:val="18"/>
              </w:rPr>
              <w:t>集成有限公司</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z w:val="18"/>
              </w:rPr>
              <w:t>0.00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pacing w:val="-1"/>
                <w:sz w:val="18"/>
              </w:rPr>
              <w:t>57,949,815.89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pacing w:val="-1"/>
                <w:w w:val="95"/>
                <w:sz w:val="18"/>
              </w:rPr>
              <w:t>811,965.81</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z w:val="18"/>
              </w:rPr>
              <w:t>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58,761,781.70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w w:val="95"/>
                <w:sz w:val="18"/>
              </w:rPr>
              <w:t>4.90%</w:t>
            </w:r>
            <w:r>
              <w:rPr>
                <w:rFonts w:ascii="Times New Roman"/>
                <w:sz w:val="18"/>
              </w:rPr>
            </w:r>
          </w:p>
        </w:tc>
      </w:tr>
      <w:tr>
        <w:trPr>
          <w:trHeight w:val="52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ind w:left="103" w:right="72"/>
              <w:jc w:val="left"/>
              <w:rPr>
                <w:rFonts w:ascii="宋体" w:hAnsi="宋体" w:cs="宋体" w:eastAsia="宋体" w:hint="default"/>
                <w:sz w:val="18"/>
                <w:szCs w:val="18"/>
              </w:rPr>
            </w:pPr>
            <w:r>
              <w:rPr>
                <w:rFonts w:ascii="宋体" w:hAnsi="宋体" w:cs="宋体" w:eastAsia="宋体" w:hint="default"/>
                <w:spacing w:val="23"/>
                <w:sz w:val="18"/>
                <w:szCs w:val="18"/>
              </w:rPr>
              <w:t>交通银行股份</w:t>
            </w:r>
            <w:r>
              <w:rPr>
                <w:rFonts w:ascii="宋体" w:hAnsi="宋体" w:cs="宋体" w:eastAsia="宋体" w:hint="default"/>
                <w:spacing w:val="-62"/>
                <w:sz w:val="18"/>
                <w:szCs w:val="18"/>
              </w:rPr>
              <w:t> </w:t>
            </w:r>
            <w:r>
              <w:rPr>
                <w:rFonts w:ascii="宋体" w:hAnsi="宋体" w:cs="宋体" w:eastAsia="宋体" w:hint="default"/>
                <w:sz w:val="18"/>
                <w:szCs w:val="18"/>
              </w:rPr>
              <w:t>有限公司</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pacing w:val="-1"/>
                <w:sz w:val="18"/>
              </w:rPr>
              <w:t>48,497,264.90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z w:val="18"/>
              </w:rPr>
              <w:t>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pacing w:val="-1"/>
                <w:sz w:val="18"/>
              </w:rPr>
              <w:t>2,374,818.79</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pacing w:val="-1"/>
                <w:sz w:val="18"/>
              </w:rPr>
              <w:t>7,707,969.15</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58,580,052.84</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w w:val="95"/>
                <w:sz w:val="18"/>
              </w:rPr>
              <w:t>4.88%</w:t>
            </w:r>
            <w:r>
              <w:rPr>
                <w:rFonts w:ascii="Times New Roman"/>
                <w:sz w:val="18"/>
              </w:rPr>
            </w:r>
          </w:p>
        </w:tc>
      </w:tr>
      <w:tr>
        <w:trPr>
          <w:trHeight w:val="52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EAB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公司</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pacing w:val="-1"/>
                <w:sz w:val="18"/>
              </w:rPr>
              <w:t>29,417,755.69</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z w:val="18"/>
              </w:rPr>
              <w:t>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pacing w:val="-1"/>
                <w:sz w:val="18"/>
              </w:rPr>
              <w:t>1,330,352.38</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z w:val="18"/>
              </w:rPr>
              <w:t>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30,748,108.07</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w w:val="95"/>
                <w:sz w:val="18"/>
              </w:rPr>
              <w:t>2.56%</w:t>
            </w:r>
            <w:r>
              <w:rPr>
                <w:rFonts w:ascii="Times New Roman"/>
                <w:sz w:val="18"/>
              </w:rPr>
            </w:r>
          </w:p>
        </w:tc>
      </w:tr>
      <w:tr>
        <w:trPr>
          <w:trHeight w:val="52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中信银行</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pacing w:val="-1"/>
                <w:sz w:val="18"/>
              </w:rPr>
              <w:t>17,482,205.19</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z w:val="18"/>
              </w:rPr>
              <w:t>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z w:val="18"/>
              </w:rPr>
              <w:t>425,213.69</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z w:val="18"/>
              </w:rPr>
              <w:t>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17,907,418.88</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w w:val="95"/>
                <w:sz w:val="18"/>
              </w:rPr>
              <w:t>1.49%</w:t>
            </w:r>
            <w:r>
              <w:rPr>
                <w:rFonts w:ascii="Times New Roman"/>
                <w:sz w:val="18"/>
              </w:rPr>
            </w:r>
          </w:p>
        </w:tc>
      </w:tr>
      <w:tr>
        <w:trPr>
          <w:trHeight w:val="52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ind w:left="103" w:right="72"/>
              <w:jc w:val="left"/>
              <w:rPr>
                <w:rFonts w:ascii="宋体" w:hAnsi="宋体" w:cs="宋体" w:eastAsia="宋体" w:hint="default"/>
                <w:sz w:val="18"/>
                <w:szCs w:val="18"/>
              </w:rPr>
            </w:pPr>
            <w:r>
              <w:rPr>
                <w:rFonts w:ascii="宋体" w:hAnsi="宋体" w:cs="宋体" w:eastAsia="宋体" w:hint="default"/>
                <w:spacing w:val="23"/>
                <w:sz w:val="18"/>
                <w:szCs w:val="18"/>
              </w:rPr>
              <w:t>易城科技股份</w:t>
            </w:r>
            <w:r>
              <w:rPr>
                <w:rFonts w:ascii="宋体" w:hAnsi="宋体" w:cs="宋体" w:eastAsia="宋体" w:hint="default"/>
                <w:spacing w:val="-62"/>
                <w:sz w:val="18"/>
                <w:szCs w:val="18"/>
              </w:rPr>
              <w:t> </w:t>
            </w:r>
            <w:r>
              <w:rPr>
                <w:rFonts w:ascii="宋体" w:hAnsi="宋体" w:cs="宋体" w:eastAsia="宋体" w:hint="default"/>
                <w:sz w:val="18"/>
                <w:szCs w:val="18"/>
              </w:rPr>
              <w:t>有限公司</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z w:val="18"/>
              </w:rPr>
              <w:t>0.00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pacing w:val="-1"/>
                <w:sz w:val="18"/>
              </w:rPr>
              <w:t>11,151,801.70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z w:val="18"/>
              </w:rPr>
              <w:t>950,633.42</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z w:val="18"/>
              </w:rPr>
              <w:t>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12,102,435.12</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w w:val="95"/>
                <w:sz w:val="18"/>
              </w:rPr>
              <w:t>1.01%</w:t>
            </w:r>
            <w:r>
              <w:rPr>
                <w:rFonts w:ascii="Times New Roman"/>
                <w:sz w:val="18"/>
              </w:rPr>
            </w:r>
          </w:p>
        </w:tc>
      </w:tr>
      <w:tr>
        <w:trPr>
          <w:trHeight w:val="52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ind w:left="103" w:right="72"/>
              <w:jc w:val="left"/>
              <w:rPr>
                <w:rFonts w:ascii="宋体" w:hAnsi="宋体" w:cs="宋体" w:eastAsia="宋体" w:hint="default"/>
                <w:sz w:val="18"/>
                <w:szCs w:val="18"/>
              </w:rPr>
            </w:pPr>
            <w:r>
              <w:rPr>
                <w:rFonts w:ascii="宋体" w:hAnsi="宋体" w:cs="宋体" w:eastAsia="宋体" w:hint="default"/>
                <w:spacing w:val="23"/>
                <w:sz w:val="18"/>
                <w:szCs w:val="18"/>
              </w:rPr>
              <w:t>中国建设银行</w:t>
            </w:r>
            <w:r>
              <w:rPr>
                <w:rFonts w:ascii="宋体" w:hAnsi="宋体" w:cs="宋体" w:eastAsia="宋体" w:hint="default"/>
                <w:spacing w:val="-62"/>
                <w:sz w:val="18"/>
                <w:szCs w:val="18"/>
              </w:rPr>
              <w:t> </w:t>
            </w:r>
            <w:r>
              <w:rPr>
                <w:rFonts w:ascii="宋体" w:hAnsi="宋体" w:cs="宋体" w:eastAsia="宋体" w:hint="default"/>
                <w:sz w:val="18"/>
                <w:szCs w:val="18"/>
              </w:rPr>
              <w:t>股份有限公司</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pacing w:val="-1"/>
                <w:sz w:val="18"/>
              </w:rPr>
              <w:t>11,164,752.19</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z w:val="18"/>
              </w:rPr>
              <w:t>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z w:val="18"/>
              </w:rPr>
              <w:t>418,461.50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z w:val="18"/>
              </w:rPr>
              <w:t>543,868.92</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12,127,082.61</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w w:val="95"/>
                <w:sz w:val="18"/>
              </w:rPr>
              <w:t>1.01%</w:t>
            </w:r>
            <w:r>
              <w:rPr>
                <w:rFonts w:ascii="Times New Roman"/>
                <w:sz w:val="18"/>
              </w:rPr>
            </w:r>
          </w:p>
        </w:tc>
      </w:tr>
      <w:tr>
        <w:trPr>
          <w:trHeight w:val="52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ind w:left="103" w:right="72"/>
              <w:jc w:val="left"/>
              <w:rPr>
                <w:rFonts w:ascii="宋体" w:hAnsi="宋体" w:cs="宋体" w:eastAsia="宋体" w:hint="default"/>
                <w:sz w:val="18"/>
                <w:szCs w:val="18"/>
              </w:rPr>
            </w:pPr>
            <w:r>
              <w:rPr>
                <w:rFonts w:ascii="宋体" w:hAnsi="宋体" w:cs="宋体" w:eastAsia="宋体" w:hint="default"/>
                <w:spacing w:val="23"/>
                <w:sz w:val="18"/>
                <w:szCs w:val="18"/>
              </w:rPr>
              <w:t>广东省电信实</w:t>
            </w:r>
            <w:r>
              <w:rPr>
                <w:rFonts w:ascii="宋体" w:hAnsi="宋体" w:cs="宋体" w:eastAsia="宋体" w:hint="default"/>
                <w:spacing w:val="-62"/>
                <w:sz w:val="18"/>
                <w:szCs w:val="18"/>
              </w:rPr>
              <w:t> </w:t>
            </w:r>
            <w:r>
              <w:rPr>
                <w:rFonts w:ascii="宋体" w:hAnsi="宋体" w:cs="宋体" w:eastAsia="宋体" w:hint="default"/>
                <w:sz w:val="18"/>
                <w:szCs w:val="18"/>
              </w:rPr>
              <w:t>业集团公司</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pacing w:val="-1"/>
                <w:sz w:val="18"/>
              </w:rPr>
              <w:t>10,688,461.49</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z w:val="18"/>
              </w:rPr>
              <w:t>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z w:val="18"/>
              </w:rPr>
              <w:t>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z w:val="18"/>
              </w:rPr>
              <w:t>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18"/>
                <w:szCs w:val="18"/>
              </w:rPr>
            </w:pPr>
            <w:r>
              <w:rPr>
                <w:rFonts w:ascii="Times New Roman"/>
                <w:spacing w:val="-1"/>
                <w:sz w:val="18"/>
              </w:rPr>
              <w:t>10,688,461.49</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w w:val="95"/>
                <w:sz w:val="18"/>
              </w:rPr>
              <w:t>0.89%</w:t>
            </w:r>
            <w:r>
              <w:rPr>
                <w:rFonts w:ascii="Times New Roman"/>
                <w:sz w:val="18"/>
              </w:rPr>
            </w:r>
          </w:p>
        </w:tc>
      </w:tr>
      <w:tr>
        <w:trPr>
          <w:trHeight w:val="52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174,148,428.62</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pacing w:val="-1"/>
                <w:sz w:val="18"/>
              </w:rPr>
              <w:t>7,869,538.46</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pacing w:val="-1"/>
                <w:sz w:val="18"/>
              </w:rPr>
              <w:t>9,919,615.50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pacing w:val="-1"/>
                <w:sz w:val="18"/>
              </w:rPr>
              <w:t>6,102,277.60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pacing w:val="-1"/>
                <w:sz w:val="18"/>
              </w:rPr>
              <w:t>30,775,290.15</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0"/>
              <w:jc w:val="right"/>
              <w:rPr>
                <w:rFonts w:ascii="Times New Roman" w:hAnsi="Times New Roman" w:cs="Times New Roman" w:eastAsia="Times New Roman" w:hint="default"/>
                <w:sz w:val="18"/>
                <w:szCs w:val="18"/>
              </w:rPr>
            </w:pPr>
            <w:r>
              <w:rPr>
                <w:rFonts w:ascii="Times New Roman"/>
                <w:spacing w:val="-1"/>
                <w:sz w:val="18"/>
              </w:rPr>
              <w:t>228,815,150.33</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z w:val="18"/>
              </w:rPr>
              <w:t>19.07%</w:t>
            </w:r>
          </w:p>
        </w:tc>
      </w:tr>
      <w:tr>
        <w:trPr>
          <w:trHeight w:val="52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4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pacing w:val="-1"/>
                <w:sz w:val="18"/>
              </w:rPr>
              <w:t>1,038,666,994.80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pacing w:val="-1"/>
                <w:sz w:val="18"/>
              </w:rPr>
              <w:t>76,971,156.05</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pacing w:val="-1"/>
                <w:sz w:val="18"/>
              </w:rPr>
              <w:t>23,923,112.19</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pacing w:val="-1"/>
                <w:sz w:val="18"/>
              </w:rPr>
              <w:t>29,642,999.53</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spacing w:val="-1"/>
                <w:sz w:val="18"/>
              </w:rPr>
              <w:t>30,775,290.15</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2"/>
              <w:jc w:val="right"/>
              <w:rPr>
                <w:rFonts w:ascii="Times New Roman" w:hAnsi="Times New Roman" w:cs="Times New Roman" w:eastAsia="Times New Roman" w:hint="default"/>
                <w:sz w:val="18"/>
                <w:szCs w:val="18"/>
              </w:rPr>
            </w:pPr>
            <w:r>
              <w:rPr>
                <w:rFonts w:ascii="Times New Roman"/>
                <w:spacing w:val="-1"/>
                <w:sz w:val="18"/>
              </w:rPr>
              <w:t>1,199,979,552.72</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400" w:footer="982" w:top="1100" w:bottom="1180" w:left="940" w:right="940"/>
        </w:sectPr>
      </w:pPr>
    </w:p>
    <w:p>
      <w:pPr>
        <w:spacing w:line="240" w:lineRule="auto" w:before="12"/>
        <w:rPr>
          <w:rFonts w:ascii="宋体" w:hAnsi="宋体" w:cs="宋体" w:eastAsia="宋体" w:hint="default"/>
          <w:sz w:val="28"/>
          <w:szCs w:val="28"/>
        </w:rPr>
      </w:pPr>
    </w:p>
    <w:p>
      <w:pPr>
        <w:pStyle w:val="BodyText"/>
        <w:spacing w:line="240" w:lineRule="auto" w:before="35"/>
        <w:ind w:left="560" w:right="1090"/>
        <w:jc w:val="left"/>
      </w:pPr>
      <w:r>
        <w:rPr/>
        <w:t>4、按地区列示营业收入</w:t>
      </w:r>
    </w:p>
    <w:p>
      <w:pPr>
        <w:spacing w:line="240" w:lineRule="auto" w:before="4"/>
        <w:rPr>
          <w:rFonts w:ascii="宋体" w:hAnsi="宋体" w:cs="宋体" w:eastAsia="宋体" w:hint="default"/>
          <w:sz w:val="14"/>
          <w:szCs w:val="14"/>
        </w:rPr>
      </w:pPr>
    </w:p>
    <w:tbl>
      <w:tblPr>
        <w:tblW w:w="0" w:type="auto"/>
        <w:jc w:val="left"/>
        <w:tblInd w:w="868" w:type="dxa"/>
        <w:tblLayout w:type="fixed"/>
        <w:tblCellMar>
          <w:top w:w="0" w:type="dxa"/>
          <w:left w:w="0" w:type="dxa"/>
          <w:bottom w:w="0" w:type="dxa"/>
          <w:right w:w="0" w:type="dxa"/>
        </w:tblCellMar>
        <w:tblLook w:val="01E0"/>
      </w:tblPr>
      <w:tblGrid>
        <w:gridCol w:w="2628"/>
        <w:gridCol w:w="2232"/>
        <w:gridCol w:w="1980"/>
      </w:tblGrid>
      <w:tr>
        <w:trPr>
          <w:trHeight w:val="323"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b/>
                <w:bCs/>
                <w:w w:val="95"/>
                <w:sz w:val="21"/>
                <w:szCs w:val="21"/>
              </w:rPr>
              <w:t>地</w:t>
              <w:tab/>
            </w:r>
            <w:r>
              <w:rPr>
                <w:rFonts w:ascii="宋体" w:hAnsi="宋体" w:cs="宋体" w:eastAsia="宋体" w:hint="default"/>
                <w:b/>
                <w:bCs/>
                <w:sz w:val="21"/>
                <w:szCs w:val="21"/>
              </w:rPr>
              <w:t>区</w:t>
            </w:r>
            <w:r>
              <w:rPr>
                <w:rFonts w:ascii="宋体" w:hAnsi="宋体" w:cs="宋体" w:eastAsia="宋体" w:hint="default"/>
                <w:sz w:val="21"/>
                <w:szCs w:val="21"/>
              </w:rPr>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sz w:val="21"/>
                <w:szCs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上年发生额</w:t>
            </w:r>
            <w:r>
              <w:rPr>
                <w:rFonts w:ascii="宋体" w:hAnsi="宋体" w:cs="宋体" w:eastAsia="宋体" w:hint="default"/>
                <w:sz w:val="21"/>
                <w:szCs w:val="21"/>
              </w:rPr>
            </w:r>
          </w:p>
        </w:tc>
      </w:tr>
      <w:tr>
        <w:trPr>
          <w:trHeight w:val="322"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国内地区</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1,042,628,986.94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676,920,954.51</w:t>
            </w:r>
          </w:p>
        </w:tc>
      </w:tr>
      <w:tr>
        <w:trPr>
          <w:trHeight w:val="322"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国外地区</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157,350,565.78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103,975,564.09</w:t>
            </w:r>
          </w:p>
        </w:tc>
      </w:tr>
      <w:tr>
        <w:trPr>
          <w:trHeight w:val="323"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1,199,979,552.72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780,896,518.60</w:t>
            </w:r>
          </w:p>
        </w:tc>
      </w:tr>
    </w:tbl>
    <w:p>
      <w:pPr>
        <w:pStyle w:val="BodyText"/>
        <w:spacing w:line="240" w:lineRule="auto" w:before="53"/>
        <w:ind w:left="560" w:right="0"/>
        <w:jc w:val="left"/>
      </w:pPr>
      <w:r>
        <w:rPr>
          <w:spacing w:val="12"/>
        </w:rPr>
        <w:t>5、公司向前五名客户销售总额为 </w:t>
      </w:r>
      <w:r>
        <w:rPr>
          <w:rFonts w:ascii="Times New Roman" w:hAnsi="Times New Roman" w:cs="Times New Roman" w:eastAsia="Times New Roman" w:hint="default"/>
        </w:rPr>
        <w:t>887,590,896.22 </w:t>
      </w:r>
      <w:r>
        <w:rPr>
          <w:rFonts w:ascii="Times New Roman" w:hAnsi="Times New Roman" w:cs="Times New Roman" w:eastAsia="Times New Roman" w:hint="default"/>
          <w:spacing w:val="16"/>
        </w:rPr>
        <w:t> </w:t>
      </w:r>
      <w:r>
        <w:rPr>
          <w:spacing w:val="12"/>
        </w:rPr>
        <w:t>元，占公司本年全部营业收入的</w:t>
      </w:r>
      <w:r>
        <w:rPr/>
      </w:r>
    </w:p>
    <w:p>
      <w:pPr>
        <w:pStyle w:val="BodyText"/>
        <w:spacing w:line="240" w:lineRule="auto" w:before="69"/>
        <w:ind w:left="139" w:right="1090"/>
        <w:jc w:val="left"/>
      </w:pPr>
      <w:r>
        <w:rPr>
          <w:rFonts w:ascii="Times New Roman" w:hAnsi="Times New Roman" w:cs="Times New Roman" w:eastAsia="Times New Roman" w:hint="default"/>
        </w:rPr>
        <w:t>73.97%</w:t>
      </w:r>
      <w:r>
        <w:rPr/>
        <w:t>。</w:t>
      </w:r>
    </w:p>
    <w:p>
      <w:pPr>
        <w:pStyle w:val="BodyText"/>
        <w:spacing w:line="297" w:lineRule="auto" w:before="69"/>
        <w:ind w:left="139" w:right="132" w:firstLine="420"/>
        <w:jc w:val="left"/>
      </w:pPr>
      <w:r>
        <w:rPr/>
        <w:t>6、营业收入本年发生数比上年发生数增加</w:t>
      </w:r>
      <w:r>
        <w:rPr>
          <w:spacing w:val="-56"/>
        </w:rPr>
        <w:t> </w:t>
      </w:r>
      <w:r>
        <w:rPr>
          <w:rFonts w:ascii="Times New Roman" w:hAnsi="Times New Roman" w:cs="Times New Roman" w:eastAsia="Times New Roman" w:hint="default"/>
        </w:rPr>
        <w:t>419,083,034.12</w:t>
      </w:r>
      <w:r>
        <w:rPr>
          <w:rFonts w:ascii="Times New Roman" w:hAnsi="Times New Roman" w:cs="Times New Roman" w:eastAsia="Times New Roman" w:hint="default"/>
          <w:spacing w:val="-3"/>
        </w:rPr>
        <w:t> </w:t>
      </w:r>
      <w:r>
        <w:rPr>
          <w:spacing w:val="-3"/>
        </w:rPr>
        <w:t>元，增加比例为</w:t>
      </w:r>
      <w:r>
        <w:rPr>
          <w:spacing w:val="-56"/>
        </w:rPr>
        <w:t> </w:t>
      </w:r>
      <w:r>
        <w:rPr>
          <w:rFonts w:ascii="Times New Roman" w:hAnsi="Times New Roman" w:cs="Times New Roman" w:eastAsia="Times New Roman" w:hint="default"/>
          <w:spacing w:val="-3"/>
        </w:rPr>
        <w:t>53.67</w:t>
      </w:r>
      <w:r>
        <w:rPr>
          <w:spacing w:val="-3"/>
        </w:rPr>
        <w:t>％，变</w:t>
      </w:r>
      <w:r>
        <w:rPr/>
        <w:t> 动主要原因为：ATM</w:t>
      </w:r>
      <w:r>
        <w:rPr>
          <w:spacing w:val="-69"/>
        </w:rPr>
        <w:t> </w:t>
      </w:r>
      <w:r>
        <w:rPr/>
        <w:t>的销售额增加。</w:t>
      </w:r>
    </w:p>
    <w:p>
      <w:pPr>
        <w:spacing w:line="240" w:lineRule="auto" w:before="8"/>
        <w:rPr>
          <w:rFonts w:ascii="宋体" w:hAnsi="宋体" w:cs="宋体" w:eastAsia="宋体" w:hint="default"/>
          <w:sz w:val="17"/>
          <w:szCs w:val="17"/>
        </w:rPr>
      </w:pPr>
    </w:p>
    <w:p>
      <w:pPr>
        <w:pStyle w:val="Heading4"/>
        <w:tabs>
          <w:tab w:pos="1819" w:val="left" w:leader="none"/>
        </w:tabs>
        <w:spacing w:line="240" w:lineRule="auto"/>
        <w:ind w:left="559" w:right="1090"/>
        <w:jc w:val="left"/>
        <w:rPr>
          <w:b w:val="0"/>
          <w:bCs w:val="0"/>
        </w:rPr>
      </w:pPr>
      <w:r>
        <w:rPr>
          <w:w w:val="95"/>
        </w:rPr>
        <w:t>（二十八）</w:t>
        <w:tab/>
      </w:r>
      <w:r>
        <w:rPr/>
        <w:t>营业税金及附加</w:t>
      </w:r>
      <w:r>
        <w:rPr>
          <w:b w:val="0"/>
          <w:bCs w:val="0"/>
        </w:rPr>
      </w:r>
    </w:p>
    <w:p>
      <w:pPr>
        <w:spacing w:line="240" w:lineRule="auto" w:before="5"/>
        <w:rPr>
          <w:rFonts w:ascii="宋体" w:hAnsi="宋体" w:cs="宋体" w:eastAsia="宋体" w:hint="default"/>
          <w:b/>
          <w:bCs/>
          <w:sz w:val="14"/>
          <w:szCs w:val="14"/>
        </w:rPr>
      </w:pPr>
    </w:p>
    <w:tbl>
      <w:tblPr>
        <w:tblW w:w="0" w:type="auto"/>
        <w:jc w:val="left"/>
        <w:tblInd w:w="642" w:type="dxa"/>
        <w:tblLayout w:type="fixed"/>
        <w:tblCellMar>
          <w:top w:w="0" w:type="dxa"/>
          <w:left w:w="0" w:type="dxa"/>
          <w:bottom w:w="0" w:type="dxa"/>
          <w:right w:w="0" w:type="dxa"/>
        </w:tblCellMar>
        <w:tblLook w:val="01E0"/>
      </w:tblPr>
      <w:tblGrid>
        <w:gridCol w:w="1583"/>
        <w:gridCol w:w="2096"/>
        <w:gridCol w:w="1721"/>
        <w:gridCol w:w="1890"/>
      </w:tblGrid>
      <w:tr>
        <w:trPr>
          <w:trHeight w:val="323" w:hRule="exact"/>
        </w:trPr>
        <w:tc>
          <w:tcPr>
            <w:tcW w:w="1583"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计缴标准</w:t>
            </w:r>
            <w:r>
              <w:rPr>
                <w:rFonts w:ascii="宋体" w:hAnsi="宋体" w:cs="宋体" w:eastAsia="宋体" w:hint="default"/>
                <w:sz w:val="21"/>
                <w:szCs w:val="21"/>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本年发生数</w:t>
            </w:r>
            <w:r>
              <w:rPr>
                <w:rFonts w:ascii="宋体" w:hAnsi="宋体" w:cs="宋体" w:eastAsia="宋体" w:hint="default"/>
                <w:sz w:val="21"/>
                <w:szCs w:val="21"/>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上年发生数</w:t>
            </w:r>
            <w:r>
              <w:rPr>
                <w:rFonts w:ascii="宋体" w:hAnsi="宋体" w:cs="宋体" w:eastAsia="宋体" w:hint="default"/>
                <w:sz w:val="21"/>
                <w:szCs w:val="21"/>
              </w:rPr>
            </w:r>
          </w:p>
        </w:tc>
      </w:tr>
      <w:tr>
        <w:trPr>
          <w:trHeight w:val="322" w:hRule="exact"/>
        </w:trPr>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营业税</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5%</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5,086,500.16</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2,933,209.30</w:t>
            </w:r>
          </w:p>
        </w:tc>
      </w:tr>
      <w:tr>
        <w:trPr>
          <w:trHeight w:val="322" w:hRule="exact"/>
        </w:trPr>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城建税</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宋体" w:hAnsi="宋体" w:cs="宋体" w:eastAsia="宋体" w:hint="default"/>
                <w:sz w:val="21"/>
                <w:szCs w:val="21"/>
              </w:rPr>
              <w:t>流转税的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宋体" w:hAnsi="宋体" w:cs="宋体" w:eastAsia="宋体" w:hint="default"/>
                <w:sz w:val="21"/>
                <w:szCs w:val="21"/>
              </w:rPr>
              <w:t>或</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7,537,253.78</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3,813,241.79</w:t>
            </w:r>
          </w:p>
        </w:tc>
      </w:tr>
      <w:tr>
        <w:trPr>
          <w:trHeight w:val="323" w:hRule="exact"/>
        </w:trPr>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教育费附加</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流转税的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3,383,591.92</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1,711,781.86</w:t>
            </w:r>
          </w:p>
        </w:tc>
      </w:tr>
      <w:tr>
        <w:trPr>
          <w:trHeight w:val="322" w:hRule="exact"/>
        </w:trPr>
        <w:tc>
          <w:tcPr>
            <w:tcW w:w="1583"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096"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16,007,345.86</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8,458,232.95</w:t>
            </w:r>
          </w:p>
        </w:tc>
      </w:tr>
    </w:tbl>
    <w:p>
      <w:pPr>
        <w:pStyle w:val="BodyText"/>
        <w:spacing w:line="297" w:lineRule="auto" w:before="53"/>
        <w:ind w:right="129" w:firstLine="420"/>
        <w:jc w:val="left"/>
      </w:pPr>
      <w:r>
        <w:rPr/>
        <w:t>营业税金及附加本年发生数比上年发生数增加</w:t>
      </w:r>
      <w:r>
        <w:rPr>
          <w:spacing w:val="-56"/>
        </w:rPr>
        <w:t> </w:t>
      </w:r>
      <w:r>
        <w:rPr>
          <w:rFonts w:ascii="Times New Roman" w:hAnsi="Times New Roman" w:cs="Times New Roman" w:eastAsia="Times New Roman" w:hint="default"/>
        </w:rPr>
        <w:t>7,549,112.91</w:t>
      </w:r>
      <w:r>
        <w:rPr>
          <w:rFonts w:ascii="Times New Roman" w:hAnsi="Times New Roman" w:cs="Times New Roman" w:eastAsia="Times New Roman" w:hint="default"/>
          <w:spacing w:val="-4"/>
        </w:rPr>
        <w:t> </w:t>
      </w:r>
      <w:r>
        <w:rPr>
          <w:spacing w:val="-8"/>
        </w:rPr>
        <w:t>元，增加比例为</w:t>
      </w:r>
      <w:r>
        <w:rPr>
          <w:spacing w:val="-56"/>
        </w:rPr>
        <w:t> </w:t>
      </w:r>
      <w:r>
        <w:rPr>
          <w:rFonts w:ascii="Times New Roman" w:hAnsi="Times New Roman" w:cs="Times New Roman" w:eastAsia="Times New Roman" w:hint="default"/>
          <w:spacing w:val="-7"/>
        </w:rPr>
        <w:t>89.25%</w:t>
      </w:r>
      <w:r>
        <w:rPr>
          <w:spacing w:val="-7"/>
        </w:rPr>
        <w:t>，变</w:t>
      </w:r>
      <w:r>
        <w:rPr/>
        <w:t> 动原因为：主营业务收入增加，应交的增值税增加，附加税相应增加。</w:t>
      </w:r>
    </w:p>
    <w:p>
      <w:pPr>
        <w:spacing w:line="240" w:lineRule="auto" w:before="8"/>
        <w:rPr>
          <w:rFonts w:ascii="宋体" w:hAnsi="宋体" w:cs="宋体" w:eastAsia="宋体" w:hint="default"/>
          <w:sz w:val="17"/>
          <w:szCs w:val="17"/>
        </w:rPr>
      </w:pPr>
    </w:p>
    <w:p>
      <w:pPr>
        <w:pStyle w:val="Heading4"/>
        <w:tabs>
          <w:tab w:pos="1819" w:val="left" w:leader="none"/>
        </w:tabs>
        <w:spacing w:line="240" w:lineRule="auto"/>
        <w:ind w:right="1090"/>
        <w:jc w:val="left"/>
        <w:rPr>
          <w:b w:val="0"/>
          <w:bCs w:val="0"/>
        </w:rPr>
      </w:pPr>
      <w:r>
        <w:rPr>
          <w:w w:val="95"/>
        </w:rPr>
        <w:t>（二十九）</w:t>
        <w:tab/>
      </w:r>
      <w:r>
        <w:rPr/>
        <w:t>销售费用</w:t>
      </w:r>
      <w:r>
        <w:rPr>
          <w:b w:val="0"/>
          <w:bCs w:val="0"/>
        </w:rPr>
      </w:r>
    </w:p>
    <w:p>
      <w:pPr>
        <w:spacing w:line="240" w:lineRule="auto" w:before="6"/>
        <w:rPr>
          <w:rFonts w:ascii="宋体" w:hAnsi="宋体" w:cs="宋体" w:eastAsia="宋体" w:hint="default"/>
          <w:b/>
          <w:bCs/>
          <w:sz w:val="14"/>
          <w:szCs w:val="14"/>
        </w:rPr>
      </w:pPr>
    </w:p>
    <w:tbl>
      <w:tblPr>
        <w:tblW w:w="0" w:type="auto"/>
        <w:jc w:val="left"/>
        <w:tblInd w:w="732" w:type="dxa"/>
        <w:tblLayout w:type="fixed"/>
        <w:tblCellMar>
          <w:top w:w="0" w:type="dxa"/>
          <w:left w:w="0" w:type="dxa"/>
          <w:bottom w:w="0" w:type="dxa"/>
          <w:right w:w="0" w:type="dxa"/>
        </w:tblCellMar>
        <w:tblLook w:val="01E0"/>
      </w:tblPr>
      <w:tblGrid>
        <w:gridCol w:w="3150"/>
        <w:gridCol w:w="1980"/>
        <w:gridCol w:w="1980"/>
      </w:tblGrid>
      <w:tr>
        <w:trPr>
          <w:trHeight w:val="322"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本年发生数</w:t>
            </w:r>
            <w:r>
              <w:rPr>
                <w:rFonts w:ascii="宋体" w:hAnsi="宋体" w:cs="宋体" w:eastAsia="宋体" w:hint="default"/>
                <w:sz w:val="21"/>
                <w:szCs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上年发生数</w:t>
            </w:r>
            <w:r>
              <w:rPr>
                <w:rFonts w:ascii="宋体" w:hAnsi="宋体" w:cs="宋体" w:eastAsia="宋体" w:hint="default"/>
                <w:sz w:val="21"/>
                <w:szCs w:val="21"/>
              </w:rPr>
            </w:r>
          </w:p>
        </w:tc>
      </w:tr>
      <w:tr>
        <w:trPr>
          <w:trHeight w:val="322"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销售费用合计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124,592,381.76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82,481,607.63</w:t>
            </w:r>
          </w:p>
        </w:tc>
      </w:tr>
      <w:tr>
        <w:trPr>
          <w:trHeight w:val="323"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销售费用率</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10.38%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10.56%</w:t>
            </w:r>
          </w:p>
        </w:tc>
      </w:tr>
      <w:tr>
        <w:trPr>
          <w:trHeight w:val="322"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占报告期净利润率</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37.58%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35.62%</w:t>
            </w:r>
          </w:p>
        </w:tc>
      </w:tr>
    </w:tbl>
    <w:p>
      <w:pPr>
        <w:pStyle w:val="BodyText"/>
        <w:spacing w:line="304" w:lineRule="auto" w:before="53"/>
        <w:ind w:right="136" w:firstLine="419"/>
        <w:jc w:val="both"/>
      </w:pPr>
      <w:r>
        <w:rPr/>
        <w:t>销售费用本年发生数比上年发生数增加</w:t>
      </w:r>
      <w:r>
        <w:rPr>
          <w:spacing w:val="-52"/>
        </w:rPr>
        <w:t> </w:t>
      </w:r>
      <w:r>
        <w:rPr>
          <w:rFonts w:ascii="Times New Roman" w:hAnsi="Times New Roman" w:cs="Times New Roman" w:eastAsia="Times New Roman" w:hint="default"/>
          <w:spacing w:val="-1"/>
        </w:rPr>
        <w:t>42,110,774.13</w:t>
      </w:r>
      <w:r>
        <w:rPr>
          <w:rFonts w:ascii="Times New Roman" w:hAnsi="Times New Roman" w:cs="Times New Roman" w:eastAsia="Times New Roman" w:hint="default"/>
          <w:spacing w:val="1"/>
        </w:rPr>
        <w:t> </w:t>
      </w:r>
      <w:r>
        <w:rPr>
          <w:spacing w:val="-1"/>
        </w:rPr>
        <w:t>元,增长比例为</w:t>
      </w:r>
      <w:r>
        <w:rPr>
          <w:spacing w:val="-52"/>
        </w:rPr>
        <w:t> </w:t>
      </w:r>
      <w:r>
        <w:rPr>
          <w:rFonts w:ascii="Times New Roman" w:hAnsi="Times New Roman" w:cs="Times New Roman" w:eastAsia="Times New Roman" w:hint="default"/>
          <w:spacing w:val="-10"/>
        </w:rPr>
        <w:t>51.05%</w:t>
      </w:r>
      <w:r>
        <w:rPr>
          <w:spacing w:val="-10"/>
        </w:rPr>
        <w:t>，变动的主</w:t>
      </w:r>
      <w:r>
        <w:rPr/>
        <w:t> </w:t>
      </w:r>
      <w:r>
        <w:rPr>
          <w:spacing w:val="-3"/>
        </w:rPr>
        <w:t>要原因是：由于销售额大幅增加，使得直接与销售量和销售额相关的工资、运输费、技术咨</w:t>
      </w:r>
      <w:r>
        <w:rPr>
          <w:spacing w:val="-80"/>
        </w:rPr>
        <w:t> </w:t>
      </w:r>
      <w:r>
        <w:rPr>
          <w:spacing w:val="-80"/>
        </w:rPr>
      </w:r>
      <w:r>
        <w:rPr/>
        <w:t>询安装服务费、广告费、代理费、业务招待费等销售费用大幅增加。</w:t>
      </w:r>
    </w:p>
    <w:p>
      <w:pPr>
        <w:spacing w:line="240" w:lineRule="auto" w:before="2"/>
        <w:rPr>
          <w:rFonts w:ascii="宋体" w:hAnsi="宋体" w:cs="宋体" w:eastAsia="宋体" w:hint="default"/>
          <w:sz w:val="17"/>
          <w:szCs w:val="17"/>
        </w:rPr>
      </w:pPr>
    </w:p>
    <w:p>
      <w:pPr>
        <w:pStyle w:val="Heading4"/>
        <w:spacing w:line="240" w:lineRule="auto"/>
        <w:ind w:right="1090"/>
        <w:jc w:val="left"/>
        <w:rPr>
          <w:b w:val="0"/>
          <w:bCs w:val="0"/>
        </w:rPr>
      </w:pPr>
      <w:r>
        <w:rPr/>
        <w:t>（三十）</w:t>
      </w:r>
      <w:r>
        <w:rPr>
          <w:spacing w:val="70"/>
        </w:rPr>
        <w:t> </w:t>
      </w:r>
      <w:r>
        <w:rPr/>
        <w:t>管理费用</w:t>
      </w:r>
      <w:r>
        <w:rPr>
          <w:b w:val="0"/>
          <w:bCs w:val="0"/>
        </w:rPr>
      </w:r>
    </w:p>
    <w:p>
      <w:pPr>
        <w:spacing w:line="240" w:lineRule="auto" w:before="6"/>
        <w:rPr>
          <w:rFonts w:ascii="宋体" w:hAnsi="宋体" w:cs="宋体" w:eastAsia="宋体" w:hint="default"/>
          <w:b/>
          <w:bCs/>
          <w:sz w:val="14"/>
          <w:szCs w:val="14"/>
        </w:rPr>
      </w:pPr>
    </w:p>
    <w:tbl>
      <w:tblPr>
        <w:tblW w:w="0" w:type="auto"/>
        <w:jc w:val="left"/>
        <w:tblInd w:w="765" w:type="dxa"/>
        <w:tblLayout w:type="fixed"/>
        <w:tblCellMar>
          <w:top w:w="0" w:type="dxa"/>
          <w:left w:w="0" w:type="dxa"/>
          <w:bottom w:w="0" w:type="dxa"/>
          <w:right w:w="0" w:type="dxa"/>
        </w:tblCellMar>
        <w:tblLook w:val="01E0"/>
      </w:tblPr>
      <w:tblGrid>
        <w:gridCol w:w="3150"/>
        <w:gridCol w:w="1980"/>
        <w:gridCol w:w="1980"/>
      </w:tblGrid>
      <w:tr>
        <w:trPr>
          <w:trHeight w:val="322"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本年发生数</w:t>
            </w:r>
            <w:r>
              <w:rPr>
                <w:rFonts w:ascii="宋体" w:hAnsi="宋体" w:cs="宋体" w:eastAsia="宋体" w:hint="default"/>
                <w:sz w:val="21"/>
                <w:szCs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上年发生数</w:t>
            </w:r>
            <w:r>
              <w:rPr>
                <w:rFonts w:ascii="宋体" w:hAnsi="宋体" w:cs="宋体" w:eastAsia="宋体" w:hint="default"/>
                <w:sz w:val="21"/>
                <w:szCs w:val="21"/>
              </w:rPr>
            </w:r>
          </w:p>
        </w:tc>
      </w:tr>
      <w:tr>
        <w:trPr>
          <w:trHeight w:val="322"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管理费用合计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115,927,290.20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83,136,537.38</w:t>
            </w:r>
          </w:p>
        </w:tc>
      </w:tr>
      <w:tr>
        <w:trPr>
          <w:trHeight w:val="323"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管理费用率</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9.66%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10.65%</w:t>
            </w:r>
          </w:p>
        </w:tc>
      </w:tr>
      <w:tr>
        <w:trPr>
          <w:trHeight w:val="322"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占报告期净利润率</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34.97%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35.90%</w:t>
            </w:r>
          </w:p>
        </w:tc>
      </w:tr>
    </w:tbl>
    <w:p>
      <w:pPr>
        <w:pStyle w:val="BodyText"/>
        <w:spacing w:line="297" w:lineRule="auto" w:before="53"/>
        <w:ind w:right="135" w:firstLine="420"/>
        <w:jc w:val="left"/>
      </w:pPr>
      <w:r>
        <w:rPr/>
        <w:t>管理费用本年发生数比上年发生数增加 </w:t>
      </w:r>
      <w:r>
        <w:rPr>
          <w:rFonts w:ascii="Times New Roman" w:hAnsi="Times New Roman" w:cs="Times New Roman" w:eastAsia="Times New Roman" w:hint="default"/>
        </w:rPr>
        <w:t>32,790,752.82 </w:t>
      </w:r>
      <w:r>
        <w:rPr/>
        <w:t>元,增长比例为</w:t>
      </w:r>
      <w:r>
        <w:rPr>
          <w:spacing w:val="-68"/>
        </w:rPr>
        <w:t> </w:t>
      </w:r>
      <w:r>
        <w:rPr>
          <w:rFonts w:ascii="Times New Roman" w:hAnsi="Times New Roman" w:cs="Times New Roman" w:eastAsia="Times New Roman" w:hint="default"/>
        </w:rPr>
        <w:t>39.44%</w:t>
      </w:r>
      <w:r>
        <w:rPr/>
        <w:t>，变动的 主要原因是：工资和研究开发费的增加。</w:t>
      </w:r>
    </w:p>
    <w:p>
      <w:pPr>
        <w:spacing w:line="240" w:lineRule="auto" w:before="8"/>
        <w:rPr>
          <w:rFonts w:ascii="宋体" w:hAnsi="宋体" w:cs="宋体" w:eastAsia="宋体" w:hint="default"/>
          <w:sz w:val="17"/>
          <w:szCs w:val="17"/>
        </w:rPr>
      </w:pPr>
    </w:p>
    <w:p>
      <w:pPr>
        <w:pStyle w:val="Heading4"/>
        <w:tabs>
          <w:tab w:pos="1820" w:val="left" w:leader="none"/>
        </w:tabs>
        <w:spacing w:line="240" w:lineRule="auto"/>
        <w:ind w:right="1090"/>
        <w:jc w:val="left"/>
        <w:rPr>
          <w:b w:val="0"/>
          <w:bCs w:val="0"/>
        </w:rPr>
      </w:pPr>
      <w:r>
        <w:rPr>
          <w:w w:val="95"/>
        </w:rPr>
        <w:t>（三十一）</w:t>
        <w:tab/>
      </w:r>
      <w:r>
        <w:rPr/>
        <w:t>资产减值损失</w:t>
      </w:r>
      <w:r>
        <w:rPr>
          <w:b w:val="0"/>
          <w:bCs w:val="0"/>
        </w:rPr>
      </w:r>
    </w:p>
    <w:p>
      <w:pPr>
        <w:spacing w:line="240" w:lineRule="auto" w:before="6"/>
        <w:rPr>
          <w:rFonts w:ascii="宋体" w:hAnsi="宋体" w:cs="宋体" w:eastAsia="宋体" w:hint="default"/>
          <w:b/>
          <w:bCs/>
          <w:sz w:val="14"/>
          <w:szCs w:val="14"/>
        </w:rPr>
      </w:pPr>
    </w:p>
    <w:tbl>
      <w:tblPr>
        <w:tblW w:w="0" w:type="auto"/>
        <w:jc w:val="left"/>
        <w:tblInd w:w="941" w:type="dxa"/>
        <w:tblLayout w:type="fixed"/>
        <w:tblCellMar>
          <w:top w:w="0" w:type="dxa"/>
          <w:left w:w="0" w:type="dxa"/>
          <w:bottom w:w="0" w:type="dxa"/>
          <w:right w:w="0" w:type="dxa"/>
        </w:tblCellMar>
        <w:tblLook w:val="01E0"/>
      </w:tblPr>
      <w:tblGrid>
        <w:gridCol w:w="2792"/>
        <w:gridCol w:w="1970"/>
        <w:gridCol w:w="1931"/>
      </w:tblGrid>
      <w:tr>
        <w:trPr>
          <w:trHeight w:val="324"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1"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sz w:val="21"/>
                <w:szCs w:val="21"/>
              </w:rPr>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33" w:right="0"/>
              <w:jc w:val="left"/>
              <w:rPr>
                <w:rFonts w:ascii="宋体" w:hAnsi="宋体" w:cs="宋体" w:eastAsia="宋体" w:hint="default"/>
                <w:sz w:val="21"/>
                <w:szCs w:val="21"/>
              </w:rPr>
            </w:pPr>
            <w:r>
              <w:rPr>
                <w:rFonts w:ascii="宋体" w:hAnsi="宋体" w:cs="宋体" w:eastAsia="宋体" w:hint="default"/>
                <w:b/>
                <w:bCs/>
                <w:sz w:val="21"/>
                <w:szCs w:val="21"/>
              </w:rPr>
              <w:t>上年发生额</w:t>
            </w:r>
            <w:r>
              <w:rPr>
                <w:rFonts w:ascii="宋体" w:hAnsi="宋体" w:cs="宋体" w:eastAsia="宋体" w:hint="default"/>
                <w:sz w:val="21"/>
                <w:szCs w:val="21"/>
              </w:rPr>
            </w:r>
          </w:p>
        </w:tc>
      </w:tr>
      <w:tr>
        <w:trPr>
          <w:trHeight w:val="325"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、坏账损失</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1,045,083.14</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04" w:right="0"/>
              <w:jc w:val="left"/>
              <w:rPr>
                <w:rFonts w:ascii="Times New Roman" w:hAnsi="Times New Roman" w:cs="Times New Roman" w:eastAsia="Times New Roman" w:hint="default"/>
                <w:sz w:val="21"/>
                <w:szCs w:val="21"/>
              </w:rPr>
            </w:pPr>
            <w:r>
              <w:rPr>
                <w:rFonts w:ascii="Times New Roman"/>
                <w:sz w:val="21"/>
              </w:rPr>
              <w:t>-13,898.19</w:t>
            </w:r>
          </w:p>
        </w:tc>
      </w:tr>
      <w:tr>
        <w:trPr>
          <w:trHeight w:val="325"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1,045,083.14</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04" w:right="0"/>
              <w:jc w:val="left"/>
              <w:rPr>
                <w:rFonts w:ascii="Times New Roman" w:hAnsi="Times New Roman" w:cs="Times New Roman" w:eastAsia="Times New Roman" w:hint="default"/>
                <w:sz w:val="21"/>
                <w:szCs w:val="21"/>
              </w:rPr>
            </w:pPr>
            <w:r>
              <w:rPr>
                <w:rFonts w:ascii="Times New Roman"/>
                <w:sz w:val="21"/>
              </w:rPr>
              <w:t>-13,898.19</w:t>
            </w:r>
          </w:p>
        </w:tc>
      </w:tr>
    </w:tbl>
    <w:p>
      <w:pPr>
        <w:spacing w:after="0" w:line="240" w:lineRule="auto"/>
        <w:jc w:val="left"/>
        <w:rPr>
          <w:rFonts w:ascii="Times New Roman" w:hAnsi="Times New Roman" w:cs="Times New Roman" w:eastAsia="Times New Roman" w:hint="default"/>
          <w:sz w:val="21"/>
          <w:szCs w:val="21"/>
        </w:rPr>
        <w:sectPr>
          <w:footerReference w:type="default" r:id="rId28"/>
          <w:pgSz w:w="11910" w:h="16840"/>
          <w:pgMar w:footer="982" w:header="400" w:top="1100" w:bottom="1180" w:left="1660" w:right="1660"/>
        </w:sectPr>
      </w:pPr>
    </w:p>
    <w:p>
      <w:pPr>
        <w:spacing w:line="240" w:lineRule="auto" w:before="2"/>
        <w:rPr>
          <w:rFonts w:ascii="宋体" w:hAnsi="宋体" w:cs="宋体" w:eastAsia="宋体" w:hint="default"/>
          <w:b/>
          <w:bCs/>
          <w:sz w:val="19"/>
          <w:szCs w:val="19"/>
        </w:rPr>
      </w:pPr>
    </w:p>
    <w:p>
      <w:pPr>
        <w:pStyle w:val="Heading4"/>
        <w:tabs>
          <w:tab w:pos="1819" w:val="left" w:leader="none"/>
        </w:tabs>
        <w:spacing w:line="240" w:lineRule="auto" w:before="35"/>
        <w:ind w:left="562" w:right="1090"/>
        <w:jc w:val="left"/>
        <w:rPr>
          <w:b w:val="0"/>
          <w:bCs w:val="0"/>
        </w:rPr>
      </w:pPr>
      <w:r>
        <w:rPr>
          <w:w w:val="95"/>
        </w:rPr>
        <w:t>（三十二）</w:t>
        <w:tab/>
      </w:r>
      <w:r>
        <w:rPr/>
        <w:t>营业外收入</w:t>
      </w:r>
      <w:r>
        <w:rPr>
          <w:b w:val="0"/>
          <w:bCs w:val="0"/>
        </w:rPr>
      </w:r>
    </w:p>
    <w:p>
      <w:pPr>
        <w:spacing w:line="240" w:lineRule="auto" w:before="10"/>
        <w:rPr>
          <w:rFonts w:ascii="宋体" w:hAnsi="宋体" w:cs="宋体" w:eastAsia="宋体" w:hint="default"/>
          <w:b/>
          <w:bCs/>
          <w:sz w:val="12"/>
          <w:szCs w:val="12"/>
        </w:rPr>
      </w:pPr>
    </w:p>
    <w:tbl>
      <w:tblPr>
        <w:tblW w:w="0" w:type="auto"/>
        <w:jc w:val="left"/>
        <w:tblInd w:w="1144" w:type="dxa"/>
        <w:tblLayout w:type="fixed"/>
        <w:tblCellMar>
          <w:top w:w="0" w:type="dxa"/>
          <w:left w:w="0" w:type="dxa"/>
          <w:bottom w:w="0" w:type="dxa"/>
          <w:right w:w="0" w:type="dxa"/>
        </w:tblCellMar>
        <w:tblLook w:val="01E0"/>
      </w:tblPr>
      <w:tblGrid>
        <w:gridCol w:w="2798"/>
        <w:gridCol w:w="1878"/>
        <w:gridCol w:w="1610"/>
      </w:tblGrid>
      <w:tr>
        <w:trPr>
          <w:trHeight w:val="323" w:hRule="exact"/>
        </w:trPr>
        <w:tc>
          <w:tcPr>
            <w:tcW w:w="2798"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sz w:val="21"/>
                <w:szCs w:val="21"/>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上年发生额</w:t>
            </w:r>
            <w:r>
              <w:rPr>
                <w:rFonts w:ascii="宋体" w:hAnsi="宋体" w:cs="宋体" w:eastAsia="宋体" w:hint="default"/>
                <w:sz w:val="21"/>
                <w:szCs w:val="21"/>
              </w:rPr>
            </w:r>
          </w:p>
        </w:tc>
      </w:tr>
      <w:tr>
        <w:trPr>
          <w:trHeight w:val="322" w:hRule="exact"/>
        </w:trPr>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、非流动资产处置利得合计</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9,029.42</w:t>
            </w:r>
            <w:r>
              <w:rPr>
                <w:rFonts w:ascii="Times New Roman"/>
                <w:sz w:val="21"/>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3,667.10</w:t>
            </w:r>
            <w:r>
              <w:rPr>
                <w:rFonts w:ascii="Times New Roman"/>
                <w:sz w:val="21"/>
              </w:rPr>
            </w:r>
          </w:p>
        </w:tc>
      </w:tr>
      <w:tr>
        <w:trPr>
          <w:trHeight w:val="322" w:hRule="exact"/>
        </w:trPr>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9,029.42</w:t>
            </w:r>
            <w:r>
              <w:rPr>
                <w:rFonts w:ascii="Times New Roman"/>
                <w:sz w:val="21"/>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3,667.10</w:t>
            </w:r>
            <w:r>
              <w:rPr>
                <w:rFonts w:ascii="Times New Roman"/>
                <w:sz w:val="21"/>
              </w:rPr>
            </w:r>
          </w:p>
        </w:tc>
      </w:tr>
      <w:tr>
        <w:trPr>
          <w:trHeight w:val="323" w:hRule="exact"/>
        </w:trPr>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33"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2" w:hRule="exact"/>
        </w:trPr>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、非货币性资产交换利得</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2" w:hRule="exact"/>
        </w:trPr>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、债务重组利得</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3" w:hRule="exact"/>
        </w:trPr>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、政府补助</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66,006,160.89</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58,148,580.74</w:t>
            </w:r>
          </w:p>
        </w:tc>
      </w:tr>
      <w:tr>
        <w:trPr>
          <w:trHeight w:val="322" w:hRule="exact"/>
        </w:trPr>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、盘盈利得</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2" w:hRule="exact"/>
        </w:trPr>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、捐赠利得</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1,232,567.21</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3,421,487.88</w:t>
            </w:r>
          </w:p>
        </w:tc>
      </w:tr>
      <w:tr>
        <w:trPr>
          <w:trHeight w:val="323" w:hRule="exact"/>
        </w:trPr>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、罚款及违约金利得</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472,725.38</w:t>
            </w:r>
            <w:r>
              <w:rPr>
                <w:rFonts w:ascii="Times New Roman"/>
                <w:sz w:val="21"/>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289,031.38</w:t>
            </w:r>
            <w:r>
              <w:rPr>
                <w:rFonts w:ascii="Times New Roman"/>
                <w:sz w:val="21"/>
              </w:rPr>
            </w:r>
          </w:p>
        </w:tc>
      </w:tr>
      <w:tr>
        <w:trPr>
          <w:trHeight w:val="322" w:hRule="exact"/>
        </w:trPr>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、无法支付的应付款项</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21,452.95</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3" w:hRule="exact"/>
        </w:trPr>
        <w:tc>
          <w:tcPr>
            <w:tcW w:w="2798"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67,741,935.85</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61,862,767.10</w:t>
            </w:r>
          </w:p>
        </w:tc>
      </w:tr>
    </w:tbl>
    <w:p>
      <w:pPr>
        <w:spacing w:line="240" w:lineRule="auto" w:before="5"/>
        <w:rPr>
          <w:rFonts w:ascii="宋体" w:hAnsi="宋体" w:cs="宋体" w:eastAsia="宋体" w:hint="default"/>
          <w:b/>
          <w:bCs/>
          <w:sz w:val="16"/>
          <w:szCs w:val="16"/>
        </w:rPr>
      </w:pPr>
    </w:p>
    <w:p>
      <w:pPr>
        <w:pStyle w:val="Heading4"/>
        <w:tabs>
          <w:tab w:pos="1819" w:val="left" w:leader="none"/>
        </w:tabs>
        <w:spacing w:line="240" w:lineRule="auto" w:before="35"/>
        <w:ind w:right="1090"/>
        <w:jc w:val="left"/>
        <w:rPr>
          <w:b w:val="0"/>
          <w:bCs w:val="0"/>
        </w:rPr>
      </w:pPr>
      <w:r>
        <w:rPr>
          <w:w w:val="95"/>
        </w:rPr>
        <w:t>（三十三）</w:t>
        <w:tab/>
      </w:r>
      <w:r>
        <w:rPr/>
        <w:t>政府补助</w:t>
      </w:r>
      <w:r>
        <w:rPr>
          <w:b w:val="0"/>
          <w:bCs w:val="0"/>
        </w:rPr>
      </w:r>
    </w:p>
    <w:p>
      <w:pPr>
        <w:spacing w:line="240" w:lineRule="auto" w:before="4"/>
        <w:rPr>
          <w:rFonts w:ascii="宋体" w:hAnsi="宋体" w:cs="宋体" w:eastAsia="宋体" w:hint="default"/>
          <w:b/>
          <w:bCs/>
          <w:sz w:val="14"/>
          <w:szCs w:val="14"/>
        </w:rPr>
      </w:pPr>
    </w:p>
    <w:tbl>
      <w:tblPr>
        <w:tblW w:w="0" w:type="auto"/>
        <w:jc w:val="left"/>
        <w:tblInd w:w="222" w:type="dxa"/>
        <w:tblLayout w:type="fixed"/>
        <w:tblCellMar>
          <w:top w:w="0" w:type="dxa"/>
          <w:left w:w="0" w:type="dxa"/>
          <w:bottom w:w="0" w:type="dxa"/>
          <w:right w:w="0" w:type="dxa"/>
        </w:tblCellMar>
        <w:tblLook w:val="01E0"/>
      </w:tblPr>
      <w:tblGrid>
        <w:gridCol w:w="3809"/>
        <w:gridCol w:w="1681"/>
        <w:gridCol w:w="1620"/>
        <w:gridCol w:w="1020"/>
      </w:tblGrid>
      <w:tr>
        <w:trPr>
          <w:trHeight w:val="322" w:hRule="exact"/>
        </w:trPr>
        <w:tc>
          <w:tcPr>
            <w:tcW w:w="38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160" w:right="0"/>
              <w:jc w:val="left"/>
              <w:rPr>
                <w:rFonts w:ascii="宋体" w:hAnsi="宋体" w:cs="宋体" w:eastAsia="宋体" w:hint="default"/>
                <w:sz w:val="21"/>
                <w:szCs w:val="21"/>
              </w:rPr>
            </w:pPr>
            <w:r>
              <w:rPr>
                <w:rFonts w:ascii="宋体" w:hAnsi="宋体" w:cs="宋体" w:eastAsia="宋体" w:hint="default"/>
                <w:b/>
                <w:bCs/>
                <w:sz w:val="21"/>
                <w:szCs w:val="21"/>
              </w:rPr>
              <w:t>政府补助的种类</w:t>
            </w:r>
            <w:r>
              <w:rPr>
                <w:rFonts w:ascii="宋体" w:hAnsi="宋体" w:cs="宋体" w:eastAsia="宋体" w:hint="default"/>
                <w:sz w:val="21"/>
                <w:szCs w:val="21"/>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09" w:right="0"/>
              <w:jc w:val="left"/>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上年发生额</w:t>
            </w:r>
            <w:r>
              <w:rPr>
                <w:rFonts w:ascii="宋体" w:hAnsi="宋体" w:cs="宋体" w:eastAsia="宋体" w:hint="default"/>
                <w:sz w:val="21"/>
                <w:szCs w:val="21"/>
              </w:rPr>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备</w:t>
              <w:tab/>
            </w:r>
            <w:r>
              <w:rPr>
                <w:rFonts w:ascii="宋体" w:hAnsi="宋体" w:cs="宋体" w:eastAsia="宋体" w:hint="default"/>
                <w:b/>
                <w:bCs/>
                <w:sz w:val="21"/>
                <w:szCs w:val="21"/>
              </w:rPr>
              <w:t>注</w:t>
            </w:r>
            <w:r>
              <w:rPr>
                <w:rFonts w:ascii="宋体" w:hAnsi="宋体" w:cs="宋体" w:eastAsia="宋体" w:hint="default"/>
                <w:sz w:val="21"/>
                <w:szCs w:val="21"/>
              </w:rPr>
            </w:r>
          </w:p>
        </w:tc>
      </w:tr>
      <w:tr>
        <w:trPr>
          <w:trHeight w:val="323" w:hRule="exact"/>
        </w:trPr>
        <w:tc>
          <w:tcPr>
            <w:tcW w:w="38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科技三项费用</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6,784,233.73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9,894,695.95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r>
      <w:tr>
        <w:trPr>
          <w:trHeight w:val="322" w:hRule="exact"/>
        </w:trPr>
        <w:tc>
          <w:tcPr>
            <w:tcW w:w="38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软件退税款</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53,896,890.16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42,429,759.79</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p>
        </w:tc>
      </w:tr>
      <w:tr>
        <w:trPr>
          <w:trHeight w:val="322" w:hRule="exact"/>
        </w:trPr>
        <w:tc>
          <w:tcPr>
            <w:tcW w:w="38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专利资助检索费</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33,400.00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61,600.00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323" w:hRule="exact"/>
        </w:trPr>
        <w:tc>
          <w:tcPr>
            <w:tcW w:w="38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中小企业国际市场开拓资金摊位费补贴</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150,000.00</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8,400.00</w:t>
            </w:r>
            <w:r>
              <w:rPr>
                <w:rFonts w:ascii="Times New Roman"/>
                <w:sz w:val="21"/>
              </w:rPr>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322" w:hRule="exact"/>
        </w:trPr>
        <w:tc>
          <w:tcPr>
            <w:tcW w:w="38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广州市软件产业发展资金</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4,497,500.00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322" w:hRule="exact"/>
        </w:trPr>
        <w:tc>
          <w:tcPr>
            <w:tcW w:w="38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产业化项目资助费</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100,000.00</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323" w:hRule="exact"/>
        </w:trPr>
        <w:tc>
          <w:tcPr>
            <w:tcW w:w="38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科技兴贸资金</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44,137.00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322" w:hRule="exact"/>
        </w:trPr>
        <w:tc>
          <w:tcPr>
            <w:tcW w:w="38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自主品牌发展专项资金</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500,000.00</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322" w:hRule="exact"/>
        </w:trPr>
        <w:tc>
          <w:tcPr>
            <w:tcW w:w="38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临电补贴</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200,000.00</w:t>
            </w:r>
            <w:r>
              <w:rPr>
                <w:rFonts w:ascii="Times New Roman"/>
                <w:sz w:val="21"/>
              </w:rPr>
            </w: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8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软件企业“走出去”专项资金</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500,000.00</w:t>
            </w:r>
            <w:r>
              <w:rPr>
                <w:rFonts w:ascii="Times New Roman"/>
                <w:sz w:val="21"/>
              </w:rPr>
            </w: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国际市场开拓资金</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54,125.00</w:t>
            </w: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政府项目专项拨款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2,000,000.00</w:t>
            </w: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8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政府项目专项拨款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1,000,000.00</w:t>
            </w: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政府项目专项拨款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2,000,000.00</w:t>
            </w: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809"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66,006,160.89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58,148,580.74</w:t>
            </w:r>
          </w:p>
        </w:tc>
        <w:tc>
          <w:tcPr>
            <w:tcW w:w="102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93"/>
        <w:ind w:left="560" w:right="0"/>
        <w:jc w:val="left"/>
        <w:rPr>
          <w:rFonts w:ascii="Times New Roman" w:hAnsi="Times New Roman" w:cs="Times New Roman" w:eastAsia="Times New Roman" w:hint="default"/>
        </w:rPr>
      </w:pPr>
      <w:r>
        <w:rPr/>
        <w:t>注</w:t>
      </w:r>
      <w:r>
        <w:rPr>
          <w:spacing w:val="-74"/>
        </w:rPr>
        <w:t> </w:t>
      </w:r>
      <w:r>
        <w:rPr>
          <w:rFonts w:ascii="Times New Roman" w:hAnsi="Times New Roman" w:cs="Times New Roman" w:eastAsia="Times New Roman" w:hint="default"/>
        </w:rPr>
        <w:t>1</w:t>
      </w:r>
      <w:r>
        <w:rPr>
          <w:spacing w:val="-105"/>
        </w:rPr>
        <w:t>：</w:t>
      </w:r>
      <w:r>
        <w:rPr/>
        <w:t>政府</w:t>
      </w:r>
      <w:r>
        <w:rPr>
          <w:spacing w:val="-2"/>
        </w:rPr>
        <w:t>补</w:t>
      </w:r>
      <w:r>
        <w:rPr/>
        <w:t>助的收取情况详</w:t>
      </w:r>
      <w:r>
        <w:rPr>
          <w:spacing w:val="-105"/>
        </w:rPr>
        <w:t>见</w:t>
      </w:r>
      <w:r>
        <w:rPr/>
        <w:t>“六</w:t>
      </w:r>
      <w:r>
        <w:rPr>
          <w:spacing w:val="-210"/>
        </w:rPr>
        <w:t>、</w:t>
      </w:r>
      <w:r>
        <w:rPr>
          <w:spacing w:val="-2"/>
        </w:rPr>
        <w:t>（</w:t>
      </w:r>
      <w:r>
        <w:rPr/>
        <w:t>二十二</w:t>
      </w:r>
      <w:r>
        <w:rPr>
          <w:spacing w:val="-105"/>
        </w:rPr>
        <w:t>）</w:t>
      </w:r>
      <w:r>
        <w:rPr>
          <w:spacing w:val="-106"/>
        </w:rPr>
        <w:t>”</w:t>
      </w:r>
      <w:r>
        <w:rPr>
          <w:spacing w:val="-105"/>
        </w:rPr>
        <w:t>，</w:t>
      </w:r>
      <w:r>
        <w:rPr>
          <w:spacing w:val="-2"/>
        </w:rPr>
        <w:t>本</w:t>
      </w:r>
      <w:r>
        <w:rPr/>
        <w:t>期资本性支出分配金额为</w:t>
      </w:r>
      <w:r>
        <w:rPr>
          <w:spacing w:val="-74"/>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w:t>
      </w:r>
      <w:r>
        <w:rPr>
          <w:rFonts w:ascii="Times New Roman" w:hAnsi="Times New Roman" w:cs="Times New Roman" w:eastAsia="Times New Roman" w:hint="default"/>
        </w:rPr>
        <w:t>3</w:t>
      </w:r>
      <w:r>
        <w:rPr>
          <w:rFonts w:ascii="Times New Roman" w:hAnsi="Times New Roman" w:cs="Times New Roman" w:eastAsia="Times New Roman" w:hint="default"/>
          <w:spacing w:val="-1"/>
        </w:rPr>
        <w:t>1</w:t>
      </w:r>
      <w:r>
        <w:rPr>
          <w:rFonts w:ascii="Times New Roman" w:hAnsi="Times New Roman" w:cs="Times New Roman" w:eastAsia="Times New Roman" w:hint="default"/>
        </w:rPr>
        <w:t>8</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7</w:t>
      </w:r>
      <w:r>
        <w:rPr>
          <w:rFonts w:ascii="Times New Roman" w:hAnsi="Times New Roman" w:cs="Times New Roman" w:eastAsia="Times New Roman" w:hint="default"/>
        </w:rPr>
        <w:t>8</w:t>
      </w:r>
    </w:p>
    <w:p>
      <w:pPr>
        <w:pStyle w:val="BodyText"/>
        <w:spacing w:line="240" w:lineRule="auto" w:before="109"/>
        <w:ind w:right="1090"/>
        <w:jc w:val="left"/>
      </w:pPr>
      <w:r>
        <w:rPr/>
        <w:t>元，本期收益性支出分配金额为</w:t>
      </w:r>
      <w:r>
        <w:rPr>
          <w:spacing w:val="-58"/>
        </w:rPr>
        <w:t> </w:t>
      </w:r>
      <w:r>
        <w:rPr>
          <w:rFonts w:ascii="Times New Roman" w:hAnsi="Times New Roman" w:cs="Times New Roman" w:eastAsia="Times New Roman" w:hint="default"/>
        </w:rPr>
        <w:t>5,163,914.95</w:t>
      </w:r>
      <w:r>
        <w:rPr>
          <w:rFonts w:ascii="Times New Roman" w:hAnsi="Times New Roman" w:cs="Times New Roman" w:eastAsia="Times New Roman" w:hint="default"/>
          <w:spacing w:val="-5"/>
        </w:rPr>
        <w:t> </w:t>
      </w:r>
      <w:r>
        <w:rPr/>
        <w:t>元。</w:t>
      </w:r>
    </w:p>
    <w:p>
      <w:pPr>
        <w:pStyle w:val="BodyText"/>
        <w:spacing w:line="350" w:lineRule="auto" w:before="109"/>
        <w:ind w:right="129" w:firstLine="420"/>
        <w:jc w:val="left"/>
      </w:pPr>
      <w:r>
        <w:rPr/>
        <w:t>注 2：软件退税款系公司根据国务院“国发[2000]18 号”《鼓励软件产业和集成电路 产业发展的若干政策》的规定，报告期内收到的自行开发软件销售增值税退税收入。</w:t>
      </w:r>
    </w:p>
    <w:p>
      <w:pPr>
        <w:pStyle w:val="BodyText"/>
        <w:spacing w:line="240" w:lineRule="auto" w:before="28"/>
        <w:ind w:left="560" w:right="0"/>
        <w:jc w:val="left"/>
      </w:pPr>
      <w:r>
        <w:rPr/>
        <w:t>注</w:t>
      </w:r>
      <w:r>
        <w:rPr>
          <w:spacing w:val="27"/>
        </w:rPr>
        <w:t> </w:t>
      </w:r>
      <w:r>
        <w:rPr>
          <w:spacing w:val="8"/>
        </w:rPr>
        <w:t>3：本期收取的其他政府补助为：收取广州市专利信息研究发展中心专利补助费</w:t>
      </w:r>
    </w:p>
    <w:p>
      <w:pPr>
        <w:pStyle w:val="BodyText"/>
        <w:spacing w:line="240" w:lineRule="auto" w:before="125"/>
        <w:ind w:right="0"/>
        <w:jc w:val="left"/>
      </w:pPr>
      <w:r>
        <w:rPr>
          <w:rFonts w:ascii="Times New Roman" w:hAnsi="Times New Roman" w:cs="Times New Roman" w:eastAsia="Times New Roman" w:hint="default"/>
        </w:rPr>
        <w:t>33,400.00 </w:t>
      </w:r>
      <w:r>
        <w:rPr/>
        <w:t>元；收取广州市外经贸局中小企业国际市场开拓资金摊位费补贴 </w:t>
      </w:r>
      <w:r>
        <w:rPr>
          <w:rFonts w:ascii="Times New Roman" w:hAnsi="Times New Roman" w:cs="Times New Roman" w:eastAsia="Times New Roman" w:hint="default"/>
        </w:rPr>
        <w:t>150,000.00</w:t>
      </w:r>
      <w:r>
        <w:rPr>
          <w:rFonts w:ascii="Times New Roman" w:hAnsi="Times New Roman" w:cs="Times New Roman" w:eastAsia="Times New Roman" w:hint="default"/>
          <w:spacing w:val="2"/>
        </w:rPr>
        <w:t> </w:t>
      </w:r>
      <w:r>
        <w:rPr/>
        <w:t>元；</w:t>
      </w:r>
    </w:p>
    <w:p>
      <w:pPr>
        <w:pStyle w:val="BodyText"/>
        <w:spacing w:line="240" w:lineRule="auto" w:before="110"/>
        <w:ind w:right="0"/>
        <w:jc w:val="left"/>
      </w:pPr>
      <w:r>
        <w:rPr/>
        <w:t>收取广州市软件产业发展资金所得税奖励资金</w:t>
      </w:r>
      <w:r>
        <w:rPr>
          <w:spacing w:val="-56"/>
        </w:rPr>
        <w:t> </w:t>
      </w:r>
      <w:r>
        <w:rPr>
          <w:rFonts w:ascii="Times New Roman" w:hAnsi="Times New Roman" w:cs="Times New Roman" w:eastAsia="Times New Roman" w:hint="default"/>
        </w:rPr>
        <w:t>4,497,500.00</w:t>
      </w:r>
      <w:r>
        <w:rPr>
          <w:rFonts w:ascii="Times New Roman" w:hAnsi="Times New Roman" w:cs="Times New Roman" w:eastAsia="Times New Roman" w:hint="default"/>
          <w:spacing w:val="-4"/>
        </w:rPr>
        <w:t> </w:t>
      </w:r>
      <w:r>
        <w:rPr>
          <w:spacing w:val="-3"/>
        </w:rPr>
        <w:t>元；收取广州市知识主权局产业</w:t>
      </w:r>
    </w:p>
    <w:p>
      <w:pPr>
        <w:pStyle w:val="BodyText"/>
        <w:spacing w:line="240" w:lineRule="auto" w:before="109"/>
        <w:ind w:left="139" w:right="0"/>
        <w:jc w:val="left"/>
      </w:pPr>
      <w:r>
        <w:rPr/>
        <w:t>化项目资助费</w:t>
      </w:r>
      <w:r>
        <w:rPr>
          <w:spacing w:val="-52"/>
        </w:rPr>
        <w:t> </w:t>
      </w:r>
      <w:r>
        <w:rPr>
          <w:rFonts w:ascii="Times New Roman" w:hAnsi="Times New Roman" w:cs="Times New Roman" w:eastAsia="Times New Roman" w:hint="default"/>
        </w:rPr>
        <w:t>100,000.00</w:t>
      </w:r>
      <w:r>
        <w:rPr>
          <w:rFonts w:ascii="Times New Roman" w:hAnsi="Times New Roman" w:cs="Times New Roman" w:eastAsia="Times New Roman" w:hint="default"/>
          <w:spacing w:val="1"/>
        </w:rPr>
        <w:t> </w:t>
      </w:r>
      <w:r>
        <w:rPr/>
        <w:t>元；收取广州市外经贸局科技兴贸资金</w:t>
      </w:r>
      <w:r>
        <w:rPr>
          <w:spacing w:val="-52"/>
        </w:rPr>
        <w:t> </w:t>
      </w:r>
      <w:r>
        <w:rPr>
          <w:rFonts w:ascii="Times New Roman" w:hAnsi="Times New Roman" w:cs="Times New Roman" w:eastAsia="Times New Roman" w:hint="default"/>
        </w:rPr>
        <w:t>44,137.00</w:t>
      </w:r>
      <w:r>
        <w:rPr>
          <w:rFonts w:ascii="Times New Roman" w:hAnsi="Times New Roman" w:cs="Times New Roman" w:eastAsia="Times New Roman" w:hint="default"/>
          <w:spacing w:val="1"/>
        </w:rPr>
        <w:t> </w:t>
      </w:r>
      <w:r>
        <w:rPr/>
        <w:t>元；收取广州市</w:t>
      </w:r>
    </w:p>
    <w:p>
      <w:pPr>
        <w:pStyle w:val="BodyText"/>
        <w:spacing w:line="240" w:lineRule="auto" w:before="109"/>
        <w:ind w:right="1090"/>
        <w:jc w:val="left"/>
      </w:pPr>
      <w:r>
        <w:rPr/>
        <w:t>外经贸局自主品牌发展专项资金</w:t>
      </w:r>
      <w:r>
        <w:rPr>
          <w:spacing w:val="-55"/>
        </w:rPr>
        <w:t> </w:t>
      </w:r>
      <w:r>
        <w:rPr>
          <w:rFonts w:ascii="Times New Roman" w:hAnsi="Times New Roman" w:cs="Times New Roman" w:eastAsia="Times New Roman" w:hint="default"/>
        </w:rPr>
        <w:t>500,000.00</w:t>
      </w:r>
      <w:r>
        <w:rPr>
          <w:rFonts w:ascii="Times New Roman" w:hAnsi="Times New Roman" w:cs="Times New Roman" w:eastAsia="Times New Roman" w:hint="default"/>
          <w:spacing w:val="-2"/>
        </w:rPr>
        <w:t> </w:t>
      </w:r>
      <w:r>
        <w:rPr/>
        <w:t>元。</w:t>
      </w:r>
    </w:p>
    <w:p>
      <w:pPr>
        <w:spacing w:after="0" w:line="240" w:lineRule="auto"/>
        <w:jc w:val="left"/>
        <w:sectPr>
          <w:footerReference w:type="default" r:id="rId29"/>
          <w:pgSz w:w="11910" w:h="16840"/>
          <w:pgMar w:footer="982" w:header="400" w:top="1100" w:bottom="1180" w:left="1660" w:right="1660"/>
          <w:pgNumType w:start="101"/>
        </w:sectPr>
      </w:pPr>
    </w:p>
    <w:p>
      <w:pPr>
        <w:spacing w:line="240" w:lineRule="auto" w:before="12"/>
        <w:rPr>
          <w:rFonts w:ascii="宋体" w:hAnsi="宋体" w:cs="宋体" w:eastAsia="宋体" w:hint="default"/>
          <w:sz w:val="28"/>
          <w:szCs w:val="28"/>
        </w:rPr>
      </w:pPr>
    </w:p>
    <w:p>
      <w:pPr>
        <w:pStyle w:val="Heading4"/>
        <w:tabs>
          <w:tab w:pos="1819" w:val="left" w:leader="none"/>
        </w:tabs>
        <w:spacing w:line="240" w:lineRule="auto" w:before="35"/>
        <w:ind w:right="1090"/>
        <w:jc w:val="left"/>
        <w:rPr>
          <w:b w:val="0"/>
          <w:bCs w:val="0"/>
        </w:rPr>
      </w:pPr>
      <w:r>
        <w:rPr>
          <w:w w:val="95"/>
        </w:rPr>
        <w:t>（三十四）</w:t>
        <w:tab/>
      </w:r>
      <w:r>
        <w:rPr/>
        <w:t>营业外支出</w:t>
      </w:r>
      <w:r>
        <w:rPr>
          <w:b w:val="0"/>
          <w:bCs w:val="0"/>
        </w:rPr>
      </w:r>
    </w:p>
    <w:p>
      <w:pPr>
        <w:spacing w:line="240" w:lineRule="auto" w:before="4"/>
        <w:rPr>
          <w:rFonts w:ascii="宋体" w:hAnsi="宋体" w:cs="宋体" w:eastAsia="宋体" w:hint="default"/>
          <w:b/>
          <w:bCs/>
          <w:sz w:val="14"/>
          <w:szCs w:val="14"/>
        </w:rPr>
      </w:pPr>
    </w:p>
    <w:tbl>
      <w:tblPr>
        <w:tblW w:w="0" w:type="auto"/>
        <w:jc w:val="left"/>
        <w:tblInd w:w="1034" w:type="dxa"/>
        <w:tblLayout w:type="fixed"/>
        <w:tblCellMar>
          <w:top w:w="0" w:type="dxa"/>
          <w:left w:w="0" w:type="dxa"/>
          <w:bottom w:w="0" w:type="dxa"/>
          <w:right w:w="0" w:type="dxa"/>
        </w:tblCellMar>
        <w:tblLook w:val="01E0"/>
      </w:tblPr>
      <w:tblGrid>
        <w:gridCol w:w="2728"/>
        <w:gridCol w:w="1980"/>
        <w:gridCol w:w="1800"/>
      </w:tblGrid>
      <w:tr>
        <w:trPr>
          <w:trHeight w:val="323"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sz w:val="21"/>
                <w:szCs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68" w:right="0"/>
              <w:jc w:val="left"/>
              <w:rPr>
                <w:rFonts w:ascii="宋体" w:hAnsi="宋体" w:cs="宋体" w:eastAsia="宋体" w:hint="default"/>
                <w:sz w:val="21"/>
                <w:szCs w:val="21"/>
              </w:rPr>
            </w:pPr>
            <w:r>
              <w:rPr>
                <w:rFonts w:ascii="宋体" w:hAnsi="宋体" w:cs="宋体" w:eastAsia="宋体" w:hint="default"/>
                <w:b/>
                <w:bCs/>
                <w:sz w:val="21"/>
                <w:szCs w:val="21"/>
              </w:rPr>
              <w:t>上年发生额</w:t>
            </w:r>
            <w:r>
              <w:rPr>
                <w:rFonts w:ascii="宋体" w:hAnsi="宋体" w:cs="宋体" w:eastAsia="宋体" w:hint="default"/>
                <w:sz w:val="21"/>
                <w:szCs w:val="21"/>
              </w:rPr>
            </w:r>
          </w:p>
        </w:tc>
      </w:tr>
      <w:tr>
        <w:trPr>
          <w:trHeight w:val="322"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、固定资产处置损失</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335,264.27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81,796.13</w:t>
            </w:r>
          </w:p>
        </w:tc>
      </w:tr>
      <w:tr>
        <w:trPr>
          <w:trHeight w:val="322"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、公益性捐赠支出</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500,000.00</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r>
      <w:tr>
        <w:trPr>
          <w:trHeight w:val="323"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、罚款及滞纳金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4,189.84</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673.63</w:t>
            </w:r>
            <w:r>
              <w:rPr>
                <w:rFonts w:ascii="Times New Roman"/>
                <w:sz w:val="21"/>
              </w:rPr>
            </w:r>
          </w:p>
        </w:tc>
      </w:tr>
      <w:tr>
        <w:trPr>
          <w:trHeight w:val="322"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、赔款支出</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159,200.00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20,500.00</w:t>
            </w:r>
          </w:p>
        </w:tc>
      </w:tr>
      <w:tr>
        <w:trPr>
          <w:trHeight w:val="323"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2"/>
                <w:sz w:val="21"/>
              </w:rPr>
              <w:t>998,654.11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102,969.76</w:t>
            </w:r>
            <w:r>
              <w:rPr>
                <w:rFonts w:ascii="Times New Roman"/>
                <w:sz w:val="21"/>
              </w:rPr>
            </w:r>
          </w:p>
        </w:tc>
      </w:tr>
    </w:tbl>
    <w:p>
      <w:pPr>
        <w:spacing w:line="240" w:lineRule="auto" w:before="4"/>
        <w:rPr>
          <w:rFonts w:ascii="宋体" w:hAnsi="宋体" w:cs="宋体" w:eastAsia="宋体" w:hint="default"/>
          <w:b/>
          <w:bCs/>
          <w:sz w:val="28"/>
          <w:szCs w:val="28"/>
        </w:rPr>
      </w:pPr>
    </w:p>
    <w:p>
      <w:pPr>
        <w:pStyle w:val="Heading4"/>
        <w:tabs>
          <w:tab w:pos="1819" w:val="left" w:leader="none"/>
        </w:tabs>
        <w:spacing w:line="240" w:lineRule="auto" w:before="35"/>
        <w:ind w:right="1090"/>
        <w:jc w:val="left"/>
        <w:rPr>
          <w:b w:val="0"/>
          <w:bCs w:val="0"/>
        </w:rPr>
      </w:pPr>
      <w:r>
        <w:rPr>
          <w:w w:val="95"/>
        </w:rPr>
        <w:t>（三十五）</w:t>
        <w:tab/>
      </w:r>
      <w:r>
        <w:rPr/>
        <w:t>所得税费用</w:t>
      </w:r>
      <w:r>
        <w:rPr>
          <w:b w:val="0"/>
          <w:bCs w:val="0"/>
        </w:rPr>
      </w:r>
    </w:p>
    <w:p>
      <w:pPr>
        <w:spacing w:line="240" w:lineRule="auto" w:before="4"/>
        <w:rPr>
          <w:rFonts w:ascii="宋体" w:hAnsi="宋体" w:cs="宋体" w:eastAsia="宋体" w:hint="default"/>
          <w:b/>
          <w:bCs/>
          <w:sz w:val="14"/>
          <w:szCs w:val="14"/>
        </w:rPr>
      </w:pPr>
    </w:p>
    <w:tbl>
      <w:tblPr>
        <w:tblW w:w="0" w:type="auto"/>
        <w:jc w:val="left"/>
        <w:tblInd w:w="306" w:type="dxa"/>
        <w:tblLayout w:type="fixed"/>
        <w:tblCellMar>
          <w:top w:w="0" w:type="dxa"/>
          <w:left w:w="0" w:type="dxa"/>
          <w:bottom w:w="0" w:type="dxa"/>
          <w:right w:w="0" w:type="dxa"/>
        </w:tblCellMar>
        <w:tblLook w:val="01E0"/>
      </w:tblPr>
      <w:tblGrid>
        <w:gridCol w:w="4590"/>
        <w:gridCol w:w="1686"/>
        <w:gridCol w:w="1686"/>
      </w:tblGrid>
      <w:tr>
        <w:trPr>
          <w:trHeight w:val="322"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10" w:right="0"/>
              <w:jc w:val="left"/>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sz w:val="21"/>
                <w:szCs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10" w:right="0"/>
              <w:jc w:val="left"/>
              <w:rPr>
                <w:rFonts w:ascii="宋体" w:hAnsi="宋体" w:cs="宋体" w:eastAsia="宋体" w:hint="default"/>
                <w:sz w:val="21"/>
                <w:szCs w:val="21"/>
              </w:rPr>
            </w:pPr>
            <w:r>
              <w:rPr>
                <w:rFonts w:ascii="宋体" w:hAnsi="宋体" w:cs="宋体" w:eastAsia="宋体" w:hint="default"/>
                <w:b/>
                <w:bCs/>
                <w:sz w:val="21"/>
                <w:szCs w:val="21"/>
              </w:rPr>
              <w:t>上年发生额</w:t>
            </w:r>
            <w:r>
              <w:rPr>
                <w:rFonts w:ascii="宋体" w:hAnsi="宋体" w:cs="宋体" w:eastAsia="宋体" w:hint="default"/>
                <w:sz w:val="21"/>
                <w:szCs w:val="21"/>
              </w:rPr>
            </w:r>
          </w:p>
        </w:tc>
      </w:tr>
      <w:tr>
        <w:trPr>
          <w:trHeight w:val="32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363,093,273.69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258,346,502.03</w:t>
            </w:r>
          </w:p>
        </w:tc>
      </w:tr>
      <w:tr>
        <w:trPr>
          <w:trHeight w:val="322"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按法定税率计算的税额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36,309,327.37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38,751,975.30</w:t>
            </w:r>
          </w:p>
        </w:tc>
      </w:tr>
      <w:tr>
        <w:trPr>
          <w:trHeight w:val="322"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其他子公司适用不同税率的税额影响</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1,729,838.52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不征税、免税收入的税额影响</w:t>
            </w:r>
            <w:r>
              <w:rPr>
                <w:rFonts w:ascii="Times New Roman" w:hAnsi="Times New Roman" w:cs="Times New Roman" w:eastAsia="Times New Roman" w:hint="default"/>
                <w:sz w:val="21"/>
                <w:szCs w:val="21"/>
              </w:rPr>
              <w:t>(</w:t>
            </w:r>
            <w:r>
              <w:rPr>
                <w:rFonts w:ascii="宋体" w:hAnsi="宋体" w:cs="宋体" w:eastAsia="宋体" w:hint="default"/>
                <w:sz w:val="21"/>
                <w:szCs w:val="21"/>
              </w:rPr>
              <w:t>永久性差异</w:t>
            </w:r>
            <w:r>
              <w:rPr>
                <w:rFonts w:ascii="Times New Roman" w:hAnsi="Times New Roman" w:cs="Times New Roman" w:eastAsia="Times New Roman" w:hint="default"/>
                <w:sz w:val="21"/>
                <w:szCs w:val="21"/>
              </w:rPr>
              <w:t>)</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-5,389,689.02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2"/>
                <w:sz w:val="21"/>
              </w:rPr>
              <w:t>-7,114,463.97</w:t>
            </w:r>
            <w:r>
              <w:rPr>
                <w:rFonts w:ascii="Times New Roman"/>
                <w:sz w:val="21"/>
              </w:rPr>
            </w:r>
          </w:p>
        </w:tc>
      </w:tr>
      <w:tr>
        <w:trPr>
          <w:trHeight w:val="322"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不得扣除的成本、费用的税额影响</w:t>
            </w:r>
            <w:r>
              <w:rPr>
                <w:rFonts w:ascii="Times New Roman" w:hAnsi="Times New Roman" w:cs="Times New Roman" w:eastAsia="Times New Roman" w:hint="default"/>
                <w:sz w:val="21"/>
                <w:szCs w:val="21"/>
              </w:rPr>
              <w:t>(</w:t>
            </w:r>
            <w:r>
              <w:rPr>
                <w:rFonts w:ascii="宋体" w:hAnsi="宋体" w:cs="宋体" w:eastAsia="宋体" w:hint="default"/>
                <w:sz w:val="21"/>
                <w:szCs w:val="21"/>
              </w:rPr>
              <w:t>永久性差异</w:t>
            </w:r>
            <w:r>
              <w:rPr>
                <w:rFonts w:ascii="Times New Roman" w:hAnsi="Times New Roman" w:cs="Times New Roman" w:eastAsia="Times New Roman" w:hint="default"/>
                <w:sz w:val="21"/>
                <w:szCs w:val="21"/>
              </w:rPr>
              <w:t>)</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-2,461,200.86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-2,167,789.96</w:t>
            </w:r>
          </w:p>
        </w:tc>
      </w:tr>
      <w:tr>
        <w:trPr>
          <w:trHeight w:val="322"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允许弥补以前年度亏损的税额影响</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时间性差异的税额影响</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1,881,122.86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1,952,977.42</w:t>
            </w:r>
          </w:p>
        </w:tc>
      </w:tr>
      <w:tr>
        <w:trPr>
          <w:trHeight w:val="322"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应纳所得税额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32,069,398.87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31,422,698.79</w:t>
            </w:r>
          </w:p>
        </w:tc>
      </w:tr>
      <w:tr>
        <w:trPr>
          <w:trHeight w:val="322"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上年度企业所得税清算的税额影响</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-474,041.60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递延所得税资产的影响</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-50,884.92</w:t>
            </w:r>
            <w:r>
              <w:rPr>
                <w:rFonts w:ascii="Times New Roman"/>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-4,645,997.77</w:t>
            </w:r>
          </w:p>
        </w:tc>
      </w:tr>
      <w:tr>
        <w:trPr>
          <w:trHeight w:val="322"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递延所得税负债的影响</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31,544,472.35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26,776,701.02</w:t>
            </w:r>
          </w:p>
        </w:tc>
      </w:tr>
    </w:tbl>
    <w:p>
      <w:pPr>
        <w:spacing w:line="240" w:lineRule="auto" w:before="4"/>
        <w:rPr>
          <w:rFonts w:ascii="宋体" w:hAnsi="宋体" w:cs="宋体" w:eastAsia="宋体" w:hint="default"/>
          <w:b/>
          <w:bCs/>
          <w:sz w:val="28"/>
          <w:szCs w:val="28"/>
        </w:rPr>
      </w:pPr>
    </w:p>
    <w:p>
      <w:pPr>
        <w:tabs>
          <w:tab w:pos="1819" w:val="left" w:leader="none"/>
        </w:tabs>
        <w:spacing w:line="348" w:lineRule="auto" w:before="35"/>
        <w:ind w:left="560" w:right="4138" w:firstLine="0"/>
        <w:jc w:val="left"/>
        <w:rPr>
          <w:rFonts w:ascii="宋体" w:hAnsi="宋体" w:cs="宋体" w:eastAsia="宋体" w:hint="default"/>
          <w:sz w:val="21"/>
          <w:szCs w:val="21"/>
        </w:rPr>
      </w:pPr>
      <w:r>
        <w:rPr>
          <w:rFonts w:ascii="宋体" w:hAnsi="宋体" w:cs="宋体" w:eastAsia="宋体" w:hint="default"/>
          <w:b/>
          <w:bCs/>
          <w:w w:val="95"/>
          <w:sz w:val="21"/>
          <w:szCs w:val="21"/>
        </w:rPr>
        <w:t>（三十六）</w:t>
        <w:tab/>
      </w:r>
      <w:r>
        <w:rPr>
          <w:rFonts w:ascii="宋体" w:hAnsi="宋体" w:cs="宋体" w:eastAsia="宋体" w:hint="default"/>
          <w:b/>
          <w:bCs/>
          <w:sz w:val="21"/>
          <w:szCs w:val="21"/>
        </w:rPr>
        <w:t>现金流量表附注</w:t>
      </w:r>
      <w:r>
        <w:rPr>
          <w:rFonts w:ascii="宋体" w:hAnsi="宋体" w:cs="宋体" w:eastAsia="宋体" w:hint="default"/>
          <w:b/>
          <w:bCs/>
          <w:spacing w:val="1"/>
          <w:w w:val="99"/>
          <w:sz w:val="21"/>
          <w:szCs w:val="21"/>
        </w:rPr>
        <w:t> </w:t>
      </w:r>
      <w:r>
        <w:rPr>
          <w:rFonts w:ascii="宋体" w:hAnsi="宋体" w:cs="宋体" w:eastAsia="宋体" w:hint="default"/>
          <w:sz w:val="21"/>
          <w:szCs w:val="21"/>
        </w:rPr>
        <w:t>1、收到的其他与经营活动有关的大额现金</w:t>
      </w:r>
    </w:p>
    <w:p>
      <w:pPr>
        <w:spacing w:line="240" w:lineRule="auto" w:before="2"/>
        <w:rPr>
          <w:rFonts w:ascii="宋体" w:hAnsi="宋体" w:cs="宋体" w:eastAsia="宋体" w:hint="default"/>
          <w:sz w:val="7"/>
          <w:szCs w:val="7"/>
        </w:rPr>
      </w:pPr>
    </w:p>
    <w:tbl>
      <w:tblPr>
        <w:tblW w:w="0" w:type="auto"/>
        <w:jc w:val="left"/>
        <w:tblInd w:w="758" w:type="dxa"/>
        <w:tblLayout w:type="fixed"/>
        <w:tblCellMar>
          <w:top w:w="0" w:type="dxa"/>
          <w:left w:w="0" w:type="dxa"/>
          <w:bottom w:w="0" w:type="dxa"/>
          <w:right w:w="0" w:type="dxa"/>
        </w:tblCellMar>
        <w:tblLook w:val="01E0"/>
      </w:tblPr>
      <w:tblGrid>
        <w:gridCol w:w="2921"/>
        <w:gridCol w:w="2029"/>
        <w:gridCol w:w="2111"/>
      </w:tblGrid>
      <w:tr>
        <w:trPr>
          <w:trHeight w:val="323" w:hRule="exact"/>
        </w:trPr>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主要项目</w:t>
            </w:r>
            <w:r>
              <w:rPr>
                <w:rFonts w:ascii="宋体" w:hAnsi="宋体" w:cs="宋体" w:eastAsia="宋体" w:hint="default"/>
                <w:sz w:val="21"/>
                <w:szCs w:val="21"/>
              </w:rPr>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83" w:right="0"/>
              <w:jc w:val="left"/>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sz w:val="21"/>
                <w:szCs w:val="21"/>
              </w:rPr>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3" w:right="0"/>
              <w:jc w:val="left"/>
              <w:rPr>
                <w:rFonts w:ascii="宋体" w:hAnsi="宋体" w:cs="宋体" w:eastAsia="宋体" w:hint="default"/>
                <w:sz w:val="21"/>
                <w:szCs w:val="21"/>
              </w:rPr>
            </w:pPr>
            <w:r>
              <w:rPr>
                <w:rFonts w:ascii="宋体" w:hAnsi="宋体" w:cs="宋体" w:eastAsia="宋体" w:hint="default"/>
                <w:b/>
                <w:bCs/>
                <w:sz w:val="21"/>
                <w:szCs w:val="21"/>
              </w:rPr>
              <w:t>上年发生额</w:t>
            </w:r>
            <w:r>
              <w:rPr>
                <w:rFonts w:ascii="宋体" w:hAnsi="宋体" w:cs="宋体" w:eastAsia="宋体" w:hint="default"/>
                <w:sz w:val="21"/>
                <w:szCs w:val="21"/>
              </w:rPr>
            </w:r>
          </w:p>
        </w:tc>
      </w:tr>
      <w:tr>
        <w:trPr>
          <w:trHeight w:val="322" w:hRule="exact"/>
        </w:trPr>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专项拨款及项目资助款</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12,425,037.00</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89" w:right="0"/>
              <w:jc w:val="left"/>
              <w:rPr>
                <w:rFonts w:ascii="Times New Roman" w:hAnsi="Times New Roman" w:cs="Times New Roman" w:eastAsia="Times New Roman" w:hint="default"/>
                <w:sz w:val="21"/>
                <w:szCs w:val="21"/>
              </w:rPr>
            </w:pPr>
            <w:r>
              <w:rPr>
                <w:rFonts w:ascii="Times New Roman"/>
                <w:sz w:val="21"/>
              </w:rPr>
              <w:t>15,224,125.00</w:t>
            </w:r>
          </w:p>
        </w:tc>
      </w:tr>
      <w:tr>
        <w:trPr>
          <w:trHeight w:val="323" w:hRule="exact"/>
        </w:trPr>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收取押金、保证金等</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7,123,083.81</w:t>
            </w:r>
          </w:p>
        </w:tc>
        <w:tc>
          <w:tcPr>
            <w:tcW w:w="211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6"/>
          <w:szCs w:val="16"/>
        </w:rPr>
      </w:pPr>
    </w:p>
    <w:p>
      <w:pPr>
        <w:pStyle w:val="BodyText"/>
        <w:spacing w:line="240" w:lineRule="auto" w:before="35"/>
        <w:ind w:left="560" w:right="1090"/>
        <w:jc w:val="left"/>
      </w:pPr>
      <w:r>
        <w:rPr/>
        <w:t>2、支付的其他与经营活动有关的大额现金</w:t>
      </w:r>
    </w:p>
    <w:p>
      <w:pPr>
        <w:spacing w:line="240" w:lineRule="auto" w:before="4"/>
        <w:rPr>
          <w:rFonts w:ascii="宋体" w:hAnsi="宋体" w:cs="宋体" w:eastAsia="宋体" w:hint="default"/>
          <w:sz w:val="14"/>
          <w:szCs w:val="14"/>
        </w:rPr>
      </w:pPr>
    </w:p>
    <w:tbl>
      <w:tblPr>
        <w:tblW w:w="0" w:type="auto"/>
        <w:jc w:val="left"/>
        <w:tblInd w:w="786" w:type="dxa"/>
        <w:tblLayout w:type="fixed"/>
        <w:tblCellMar>
          <w:top w:w="0" w:type="dxa"/>
          <w:left w:w="0" w:type="dxa"/>
          <w:bottom w:w="0" w:type="dxa"/>
          <w:right w:w="0" w:type="dxa"/>
        </w:tblCellMar>
        <w:tblLook w:val="01E0"/>
      </w:tblPr>
      <w:tblGrid>
        <w:gridCol w:w="2911"/>
        <w:gridCol w:w="1997"/>
        <w:gridCol w:w="2095"/>
      </w:tblGrid>
      <w:tr>
        <w:trPr>
          <w:trHeight w:val="322" w:hRule="exact"/>
        </w:trPr>
        <w:tc>
          <w:tcPr>
            <w:tcW w:w="29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主要项目</w:t>
            </w:r>
            <w:r>
              <w:rPr>
                <w:rFonts w:ascii="宋体" w:hAnsi="宋体" w:cs="宋体" w:eastAsia="宋体" w:hint="default"/>
                <w:sz w:val="21"/>
                <w:szCs w:val="21"/>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sz w:val="21"/>
                <w:szCs w:val="21"/>
              </w:rPr>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16" w:right="0"/>
              <w:jc w:val="left"/>
              <w:rPr>
                <w:rFonts w:ascii="宋体" w:hAnsi="宋体" w:cs="宋体" w:eastAsia="宋体" w:hint="default"/>
                <w:sz w:val="21"/>
                <w:szCs w:val="21"/>
              </w:rPr>
            </w:pPr>
            <w:r>
              <w:rPr>
                <w:rFonts w:ascii="宋体" w:hAnsi="宋体" w:cs="宋体" w:eastAsia="宋体" w:hint="default"/>
                <w:b/>
                <w:bCs/>
                <w:sz w:val="21"/>
                <w:szCs w:val="21"/>
              </w:rPr>
              <w:t>上年发生额</w:t>
            </w:r>
            <w:r>
              <w:rPr>
                <w:rFonts w:ascii="宋体" w:hAnsi="宋体" w:cs="宋体" w:eastAsia="宋体" w:hint="default"/>
                <w:sz w:val="21"/>
                <w:szCs w:val="21"/>
              </w:rPr>
            </w:r>
          </w:p>
        </w:tc>
      </w:tr>
      <w:tr>
        <w:trPr>
          <w:trHeight w:val="323" w:hRule="exact"/>
        </w:trPr>
        <w:tc>
          <w:tcPr>
            <w:tcW w:w="29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技术咨询安装服务费</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21,487,520.57</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39" w:right="0"/>
              <w:jc w:val="left"/>
              <w:rPr>
                <w:rFonts w:ascii="Times New Roman" w:hAnsi="Times New Roman" w:cs="Times New Roman" w:eastAsia="Times New Roman" w:hint="default"/>
                <w:sz w:val="21"/>
                <w:szCs w:val="21"/>
              </w:rPr>
            </w:pPr>
            <w:r>
              <w:rPr>
                <w:rFonts w:ascii="Times New Roman"/>
                <w:sz w:val="21"/>
              </w:rPr>
              <w:t>15,838,393.48</w:t>
            </w:r>
          </w:p>
        </w:tc>
      </w:tr>
      <w:tr>
        <w:trPr>
          <w:trHeight w:val="322" w:hRule="exact"/>
        </w:trPr>
        <w:tc>
          <w:tcPr>
            <w:tcW w:w="29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差旅费</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26,384,213.75</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39" w:right="0"/>
              <w:jc w:val="left"/>
              <w:rPr>
                <w:rFonts w:ascii="Times New Roman" w:hAnsi="Times New Roman" w:cs="Times New Roman" w:eastAsia="Times New Roman" w:hint="default"/>
                <w:sz w:val="21"/>
                <w:szCs w:val="21"/>
              </w:rPr>
            </w:pPr>
            <w:r>
              <w:rPr>
                <w:rFonts w:ascii="Times New Roman"/>
                <w:sz w:val="21"/>
              </w:rPr>
              <w:t>13,656,476.65</w:t>
            </w:r>
          </w:p>
        </w:tc>
      </w:tr>
      <w:tr>
        <w:trPr>
          <w:trHeight w:val="322" w:hRule="exact"/>
        </w:trPr>
        <w:tc>
          <w:tcPr>
            <w:tcW w:w="29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业务招待费</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12,200,692.79</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39" w:right="0"/>
              <w:jc w:val="left"/>
              <w:rPr>
                <w:rFonts w:ascii="Times New Roman" w:hAnsi="Times New Roman" w:cs="Times New Roman" w:eastAsia="Times New Roman" w:hint="default"/>
                <w:sz w:val="21"/>
                <w:szCs w:val="21"/>
              </w:rPr>
            </w:pPr>
            <w:r>
              <w:rPr>
                <w:rFonts w:ascii="Times New Roman"/>
                <w:sz w:val="21"/>
              </w:rPr>
              <w:t>10,796,690.36</w:t>
            </w:r>
          </w:p>
        </w:tc>
      </w:tr>
      <w:tr>
        <w:trPr>
          <w:trHeight w:val="323" w:hRule="exact"/>
        </w:trPr>
        <w:tc>
          <w:tcPr>
            <w:tcW w:w="29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运输费</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11,063,654.39</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90" w:right="0"/>
              <w:jc w:val="left"/>
              <w:rPr>
                <w:rFonts w:ascii="Times New Roman" w:hAnsi="Times New Roman" w:cs="Times New Roman" w:eastAsia="Times New Roman" w:hint="default"/>
                <w:sz w:val="21"/>
                <w:szCs w:val="21"/>
              </w:rPr>
            </w:pPr>
            <w:r>
              <w:rPr>
                <w:rFonts w:ascii="Times New Roman"/>
                <w:sz w:val="21"/>
              </w:rPr>
              <w:t>6,877,677.61</w:t>
            </w:r>
          </w:p>
        </w:tc>
      </w:tr>
      <w:tr>
        <w:trPr>
          <w:trHeight w:val="322" w:hRule="exact"/>
        </w:trPr>
        <w:tc>
          <w:tcPr>
            <w:tcW w:w="29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代理费</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4,164,663.65</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90" w:right="0"/>
              <w:jc w:val="left"/>
              <w:rPr>
                <w:rFonts w:ascii="Times New Roman" w:hAnsi="Times New Roman" w:cs="Times New Roman" w:eastAsia="Times New Roman" w:hint="default"/>
                <w:sz w:val="21"/>
                <w:szCs w:val="21"/>
              </w:rPr>
            </w:pPr>
            <w:r>
              <w:rPr>
                <w:rFonts w:ascii="Times New Roman"/>
                <w:sz w:val="21"/>
              </w:rPr>
              <w:t>6,295,270.85</w:t>
            </w:r>
          </w:p>
        </w:tc>
      </w:tr>
    </w:tbl>
    <w:p>
      <w:pPr>
        <w:spacing w:line="240" w:lineRule="auto" w:before="5"/>
        <w:rPr>
          <w:rFonts w:ascii="宋体" w:hAnsi="宋体" w:cs="宋体" w:eastAsia="宋体" w:hint="default"/>
          <w:sz w:val="16"/>
          <w:szCs w:val="16"/>
        </w:rPr>
      </w:pPr>
    </w:p>
    <w:p>
      <w:pPr>
        <w:pStyle w:val="BodyText"/>
        <w:spacing w:line="240" w:lineRule="auto" w:before="35"/>
        <w:ind w:left="560" w:right="1090"/>
        <w:jc w:val="left"/>
      </w:pPr>
      <w:r>
        <w:rPr/>
        <w:t>3、支付的其他与筹资活动有关的现金</w:t>
      </w:r>
    </w:p>
    <w:p>
      <w:pPr>
        <w:spacing w:line="240" w:lineRule="auto" w:before="6"/>
        <w:rPr>
          <w:rFonts w:ascii="宋体" w:hAnsi="宋体" w:cs="宋体" w:eastAsia="宋体" w:hint="default"/>
          <w:sz w:val="14"/>
          <w:szCs w:val="14"/>
        </w:rPr>
      </w:pPr>
    </w:p>
    <w:tbl>
      <w:tblPr>
        <w:tblW w:w="0" w:type="auto"/>
        <w:jc w:val="left"/>
        <w:tblInd w:w="765" w:type="dxa"/>
        <w:tblLayout w:type="fixed"/>
        <w:tblCellMar>
          <w:top w:w="0" w:type="dxa"/>
          <w:left w:w="0" w:type="dxa"/>
          <w:bottom w:w="0" w:type="dxa"/>
          <w:right w:w="0" w:type="dxa"/>
        </w:tblCellMar>
        <w:tblLook w:val="01E0"/>
      </w:tblPr>
      <w:tblGrid>
        <w:gridCol w:w="2912"/>
        <w:gridCol w:w="2002"/>
        <w:gridCol w:w="2072"/>
      </w:tblGrid>
      <w:tr>
        <w:trPr>
          <w:trHeight w:val="322"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sz w:val="21"/>
                <w:szCs w:val="21"/>
              </w:rPr>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04" w:right="0"/>
              <w:jc w:val="left"/>
              <w:rPr>
                <w:rFonts w:ascii="宋体" w:hAnsi="宋体" w:cs="宋体" w:eastAsia="宋体" w:hint="default"/>
                <w:sz w:val="21"/>
                <w:szCs w:val="21"/>
              </w:rPr>
            </w:pPr>
            <w:r>
              <w:rPr>
                <w:rFonts w:ascii="宋体" w:hAnsi="宋体" w:cs="宋体" w:eastAsia="宋体" w:hint="default"/>
                <w:b/>
                <w:bCs/>
                <w:sz w:val="21"/>
                <w:szCs w:val="21"/>
              </w:rPr>
              <w:t>上年发生额</w:t>
            </w:r>
            <w:r>
              <w:rPr>
                <w:rFonts w:ascii="宋体" w:hAnsi="宋体" w:cs="宋体" w:eastAsia="宋体" w:hint="default"/>
                <w:sz w:val="21"/>
                <w:szCs w:val="21"/>
              </w:rPr>
            </w:r>
          </w:p>
        </w:tc>
      </w:tr>
      <w:tr>
        <w:trPr>
          <w:trHeight w:val="323"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股票发行费用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0.00</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80" w:right="0"/>
              <w:jc w:val="left"/>
              <w:rPr>
                <w:rFonts w:ascii="Times New Roman" w:hAnsi="Times New Roman" w:cs="Times New Roman" w:eastAsia="Times New Roman" w:hint="default"/>
                <w:sz w:val="21"/>
                <w:szCs w:val="21"/>
              </w:rPr>
            </w:pPr>
            <w:r>
              <w:rPr>
                <w:rFonts w:ascii="Times New Roman"/>
                <w:sz w:val="21"/>
              </w:rPr>
              <w:t>3,428,646.73</w:t>
            </w:r>
          </w:p>
        </w:tc>
      </w:tr>
    </w:tbl>
    <w:p>
      <w:pPr>
        <w:spacing w:after="0" w:line="240" w:lineRule="auto"/>
        <w:jc w:val="left"/>
        <w:rPr>
          <w:rFonts w:ascii="Times New Roman" w:hAnsi="Times New Roman" w:cs="Times New Roman" w:eastAsia="Times New Roman" w:hint="default"/>
          <w:sz w:val="21"/>
          <w:szCs w:val="21"/>
        </w:rPr>
        <w:sectPr>
          <w:pgSz w:w="11910" w:h="16840"/>
          <w:pgMar w:header="400" w:footer="982" w:top="1100" w:bottom="1180" w:left="1660" w:right="1660"/>
        </w:sectPr>
      </w:pPr>
    </w:p>
    <w:p>
      <w:pPr>
        <w:spacing w:line="240" w:lineRule="auto" w:before="12"/>
        <w:rPr>
          <w:rFonts w:ascii="宋体" w:hAnsi="宋体" w:cs="宋体" w:eastAsia="宋体" w:hint="default"/>
          <w:sz w:val="28"/>
          <w:szCs w:val="28"/>
        </w:rPr>
      </w:pPr>
    </w:p>
    <w:p>
      <w:pPr>
        <w:pStyle w:val="BodyText"/>
        <w:spacing w:line="240" w:lineRule="auto" w:before="35"/>
        <w:ind w:left="1020" w:right="589"/>
        <w:jc w:val="left"/>
      </w:pPr>
      <w:r>
        <w:rPr/>
        <w:t>4、现金流量表补充资料</w:t>
      </w:r>
    </w:p>
    <w:p>
      <w:pPr>
        <w:spacing w:line="240" w:lineRule="auto" w:before="4"/>
        <w:rPr>
          <w:rFonts w:ascii="宋体" w:hAnsi="宋体" w:cs="宋体" w:eastAsia="宋体" w:hint="default"/>
          <w:sz w:val="14"/>
          <w:szCs w:val="14"/>
        </w:rPr>
      </w:pPr>
    </w:p>
    <w:tbl>
      <w:tblPr>
        <w:tblW w:w="0" w:type="auto"/>
        <w:jc w:val="left"/>
        <w:tblInd w:w="1107" w:type="dxa"/>
        <w:tblLayout w:type="fixed"/>
        <w:tblCellMar>
          <w:top w:w="0" w:type="dxa"/>
          <w:left w:w="0" w:type="dxa"/>
          <w:bottom w:w="0" w:type="dxa"/>
          <w:right w:w="0" w:type="dxa"/>
        </w:tblCellMar>
        <w:tblLook w:val="01E0"/>
      </w:tblPr>
      <w:tblGrid>
        <w:gridCol w:w="3896"/>
        <w:gridCol w:w="1717"/>
        <w:gridCol w:w="1667"/>
      </w:tblGrid>
      <w:tr>
        <w:trPr>
          <w:trHeight w:val="323"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26" w:right="0"/>
              <w:jc w:val="left"/>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sz w:val="21"/>
                <w:szCs w:val="21"/>
              </w:rPr>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01" w:right="0"/>
              <w:jc w:val="left"/>
              <w:rPr>
                <w:rFonts w:ascii="宋体" w:hAnsi="宋体" w:cs="宋体" w:eastAsia="宋体" w:hint="default"/>
                <w:sz w:val="21"/>
                <w:szCs w:val="21"/>
              </w:rPr>
            </w:pPr>
            <w:r>
              <w:rPr>
                <w:rFonts w:ascii="宋体" w:hAnsi="宋体" w:cs="宋体" w:eastAsia="宋体" w:hint="default"/>
                <w:b/>
                <w:bCs/>
                <w:sz w:val="21"/>
                <w:szCs w:val="21"/>
              </w:rPr>
              <w:t>上年发生额</w:t>
            </w:r>
            <w:r>
              <w:rPr>
                <w:rFonts w:ascii="宋体" w:hAnsi="宋体" w:cs="宋体" w:eastAsia="宋体" w:hint="default"/>
                <w:sz w:val="21"/>
                <w:szCs w:val="21"/>
              </w:rPr>
            </w:r>
          </w:p>
        </w:tc>
      </w:tr>
      <w:tr>
        <w:trPr>
          <w:trHeight w:val="322"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331,548,801.34</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231,569,801.01</w:t>
            </w:r>
          </w:p>
        </w:tc>
      </w:tr>
      <w:tr>
        <w:trPr>
          <w:trHeight w:val="322"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1,045,083.14</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-13,898.19</w:t>
            </w:r>
            <w:r>
              <w:rPr>
                <w:rFonts w:ascii="Times New Roman"/>
                <w:sz w:val="21"/>
              </w:rPr>
            </w:r>
          </w:p>
        </w:tc>
      </w:tr>
      <w:tr>
        <w:trPr>
          <w:trHeight w:val="635"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固定资产折旧、油气资产折耗、生产性生</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物资产折旧</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15,038,467.27</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10,278,539.96</w:t>
            </w:r>
          </w:p>
        </w:tc>
      </w:tr>
      <w:tr>
        <w:trPr>
          <w:trHeight w:val="322"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555,147.92</w:t>
            </w:r>
            <w:r>
              <w:rPr>
                <w:rFonts w:ascii="Times New Roman"/>
                <w:sz w:val="21"/>
              </w:rPr>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458,062.37</w:t>
            </w:r>
            <w:r>
              <w:rPr>
                <w:rFonts w:ascii="Times New Roman"/>
                <w:sz w:val="21"/>
              </w:rPr>
            </w:r>
          </w:p>
        </w:tc>
      </w:tr>
      <w:tr>
        <w:trPr>
          <w:trHeight w:val="322"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355,660.43</w:t>
            </w:r>
            <w:r>
              <w:rPr>
                <w:rFonts w:ascii="Times New Roman"/>
                <w:sz w:val="21"/>
              </w:rPr>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543,849.26</w:t>
            </w:r>
            <w:r>
              <w:rPr>
                <w:rFonts w:ascii="Times New Roman"/>
                <w:sz w:val="21"/>
              </w:rPr>
            </w:r>
          </w:p>
        </w:tc>
      </w:tr>
      <w:tr>
        <w:trPr>
          <w:trHeight w:val="635"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处置固定资产</w:t>
            </w:r>
            <w:r>
              <w:rPr>
                <w:rFonts w:ascii="宋体" w:hAnsi="宋体" w:cs="宋体" w:eastAsia="宋体" w:hint="default"/>
                <w:spacing w:val="-99"/>
                <w:sz w:val="21"/>
                <w:szCs w:val="21"/>
              </w:rPr>
              <w:t>、</w:t>
            </w:r>
            <w:r>
              <w:rPr>
                <w:rFonts w:ascii="宋体" w:hAnsi="宋体" w:cs="宋体" w:eastAsia="宋体" w:hint="default"/>
                <w:sz w:val="21"/>
                <w:szCs w:val="21"/>
              </w:rPr>
              <w:t>无形资</w:t>
            </w:r>
            <w:r>
              <w:rPr>
                <w:rFonts w:ascii="宋体" w:hAnsi="宋体" w:cs="宋体" w:eastAsia="宋体" w:hint="default"/>
                <w:spacing w:val="-2"/>
                <w:sz w:val="21"/>
                <w:szCs w:val="21"/>
              </w:rPr>
              <w:t>产</w:t>
            </w:r>
            <w:r>
              <w:rPr>
                <w:rFonts w:ascii="宋体" w:hAnsi="宋体" w:cs="宋体" w:eastAsia="宋体" w:hint="default"/>
                <w:sz w:val="21"/>
                <w:szCs w:val="21"/>
              </w:rPr>
              <w:t>和其他长期资产</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的损失（收益以“－”号填列）</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287,223.72</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78,129.03</w:t>
            </w:r>
          </w:p>
        </w:tc>
      </w:tr>
      <w:tr>
        <w:trPr>
          <w:trHeight w:val="322"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3"/>
              <w:jc w:val="left"/>
              <w:rPr>
                <w:rFonts w:ascii="宋体" w:hAnsi="宋体" w:cs="宋体" w:eastAsia="宋体" w:hint="default"/>
                <w:sz w:val="21"/>
                <w:szCs w:val="21"/>
              </w:rPr>
            </w:pPr>
            <w:r>
              <w:rPr>
                <w:rFonts w:ascii="宋体" w:hAnsi="宋体" w:cs="宋体" w:eastAsia="宋体" w:hint="default"/>
                <w:spacing w:val="-11"/>
                <w:sz w:val="21"/>
                <w:szCs w:val="21"/>
              </w:rPr>
              <w:t>固定资产报废损失（收益以“－”号填列）</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2"/>
                <w:sz w:val="21"/>
              </w:rPr>
              <w:t>39,011.13</w:t>
            </w:r>
            <w:r>
              <w:rPr>
                <w:rFonts w:ascii="Times New Roman"/>
                <w:sz w:val="21"/>
              </w:rPr>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r>
      <w:tr>
        <w:trPr>
          <w:trHeight w:val="322"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3"/>
              <w:jc w:val="left"/>
              <w:rPr>
                <w:rFonts w:ascii="宋体" w:hAnsi="宋体" w:cs="宋体" w:eastAsia="宋体" w:hint="default"/>
                <w:sz w:val="21"/>
                <w:szCs w:val="21"/>
              </w:rPr>
            </w:pPr>
            <w:r>
              <w:rPr>
                <w:rFonts w:ascii="宋体" w:hAnsi="宋体" w:cs="宋体" w:eastAsia="宋体" w:hint="default"/>
                <w:spacing w:val="-11"/>
                <w:sz w:val="21"/>
                <w:szCs w:val="21"/>
              </w:rPr>
              <w:t>公允价值变动损失（收益以“－”号填列）</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3"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5,147,899.76</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6,048,169.70</w:t>
            </w:r>
          </w:p>
        </w:tc>
      </w:tr>
      <w:tr>
        <w:trPr>
          <w:trHeight w:val="322"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0.00</w:t>
            </w:r>
          </w:p>
        </w:tc>
      </w:tr>
      <w:tr>
        <w:trPr>
          <w:trHeight w:val="634"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递延所得税资产减少（增加以“－”号填</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-50,884.92</w:t>
            </w:r>
            <w:r>
              <w:rPr>
                <w:rFonts w:ascii="Times New Roman"/>
                <w:sz w:val="21"/>
              </w:rPr>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-4,645,997.78</w:t>
            </w:r>
          </w:p>
        </w:tc>
      </w:tr>
      <w:tr>
        <w:trPr>
          <w:trHeight w:val="635"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递延所得税负债增加（减少以“－”号填</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2"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-100,541,664.63</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-272,249,592.90</w:t>
            </w:r>
          </w:p>
        </w:tc>
      </w:tr>
      <w:tr>
        <w:trPr>
          <w:trHeight w:val="634"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经营性应收项目的减少（增加以“－”号</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-69,259,190.25</w:t>
            </w:r>
            <w:r>
              <w:rPr>
                <w:rFonts w:ascii="Times New Roman"/>
                <w:sz w:val="21"/>
              </w:rPr>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-39,912,518.56</w:t>
            </w:r>
            <w:r>
              <w:rPr>
                <w:rFonts w:ascii="Times New Roman"/>
                <w:sz w:val="21"/>
              </w:rPr>
            </w:r>
          </w:p>
        </w:tc>
      </w:tr>
      <w:tr>
        <w:trPr>
          <w:trHeight w:val="635"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经营性应付项目的增加（减少以“－”号</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122,422,533.54</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309,712,935.19</w:t>
            </w:r>
          </w:p>
        </w:tc>
      </w:tr>
      <w:tr>
        <w:trPr>
          <w:trHeight w:val="322"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tabs>
                <w:tab w:pos="524" w:val="left" w:leader="none"/>
              </w:tabs>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3"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306,588,088.45</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241,867,479.09</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4"/>
        <w:spacing w:line="240" w:lineRule="auto" w:before="35"/>
        <w:ind w:left="1020" w:right="589"/>
        <w:jc w:val="left"/>
        <w:rPr>
          <w:b w:val="0"/>
          <w:bCs w:val="0"/>
        </w:rPr>
      </w:pPr>
      <w:r>
        <w:rPr/>
        <w:t>七、母公司财务报表主要项目注释</w:t>
      </w:r>
      <w:r>
        <w:rPr>
          <w:b w:val="0"/>
          <w:bCs w:val="0"/>
        </w:rPr>
      </w:r>
    </w:p>
    <w:p>
      <w:pPr>
        <w:pStyle w:val="BodyText"/>
        <w:spacing w:line="240" w:lineRule="auto" w:before="125"/>
        <w:ind w:left="1020" w:right="589"/>
        <w:jc w:val="left"/>
      </w:pPr>
      <w:r>
        <w:rPr/>
        <w:t>（以下金额单位若未特别注明者均为人民币元，凡未注明年初数的均为年末数）</w:t>
      </w:r>
    </w:p>
    <w:p>
      <w:pPr>
        <w:pStyle w:val="BodyText"/>
        <w:spacing w:line="348" w:lineRule="auto" w:before="126"/>
        <w:ind w:left="1020" w:right="6889"/>
        <w:jc w:val="left"/>
      </w:pPr>
      <w:r>
        <w:rPr/>
        <w:t>（一）应收账款 1、应收账款构成</w:t>
      </w:r>
    </w:p>
    <w:p>
      <w:pPr>
        <w:spacing w:line="240" w:lineRule="auto" w:before="1"/>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086"/>
        <w:gridCol w:w="1346"/>
        <w:gridCol w:w="816"/>
        <w:gridCol w:w="1188"/>
        <w:gridCol w:w="784"/>
        <w:gridCol w:w="1354"/>
        <w:gridCol w:w="784"/>
        <w:gridCol w:w="1158"/>
        <w:gridCol w:w="743"/>
      </w:tblGrid>
      <w:tr>
        <w:trPr>
          <w:trHeight w:val="323" w:hRule="exact"/>
        </w:trPr>
        <w:tc>
          <w:tcPr>
            <w:tcW w:w="108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tabs>
                <w:tab w:pos="643" w:val="left" w:leader="none"/>
              </w:tabs>
              <w:spacing w:line="240" w:lineRule="auto"/>
              <w:ind w:left="220" w:right="0"/>
              <w:jc w:val="left"/>
              <w:rPr>
                <w:rFonts w:ascii="宋体" w:hAnsi="宋体" w:cs="宋体" w:eastAsia="宋体" w:hint="default"/>
                <w:sz w:val="21"/>
                <w:szCs w:val="21"/>
              </w:rPr>
            </w:pPr>
            <w:r>
              <w:rPr>
                <w:rFonts w:ascii="宋体" w:hAnsi="宋体" w:cs="宋体" w:eastAsia="宋体" w:hint="default"/>
                <w:b/>
                <w:bCs/>
                <w:w w:val="95"/>
                <w:sz w:val="21"/>
                <w:szCs w:val="21"/>
              </w:rPr>
              <w:t>账</w:t>
              <w:tab/>
            </w:r>
            <w:r>
              <w:rPr>
                <w:rFonts w:ascii="宋体" w:hAnsi="宋体" w:cs="宋体" w:eastAsia="宋体" w:hint="default"/>
                <w:b/>
                <w:bCs/>
                <w:sz w:val="21"/>
                <w:szCs w:val="21"/>
              </w:rPr>
              <w:t>龄</w:t>
            </w:r>
            <w:r>
              <w:rPr>
                <w:rFonts w:ascii="宋体" w:hAnsi="宋体" w:cs="宋体" w:eastAsia="宋体" w:hint="default"/>
                <w:sz w:val="21"/>
                <w:szCs w:val="21"/>
              </w:rPr>
            </w:r>
          </w:p>
        </w:tc>
        <w:tc>
          <w:tcPr>
            <w:tcW w:w="4134" w:type="dxa"/>
            <w:gridSpan w:val="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c>
          <w:tcPr>
            <w:tcW w:w="4038" w:type="dxa"/>
            <w:gridSpan w:val="4"/>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年初数</w:t>
            </w:r>
            <w:r>
              <w:rPr>
                <w:rFonts w:ascii="宋体" w:hAnsi="宋体" w:cs="宋体" w:eastAsia="宋体" w:hint="default"/>
                <w:sz w:val="21"/>
                <w:szCs w:val="21"/>
              </w:rPr>
            </w:r>
          </w:p>
        </w:tc>
      </w:tr>
      <w:tr>
        <w:trPr>
          <w:trHeight w:val="698" w:hRule="exact"/>
        </w:trPr>
        <w:tc>
          <w:tcPr>
            <w:tcW w:w="1086" w:type="dxa"/>
            <w:vMerge/>
            <w:tcBorders>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246"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7"/>
              <w:ind w:left="192" w:right="84" w:hanging="106"/>
              <w:jc w:val="left"/>
              <w:rPr>
                <w:rFonts w:ascii="宋体" w:hAnsi="宋体" w:cs="宋体" w:eastAsia="宋体" w:hint="default"/>
                <w:sz w:val="21"/>
                <w:szCs w:val="21"/>
              </w:rPr>
            </w:pPr>
            <w:r>
              <w:rPr>
                <w:rFonts w:ascii="宋体" w:hAnsi="宋体" w:cs="宋体" w:eastAsia="宋体" w:hint="default"/>
                <w:b/>
                <w:bCs/>
                <w:sz w:val="21"/>
                <w:szCs w:val="21"/>
              </w:rPr>
              <w:t>占总额</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66"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7"/>
              <w:ind w:left="69" w:right="67" w:firstLine="1"/>
              <w:jc w:val="left"/>
              <w:rPr>
                <w:rFonts w:ascii="宋体" w:hAnsi="宋体" w:cs="宋体" w:eastAsia="宋体" w:hint="default"/>
                <w:sz w:val="21"/>
                <w:szCs w:val="21"/>
              </w:rPr>
            </w:pPr>
            <w:r>
              <w:rPr>
                <w:rFonts w:ascii="宋体" w:hAnsi="宋体" w:cs="宋体" w:eastAsia="宋体" w:hint="default"/>
                <w:b/>
                <w:bCs/>
                <w:sz w:val="21"/>
                <w:szCs w:val="21"/>
              </w:rPr>
              <w:t>坏账准</w:t>
            </w:r>
            <w:r>
              <w:rPr>
                <w:rFonts w:ascii="宋体" w:hAnsi="宋体" w:cs="宋体" w:eastAsia="宋体" w:hint="default"/>
                <w:b/>
                <w:bCs/>
                <w:spacing w:val="1"/>
                <w:w w:val="99"/>
                <w:sz w:val="21"/>
                <w:szCs w:val="21"/>
              </w:rPr>
              <w:t> </w:t>
            </w:r>
            <w:r>
              <w:rPr>
                <w:rFonts w:ascii="宋体" w:hAnsi="宋体" w:cs="宋体" w:eastAsia="宋体" w:hint="default"/>
                <w:b/>
                <w:bCs/>
                <w:sz w:val="21"/>
                <w:szCs w:val="21"/>
              </w:rPr>
              <w:t>备比例</w:t>
            </w:r>
            <w:r>
              <w:rPr>
                <w:rFonts w:ascii="宋体" w:hAnsi="宋体" w:cs="宋体" w:eastAsia="宋体" w:hint="default"/>
                <w:sz w:val="21"/>
                <w:szCs w:val="21"/>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248"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7"/>
              <w:ind w:left="175" w:right="67" w:hanging="105"/>
              <w:jc w:val="left"/>
              <w:rPr>
                <w:rFonts w:ascii="宋体" w:hAnsi="宋体" w:cs="宋体" w:eastAsia="宋体" w:hint="default"/>
                <w:sz w:val="21"/>
                <w:szCs w:val="21"/>
              </w:rPr>
            </w:pPr>
            <w:r>
              <w:rPr>
                <w:rFonts w:ascii="宋体" w:hAnsi="宋体" w:cs="宋体" w:eastAsia="宋体" w:hint="default"/>
                <w:b/>
                <w:bCs/>
                <w:sz w:val="21"/>
                <w:szCs w:val="21"/>
              </w:rPr>
              <w:t>占总额</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51"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7"/>
              <w:ind w:left="49" w:right="48"/>
              <w:jc w:val="left"/>
              <w:rPr>
                <w:rFonts w:ascii="宋体" w:hAnsi="宋体" w:cs="宋体" w:eastAsia="宋体" w:hint="default"/>
                <w:sz w:val="21"/>
                <w:szCs w:val="21"/>
              </w:rPr>
            </w:pPr>
            <w:r>
              <w:rPr>
                <w:rFonts w:ascii="宋体" w:hAnsi="宋体" w:cs="宋体" w:eastAsia="宋体" w:hint="default"/>
                <w:b/>
                <w:bCs/>
                <w:sz w:val="21"/>
                <w:szCs w:val="21"/>
              </w:rPr>
              <w:t>坏账准</w:t>
            </w:r>
            <w:r>
              <w:rPr>
                <w:rFonts w:ascii="宋体" w:hAnsi="宋体" w:cs="宋体" w:eastAsia="宋体" w:hint="default"/>
                <w:b/>
                <w:bCs/>
                <w:spacing w:val="1"/>
                <w:w w:val="99"/>
                <w:sz w:val="21"/>
                <w:szCs w:val="21"/>
              </w:rPr>
              <w:t> </w:t>
            </w:r>
            <w:r>
              <w:rPr>
                <w:rFonts w:ascii="宋体" w:hAnsi="宋体" w:cs="宋体" w:eastAsia="宋体" w:hint="default"/>
                <w:b/>
                <w:bCs/>
                <w:sz w:val="21"/>
                <w:szCs w:val="21"/>
              </w:rPr>
              <w:t>备比例</w:t>
            </w:r>
            <w:r>
              <w:rPr>
                <w:rFonts w:ascii="宋体" w:hAnsi="宋体" w:cs="宋体" w:eastAsia="宋体" w:hint="default"/>
                <w:sz w:val="21"/>
                <w:szCs w:val="21"/>
              </w:rPr>
            </w:r>
          </w:p>
        </w:tc>
      </w:tr>
      <w:tr>
        <w:trPr>
          <w:trHeight w:val="322" w:hRule="exact"/>
        </w:trPr>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311,567,872.17</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2"/>
                <w:sz w:val="21"/>
              </w:rPr>
              <w:t>92.11%</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1,557,839.35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0.50%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280,198,941.32</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93.03%</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1,299,607.07</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0.50%</w:t>
            </w:r>
          </w:p>
        </w:tc>
      </w:tr>
      <w:tr>
        <w:trPr>
          <w:trHeight w:val="323" w:hRule="exact"/>
        </w:trPr>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17,686,050.51</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5.23%</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884,302.53</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5.00%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19,164,538.65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6.36%</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958,226.93</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5.00%</w:t>
            </w:r>
          </w:p>
        </w:tc>
      </w:tr>
      <w:tr>
        <w:trPr>
          <w:trHeight w:val="322" w:hRule="exact"/>
        </w:trPr>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8,196,098.65</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2.42%</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819,609.87</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10.00%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1,524,070.00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0.51%</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152,407.00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10.00%</w:t>
            </w:r>
          </w:p>
        </w:tc>
      </w:tr>
      <w:tr>
        <w:trPr>
          <w:trHeight w:val="322" w:hRule="exact"/>
        </w:trPr>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683,220.00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0.20%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204,966.00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30.00%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316,000.00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0.10%</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94,800.00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30.00%</w:t>
            </w:r>
          </w:p>
        </w:tc>
      </w:tr>
      <w:tr>
        <w:trPr>
          <w:trHeight w:val="323" w:hRule="exact"/>
        </w:trPr>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2"/>
                <w:sz w:val="21"/>
              </w:rPr>
              <w:t>116,000.00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0.03%</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58,000.00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50.00%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0.00%</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0.00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2" w:hRule="exact"/>
        </w:trPr>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0.00%</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0.00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3" w:hRule="exact"/>
        </w:trPr>
        <w:tc>
          <w:tcPr>
            <w:tcW w:w="1086"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338,249,241.33</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100.00%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3,524,717.75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1.04%</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301,203,549.97</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100.00%</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2,505,041.00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0.83%</w:t>
            </w:r>
          </w:p>
        </w:tc>
      </w:tr>
    </w:tbl>
    <w:p>
      <w:pPr>
        <w:spacing w:after="0" w:line="240" w:lineRule="auto"/>
        <w:jc w:val="right"/>
        <w:rPr>
          <w:rFonts w:ascii="Times New Roman" w:hAnsi="Times New Roman" w:cs="Times New Roman" w:eastAsia="Times New Roman" w:hint="default"/>
          <w:sz w:val="21"/>
          <w:szCs w:val="21"/>
        </w:rPr>
        <w:sectPr>
          <w:pgSz w:w="11910" w:h="16840"/>
          <w:pgMar w:header="400" w:footer="982" w:top="1100" w:bottom="1180" w:left="1200" w:right="1200"/>
        </w:sectPr>
      </w:pPr>
    </w:p>
    <w:p>
      <w:pPr>
        <w:spacing w:line="240" w:lineRule="auto" w:before="6"/>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066"/>
        <w:gridCol w:w="1360"/>
        <w:gridCol w:w="727"/>
        <w:gridCol w:w="1225"/>
        <w:gridCol w:w="721"/>
        <w:gridCol w:w="1330"/>
        <w:gridCol w:w="714"/>
        <w:gridCol w:w="1190"/>
        <w:gridCol w:w="634"/>
      </w:tblGrid>
      <w:tr>
        <w:trPr>
          <w:trHeight w:val="322" w:hRule="exact"/>
        </w:trPr>
        <w:tc>
          <w:tcPr>
            <w:tcW w:w="206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tabs>
                <w:tab w:pos="1208" w:val="left" w:leader="none"/>
              </w:tabs>
              <w:spacing w:line="240" w:lineRule="auto"/>
              <w:ind w:left="666"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403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年末数</w:t>
            </w:r>
            <w:r>
              <w:rPr>
                <w:rFonts w:ascii="宋体" w:hAnsi="宋体" w:cs="宋体" w:eastAsia="宋体" w:hint="default"/>
                <w:sz w:val="18"/>
                <w:szCs w:val="18"/>
              </w:rPr>
            </w:r>
          </w:p>
        </w:tc>
        <w:tc>
          <w:tcPr>
            <w:tcW w:w="386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年初数</w:t>
            </w:r>
            <w:r>
              <w:rPr>
                <w:rFonts w:ascii="宋体" w:hAnsi="宋体" w:cs="宋体" w:eastAsia="宋体" w:hint="default"/>
                <w:sz w:val="18"/>
                <w:szCs w:val="18"/>
              </w:rPr>
            </w:r>
          </w:p>
        </w:tc>
      </w:tr>
      <w:tr>
        <w:trPr>
          <w:trHeight w:val="635" w:hRule="exact"/>
        </w:trPr>
        <w:tc>
          <w:tcPr>
            <w:tcW w:w="2066" w:type="dxa"/>
            <w:vMerge/>
            <w:tcBorders>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7" w:right="84" w:hanging="90"/>
              <w:jc w:val="left"/>
              <w:rPr>
                <w:rFonts w:ascii="宋体" w:hAnsi="宋体" w:cs="宋体" w:eastAsia="宋体" w:hint="default"/>
                <w:sz w:val="18"/>
                <w:szCs w:val="18"/>
              </w:rPr>
            </w:pPr>
            <w:r>
              <w:rPr>
                <w:rFonts w:ascii="宋体" w:hAnsi="宋体" w:cs="宋体" w:eastAsia="宋体" w:hint="default"/>
                <w:b/>
                <w:bCs/>
                <w:sz w:val="18"/>
                <w:szCs w:val="18"/>
              </w:rPr>
              <w:t>占总额</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4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84" w:right="81"/>
              <w:jc w:val="left"/>
              <w:rPr>
                <w:rFonts w:ascii="宋体" w:hAnsi="宋体" w:cs="宋体" w:eastAsia="宋体" w:hint="default"/>
                <w:sz w:val="18"/>
                <w:szCs w:val="18"/>
              </w:rPr>
            </w:pPr>
            <w:r>
              <w:rPr>
                <w:rFonts w:ascii="宋体" w:hAnsi="宋体" w:cs="宋体" w:eastAsia="宋体" w:hint="default"/>
                <w:b/>
                <w:bCs/>
                <w:sz w:val="18"/>
                <w:szCs w:val="18"/>
              </w:rPr>
              <w:t>坏账准</w:t>
            </w:r>
            <w:r>
              <w:rPr>
                <w:rFonts w:ascii="宋体" w:hAnsi="宋体" w:cs="宋体" w:eastAsia="宋体" w:hint="default"/>
                <w:b/>
                <w:bCs/>
                <w:spacing w:val="1"/>
                <w:w w:val="99"/>
                <w:sz w:val="18"/>
                <w:szCs w:val="18"/>
              </w:rPr>
              <w:t> </w:t>
            </w:r>
            <w:r>
              <w:rPr>
                <w:rFonts w:ascii="宋体" w:hAnsi="宋体" w:cs="宋体" w:eastAsia="宋体" w:hint="default"/>
                <w:b/>
                <w:bCs/>
                <w:sz w:val="18"/>
                <w:szCs w:val="18"/>
              </w:rPr>
              <w:t>备比例</w:t>
            </w:r>
            <w:r>
              <w:rPr>
                <w:rFonts w:ascii="宋体" w:hAnsi="宋体" w:cs="宋体" w:eastAsia="宋体" w:hint="default"/>
                <w:sz w:val="18"/>
                <w:szCs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0" w:right="78" w:hanging="90"/>
              <w:jc w:val="left"/>
              <w:rPr>
                <w:rFonts w:ascii="宋体" w:hAnsi="宋体" w:cs="宋体" w:eastAsia="宋体" w:hint="default"/>
                <w:sz w:val="18"/>
                <w:szCs w:val="18"/>
              </w:rPr>
            </w:pPr>
            <w:r>
              <w:rPr>
                <w:rFonts w:ascii="宋体" w:hAnsi="宋体" w:cs="宋体" w:eastAsia="宋体" w:hint="default"/>
                <w:b/>
                <w:bCs/>
                <w:sz w:val="18"/>
                <w:szCs w:val="18"/>
              </w:rPr>
              <w:t>占总额</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9" w:right="37" w:firstLine="1"/>
              <w:jc w:val="left"/>
              <w:rPr>
                <w:rFonts w:ascii="宋体" w:hAnsi="宋体" w:cs="宋体" w:eastAsia="宋体" w:hint="default"/>
                <w:sz w:val="18"/>
                <w:szCs w:val="18"/>
              </w:rPr>
            </w:pPr>
            <w:r>
              <w:rPr>
                <w:rFonts w:ascii="宋体" w:hAnsi="宋体" w:cs="宋体" w:eastAsia="宋体" w:hint="default"/>
                <w:b/>
                <w:bCs/>
                <w:sz w:val="18"/>
                <w:szCs w:val="18"/>
              </w:rPr>
              <w:t>坏账准</w:t>
            </w:r>
            <w:r>
              <w:rPr>
                <w:rFonts w:ascii="宋体" w:hAnsi="宋体" w:cs="宋体" w:eastAsia="宋体" w:hint="default"/>
                <w:b/>
                <w:bCs/>
                <w:spacing w:val="1"/>
                <w:w w:val="99"/>
                <w:sz w:val="18"/>
                <w:szCs w:val="18"/>
              </w:rPr>
              <w:t> </w:t>
            </w:r>
            <w:r>
              <w:rPr>
                <w:rFonts w:ascii="宋体" w:hAnsi="宋体" w:cs="宋体" w:eastAsia="宋体" w:hint="default"/>
                <w:b/>
                <w:bCs/>
                <w:sz w:val="18"/>
                <w:szCs w:val="18"/>
              </w:rPr>
              <w:t>备比例</w:t>
            </w:r>
            <w:r>
              <w:rPr>
                <w:rFonts w:ascii="宋体" w:hAnsi="宋体" w:cs="宋体" w:eastAsia="宋体" w:hint="default"/>
                <w:sz w:val="18"/>
                <w:szCs w:val="18"/>
              </w:rPr>
            </w:r>
          </w:p>
        </w:tc>
      </w:tr>
      <w:tr>
        <w:trPr>
          <w:trHeight w:val="634"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right="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、单项金额重大并已单独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计提坏账准备的款项</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0.00</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634"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right="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、单项金额非重大并已单</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独计提坏账准备的款项</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0.00</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635"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right="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、其他按账龄段划分为类</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似信用风险特征的款项，</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338,249,241.33</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3,524,717.75</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301,203,549.97</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2,505,041.00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0.83%</w:t>
            </w:r>
          </w:p>
        </w:tc>
      </w:tr>
      <w:tr>
        <w:trPr>
          <w:trHeight w:val="322"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其中：单项金额重大</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pacing w:val="-1"/>
                <w:sz w:val="18"/>
              </w:rPr>
              <w:t>107,098,722.13</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31.66%</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563,132.61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w w:val="95"/>
                <w:sz w:val="18"/>
              </w:rPr>
              <w:t>0.53%</w:t>
            </w:r>
            <w:r>
              <w:rPr>
                <w:rFonts w:ascii="Times New Roman"/>
                <w:sz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right"/>
              <w:rPr>
                <w:rFonts w:ascii="Times New Roman" w:hAnsi="Times New Roman" w:cs="Times New Roman" w:eastAsia="Times New Roman" w:hint="default"/>
                <w:sz w:val="18"/>
                <w:szCs w:val="18"/>
              </w:rPr>
            </w:pPr>
            <w:r>
              <w:rPr>
                <w:rFonts w:ascii="Times New Roman"/>
                <w:spacing w:val="-1"/>
                <w:sz w:val="18"/>
              </w:rPr>
              <w:t>212,586,786.81</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70.58%</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1,222,291.98</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pacing w:val="-1"/>
                <w:sz w:val="18"/>
              </w:rPr>
              <w:t>0.57%</w:t>
            </w:r>
          </w:p>
        </w:tc>
      </w:tr>
      <w:tr>
        <w:trPr>
          <w:trHeight w:val="322"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单项金额非重大</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pacing w:val="-1"/>
                <w:sz w:val="18"/>
              </w:rPr>
              <w:t>231,150,519.20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68.34%</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pacing w:val="-1"/>
                <w:sz w:val="18"/>
              </w:rPr>
              <w:t>2,961,585.14</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1.28%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88,616,763.16</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
              <w:jc w:val="right"/>
              <w:rPr>
                <w:rFonts w:ascii="Times New Roman" w:hAnsi="Times New Roman" w:cs="Times New Roman" w:eastAsia="Times New Roman" w:hint="default"/>
                <w:sz w:val="18"/>
                <w:szCs w:val="18"/>
              </w:rPr>
            </w:pPr>
            <w:r>
              <w:rPr>
                <w:rFonts w:ascii="Times New Roman"/>
                <w:sz w:val="18"/>
              </w:rPr>
              <w:t>29.42%</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1,282,749.02</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pacing w:val="-1"/>
                <w:sz w:val="18"/>
              </w:rPr>
              <w:t>1.45%</w:t>
            </w:r>
          </w:p>
        </w:tc>
      </w:tr>
      <w:tr>
        <w:trPr>
          <w:trHeight w:val="323"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90"/>
                <w:sz w:val="18"/>
                <w:szCs w:val="18"/>
              </w:rPr>
              <w:t> </w:t>
            </w:r>
            <w:r>
              <w:rPr>
                <w:rFonts w:ascii="宋体" w:hAnsi="宋体" w:cs="宋体" w:eastAsia="宋体" w:hint="default"/>
                <w:sz w:val="18"/>
                <w:szCs w:val="18"/>
              </w:rPr>
              <w:t>计</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pacing w:val="-1"/>
                <w:sz w:val="18"/>
              </w:rPr>
              <w:t>338,249,241.33</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pacing w:val="-1"/>
                <w:sz w:val="18"/>
              </w:rPr>
              <w:t>3,524,717.75</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1.04%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right"/>
              <w:rPr>
                <w:rFonts w:ascii="Times New Roman" w:hAnsi="Times New Roman" w:cs="Times New Roman" w:eastAsia="Times New Roman" w:hint="default"/>
                <w:sz w:val="18"/>
                <w:szCs w:val="18"/>
              </w:rPr>
            </w:pPr>
            <w:r>
              <w:rPr>
                <w:rFonts w:ascii="Times New Roman"/>
                <w:spacing w:val="-1"/>
                <w:sz w:val="18"/>
              </w:rPr>
              <w:t>301,203,549.97</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2,505,041.00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pacing w:val="-1"/>
                <w:sz w:val="18"/>
              </w:rPr>
              <w:t>0.83%</w:t>
            </w:r>
          </w:p>
        </w:tc>
      </w:tr>
    </w:tbl>
    <w:p>
      <w:pPr>
        <w:spacing w:line="240" w:lineRule="auto" w:before="5"/>
        <w:rPr>
          <w:rFonts w:ascii="宋体" w:hAnsi="宋体" w:cs="宋体" w:eastAsia="宋体" w:hint="default"/>
          <w:sz w:val="16"/>
          <w:szCs w:val="16"/>
        </w:rPr>
      </w:pPr>
    </w:p>
    <w:p>
      <w:pPr>
        <w:pStyle w:val="BodyText"/>
        <w:spacing w:line="240" w:lineRule="auto" w:before="35"/>
        <w:ind w:left="1360" w:right="0"/>
        <w:jc w:val="left"/>
      </w:pPr>
      <w:r>
        <w:rPr/>
        <w:t>2、应收账款坏账准备的变动如下：</w:t>
      </w:r>
    </w:p>
    <w:p>
      <w:pPr>
        <w:spacing w:line="240" w:lineRule="auto" w:before="4"/>
        <w:rPr>
          <w:rFonts w:ascii="宋体" w:hAnsi="宋体" w:cs="宋体" w:eastAsia="宋体" w:hint="default"/>
          <w:sz w:val="14"/>
          <w:szCs w:val="14"/>
        </w:rPr>
      </w:pPr>
    </w:p>
    <w:tbl>
      <w:tblPr>
        <w:tblW w:w="0" w:type="auto"/>
        <w:jc w:val="left"/>
        <w:tblInd w:w="835" w:type="dxa"/>
        <w:tblLayout w:type="fixed"/>
        <w:tblCellMar>
          <w:top w:w="0" w:type="dxa"/>
          <w:left w:w="0" w:type="dxa"/>
          <w:bottom w:w="0" w:type="dxa"/>
          <w:right w:w="0" w:type="dxa"/>
        </w:tblCellMar>
        <w:tblLook w:val="01E0"/>
      </w:tblPr>
      <w:tblGrid>
        <w:gridCol w:w="1351"/>
        <w:gridCol w:w="1520"/>
        <w:gridCol w:w="1372"/>
        <w:gridCol w:w="1266"/>
        <w:gridCol w:w="1476"/>
        <w:gridCol w:w="1520"/>
      </w:tblGrid>
      <w:tr>
        <w:trPr>
          <w:trHeight w:val="323" w:hRule="exact"/>
        </w:trPr>
        <w:tc>
          <w:tcPr>
            <w:tcW w:w="1351" w:type="dxa"/>
            <w:vMerge w:val="restart"/>
            <w:tcBorders>
              <w:top w:val="single" w:sz="4" w:space="0" w:color="000000"/>
              <w:left w:val="single" w:sz="4" w:space="0" w:color="000000"/>
              <w:right w:val="single" w:sz="4" w:space="0" w:color="000000"/>
            </w:tcBorders>
          </w:tcPr>
          <w:p>
            <w:pP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b/>
                <w:bCs/>
                <w:sz w:val="21"/>
                <w:szCs w:val="21"/>
              </w:rPr>
              <w:t>年初账面余额</w:t>
            </w:r>
            <w:r>
              <w:rPr>
                <w:rFonts w:ascii="宋体" w:hAnsi="宋体" w:cs="宋体" w:eastAsia="宋体" w:hint="default"/>
                <w:sz w:val="21"/>
                <w:szCs w:val="21"/>
              </w:rPr>
            </w:r>
          </w:p>
        </w:tc>
        <w:tc>
          <w:tcPr>
            <w:tcW w:w="1372" w:type="dxa"/>
            <w:vMerge w:val="restart"/>
            <w:tcBorders>
              <w:top w:val="single" w:sz="4" w:space="0" w:color="000000"/>
              <w:left w:val="single" w:sz="4" w:space="0" w:color="000000"/>
              <w:right w:val="single" w:sz="4" w:space="0" w:color="000000"/>
            </w:tcBorders>
          </w:tcPr>
          <w:p>
            <w:pPr>
              <w:pStyle w:val="TableParagraph"/>
              <w:spacing w:line="240" w:lineRule="auto" w:before="141"/>
              <w:ind w:left="153" w:right="0"/>
              <w:jc w:val="left"/>
              <w:rPr>
                <w:rFonts w:ascii="宋体" w:hAnsi="宋体" w:cs="宋体" w:eastAsia="宋体" w:hint="default"/>
                <w:sz w:val="21"/>
                <w:szCs w:val="21"/>
              </w:rPr>
            </w:pPr>
            <w:r>
              <w:rPr>
                <w:rFonts w:ascii="宋体" w:hAnsi="宋体" w:cs="宋体" w:eastAsia="宋体" w:hint="default"/>
                <w:b/>
                <w:bCs/>
                <w:sz w:val="21"/>
                <w:szCs w:val="21"/>
              </w:rPr>
              <w:t>本期计提额</w:t>
            </w:r>
            <w:r>
              <w:rPr>
                <w:rFonts w:ascii="宋体" w:hAnsi="宋体" w:cs="宋体" w:eastAsia="宋体" w:hint="default"/>
                <w:sz w:val="21"/>
                <w:szCs w:val="21"/>
              </w:rPr>
            </w:r>
          </w:p>
        </w:tc>
        <w:tc>
          <w:tcPr>
            <w:tcW w:w="27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838" w:right="0"/>
              <w:jc w:val="left"/>
              <w:rPr>
                <w:rFonts w:ascii="宋体" w:hAnsi="宋体" w:cs="宋体" w:eastAsia="宋体" w:hint="default"/>
                <w:sz w:val="21"/>
                <w:szCs w:val="21"/>
              </w:rPr>
            </w:pPr>
            <w:r>
              <w:rPr>
                <w:rFonts w:ascii="宋体" w:hAnsi="宋体" w:cs="宋体" w:eastAsia="宋体" w:hint="default"/>
                <w:b/>
                <w:bCs/>
                <w:sz w:val="21"/>
                <w:szCs w:val="21"/>
              </w:rPr>
              <w:t>本期减少额</w:t>
            </w:r>
            <w:r>
              <w:rPr>
                <w:rFonts w:ascii="宋体" w:hAnsi="宋体" w:cs="宋体" w:eastAsia="宋体" w:hint="default"/>
                <w:sz w:val="21"/>
                <w:szCs w:val="21"/>
              </w:rPr>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before="141"/>
              <w:ind w:left="123" w:right="0"/>
              <w:jc w:val="left"/>
              <w:rPr>
                <w:rFonts w:ascii="宋体" w:hAnsi="宋体" w:cs="宋体" w:eastAsia="宋体" w:hint="default"/>
                <w:sz w:val="21"/>
                <w:szCs w:val="21"/>
              </w:rPr>
            </w:pPr>
            <w:r>
              <w:rPr>
                <w:rFonts w:ascii="宋体" w:hAnsi="宋体" w:cs="宋体" w:eastAsia="宋体" w:hint="default"/>
                <w:b/>
                <w:bCs/>
                <w:sz w:val="21"/>
                <w:szCs w:val="21"/>
              </w:rPr>
              <w:t>年末账面余额</w:t>
            </w:r>
            <w:r>
              <w:rPr>
                <w:rFonts w:ascii="宋体" w:hAnsi="宋体" w:cs="宋体" w:eastAsia="宋体" w:hint="default"/>
                <w:sz w:val="21"/>
                <w:szCs w:val="21"/>
              </w:rPr>
            </w:r>
          </w:p>
        </w:tc>
      </w:tr>
      <w:tr>
        <w:trPr>
          <w:trHeight w:val="322" w:hRule="exact"/>
        </w:trPr>
        <w:tc>
          <w:tcPr>
            <w:tcW w:w="1351" w:type="dxa"/>
            <w:vMerge/>
            <w:tcBorders>
              <w:left w:val="single" w:sz="4" w:space="0" w:color="000000"/>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372" w:type="dxa"/>
            <w:vMerge/>
            <w:tcBorders>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转回</w:t>
            </w:r>
            <w:r>
              <w:rPr>
                <w:rFonts w:ascii="宋体" w:hAnsi="宋体" w:cs="宋体" w:eastAsia="宋体" w:hint="default"/>
                <w:sz w:val="21"/>
                <w:szCs w:val="21"/>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转销</w:t>
            </w:r>
            <w:r>
              <w:rPr>
                <w:rFonts w:ascii="宋体" w:hAnsi="宋体" w:cs="宋体" w:eastAsia="宋体" w:hint="default"/>
                <w:sz w:val="21"/>
                <w:szCs w:val="21"/>
              </w:rPr>
            </w:r>
          </w:p>
        </w:tc>
        <w:tc>
          <w:tcPr>
            <w:tcW w:w="1520" w:type="dxa"/>
            <w:vMerge/>
            <w:tcBorders>
              <w:left w:val="single" w:sz="4" w:space="0" w:color="000000"/>
              <w:bottom w:val="single" w:sz="4" w:space="0" w:color="000000"/>
              <w:right w:val="single" w:sz="4" w:space="0" w:color="000000"/>
            </w:tcBorders>
          </w:tcPr>
          <w:p>
            <w:pPr/>
          </w:p>
        </w:tc>
      </w:tr>
      <w:tr>
        <w:trPr>
          <w:trHeight w:val="322"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0"/>
              <w:jc w:val="right"/>
              <w:rPr>
                <w:rFonts w:ascii="Times New Roman" w:hAnsi="Times New Roman" w:cs="Times New Roman" w:eastAsia="Times New Roman" w:hint="default"/>
                <w:sz w:val="21"/>
                <w:szCs w:val="21"/>
              </w:rPr>
            </w:pPr>
            <w:r>
              <w:rPr>
                <w:rFonts w:ascii="Times New Roman"/>
                <w:spacing w:val="-1"/>
                <w:sz w:val="21"/>
              </w:rPr>
              <w:t>2,774,608.77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-269,567.77</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04" w:right="0"/>
              <w:jc w:val="left"/>
              <w:rPr>
                <w:rFonts w:ascii="Times New Roman" w:hAnsi="Times New Roman" w:cs="Times New Roman" w:eastAsia="Times New Roman" w:hint="default"/>
                <w:sz w:val="21"/>
                <w:szCs w:val="21"/>
              </w:rPr>
            </w:pPr>
            <w:r>
              <w:rPr>
                <w:rFonts w:ascii="Times New Roman"/>
                <w:sz w:val="21"/>
              </w:rPr>
              <w:t>2,505,041.00</w:t>
            </w:r>
          </w:p>
        </w:tc>
      </w:tr>
      <w:tr>
        <w:trPr>
          <w:trHeight w:val="323"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1"/>
              <w:jc w:val="right"/>
              <w:rPr>
                <w:rFonts w:ascii="Times New Roman" w:hAnsi="Times New Roman" w:cs="Times New Roman" w:eastAsia="Times New Roman" w:hint="default"/>
                <w:sz w:val="21"/>
                <w:szCs w:val="21"/>
              </w:rPr>
            </w:pPr>
            <w:r>
              <w:rPr>
                <w:rFonts w:ascii="Times New Roman"/>
                <w:spacing w:val="-1"/>
                <w:sz w:val="21"/>
              </w:rPr>
              <w:t>2,505,041.00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977,676.75</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-42,000.00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02" w:right="0"/>
              <w:jc w:val="left"/>
              <w:rPr>
                <w:rFonts w:ascii="Times New Roman" w:hAnsi="Times New Roman" w:cs="Times New Roman" w:eastAsia="Times New Roman" w:hint="default"/>
                <w:sz w:val="21"/>
                <w:szCs w:val="21"/>
              </w:rPr>
            </w:pPr>
            <w:r>
              <w:rPr>
                <w:rFonts w:ascii="Times New Roman"/>
                <w:sz w:val="21"/>
              </w:rPr>
              <w:t>3,524,717.75</w:t>
            </w:r>
          </w:p>
        </w:tc>
      </w:tr>
    </w:tbl>
    <w:p>
      <w:pPr>
        <w:spacing w:line="240" w:lineRule="auto" w:before="5"/>
        <w:rPr>
          <w:rFonts w:ascii="宋体" w:hAnsi="宋体" w:cs="宋体" w:eastAsia="宋体" w:hint="default"/>
          <w:sz w:val="16"/>
          <w:szCs w:val="16"/>
        </w:rPr>
      </w:pPr>
    </w:p>
    <w:p>
      <w:pPr>
        <w:pStyle w:val="BodyText"/>
        <w:spacing w:line="240" w:lineRule="auto" w:before="35"/>
        <w:ind w:left="1360" w:right="0"/>
        <w:jc w:val="left"/>
      </w:pPr>
      <w:r>
        <w:rPr/>
        <w:t>3、本期收回以前年度已核销的应收账款为</w:t>
      </w:r>
      <w:r>
        <w:rPr>
          <w:spacing w:val="-57"/>
        </w:rPr>
        <w:t> </w:t>
      </w:r>
      <w:r>
        <w:rPr>
          <w:rFonts w:ascii="Times New Roman" w:hAnsi="Times New Roman" w:cs="Times New Roman" w:eastAsia="Times New Roman" w:hint="default"/>
        </w:rPr>
        <w:t>42,000,00</w:t>
      </w:r>
      <w:r>
        <w:rPr>
          <w:rFonts w:ascii="Times New Roman" w:hAnsi="Times New Roman" w:cs="Times New Roman" w:eastAsia="Times New Roman" w:hint="default"/>
          <w:spacing w:val="-4"/>
        </w:rPr>
        <w:t> </w:t>
      </w:r>
      <w:r>
        <w:rPr/>
        <w:t>元。</w:t>
      </w:r>
    </w:p>
    <w:p>
      <w:pPr>
        <w:pStyle w:val="BodyText"/>
        <w:spacing w:line="240" w:lineRule="auto" w:before="109"/>
        <w:ind w:left="1360" w:right="0"/>
        <w:jc w:val="left"/>
      </w:pPr>
      <w:r>
        <w:rPr/>
        <w:t>4、年末应收账款中无持本公司</w:t>
      </w:r>
      <w:r>
        <w:rPr>
          <w:spacing w:val="-56"/>
        </w:rPr>
        <w:t> </w:t>
      </w:r>
      <w:r>
        <w:rPr/>
        <w:t>5％以上（含</w:t>
      </w:r>
      <w:r>
        <w:rPr>
          <w:spacing w:val="-56"/>
        </w:rPr>
        <w:t> </w:t>
      </w:r>
      <w:r>
        <w:rPr/>
        <w:t>5％）表决权股份的股东单位款项。</w:t>
      </w:r>
    </w:p>
    <w:p>
      <w:pPr>
        <w:pStyle w:val="BodyText"/>
        <w:spacing w:line="240" w:lineRule="auto" w:before="126"/>
        <w:ind w:left="1360" w:right="0"/>
        <w:jc w:val="left"/>
      </w:pPr>
      <w:r>
        <w:rPr/>
        <w:t>5、年末应收账款中欠款金额前五名</w:t>
      </w:r>
    </w:p>
    <w:p>
      <w:pPr>
        <w:spacing w:line="240" w:lineRule="auto" w:before="4"/>
        <w:rPr>
          <w:rFonts w:ascii="宋体" w:hAnsi="宋体" w:cs="宋体" w:eastAsia="宋体" w:hint="default"/>
          <w:sz w:val="14"/>
          <w:szCs w:val="14"/>
        </w:rPr>
      </w:pPr>
    </w:p>
    <w:tbl>
      <w:tblPr>
        <w:tblW w:w="0" w:type="auto"/>
        <w:jc w:val="left"/>
        <w:tblInd w:w="1206" w:type="dxa"/>
        <w:tblLayout w:type="fixed"/>
        <w:tblCellMar>
          <w:top w:w="0" w:type="dxa"/>
          <w:left w:w="0" w:type="dxa"/>
          <w:bottom w:w="0" w:type="dxa"/>
          <w:right w:w="0" w:type="dxa"/>
        </w:tblCellMar>
        <w:tblLook w:val="01E0"/>
      </w:tblPr>
      <w:tblGrid>
        <w:gridCol w:w="2363"/>
        <w:gridCol w:w="1714"/>
        <w:gridCol w:w="1346"/>
        <w:gridCol w:w="2340"/>
      </w:tblGrid>
      <w:tr>
        <w:trPr>
          <w:trHeight w:val="322"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49" w:right="0"/>
              <w:jc w:val="left"/>
              <w:rPr>
                <w:rFonts w:ascii="宋体" w:hAnsi="宋体" w:cs="宋体" w:eastAsia="宋体" w:hint="default"/>
                <w:sz w:val="21"/>
                <w:szCs w:val="21"/>
              </w:rPr>
            </w:pPr>
            <w:r>
              <w:rPr>
                <w:rFonts w:ascii="宋体" w:hAnsi="宋体" w:cs="宋体" w:eastAsia="宋体" w:hint="default"/>
                <w:b/>
                <w:bCs/>
                <w:sz w:val="21"/>
                <w:szCs w:val="21"/>
              </w:rPr>
              <w:t>债务人名称</w:t>
            </w:r>
            <w:r>
              <w:rPr>
                <w:rFonts w:ascii="宋体" w:hAnsi="宋体" w:cs="宋体" w:eastAsia="宋体" w:hint="default"/>
                <w:sz w:val="21"/>
                <w:szCs w:val="21"/>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占应收账款总额的比例</w:t>
            </w:r>
            <w:r>
              <w:rPr>
                <w:rFonts w:ascii="宋体" w:hAnsi="宋体" w:cs="宋体" w:eastAsia="宋体" w:hint="default"/>
                <w:sz w:val="21"/>
                <w:szCs w:val="21"/>
              </w:rPr>
            </w:r>
          </w:p>
        </w:tc>
      </w:tr>
      <w:tr>
        <w:trPr>
          <w:trHeight w:val="323"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农业银行总行</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31,708,015.50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9.37%</w:t>
            </w:r>
          </w:p>
        </w:tc>
      </w:tr>
      <w:tr>
        <w:trPr>
          <w:trHeight w:val="322"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交通银行总行</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24,178,519.00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7.15%</w:t>
            </w:r>
          </w:p>
        </w:tc>
      </w:tr>
      <w:tr>
        <w:trPr>
          <w:trHeight w:val="322"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中国银行总行</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20,554,627.00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6.08%</w:t>
            </w:r>
          </w:p>
        </w:tc>
      </w:tr>
      <w:tr>
        <w:trPr>
          <w:trHeight w:val="323"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内蒙古农行</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16,370,696.72</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4.84%</w:t>
            </w:r>
          </w:p>
        </w:tc>
      </w:tr>
      <w:tr>
        <w:trPr>
          <w:trHeight w:val="322"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中国银行河南省分行</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14,286,863.91</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4.22%</w:t>
            </w:r>
          </w:p>
        </w:tc>
      </w:tr>
      <w:tr>
        <w:trPr>
          <w:trHeight w:val="323"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107,098,722.13</w:t>
            </w:r>
          </w:p>
        </w:tc>
        <w:tc>
          <w:tcPr>
            <w:tcW w:w="1346"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31.66%</w:t>
            </w:r>
          </w:p>
        </w:tc>
      </w:tr>
    </w:tbl>
    <w:p>
      <w:pPr>
        <w:spacing w:line="240" w:lineRule="auto" w:before="5"/>
        <w:rPr>
          <w:rFonts w:ascii="宋体" w:hAnsi="宋体" w:cs="宋体" w:eastAsia="宋体" w:hint="default"/>
          <w:sz w:val="16"/>
          <w:szCs w:val="16"/>
        </w:rPr>
      </w:pPr>
    </w:p>
    <w:p>
      <w:pPr>
        <w:pStyle w:val="BodyText"/>
        <w:spacing w:line="240" w:lineRule="auto" w:before="35"/>
        <w:ind w:left="1360" w:right="0"/>
        <w:jc w:val="left"/>
      </w:pPr>
      <w:r>
        <w:rPr/>
        <w:t>6、年末应收账款中无关联方应收账款。</w:t>
      </w:r>
    </w:p>
    <w:p>
      <w:pPr>
        <w:pStyle w:val="BodyText"/>
        <w:spacing w:line="240" w:lineRule="auto" w:before="125"/>
        <w:ind w:left="1360" w:right="0"/>
        <w:jc w:val="left"/>
      </w:pPr>
      <w:r>
        <w:rPr/>
        <w:t>7、年末应收账款中没有发生应收账款的转移。</w:t>
      </w:r>
    </w:p>
    <w:p>
      <w:pPr>
        <w:pStyle w:val="BodyText"/>
        <w:spacing w:line="240" w:lineRule="auto" w:before="125"/>
        <w:ind w:left="1360" w:right="0"/>
        <w:jc w:val="left"/>
      </w:pPr>
      <w:r>
        <w:rPr/>
        <w:t>8、年末应收账款中没有以应收账款为标的资产进行资产证券化的交易安排。</w:t>
      </w:r>
    </w:p>
    <w:p>
      <w:pPr>
        <w:pStyle w:val="BodyText"/>
        <w:spacing w:line="328" w:lineRule="auto" w:before="126"/>
        <w:ind w:left="940" w:right="0" w:firstLine="419"/>
        <w:jc w:val="left"/>
      </w:pPr>
      <w:r>
        <w:rPr/>
        <w:t>9、应收账款年末数比年初数增加 </w:t>
      </w:r>
      <w:r>
        <w:rPr>
          <w:rFonts w:ascii="Times New Roman" w:hAnsi="Times New Roman" w:cs="Times New Roman" w:eastAsia="Times New Roman" w:hint="default"/>
        </w:rPr>
        <w:t>37,045,691.36 </w:t>
      </w:r>
      <w:r>
        <w:rPr/>
        <w:t>元，增加比例为</w:t>
      </w:r>
      <w:r>
        <w:rPr>
          <w:spacing w:val="-69"/>
        </w:rPr>
        <w:t> </w:t>
      </w:r>
      <w:r>
        <w:rPr>
          <w:rFonts w:ascii="Times New Roman" w:hAnsi="Times New Roman" w:cs="Times New Roman" w:eastAsia="Times New Roman" w:hint="default"/>
        </w:rPr>
        <w:t>12.30%</w:t>
      </w:r>
      <w:r>
        <w:rPr/>
        <w:t>，变动主要原 因为：销售额的增加。</w:t>
      </w:r>
    </w:p>
    <w:p>
      <w:pPr>
        <w:pStyle w:val="BodyText"/>
        <w:spacing w:line="240" w:lineRule="auto" w:before="47"/>
        <w:ind w:left="1360" w:right="0"/>
        <w:jc w:val="left"/>
      </w:pPr>
      <w:r>
        <w:rPr/>
        <w:t>10、截止报告日止，应收账款期后回收额为</w:t>
      </w:r>
      <w:r>
        <w:rPr>
          <w:spacing w:val="-57"/>
        </w:rPr>
        <w:t> </w:t>
      </w:r>
      <w:r>
        <w:rPr>
          <w:rFonts w:ascii="Times New Roman" w:hAnsi="Times New Roman" w:cs="Times New Roman" w:eastAsia="Times New Roman" w:hint="default"/>
        </w:rPr>
        <w:t>122,622,964.60</w:t>
      </w:r>
      <w:r>
        <w:rPr>
          <w:rFonts w:ascii="Times New Roman" w:hAnsi="Times New Roman" w:cs="Times New Roman" w:eastAsia="Times New Roman" w:hint="default"/>
          <w:spacing w:val="-5"/>
        </w:rPr>
        <w:t> </w:t>
      </w:r>
      <w:r>
        <w:rPr/>
        <w:t>元。</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16"/>
          <w:szCs w:val="16"/>
        </w:rPr>
      </w:pPr>
    </w:p>
    <w:p>
      <w:pPr>
        <w:spacing w:line="348" w:lineRule="auto" w:before="0"/>
        <w:ind w:left="1360" w:right="7039" w:firstLine="2"/>
        <w:jc w:val="left"/>
        <w:rPr>
          <w:rFonts w:ascii="宋体" w:hAnsi="宋体" w:cs="宋体" w:eastAsia="宋体" w:hint="default"/>
          <w:sz w:val="21"/>
          <w:szCs w:val="21"/>
        </w:rPr>
      </w:pPr>
      <w:r>
        <w:rPr>
          <w:rFonts w:ascii="宋体" w:hAnsi="宋体" w:cs="宋体" w:eastAsia="宋体" w:hint="default"/>
          <w:b/>
          <w:bCs/>
          <w:sz w:val="21"/>
          <w:szCs w:val="21"/>
        </w:rPr>
        <w:t>（二）其他应收款</w:t>
      </w:r>
      <w:r>
        <w:rPr>
          <w:rFonts w:ascii="宋体" w:hAnsi="宋体" w:cs="宋体" w:eastAsia="宋体" w:hint="default"/>
          <w:b/>
          <w:bCs/>
          <w:spacing w:val="1"/>
          <w:w w:val="99"/>
          <w:sz w:val="21"/>
          <w:szCs w:val="21"/>
        </w:rPr>
        <w:t> </w:t>
      </w:r>
      <w:r>
        <w:rPr>
          <w:rFonts w:ascii="宋体" w:hAnsi="宋体" w:cs="宋体" w:eastAsia="宋体" w:hint="default"/>
          <w:sz w:val="21"/>
          <w:szCs w:val="21"/>
        </w:rPr>
        <w:t>1、其他应收款构成</w:t>
      </w:r>
    </w:p>
    <w:p>
      <w:pPr>
        <w:spacing w:after="0" w:line="348" w:lineRule="auto"/>
        <w:jc w:val="left"/>
        <w:rPr>
          <w:rFonts w:ascii="宋体" w:hAnsi="宋体" w:cs="宋体" w:eastAsia="宋体" w:hint="default"/>
          <w:sz w:val="21"/>
          <w:szCs w:val="21"/>
        </w:rPr>
        <w:sectPr>
          <w:pgSz w:w="11910" w:h="16840"/>
          <w:pgMar w:header="400" w:footer="982" w:top="1100" w:bottom="1180" w:left="860" w:right="840"/>
        </w:sectPr>
      </w:pPr>
    </w:p>
    <w:p>
      <w:pPr>
        <w:spacing w:line="240" w:lineRule="auto" w:before="6"/>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085"/>
        <w:gridCol w:w="1348"/>
        <w:gridCol w:w="808"/>
        <w:gridCol w:w="1188"/>
        <w:gridCol w:w="900"/>
        <w:gridCol w:w="1354"/>
        <w:gridCol w:w="784"/>
        <w:gridCol w:w="1158"/>
        <w:gridCol w:w="907"/>
      </w:tblGrid>
      <w:tr>
        <w:trPr>
          <w:trHeight w:val="310" w:hRule="exact"/>
        </w:trPr>
        <w:tc>
          <w:tcPr>
            <w:tcW w:w="108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tabs>
                <w:tab w:pos="643" w:val="left" w:leader="none"/>
              </w:tabs>
              <w:spacing w:line="240" w:lineRule="auto"/>
              <w:ind w:left="220" w:right="0"/>
              <w:jc w:val="left"/>
              <w:rPr>
                <w:rFonts w:ascii="宋体" w:hAnsi="宋体" w:cs="宋体" w:eastAsia="宋体" w:hint="default"/>
                <w:sz w:val="21"/>
                <w:szCs w:val="21"/>
              </w:rPr>
            </w:pPr>
            <w:r>
              <w:rPr>
                <w:rFonts w:ascii="宋体" w:hAnsi="宋体" w:cs="宋体" w:eastAsia="宋体" w:hint="default"/>
                <w:b/>
                <w:bCs/>
                <w:w w:val="95"/>
                <w:sz w:val="21"/>
                <w:szCs w:val="21"/>
              </w:rPr>
              <w:t>账</w:t>
              <w:tab/>
            </w:r>
            <w:r>
              <w:rPr>
                <w:rFonts w:ascii="宋体" w:hAnsi="宋体" w:cs="宋体" w:eastAsia="宋体" w:hint="default"/>
                <w:b/>
                <w:bCs/>
                <w:sz w:val="21"/>
                <w:szCs w:val="21"/>
              </w:rPr>
              <w:t>龄</w:t>
            </w:r>
            <w:r>
              <w:rPr>
                <w:rFonts w:ascii="宋体" w:hAnsi="宋体" w:cs="宋体" w:eastAsia="宋体" w:hint="default"/>
                <w:sz w:val="21"/>
                <w:szCs w:val="21"/>
              </w:rPr>
            </w:r>
          </w:p>
        </w:tc>
        <w:tc>
          <w:tcPr>
            <w:tcW w:w="4243" w:type="dxa"/>
            <w:gridSpan w:val="4"/>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c>
          <w:tcPr>
            <w:tcW w:w="42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年初数</w:t>
            </w:r>
            <w:r>
              <w:rPr>
                <w:rFonts w:ascii="宋体" w:hAnsi="宋体" w:cs="宋体" w:eastAsia="宋体" w:hint="default"/>
                <w:sz w:val="21"/>
                <w:szCs w:val="21"/>
              </w:rPr>
            </w:r>
          </w:p>
        </w:tc>
      </w:tr>
      <w:tr>
        <w:trPr>
          <w:trHeight w:val="617" w:hRule="exact"/>
        </w:trPr>
        <w:tc>
          <w:tcPr>
            <w:tcW w:w="1085" w:type="dxa"/>
            <w:vMerge/>
            <w:tcBorders>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46"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
              <w:ind w:left="187" w:right="79" w:hanging="105"/>
              <w:jc w:val="left"/>
              <w:rPr>
                <w:rFonts w:ascii="宋体" w:hAnsi="宋体" w:cs="宋体" w:eastAsia="宋体" w:hint="default"/>
                <w:sz w:val="21"/>
                <w:szCs w:val="21"/>
              </w:rPr>
            </w:pPr>
            <w:r>
              <w:rPr>
                <w:rFonts w:ascii="宋体" w:hAnsi="宋体" w:cs="宋体" w:eastAsia="宋体" w:hint="default"/>
                <w:b/>
                <w:bCs/>
                <w:sz w:val="21"/>
                <w:szCs w:val="21"/>
              </w:rPr>
              <w:t>占总额</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66"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
              <w:ind w:left="234" w:right="20" w:hanging="212"/>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48"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
              <w:ind w:left="175" w:right="67" w:hanging="105"/>
              <w:jc w:val="left"/>
              <w:rPr>
                <w:rFonts w:ascii="宋体" w:hAnsi="宋体" w:cs="宋体" w:eastAsia="宋体" w:hint="default"/>
                <w:sz w:val="21"/>
                <w:szCs w:val="21"/>
              </w:rPr>
            </w:pPr>
            <w:r>
              <w:rPr>
                <w:rFonts w:ascii="宋体" w:hAnsi="宋体" w:cs="宋体" w:eastAsia="宋体" w:hint="default"/>
                <w:b/>
                <w:bCs/>
                <w:sz w:val="21"/>
                <w:szCs w:val="21"/>
              </w:rPr>
              <w:t>占总额</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51"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
              <w:ind w:left="237" w:right="24" w:hanging="212"/>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32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1"/>
                <w:sz w:val="21"/>
              </w:rPr>
              <w:t>10,619,539.16</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4"/>
              <w:jc w:val="right"/>
              <w:rPr>
                <w:rFonts w:ascii="Times New Roman" w:hAnsi="Times New Roman" w:cs="Times New Roman" w:eastAsia="Times New Roman" w:hint="default"/>
                <w:sz w:val="21"/>
                <w:szCs w:val="21"/>
              </w:rPr>
            </w:pPr>
            <w:r>
              <w:rPr>
                <w:rFonts w:ascii="Times New Roman"/>
                <w:spacing w:val="-1"/>
                <w:sz w:val="21"/>
              </w:rPr>
              <w:t>96.87%</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1"/>
                <w:sz w:val="21"/>
              </w:rPr>
              <w:t>38,877.61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0.37%</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1"/>
                <w:sz w:val="21"/>
              </w:rPr>
              <w:t>11,035,700.99</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4"/>
              <w:jc w:val="right"/>
              <w:rPr>
                <w:rFonts w:ascii="Times New Roman" w:hAnsi="Times New Roman" w:cs="Times New Roman" w:eastAsia="Times New Roman" w:hint="default"/>
                <w:sz w:val="21"/>
                <w:szCs w:val="21"/>
              </w:rPr>
            </w:pPr>
            <w:r>
              <w:rPr>
                <w:rFonts w:ascii="Times New Roman"/>
                <w:spacing w:val="-1"/>
                <w:sz w:val="21"/>
              </w:rPr>
              <w:t>97.40%</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47,873.26</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1"/>
                <w:sz w:val="21"/>
              </w:rPr>
              <w:t>0.43%</w:t>
            </w:r>
          </w:p>
        </w:tc>
      </w:tr>
      <w:tr>
        <w:trPr>
          <w:trHeight w:val="32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2"/>
                <w:sz w:val="21"/>
              </w:rPr>
              <w:t>110,203.70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1"/>
                <w:sz w:val="21"/>
              </w:rPr>
              <w:t>1.01%</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1"/>
                <w:sz w:val="21"/>
              </w:rPr>
              <w:t>5,510.19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5.00%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265,331.43</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2.34%</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182,370.37</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68.73%</w:t>
            </w:r>
          </w:p>
        </w:tc>
      </w:tr>
      <w:tr>
        <w:trPr>
          <w:trHeight w:val="323"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203,851.60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1"/>
                <w:sz w:val="21"/>
              </w:rPr>
              <w:t>1.86%</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1"/>
                <w:sz w:val="21"/>
              </w:rPr>
              <w:t>180,588.76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4"/>
              <w:jc w:val="right"/>
              <w:rPr>
                <w:rFonts w:ascii="Times New Roman" w:hAnsi="Times New Roman" w:cs="Times New Roman" w:eastAsia="Times New Roman" w:hint="default"/>
                <w:sz w:val="21"/>
                <w:szCs w:val="21"/>
              </w:rPr>
            </w:pPr>
            <w:r>
              <w:rPr>
                <w:rFonts w:ascii="Times New Roman"/>
                <w:spacing w:val="-1"/>
                <w:sz w:val="21"/>
              </w:rPr>
              <w:t>88.59%</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0.00%</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0.00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0.00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1"/>
                <w:sz w:val="21"/>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22,433.00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0.20%</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1"/>
                <w:sz w:val="21"/>
              </w:rPr>
              <w:t>6,729.90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30.00%</w:t>
            </w:r>
          </w:p>
        </w:tc>
      </w:tr>
      <w:tr>
        <w:trPr>
          <w:trHeight w:val="32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22,433.00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1"/>
                <w:sz w:val="21"/>
              </w:rPr>
              <w:t>0.20%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2"/>
                <w:sz w:val="21"/>
              </w:rPr>
              <w:t>11,216.50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4"/>
              <w:jc w:val="right"/>
              <w:rPr>
                <w:rFonts w:ascii="Times New Roman" w:hAnsi="Times New Roman" w:cs="Times New Roman" w:eastAsia="Times New Roman" w:hint="default"/>
                <w:sz w:val="21"/>
                <w:szCs w:val="21"/>
              </w:rPr>
            </w:pPr>
            <w:r>
              <w:rPr>
                <w:rFonts w:ascii="Times New Roman"/>
                <w:spacing w:val="-1"/>
                <w:sz w:val="21"/>
              </w:rPr>
              <w:t>50.00%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1,500.00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0.01%</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750.00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50.00%</w:t>
            </w:r>
          </w:p>
        </w:tc>
      </w:tr>
      <w:tr>
        <w:trPr>
          <w:trHeight w:val="323"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pacing w:val="-1"/>
                <w:sz w:val="21"/>
              </w:rPr>
              <w:t>6,500.00</w:t>
            </w:r>
            <w:r>
              <w:rPr>
                <w:rFonts w:ascii="Times New Roman"/>
                <w:sz w:val="21"/>
              </w:rPr>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1"/>
                <w:sz w:val="21"/>
              </w:rPr>
              <w:t>0.06%</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6,500.00</w:t>
            </w:r>
            <w:r>
              <w:rPr>
                <w:rFonts w:ascii="Times New Roman"/>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1"/>
                <w:sz w:val="21"/>
              </w:rPr>
              <w:t>100.00%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pacing w:val="-1"/>
                <w:sz w:val="21"/>
              </w:rPr>
              <w:t>5,000.00</w:t>
            </w:r>
            <w:r>
              <w:rPr>
                <w:rFonts w:ascii="Times New Roman"/>
                <w:sz w:val="21"/>
              </w:rPr>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0.04%</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5,000.00</w:t>
            </w:r>
            <w:r>
              <w:rPr>
                <w:rFonts w:ascii="Times New Roman"/>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100.00%</w:t>
            </w:r>
          </w:p>
        </w:tc>
      </w:tr>
      <w:tr>
        <w:trPr>
          <w:trHeight w:val="32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1"/>
                <w:sz w:val="21"/>
              </w:rPr>
              <w:t>10,962,527.46</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100.00%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1"/>
                <w:sz w:val="21"/>
              </w:rPr>
              <w:t>242,693.06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2.21%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11,329,965.42</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100.00%</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242,723.53</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pacing w:val="-1"/>
                <w:sz w:val="21"/>
              </w:rPr>
              <w:t>2.14%</w:t>
            </w:r>
          </w:p>
        </w:tc>
      </w:tr>
    </w:tbl>
    <w:p>
      <w:pPr>
        <w:spacing w:line="240" w:lineRule="auto" w:before="11"/>
        <w:rPr>
          <w:rFonts w:ascii="宋体" w:hAnsi="宋体" w:cs="宋体" w:eastAsia="宋体" w:hint="default"/>
          <w:sz w:val="23"/>
          <w:szCs w:val="23"/>
        </w:rPr>
      </w:pPr>
    </w:p>
    <w:tbl>
      <w:tblPr>
        <w:tblW w:w="0" w:type="auto"/>
        <w:jc w:val="left"/>
        <w:tblInd w:w="104" w:type="dxa"/>
        <w:tblLayout w:type="fixed"/>
        <w:tblCellMar>
          <w:top w:w="0" w:type="dxa"/>
          <w:left w:w="0" w:type="dxa"/>
          <w:bottom w:w="0" w:type="dxa"/>
          <w:right w:w="0" w:type="dxa"/>
        </w:tblCellMar>
        <w:tblLook w:val="01E0"/>
      </w:tblPr>
      <w:tblGrid>
        <w:gridCol w:w="2066"/>
        <w:gridCol w:w="1358"/>
        <w:gridCol w:w="728"/>
        <w:gridCol w:w="1225"/>
        <w:gridCol w:w="720"/>
        <w:gridCol w:w="1088"/>
        <w:gridCol w:w="720"/>
        <w:gridCol w:w="900"/>
        <w:gridCol w:w="720"/>
      </w:tblGrid>
      <w:tr>
        <w:trPr>
          <w:trHeight w:val="311" w:hRule="exact"/>
        </w:trPr>
        <w:tc>
          <w:tcPr>
            <w:tcW w:w="206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403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年末数</w:t>
            </w:r>
            <w:r>
              <w:rPr>
                <w:rFonts w:ascii="宋体" w:hAnsi="宋体" w:cs="宋体" w:eastAsia="宋体" w:hint="default"/>
                <w:sz w:val="18"/>
                <w:szCs w:val="18"/>
              </w:rPr>
            </w:r>
          </w:p>
        </w:tc>
        <w:tc>
          <w:tcPr>
            <w:tcW w:w="34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年初数</w:t>
            </w:r>
            <w:r>
              <w:rPr>
                <w:rFonts w:ascii="宋体" w:hAnsi="宋体" w:cs="宋体" w:eastAsia="宋体" w:hint="default"/>
                <w:sz w:val="18"/>
                <w:szCs w:val="18"/>
              </w:rPr>
            </w:r>
          </w:p>
        </w:tc>
      </w:tr>
      <w:tr>
        <w:trPr>
          <w:trHeight w:val="530" w:hRule="exact"/>
        </w:trPr>
        <w:tc>
          <w:tcPr>
            <w:tcW w:w="2066" w:type="dxa"/>
            <w:vMerge/>
            <w:tcBorders>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12"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
              <w:ind w:left="177" w:right="85" w:hanging="90"/>
              <w:jc w:val="left"/>
              <w:rPr>
                <w:rFonts w:ascii="宋体" w:hAnsi="宋体" w:cs="宋体" w:eastAsia="宋体" w:hint="default"/>
                <w:sz w:val="18"/>
                <w:szCs w:val="18"/>
              </w:rPr>
            </w:pPr>
            <w:r>
              <w:rPr>
                <w:rFonts w:ascii="宋体" w:hAnsi="宋体" w:cs="宋体" w:eastAsia="宋体" w:hint="default"/>
                <w:b/>
                <w:bCs/>
                <w:sz w:val="18"/>
                <w:szCs w:val="18"/>
              </w:rPr>
              <w:t>占总额</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4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
              <w:ind w:left="84" w:right="80"/>
              <w:jc w:val="left"/>
              <w:rPr>
                <w:rFonts w:ascii="宋体" w:hAnsi="宋体" w:cs="宋体" w:eastAsia="宋体" w:hint="default"/>
                <w:sz w:val="18"/>
                <w:szCs w:val="18"/>
              </w:rPr>
            </w:pPr>
            <w:r>
              <w:rPr>
                <w:rFonts w:ascii="宋体" w:hAnsi="宋体" w:cs="宋体" w:eastAsia="宋体" w:hint="default"/>
                <w:b/>
                <w:bCs/>
                <w:sz w:val="18"/>
                <w:szCs w:val="18"/>
              </w:rPr>
              <w:t>坏账准</w:t>
            </w:r>
            <w:r>
              <w:rPr>
                <w:rFonts w:ascii="宋体" w:hAnsi="宋体" w:cs="宋体" w:eastAsia="宋体" w:hint="default"/>
                <w:b/>
                <w:bCs/>
                <w:spacing w:val="1"/>
                <w:w w:val="99"/>
                <w:sz w:val="18"/>
                <w:szCs w:val="18"/>
              </w:rPr>
              <w:t> </w:t>
            </w:r>
            <w:r>
              <w:rPr>
                <w:rFonts w:ascii="宋体" w:hAnsi="宋体" w:cs="宋体" w:eastAsia="宋体" w:hint="default"/>
                <w:b/>
                <w:bCs/>
                <w:sz w:val="18"/>
                <w:szCs w:val="18"/>
              </w:rPr>
              <w:t>备比例</w:t>
            </w:r>
            <w:r>
              <w:rPr>
                <w:rFonts w:ascii="宋体" w:hAnsi="宋体" w:cs="宋体" w:eastAsia="宋体" w:hint="default"/>
                <w:sz w:val="18"/>
                <w:szCs w:val="18"/>
              </w:rPr>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7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
              <w:ind w:left="173" w:right="80" w:hanging="90"/>
              <w:jc w:val="left"/>
              <w:rPr>
                <w:rFonts w:ascii="宋体" w:hAnsi="宋体" w:cs="宋体" w:eastAsia="宋体" w:hint="default"/>
                <w:sz w:val="18"/>
                <w:szCs w:val="18"/>
              </w:rPr>
            </w:pPr>
            <w:r>
              <w:rPr>
                <w:rFonts w:ascii="宋体" w:hAnsi="宋体" w:cs="宋体" w:eastAsia="宋体" w:hint="default"/>
                <w:b/>
                <w:bCs/>
                <w:sz w:val="18"/>
                <w:szCs w:val="18"/>
              </w:rPr>
              <w:t>占总额</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8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
              <w:ind w:left="82" w:right="80" w:firstLine="1"/>
              <w:jc w:val="left"/>
              <w:rPr>
                <w:rFonts w:ascii="宋体" w:hAnsi="宋体" w:cs="宋体" w:eastAsia="宋体" w:hint="default"/>
                <w:sz w:val="18"/>
                <w:szCs w:val="18"/>
              </w:rPr>
            </w:pPr>
            <w:r>
              <w:rPr>
                <w:rFonts w:ascii="宋体" w:hAnsi="宋体" w:cs="宋体" w:eastAsia="宋体" w:hint="default"/>
                <w:b/>
                <w:bCs/>
                <w:sz w:val="18"/>
                <w:szCs w:val="18"/>
              </w:rPr>
              <w:t>坏账准</w:t>
            </w:r>
            <w:r>
              <w:rPr>
                <w:rFonts w:ascii="宋体" w:hAnsi="宋体" w:cs="宋体" w:eastAsia="宋体" w:hint="default"/>
                <w:b/>
                <w:bCs/>
                <w:spacing w:val="1"/>
                <w:w w:val="99"/>
                <w:sz w:val="18"/>
                <w:szCs w:val="18"/>
              </w:rPr>
              <w:t> </w:t>
            </w:r>
            <w:r>
              <w:rPr>
                <w:rFonts w:ascii="宋体" w:hAnsi="宋体" w:cs="宋体" w:eastAsia="宋体" w:hint="default"/>
                <w:b/>
                <w:bCs/>
                <w:sz w:val="18"/>
                <w:szCs w:val="18"/>
              </w:rPr>
              <w:t>备比例</w:t>
            </w:r>
            <w:r>
              <w:rPr>
                <w:rFonts w:ascii="宋体" w:hAnsi="宋体" w:cs="宋体" w:eastAsia="宋体" w:hint="default"/>
                <w:sz w:val="18"/>
                <w:szCs w:val="18"/>
              </w:rPr>
            </w:r>
          </w:p>
        </w:tc>
      </w:tr>
      <w:tr>
        <w:trPr>
          <w:trHeight w:val="634"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17" w:right="1" w:hanging="21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、单项金额重大并已单独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计提坏账准备的款项</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635"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27" w:right="1" w:hanging="12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、单项金额非重大并已单</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独计提坏账准备的款项</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178,004.00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1.62%</w:t>
            </w:r>
            <w:r>
              <w:rPr>
                <w:rFonts w:ascii="Times New Roman"/>
                <w:sz w:val="18"/>
              </w:rPr>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178,004.00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178,004.00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1.57%</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178,004.00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634"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37" w:right="1" w:hanging="3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、其他按账龄段划分为类</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似信用风险特征的款项，</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10,784,523.46</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98.38%</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64,689.06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0.60%</w:t>
            </w:r>
            <w:r>
              <w:rPr>
                <w:rFonts w:ascii="Times New Roman"/>
                <w:sz w:val="18"/>
              </w:rPr>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11,151,961.42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98.43%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64,719.53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0.58%</w:t>
            </w:r>
            <w:r>
              <w:rPr>
                <w:rFonts w:ascii="Times New Roman"/>
                <w:sz w:val="18"/>
              </w:rPr>
            </w:r>
          </w:p>
        </w:tc>
      </w:tr>
      <w:tr>
        <w:trPr>
          <w:trHeight w:val="322"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其中：单项金额重大</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pacing w:val="-1"/>
                <w:sz w:val="18"/>
              </w:rPr>
              <w:t>7,549,139.35</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68.86%</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24,425.61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w w:val="95"/>
                <w:sz w:val="18"/>
              </w:rPr>
              <w:t>0.32%</w:t>
            </w:r>
            <w:r>
              <w:rPr>
                <w:rFonts w:ascii="Times New Roman"/>
                <w:sz w:val="18"/>
              </w:rPr>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6,505,707.63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57.42%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34,778.54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w w:val="95"/>
                <w:sz w:val="18"/>
              </w:rPr>
              <w:t>0.53%</w:t>
            </w:r>
            <w:r>
              <w:rPr>
                <w:rFonts w:ascii="Times New Roman"/>
                <w:sz w:val="18"/>
              </w:rPr>
            </w:r>
          </w:p>
        </w:tc>
      </w:tr>
      <w:tr>
        <w:trPr>
          <w:trHeight w:val="323"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单项金额非重大</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pacing w:val="-1"/>
                <w:sz w:val="18"/>
              </w:rPr>
              <w:t>3,235,384.11</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29.51%</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40,263.45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w w:val="95"/>
                <w:sz w:val="18"/>
              </w:rPr>
              <w:t>1.24%</w:t>
            </w:r>
            <w:r>
              <w:rPr>
                <w:rFonts w:ascii="Times New Roman"/>
                <w:sz w:val="18"/>
              </w:rPr>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4,646,253.79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41.01%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29,940.99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w w:val="95"/>
                <w:sz w:val="18"/>
              </w:rPr>
              <w:t>0.64%</w:t>
            </w:r>
            <w:r>
              <w:rPr>
                <w:rFonts w:ascii="Times New Roman"/>
                <w:sz w:val="18"/>
              </w:rPr>
            </w:r>
          </w:p>
        </w:tc>
      </w:tr>
      <w:tr>
        <w:trPr>
          <w:trHeight w:val="322"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pacing w:val="-1"/>
                <w:sz w:val="18"/>
              </w:rPr>
              <w:t>10,962,527.46</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242,693.06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w w:val="95"/>
                <w:sz w:val="18"/>
              </w:rPr>
              <w:t>2.21%</w:t>
            </w:r>
            <w:r>
              <w:rPr>
                <w:rFonts w:ascii="Times New Roman"/>
                <w:sz w:val="18"/>
              </w:rPr>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11,329,965.42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242,723.53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w w:val="95"/>
                <w:sz w:val="18"/>
              </w:rPr>
              <w:t>2.14%</w:t>
            </w:r>
            <w:r>
              <w:rPr>
                <w:rFonts w:ascii="Times New Roman"/>
                <w:sz w:val="18"/>
              </w:rPr>
            </w:r>
          </w:p>
        </w:tc>
      </w:tr>
    </w:tbl>
    <w:p>
      <w:pPr>
        <w:spacing w:line="240" w:lineRule="auto" w:before="5"/>
        <w:rPr>
          <w:rFonts w:ascii="宋体" w:hAnsi="宋体" w:cs="宋体" w:eastAsia="宋体" w:hint="default"/>
          <w:sz w:val="16"/>
          <w:szCs w:val="16"/>
        </w:rPr>
      </w:pPr>
    </w:p>
    <w:p>
      <w:pPr>
        <w:pStyle w:val="BodyText"/>
        <w:spacing w:line="240" w:lineRule="auto" w:before="35"/>
        <w:ind w:left="1140" w:right="0"/>
        <w:jc w:val="left"/>
      </w:pPr>
      <w:r>
        <w:rPr/>
        <w:t>2、其他应收款坏账准备的变动如下：</w:t>
      </w:r>
    </w:p>
    <w:p>
      <w:pPr>
        <w:spacing w:line="240" w:lineRule="auto" w:before="6"/>
        <w:rPr>
          <w:rFonts w:ascii="宋体" w:hAnsi="宋体" w:cs="宋体" w:eastAsia="宋体" w:hint="default"/>
          <w:sz w:val="14"/>
          <w:szCs w:val="14"/>
        </w:rPr>
      </w:pPr>
    </w:p>
    <w:tbl>
      <w:tblPr>
        <w:tblW w:w="0" w:type="auto"/>
        <w:jc w:val="left"/>
        <w:tblInd w:w="615" w:type="dxa"/>
        <w:tblLayout w:type="fixed"/>
        <w:tblCellMar>
          <w:top w:w="0" w:type="dxa"/>
          <w:left w:w="0" w:type="dxa"/>
          <w:bottom w:w="0" w:type="dxa"/>
          <w:right w:w="0" w:type="dxa"/>
        </w:tblCellMar>
        <w:tblLook w:val="01E0"/>
      </w:tblPr>
      <w:tblGrid>
        <w:gridCol w:w="1351"/>
        <w:gridCol w:w="1519"/>
        <w:gridCol w:w="1375"/>
        <w:gridCol w:w="1264"/>
        <w:gridCol w:w="1476"/>
        <w:gridCol w:w="1520"/>
      </w:tblGrid>
      <w:tr>
        <w:trPr>
          <w:trHeight w:val="322" w:hRule="exact"/>
        </w:trPr>
        <w:tc>
          <w:tcPr>
            <w:tcW w:w="1351" w:type="dxa"/>
            <w:vMerge w:val="restart"/>
            <w:tcBorders>
              <w:top w:val="single" w:sz="4" w:space="0" w:color="000000"/>
              <w:left w:val="single" w:sz="4" w:space="0" w:color="000000"/>
              <w:right w:val="single" w:sz="4" w:space="0" w:color="000000"/>
            </w:tcBorders>
          </w:tcPr>
          <w:p>
            <w:pPr/>
          </w:p>
        </w:tc>
        <w:tc>
          <w:tcPr>
            <w:tcW w:w="1519" w:type="dxa"/>
            <w:vMerge w:val="restart"/>
            <w:tcBorders>
              <w:top w:val="single" w:sz="4" w:space="0" w:color="000000"/>
              <w:left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b/>
                <w:bCs/>
                <w:sz w:val="21"/>
                <w:szCs w:val="21"/>
              </w:rPr>
              <w:t>年初账面余额</w:t>
            </w:r>
            <w:r>
              <w:rPr>
                <w:rFonts w:ascii="宋体" w:hAnsi="宋体" w:cs="宋体" w:eastAsia="宋体" w:hint="default"/>
                <w:sz w:val="21"/>
                <w:szCs w:val="21"/>
              </w:rPr>
            </w:r>
          </w:p>
        </w:tc>
        <w:tc>
          <w:tcPr>
            <w:tcW w:w="1375" w:type="dxa"/>
            <w:vMerge w:val="restart"/>
            <w:tcBorders>
              <w:top w:val="single" w:sz="4" w:space="0" w:color="000000"/>
              <w:left w:val="single" w:sz="4" w:space="0" w:color="000000"/>
              <w:right w:val="single" w:sz="4" w:space="0" w:color="000000"/>
            </w:tcBorders>
          </w:tcPr>
          <w:p>
            <w:pPr>
              <w:pStyle w:val="TableParagraph"/>
              <w:spacing w:line="240" w:lineRule="auto" w:before="141"/>
              <w:ind w:left="155" w:right="0"/>
              <w:jc w:val="left"/>
              <w:rPr>
                <w:rFonts w:ascii="宋体" w:hAnsi="宋体" w:cs="宋体" w:eastAsia="宋体" w:hint="default"/>
                <w:sz w:val="21"/>
                <w:szCs w:val="21"/>
              </w:rPr>
            </w:pPr>
            <w:r>
              <w:rPr>
                <w:rFonts w:ascii="宋体" w:hAnsi="宋体" w:cs="宋体" w:eastAsia="宋体" w:hint="default"/>
                <w:b/>
                <w:bCs/>
                <w:sz w:val="21"/>
                <w:szCs w:val="21"/>
              </w:rPr>
              <w:t>本期计提额</w:t>
            </w:r>
            <w:r>
              <w:rPr>
                <w:rFonts w:ascii="宋体" w:hAnsi="宋体" w:cs="宋体" w:eastAsia="宋体" w:hint="default"/>
                <w:sz w:val="21"/>
                <w:szCs w:val="21"/>
              </w:rPr>
            </w:r>
          </w:p>
        </w:tc>
        <w:tc>
          <w:tcPr>
            <w:tcW w:w="2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837" w:right="0"/>
              <w:jc w:val="left"/>
              <w:rPr>
                <w:rFonts w:ascii="宋体" w:hAnsi="宋体" w:cs="宋体" w:eastAsia="宋体" w:hint="default"/>
                <w:sz w:val="21"/>
                <w:szCs w:val="21"/>
              </w:rPr>
            </w:pPr>
            <w:r>
              <w:rPr>
                <w:rFonts w:ascii="宋体" w:hAnsi="宋体" w:cs="宋体" w:eastAsia="宋体" w:hint="default"/>
                <w:b/>
                <w:bCs/>
                <w:sz w:val="21"/>
                <w:szCs w:val="21"/>
              </w:rPr>
              <w:t>本期减少额</w:t>
            </w:r>
            <w:r>
              <w:rPr>
                <w:rFonts w:ascii="宋体" w:hAnsi="宋体" w:cs="宋体" w:eastAsia="宋体" w:hint="default"/>
                <w:sz w:val="21"/>
                <w:szCs w:val="21"/>
              </w:rPr>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before="141"/>
              <w:ind w:left="123" w:right="0"/>
              <w:jc w:val="left"/>
              <w:rPr>
                <w:rFonts w:ascii="宋体" w:hAnsi="宋体" w:cs="宋体" w:eastAsia="宋体" w:hint="default"/>
                <w:sz w:val="21"/>
                <w:szCs w:val="21"/>
              </w:rPr>
            </w:pPr>
            <w:r>
              <w:rPr>
                <w:rFonts w:ascii="宋体" w:hAnsi="宋体" w:cs="宋体" w:eastAsia="宋体" w:hint="default"/>
                <w:b/>
                <w:bCs/>
                <w:sz w:val="21"/>
                <w:szCs w:val="21"/>
              </w:rPr>
              <w:t>年末账面余额</w:t>
            </w:r>
            <w:r>
              <w:rPr>
                <w:rFonts w:ascii="宋体" w:hAnsi="宋体" w:cs="宋体" w:eastAsia="宋体" w:hint="default"/>
                <w:sz w:val="21"/>
                <w:szCs w:val="21"/>
              </w:rPr>
            </w:r>
          </w:p>
        </w:tc>
      </w:tr>
      <w:tr>
        <w:trPr>
          <w:trHeight w:val="322" w:hRule="exact"/>
        </w:trPr>
        <w:tc>
          <w:tcPr>
            <w:tcW w:w="1351" w:type="dxa"/>
            <w:vMerge/>
            <w:tcBorders>
              <w:left w:val="single" w:sz="4" w:space="0" w:color="000000"/>
              <w:bottom w:val="single" w:sz="4" w:space="0" w:color="000000"/>
              <w:right w:val="single" w:sz="4" w:space="0" w:color="000000"/>
            </w:tcBorders>
          </w:tcPr>
          <w:p>
            <w:pPr/>
          </w:p>
        </w:tc>
        <w:tc>
          <w:tcPr>
            <w:tcW w:w="1519" w:type="dxa"/>
            <w:vMerge/>
            <w:tcBorders>
              <w:left w:val="single" w:sz="4" w:space="0" w:color="000000"/>
              <w:bottom w:val="single" w:sz="4" w:space="0" w:color="000000"/>
              <w:right w:val="single" w:sz="4" w:space="0" w:color="000000"/>
            </w:tcBorders>
          </w:tcPr>
          <w:p>
            <w:pPr/>
          </w:p>
        </w:tc>
        <w:tc>
          <w:tcPr>
            <w:tcW w:w="1375" w:type="dxa"/>
            <w:vMerge/>
            <w:tcBorders>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转回</w:t>
            </w:r>
            <w:r>
              <w:rPr>
                <w:rFonts w:ascii="宋体" w:hAnsi="宋体" w:cs="宋体" w:eastAsia="宋体" w:hint="default"/>
                <w:sz w:val="21"/>
                <w:szCs w:val="21"/>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转销</w:t>
            </w:r>
            <w:r>
              <w:rPr>
                <w:rFonts w:ascii="宋体" w:hAnsi="宋体" w:cs="宋体" w:eastAsia="宋体" w:hint="default"/>
                <w:sz w:val="21"/>
                <w:szCs w:val="21"/>
              </w:rPr>
            </w:r>
          </w:p>
        </w:tc>
        <w:tc>
          <w:tcPr>
            <w:tcW w:w="1520" w:type="dxa"/>
            <w:vMerge/>
            <w:tcBorders>
              <w:left w:val="single" w:sz="4" w:space="0" w:color="000000"/>
              <w:bottom w:val="single" w:sz="4" w:space="0" w:color="000000"/>
              <w:right w:val="single" w:sz="4" w:space="0" w:color="000000"/>
            </w:tcBorders>
          </w:tcPr>
          <w:p>
            <w:pPr/>
          </w:p>
        </w:tc>
      </w:tr>
      <w:tr>
        <w:trPr>
          <w:trHeight w:val="323"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34" w:right="0"/>
              <w:jc w:val="left"/>
              <w:rPr>
                <w:rFonts w:ascii="Times New Roman" w:hAnsi="Times New Roman" w:cs="Times New Roman" w:eastAsia="Times New Roman" w:hint="default"/>
                <w:sz w:val="21"/>
                <w:szCs w:val="21"/>
              </w:rPr>
            </w:pPr>
            <w:r>
              <w:rPr>
                <w:rFonts w:ascii="Times New Roman"/>
                <w:sz w:val="21"/>
              </w:rPr>
              <w:t>37,856.86</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204,866.67</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82" w:right="0"/>
              <w:jc w:val="left"/>
              <w:rPr>
                <w:rFonts w:ascii="Times New Roman" w:hAnsi="Times New Roman" w:cs="Times New Roman" w:eastAsia="Times New Roman" w:hint="default"/>
                <w:sz w:val="21"/>
                <w:szCs w:val="21"/>
              </w:rPr>
            </w:pPr>
            <w:r>
              <w:rPr>
                <w:rFonts w:ascii="Times New Roman"/>
                <w:sz w:val="21"/>
              </w:rPr>
              <w:t>242,723.53</w:t>
            </w:r>
          </w:p>
        </w:tc>
      </w:tr>
      <w:tr>
        <w:trPr>
          <w:trHeight w:val="322"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81" w:right="0"/>
              <w:jc w:val="left"/>
              <w:rPr>
                <w:rFonts w:ascii="Times New Roman" w:hAnsi="Times New Roman" w:cs="Times New Roman" w:eastAsia="Times New Roman" w:hint="default"/>
                <w:sz w:val="21"/>
                <w:szCs w:val="21"/>
              </w:rPr>
            </w:pPr>
            <w:r>
              <w:rPr>
                <w:rFonts w:ascii="Times New Roman"/>
                <w:sz w:val="21"/>
              </w:rPr>
              <w:t>242,723.53</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-30.47</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82" w:right="0"/>
              <w:jc w:val="left"/>
              <w:rPr>
                <w:rFonts w:ascii="Times New Roman" w:hAnsi="Times New Roman" w:cs="Times New Roman" w:eastAsia="Times New Roman" w:hint="default"/>
                <w:sz w:val="21"/>
                <w:szCs w:val="21"/>
              </w:rPr>
            </w:pPr>
            <w:r>
              <w:rPr>
                <w:rFonts w:ascii="Times New Roman"/>
                <w:sz w:val="21"/>
              </w:rPr>
              <w:t>242,693.06</w:t>
            </w:r>
          </w:p>
        </w:tc>
      </w:tr>
    </w:tbl>
    <w:p>
      <w:pPr>
        <w:spacing w:line="240" w:lineRule="auto" w:before="4"/>
        <w:rPr>
          <w:rFonts w:ascii="宋体" w:hAnsi="宋体" w:cs="宋体" w:eastAsia="宋体" w:hint="default"/>
          <w:sz w:val="13"/>
          <w:szCs w:val="13"/>
        </w:rPr>
      </w:pPr>
    </w:p>
    <w:p>
      <w:pPr>
        <w:pStyle w:val="BodyText"/>
        <w:spacing w:line="240" w:lineRule="auto" w:before="35"/>
        <w:ind w:left="1140" w:right="0"/>
        <w:jc w:val="left"/>
      </w:pPr>
      <w:r>
        <w:rPr/>
        <w:t>3、本期核销的其他应收款为</w:t>
      </w:r>
      <w:r>
        <w:rPr>
          <w:spacing w:val="-56"/>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t>元。</w:t>
      </w:r>
    </w:p>
    <w:p>
      <w:pPr>
        <w:pStyle w:val="BodyText"/>
        <w:spacing w:line="240" w:lineRule="auto" w:before="69"/>
        <w:ind w:left="1140" w:right="0"/>
        <w:jc w:val="left"/>
        <w:rPr>
          <w:rFonts w:ascii="Times New Roman" w:hAnsi="Times New Roman" w:cs="Times New Roman" w:eastAsia="Times New Roman" w:hint="default"/>
        </w:rPr>
      </w:pPr>
      <w:r>
        <w:rPr/>
        <w:t>4</w:t>
      </w:r>
      <w:r>
        <w:rPr>
          <w:spacing w:val="-105"/>
        </w:rPr>
        <w:t>、</w:t>
      </w:r>
      <w:r>
        <w:rPr/>
        <w:t>年末其</w:t>
      </w:r>
      <w:r>
        <w:rPr>
          <w:spacing w:val="-2"/>
        </w:rPr>
        <w:t>他</w:t>
      </w:r>
      <w:r>
        <w:rPr/>
        <w:t>应收款中持本公司</w:t>
      </w:r>
      <w:r>
        <w:rPr>
          <w:spacing w:val="-67"/>
        </w:rPr>
        <w:t> </w:t>
      </w:r>
      <w:r>
        <w:rPr/>
        <w:t>5％以</w:t>
      </w:r>
      <w:r>
        <w:rPr>
          <w:spacing w:val="-105"/>
        </w:rPr>
        <w:t>上</w:t>
      </w:r>
      <w:r>
        <w:rPr/>
        <w:t>（含</w:t>
      </w:r>
      <w:r>
        <w:rPr>
          <w:spacing w:val="-67"/>
        </w:rPr>
        <w:t> </w:t>
      </w:r>
      <w:r>
        <w:rPr/>
        <w:t>5％</w:t>
      </w:r>
      <w:r>
        <w:rPr>
          <w:spacing w:val="-105"/>
        </w:rPr>
        <w:t>）</w:t>
      </w:r>
      <w:r>
        <w:rPr>
          <w:spacing w:val="-2"/>
        </w:rPr>
        <w:t>表</w:t>
      </w:r>
      <w:r>
        <w:rPr/>
        <w:t>决权股份的股东单位款项为</w:t>
      </w:r>
      <w:r>
        <w:rPr>
          <w:spacing w:val="-67"/>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w:t>
      </w:r>
      <w:r>
        <w:rPr>
          <w:rFonts w:ascii="Times New Roman" w:hAnsi="Times New Roman" w:cs="Times New Roman" w:eastAsia="Times New Roman" w:hint="default"/>
        </w:rPr>
        <w:t>6</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p>
    <w:p>
      <w:pPr>
        <w:pStyle w:val="BodyText"/>
        <w:spacing w:line="240" w:lineRule="auto" w:before="69"/>
        <w:ind w:left="720" w:right="0"/>
        <w:jc w:val="left"/>
      </w:pPr>
      <w:r>
        <w:rPr/>
        <w:t>元：</w:t>
      </w:r>
    </w:p>
    <w:p>
      <w:pPr>
        <w:spacing w:line="240" w:lineRule="auto" w:before="5"/>
        <w:rPr>
          <w:rFonts w:ascii="宋体" w:hAnsi="宋体" w:cs="宋体" w:eastAsia="宋体" w:hint="default"/>
          <w:sz w:val="14"/>
          <w:szCs w:val="14"/>
        </w:rPr>
      </w:pPr>
    </w:p>
    <w:tbl>
      <w:tblPr>
        <w:tblW w:w="0" w:type="auto"/>
        <w:jc w:val="left"/>
        <w:tblInd w:w="650" w:type="dxa"/>
        <w:tblLayout w:type="fixed"/>
        <w:tblCellMar>
          <w:top w:w="0" w:type="dxa"/>
          <w:left w:w="0" w:type="dxa"/>
          <w:bottom w:w="0" w:type="dxa"/>
          <w:right w:w="0" w:type="dxa"/>
        </w:tblCellMar>
        <w:tblLook w:val="01E0"/>
      </w:tblPr>
      <w:tblGrid>
        <w:gridCol w:w="2628"/>
        <w:gridCol w:w="1260"/>
        <w:gridCol w:w="1620"/>
        <w:gridCol w:w="1260"/>
        <w:gridCol w:w="1668"/>
      </w:tblGrid>
      <w:tr>
        <w:trPr>
          <w:trHeight w:val="323" w:hRule="exact"/>
        </w:trPr>
        <w:tc>
          <w:tcPr>
            <w:tcW w:w="2628" w:type="dxa"/>
            <w:vMerge w:val="restart"/>
            <w:tcBorders>
              <w:top w:val="single" w:sz="4" w:space="0" w:color="000000"/>
              <w:left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9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22" w:hRule="exact"/>
        </w:trPr>
        <w:tc>
          <w:tcPr>
            <w:tcW w:w="2628"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账面金额</w:t>
            </w:r>
            <w:r>
              <w:rPr>
                <w:rFonts w:ascii="宋体" w:hAnsi="宋体" w:cs="宋体" w:eastAsia="宋体"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计提坏账金额</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账面金额</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计提坏账金额</w:t>
            </w:r>
            <w:r>
              <w:rPr>
                <w:rFonts w:ascii="宋体" w:hAnsi="宋体" w:cs="宋体" w:eastAsia="宋体" w:hint="default"/>
                <w:sz w:val="21"/>
                <w:szCs w:val="21"/>
              </w:rPr>
            </w:r>
          </w:p>
        </w:tc>
      </w:tr>
      <w:tr>
        <w:trPr>
          <w:trHeight w:val="323"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3" w:right="0"/>
              <w:jc w:val="left"/>
              <w:rPr>
                <w:rFonts w:ascii="宋体" w:hAnsi="宋体" w:cs="宋体" w:eastAsia="宋体" w:hint="default"/>
                <w:sz w:val="21"/>
                <w:szCs w:val="21"/>
              </w:rPr>
            </w:pPr>
            <w:r>
              <w:rPr>
                <w:rFonts w:ascii="宋体" w:hAnsi="宋体" w:cs="宋体" w:eastAsia="宋体" w:hint="default"/>
                <w:sz w:val="21"/>
                <w:szCs w:val="21"/>
              </w:rPr>
              <w:t>广州无线电集团有限公司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13,610.00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4,192.50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7,210.00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4,016.05</w:t>
            </w:r>
          </w:p>
        </w:tc>
      </w:tr>
    </w:tbl>
    <w:p>
      <w:pPr>
        <w:spacing w:line="240" w:lineRule="auto" w:before="5"/>
        <w:rPr>
          <w:rFonts w:ascii="宋体" w:hAnsi="宋体" w:cs="宋体" w:eastAsia="宋体" w:hint="default"/>
          <w:sz w:val="16"/>
          <w:szCs w:val="16"/>
        </w:rPr>
      </w:pPr>
    </w:p>
    <w:p>
      <w:pPr>
        <w:pStyle w:val="BodyText"/>
        <w:spacing w:line="240" w:lineRule="auto" w:before="35"/>
        <w:ind w:left="1140" w:right="0"/>
        <w:jc w:val="left"/>
      </w:pPr>
      <w:r>
        <w:rPr/>
        <w:t>5、年末其他应收款中关联方其他应收款为</w:t>
      </w:r>
      <w:r>
        <w:rPr>
          <w:spacing w:val="-57"/>
        </w:rPr>
        <w:t> </w:t>
      </w:r>
      <w:r>
        <w:rPr>
          <w:rFonts w:ascii="Times New Roman" w:hAnsi="Times New Roman" w:cs="Times New Roman" w:eastAsia="Times New Roman" w:hint="default"/>
        </w:rPr>
        <w:t>82,603.70</w:t>
      </w:r>
      <w:r>
        <w:rPr>
          <w:rFonts w:ascii="Times New Roman" w:hAnsi="Times New Roman" w:cs="Times New Roman" w:eastAsia="Times New Roman" w:hint="default"/>
          <w:spacing w:val="-4"/>
        </w:rPr>
        <w:t> </w:t>
      </w:r>
      <w:r>
        <w:rPr/>
        <w:t>元：</w:t>
      </w:r>
    </w:p>
    <w:p>
      <w:pPr>
        <w:spacing w:line="240" w:lineRule="auto" w:before="2"/>
        <w:rPr>
          <w:rFonts w:ascii="宋体" w:hAnsi="宋体" w:cs="宋体" w:eastAsia="宋体" w:hint="default"/>
          <w:sz w:val="13"/>
          <w:szCs w:val="13"/>
        </w:rPr>
      </w:pPr>
    </w:p>
    <w:tbl>
      <w:tblPr>
        <w:tblW w:w="0" w:type="auto"/>
        <w:jc w:val="left"/>
        <w:tblInd w:w="494" w:type="dxa"/>
        <w:tblLayout w:type="fixed"/>
        <w:tblCellMar>
          <w:top w:w="0" w:type="dxa"/>
          <w:left w:w="0" w:type="dxa"/>
          <w:bottom w:w="0" w:type="dxa"/>
          <w:right w:w="0" w:type="dxa"/>
        </w:tblCellMar>
        <w:tblLook w:val="01E0"/>
      </w:tblPr>
      <w:tblGrid>
        <w:gridCol w:w="2988"/>
        <w:gridCol w:w="1193"/>
        <w:gridCol w:w="1687"/>
        <w:gridCol w:w="1193"/>
        <w:gridCol w:w="1687"/>
      </w:tblGrid>
      <w:tr>
        <w:trPr>
          <w:trHeight w:val="322" w:hRule="exact"/>
        </w:trPr>
        <w:tc>
          <w:tcPr>
            <w:tcW w:w="2988" w:type="dxa"/>
            <w:vMerge w:val="restart"/>
            <w:tcBorders>
              <w:top w:val="single" w:sz="4" w:space="0" w:color="000000"/>
              <w:left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23" w:hRule="exact"/>
        </w:trPr>
        <w:tc>
          <w:tcPr>
            <w:tcW w:w="2988" w:type="dxa"/>
            <w:vMerge/>
            <w:tcBorders>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账面金额</w:t>
            </w:r>
            <w:r>
              <w:rPr>
                <w:rFonts w:ascii="宋体" w:hAnsi="宋体" w:cs="宋体" w:eastAsia="宋体" w:hint="default"/>
                <w:sz w:val="21"/>
                <w:szCs w:val="21"/>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计提坏账金额</w:t>
            </w:r>
            <w:r>
              <w:rPr>
                <w:rFonts w:ascii="宋体" w:hAnsi="宋体" w:cs="宋体" w:eastAsia="宋体" w:hint="default"/>
                <w:sz w:val="21"/>
                <w:szCs w:val="21"/>
              </w:rPr>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69" w:right="0"/>
              <w:jc w:val="left"/>
              <w:rPr>
                <w:rFonts w:ascii="宋体" w:hAnsi="宋体" w:cs="宋体" w:eastAsia="宋体" w:hint="default"/>
                <w:sz w:val="21"/>
                <w:szCs w:val="21"/>
              </w:rPr>
            </w:pPr>
            <w:r>
              <w:rPr>
                <w:rFonts w:ascii="宋体" w:hAnsi="宋体" w:cs="宋体" w:eastAsia="宋体" w:hint="default"/>
                <w:b/>
                <w:bCs/>
                <w:sz w:val="21"/>
                <w:szCs w:val="21"/>
              </w:rPr>
              <w:t>账面金额</w:t>
            </w:r>
            <w:r>
              <w:rPr>
                <w:rFonts w:ascii="宋体" w:hAnsi="宋体" w:cs="宋体" w:eastAsia="宋体" w:hint="default"/>
                <w:sz w:val="21"/>
                <w:szCs w:val="21"/>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计提坏账金额</w:t>
            </w:r>
            <w:r>
              <w:rPr>
                <w:rFonts w:ascii="宋体" w:hAnsi="宋体" w:cs="宋体" w:eastAsia="宋体" w:hint="default"/>
                <w:sz w:val="21"/>
                <w:szCs w:val="21"/>
              </w:rPr>
            </w:r>
          </w:p>
        </w:tc>
      </w:tr>
      <w:tr>
        <w:trPr>
          <w:trHeight w:val="322"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广州无线电集团有限公司</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13,610.00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4,192.50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2" w:right="0"/>
              <w:jc w:val="left"/>
              <w:rPr>
                <w:rFonts w:ascii="Times New Roman" w:hAnsi="Times New Roman" w:cs="Times New Roman" w:eastAsia="Times New Roman" w:hint="default"/>
                <w:sz w:val="21"/>
                <w:szCs w:val="21"/>
              </w:rPr>
            </w:pPr>
            <w:r>
              <w:rPr>
                <w:rFonts w:ascii="Times New Roman"/>
                <w:sz w:val="21"/>
              </w:rPr>
              <w:t>7,210.00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4,016.05</w:t>
            </w:r>
          </w:p>
        </w:tc>
      </w:tr>
      <w:tr>
        <w:trPr>
          <w:trHeight w:val="322"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广州鑫广电物业服务有限公司</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68,993.70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3,449.69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70" w:right="0"/>
              <w:jc w:val="left"/>
              <w:rPr>
                <w:rFonts w:ascii="Times New Roman" w:hAnsi="Times New Roman" w:cs="Times New Roman" w:eastAsia="Times New Roman" w:hint="default"/>
                <w:sz w:val="21"/>
                <w:szCs w:val="21"/>
              </w:rPr>
            </w:pPr>
            <w:r>
              <w:rPr>
                <w:rFonts w:ascii="Times New Roman"/>
                <w:sz w:val="21"/>
              </w:rPr>
              <w:t>68,993.70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344.97</w:t>
            </w:r>
          </w:p>
        </w:tc>
      </w:tr>
      <w:tr>
        <w:trPr>
          <w:trHeight w:val="323"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82,603.70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7,642.19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70" w:right="0"/>
              <w:jc w:val="left"/>
              <w:rPr>
                <w:rFonts w:ascii="Times New Roman" w:hAnsi="Times New Roman" w:cs="Times New Roman" w:eastAsia="Times New Roman" w:hint="default"/>
                <w:sz w:val="21"/>
                <w:szCs w:val="21"/>
              </w:rPr>
            </w:pPr>
            <w:r>
              <w:rPr>
                <w:rFonts w:ascii="Times New Roman"/>
                <w:sz w:val="21"/>
              </w:rPr>
              <w:t>76,203.70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4,361.02</w:t>
            </w:r>
          </w:p>
        </w:tc>
      </w:tr>
    </w:tbl>
    <w:p>
      <w:pPr>
        <w:spacing w:after="0" w:line="240" w:lineRule="auto"/>
        <w:jc w:val="center"/>
        <w:rPr>
          <w:rFonts w:ascii="Times New Roman" w:hAnsi="Times New Roman" w:cs="Times New Roman" w:eastAsia="Times New Roman" w:hint="default"/>
          <w:sz w:val="21"/>
          <w:szCs w:val="21"/>
        </w:rPr>
        <w:sectPr>
          <w:pgSz w:w="11910" w:h="16840"/>
          <w:pgMar w:header="400" w:footer="982" w:top="1100" w:bottom="1180" w:left="1080" w:right="1060"/>
        </w:sectPr>
      </w:pPr>
    </w:p>
    <w:p>
      <w:pPr>
        <w:spacing w:line="240" w:lineRule="auto" w:before="12"/>
        <w:rPr>
          <w:rFonts w:ascii="宋体" w:hAnsi="宋体" w:cs="宋体" w:eastAsia="宋体" w:hint="default"/>
          <w:sz w:val="28"/>
          <w:szCs w:val="28"/>
        </w:rPr>
      </w:pPr>
    </w:p>
    <w:p>
      <w:pPr>
        <w:pStyle w:val="BodyText"/>
        <w:spacing w:line="240" w:lineRule="auto" w:before="35"/>
        <w:ind w:left="1060" w:right="635"/>
        <w:jc w:val="left"/>
      </w:pPr>
      <w:r>
        <w:rPr/>
        <w:t>6、年末其他应收款中欠款金额前五名：</w:t>
      </w:r>
    </w:p>
    <w:p>
      <w:pPr>
        <w:spacing w:line="240" w:lineRule="auto" w:before="4"/>
        <w:rPr>
          <w:rFonts w:ascii="宋体" w:hAnsi="宋体" w:cs="宋体" w:eastAsia="宋体" w:hint="default"/>
          <w:sz w:val="14"/>
          <w:szCs w:val="14"/>
        </w:rPr>
      </w:pPr>
    </w:p>
    <w:tbl>
      <w:tblPr>
        <w:tblW w:w="0" w:type="auto"/>
        <w:jc w:val="left"/>
        <w:tblInd w:w="790" w:type="dxa"/>
        <w:tblLayout w:type="fixed"/>
        <w:tblCellMar>
          <w:top w:w="0" w:type="dxa"/>
          <w:left w:w="0" w:type="dxa"/>
          <w:bottom w:w="0" w:type="dxa"/>
          <w:right w:w="0" w:type="dxa"/>
        </w:tblCellMar>
        <w:tblLook w:val="01E0"/>
      </w:tblPr>
      <w:tblGrid>
        <w:gridCol w:w="1696"/>
        <w:gridCol w:w="1620"/>
        <w:gridCol w:w="1800"/>
        <w:gridCol w:w="1260"/>
        <w:gridCol w:w="1620"/>
      </w:tblGrid>
      <w:tr>
        <w:trPr>
          <w:trHeight w:val="635" w:hRule="exact"/>
        </w:trPr>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b/>
                <w:bCs/>
                <w:sz w:val="21"/>
                <w:szCs w:val="21"/>
              </w:rPr>
              <w:t>债务人名称</w:t>
            </w:r>
            <w:r>
              <w:rPr>
                <w:rFonts w:ascii="宋体" w:hAnsi="宋体" w:cs="宋体" w:eastAsia="宋体"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性质或内容</w:t>
            </w:r>
            <w:r>
              <w:rPr>
                <w:rFonts w:ascii="宋体" w:hAnsi="宋体" w:cs="宋体" w:eastAsia="宋体" w:hint="default"/>
                <w:sz w:val="21"/>
                <w:szCs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占其他应收款</w:t>
            </w:r>
            <w:r>
              <w:rPr>
                <w:rFonts w:ascii="宋体" w:hAnsi="宋体" w:cs="宋体" w:eastAsia="宋体" w:hint="default"/>
                <w:sz w:val="21"/>
                <w:szCs w:val="21"/>
              </w:rPr>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b/>
                <w:bCs/>
                <w:sz w:val="21"/>
                <w:szCs w:val="21"/>
              </w:rPr>
              <w:t>总额的比例</w:t>
            </w:r>
            <w:r>
              <w:rPr>
                <w:rFonts w:ascii="宋体" w:hAnsi="宋体" w:cs="宋体" w:eastAsia="宋体" w:hint="default"/>
                <w:sz w:val="21"/>
                <w:szCs w:val="21"/>
              </w:rPr>
            </w:r>
          </w:p>
        </w:tc>
      </w:tr>
      <w:tr>
        <w:trPr>
          <w:trHeight w:val="322" w:hRule="exact"/>
        </w:trPr>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黄埔新港海关</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关税保证金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3,304,325.43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30.14%</w:t>
            </w:r>
          </w:p>
        </w:tc>
      </w:tr>
      <w:tr>
        <w:trPr>
          <w:trHeight w:val="322" w:hRule="exact"/>
        </w:trPr>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应收补贴款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应收出口退税</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2,844,016.92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25.94%</w:t>
            </w:r>
          </w:p>
        </w:tc>
      </w:tr>
      <w:tr>
        <w:trPr>
          <w:trHeight w:val="323" w:hRule="exact"/>
        </w:trPr>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投标押金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投标押金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690,000.00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6.29%</w:t>
            </w:r>
          </w:p>
        </w:tc>
      </w:tr>
      <w:tr>
        <w:trPr>
          <w:trHeight w:val="322" w:hRule="exact"/>
        </w:trPr>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左书庭</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pacing w:val="-8"/>
                <w:sz w:val="21"/>
                <w:szCs w:val="21"/>
              </w:rPr>
              <w:t>ATM</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测试借款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425,830.00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3.88%</w:t>
            </w:r>
          </w:p>
        </w:tc>
      </w:tr>
      <w:tr>
        <w:trPr>
          <w:trHeight w:val="322" w:hRule="exact"/>
        </w:trPr>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李名书</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pacing w:val="-8"/>
                <w:sz w:val="21"/>
                <w:szCs w:val="21"/>
              </w:rPr>
              <w:t>ATM</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测试借款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284,967.00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2.60%</w:t>
            </w:r>
          </w:p>
        </w:tc>
      </w:tr>
      <w:tr>
        <w:trPr>
          <w:trHeight w:val="323" w:hRule="exact"/>
        </w:trPr>
        <w:tc>
          <w:tcPr>
            <w:tcW w:w="1696"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7,549,139.35</w:t>
            </w: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68.85%</w:t>
            </w:r>
          </w:p>
        </w:tc>
      </w:tr>
    </w:tbl>
    <w:p>
      <w:pPr>
        <w:spacing w:line="240" w:lineRule="auto" w:before="4"/>
        <w:rPr>
          <w:rFonts w:ascii="宋体" w:hAnsi="宋体" w:cs="宋体" w:eastAsia="宋体" w:hint="default"/>
          <w:sz w:val="13"/>
          <w:szCs w:val="13"/>
        </w:rPr>
      </w:pPr>
    </w:p>
    <w:p>
      <w:pPr>
        <w:pStyle w:val="BodyText"/>
        <w:spacing w:line="240" w:lineRule="auto" w:before="35"/>
        <w:ind w:left="1060" w:right="635"/>
        <w:jc w:val="left"/>
      </w:pPr>
      <w:r>
        <w:rPr/>
        <w:t>7、年末其他应收款中没有发生其他应收款的转移。</w:t>
      </w:r>
    </w:p>
    <w:p>
      <w:pPr>
        <w:pStyle w:val="BodyText"/>
        <w:spacing w:line="240" w:lineRule="auto" w:before="85"/>
        <w:ind w:left="1060" w:right="635"/>
        <w:jc w:val="left"/>
      </w:pPr>
      <w:r>
        <w:rPr/>
        <w:t>8、年末其他应收款中没有以其他应收款为标的资产进行资产证券化的交易安排。</w:t>
      </w:r>
    </w:p>
    <w:p>
      <w:pPr>
        <w:pStyle w:val="BodyText"/>
        <w:spacing w:line="304" w:lineRule="auto" w:before="85"/>
        <w:ind w:left="640" w:right="637" w:firstLine="420"/>
        <w:jc w:val="both"/>
      </w:pPr>
      <w:r>
        <w:rPr>
          <w:spacing w:val="-2"/>
        </w:rPr>
        <w:t>9、其他事项说明：2006</w:t>
      </w:r>
      <w:r>
        <w:rPr>
          <w:spacing w:val="-46"/>
        </w:rPr>
        <w:t> </w:t>
      </w:r>
      <w:r>
        <w:rPr>
          <w:spacing w:val="-1"/>
        </w:rPr>
        <w:t>年，银行储户发现系统出错时在自助终端上多次取款，造成银</w:t>
      </w:r>
      <w:r>
        <w:rPr/>
        <w:t> 行损失</w:t>
      </w:r>
      <w:r>
        <w:rPr>
          <w:spacing w:val="-43"/>
        </w:rPr>
        <w:t> </w:t>
      </w:r>
      <w:r>
        <w:rPr>
          <w:rFonts w:ascii="Times New Roman" w:hAnsi="Times New Roman" w:cs="Times New Roman" w:eastAsia="Times New Roman" w:hint="default"/>
        </w:rPr>
        <w:t>178,004.00</w:t>
      </w:r>
      <w:r>
        <w:rPr>
          <w:rFonts w:ascii="Times New Roman" w:hAnsi="Times New Roman" w:cs="Times New Roman" w:eastAsia="Times New Roman" w:hint="default"/>
          <w:spacing w:val="12"/>
        </w:rPr>
        <w:t> </w:t>
      </w:r>
      <w:r>
        <w:rPr>
          <w:spacing w:val="-4"/>
        </w:rPr>
        <w:t>元，本公司已先行垫付，公司本着谨慎性原则，对该垫付款项全额计提了</w:t>
      </w:r>
      <w:r>
        <w:rPr>
          <w:spacing w:val="-102"/>
        </w:rPr>
        <w:t> </w:t>
      </w:r>
      <w:r>
        <w:rPr>
          <w:spacing w:val="-102"/>
        </w:rPr>
      </w:r>
      <w:r>
        <w:rPr/>
        <w:t>坏帐准备。</w:t>
      </w:r>
    </w:p>
    <w:p>
      <w:pPr>
        <w:spacing w:line="240" w:lineRule="auto" w:before="2"/>
        <w:rPr>
          <w:rFonts w:ascii="宋体" w:hAnsi="宋体" w:cs="宋体" w:eastAsia="宋体" w:hint="default"/>
          <w:sz w:val="17"/>
          <w:szCs w:val="17"/>
        </w:rPr>
      </w:pPr>
    </w:p>
    <w:p>
      <w:pPr>
        <w:pStyle w:val="Heading4"/>
        <w:spacing w:line="240" w:lineRule="auto"/>
        <w:ind w:left="1062" w:right="635"/>
        <w:jc w:val="left"/>
        <w:rPr>
          <w:b w:val="0"/>
          <w:bCs w:val="0"/>
        </w:rPr>
      </w:pPr>
      <w:r>
        <w:rPr/>
        <w:t>（三）长期股权投资</w:t>
      </w:r>
      <w:r>
        <w:rPr>
          <w:b w:val="0"/>
          <w:bCs w:val="0"/>
        </w:rPr>
      </w:r>
    </w:p>
    <w:p>
      <w:pPr>
        <w:spacing w:line="240" w:lineRule="auto" w:before="5"/>
        <w:rPr>
          <w:rFonts w:ascii="宋体" w:hAnsi="宋体" w:cs="宋体" w:eastAsia="宋体" w:hint="default"/>
          <w:b/>
          <w:bCs/>
          <w:sz w:val="14"/>
          <w:szCs w:val="14"/>
        </w:rPr>
      </w:pPr>
    </w:p>
    <w:tbl>
      <w:tblPr>
        <w:tblW w:w="0" w:type="auto"/>
        <w:jc w:val="left"/>
        <w:tblInd w:w="108" w:type="dxa"/>
        <w:tblLayout w:type="fixed"/>
        <w:tblCellMar>
          <w:top w:w="0" w:type="dxa"/>
          <w:left w:w="0" w:type="dxa"/>
          <w:bottom w:w="0" w:type="dxa"/>
          <w:right w:w="0" w:type="dxa"/>
        </w:tblCellMar>
        <w:tblLook w:val="01E0"/>
      </w:tblPr>
      <w:tblGrid>
        <w:gridCol w:w="4237"/>
        <w:gridCol w:w="1567"/>
        <w:gridCol w:w="1070"/>
        <w:gridCol w:w="1424"/>
        <w:gridCol w:w="1061"/>
      </w:tblGrid>
      <w:tr>
        <w:trPr>
          <w:trHeight w:val="323" w:hRule="exact"/>
        </w:trPr>
        <w:tc>
          <w:tcPr>
            <w:tcW w:w="4237" w:type="dxa"/>
            <w:vMerge w:val="restart"/>
            <w:tcBorders>
              <w:top w:val="single" w:sz="4" w:space="0" w:color="000000"/>
              <w:left w:val="single" w:sz="4" w:space="0" w:color="000000"/>
              <w:right w:val="single" w:sz="4" w:space="0" w:color="000000"/>
            </w:tcBorders>
          </w:tcPr>
          <w:p>
            <w:pPr>
              <w:pStyle w:val="TableParagraph"/>
              <w:spacing w:line="240" w:lineRule="auto" w:before="141"/>
              <w:ind w:left="1375" w:right="0"/>
              <w:jc w:val="left"/>
              <w:rPr>
                <w:rFonts w:ascii="宋体" w:hAnsi="宋体" w:cs="宋体" w:eastAsia="宋体" w:hint="default"/>
                <w:sz w:val="21"/>
                <w:szCs w:val="21"/>
              </w:rPr>
            </w:pPr>
            <w:r>
              <w:rPr>
                <w:rFonts w:ascii="宋体" w:hAnsi="宋体" w:cs="宋体" w:eastAsia="宋体" w:hint="default"/>
                <w:b/>
                <w:bCs/>
                <w:sz w:val="21"/>
                <w:szCs w:val="21"/>
              </w:rPr>
              <w:t>被投资单位名称</w:t>
            </w:r>
            <w:r>
              <w:rPr>
                <w:rFonts w:ascii="宋体" w:hAnsi="宋体" w:cs="宋体" w:eastAsia="宋体" w:hint="default"/>
                <w:sz w:val="21"/>
                <w:szCs w:val="21"/>
              </w:rPr>
            </w:r>
          </w:p>
        </w:tc>
        <w:tc>
          <w:tcPr>
            <w:tcW w:w="2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c>
          <w:tcPr>
            <w:tcW w:w="24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年初数</w:t>
            </w:r>
            <w:r>
              <w:rPr>
                <w:rFonts w:ascii="宋体" w:hAnsi="宋体" w:cs="宋体" w:eastAsia="宋体" w:hint="default"/>
                <w:sz w:val="21"/>
                <w:szCs w:val="21"/>
              </w:rPr>
            </w:r>
          </w:p>
        </w:tc>
      </w:tr>
      <w:tr>
        <w:trPr>
          <w:trHeight w:val="322" w:hRule="exact"/>
        </w:trPr>
        <w:tc>
          <w:tcPr>
            <w:tcW w:w="4237" w:type="dxa"/>
            <w:vMerge/>
            <w:tcBorders>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6"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r>
      <w:tr>
        <w:trPr>
          <w:trHeight w:val="322" w:hRule="exact"/>
        </w:trPr>
        <w:tc>
          <w:tcPr>
            <w:tcW w:w="423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深圳广电银通金融电子科技有限公司</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2"/>
              <w:jc w:val="right"/>
              <w:rPr>
                <w:rFonts w:ascii="Times New Roman" w:hAnsi="Times New Roman" w:cs="Times New Roman" w:eastAsia="Times New Roman" w:hint="default"/>
                <w:sz w:val="21"/>
                <w:szCs w:val="21"/>
              </w:rPr>
            </w:pPr>
            <w:r>
              <w:rPr>
                <w:rFonts w:ascii="Times New Roman"/>
                <w:spacing w:val="-1"/>
                <w:sz w:val="21"/>
              </w:rPr>
              <w:t>95,532,442.74</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0.00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95,532,442.74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0.00</w:t>
            </w:r>
          </w:p>
        </w:tc>
      </w:tr>
      <w:tr>
        <w:trPr>
          <w:trHeight w:val="323" w:hRule="exact"/>
        </w:trPr>
        <w:tc>
          <w:tcPr>
            <w:tcW w:w="423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广州穗通金融服务有限公司</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2"/>
              <w:jc w:val="right"/>
              <w:rPr>
                <w:rFonts w:ascii="Times New Roman" w:hAnsi="Times New Roman" w:cs="Times New Roman" w:eastAsia="Times New Roman" w:hint="default"/>
                <w:sz w:val="21"/>
                <w:szCs w:val="21"/>
              </w:rPr>
            </w:pPr>
            <w:r>
              <w:rPr>
                <w:rFonts w:ascii="Times New Roman"/>
                <w:spacing w:val="-1"/>
                <w:sz w:val="21"/>
              </w:rPr>
              <w:t>15,300,000.00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0.00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0.00</w:t>
            </w:r>
          </w:p>
        </w:tc>
      </w:tr>
      <w:tr>
        <w:trPr>
          <w:trHeight w:val="322" w:hRule="exact"/>
        </w:trPr>
        <w:tc>
          <w:tcPr>
            <w:tcW w:w="42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GRG Banking</w:t>
            </w:r>
            <w:r>
              <w:rPr>
                <w:rFonts w:ascii="Times New Roman" w:hAnsi="Times New Roman" w:cs="Times New Roman" w:eastAsia="Times New Roman" w:hint="default"/>
                <w:spacing w:val="-18"/>
                <w:sz w:val="21"/>
                <w:szCs w:val="21"/>
              </w:rPr>
              <w:t> </w:t>
            </w:r>
            <w:r>
              <w:rPr>
                <w:rFonts w:ascii="Times New Roman" w:hAnsi="Times New Roman" w:cs="Times New Roman" w:eastAsia="Times New Roman" w:hint="default"/>
                <w:sz w:val="21"/>
                <w:szCs w:val="21"/>
              </w:rPr>
              <w:t>Equipment</w:t>
            </w:r>
            <w:r>
              <w:rPr>
                <w:rFonts w:ascii="宋体" w:hAnsi="宋体" w:cs="宋体" w:eastAsia="宋体" w:hint="default"/>
                <w:sz w:val="21"/>
                <w:szCs w:val="21"/>
              </w:rPr>
              <w:t>（</w:t>
            </w:r>
            <w:r>
              <w:rPr>
                <w:rFonts w:ascii="Times New Roman" w:hAnsi="Times New Roman" w:cs="Times New Roman" w:eastAsia="Times New Roman" w:hint="default"/>
                <w:sz w:val="21"/>
                <w:szCs w:val="21"/>
              </w:rPr>
              <w:t>HK</w:t>
            </w:r>
            <w:r>
              <w:rPr>
                <w:rFonts w:ascii="宋体" w:hAnsi="宋体" w:cs="宋体" w:eastAsia="宋体" w:hint="default"/>
                <w:sz w:val="21"/>
                <w:szCs w:val="21"/>
              </w:rPr>
              <w:t>）</w:t>
            </w:r>
            <w:r>
              <w:rPr>
                <w:rFonts w:ascii="Times New Roman" w:hAnsi="Times New Roman" w:cs="Times New Roman" w:eastAsia="Times New Roman" w:hint="default"/>
                <w:sz w:val="21"/>
                <w:szCs w:val="21"/>
              </w:rPr>
              <w:t>Co.,Limited</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2"/>
              <w:jc w:val="right"/>
              <w:rPr>
                <w:rFonts w:ascii="Times New Roman" w:hAnsi="Times New Roman" w:cs="Times New Roman" w:eastAsia="Times New Roman" w:hint="default"/>
                <w:sz w:val="21"/>
                <w:szCs w:val="21"/>
              </w:rPr>
            </w:pPr>
            <w:r>
              <w:rPr>
                <w:rFonts w:ascii="Times New Roman"/>
                <w:spacing w:val="-1"/>
                <w:sz w:val="21"/>
              </w:rPr>
              <w:t>12,376,980.00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0.00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0.00</w:t>
            </w:r>
          </w:p>
        </w:tc>
      </w:tr>
      <w:tr>
        <w:trPr>
          <w:trHeight w:val="323" w:hRule="exact"/>
        </w:trPr>
        <w:tc>
          <w:tcPr>
            <w:tcW w:w="4237"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1"/>
              <w:jc w:val="right"/>
              <w:rPr>
                <w:rFonts w:ascii="Times New Roman" w:hAnsi="Times New Roman" w:cs="Times New Roman" w:eastAsia="Times New Roman" w:hint="default"/>
                <w:sz w:val="21"/>
                <w:szCs w:val="21"/>
              </w:rPr>
            </w:pPr>
            <w:r>
              <w:rPr>
                <w:rFonts w:ascii="Times New Roman"/>
                <w:spacing w:val="-1"/>
                <w:sz w:val="21"/>
              </w:rPr>
              <w:t>123,209,422.74</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0.00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95,532,442.74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0.00</w:t>
            </w:r>
          </w:p>
        </w:tc>
      </w:tr>
    </w:tbl>
    <w:p>
      <w:pPr>
        <w:spacing w:line="240" w:lineRule="auto" w:before="5"/>
        <w:rPr>
          <w:rFonts w:ascii="宋体" w:hAnsi="宋体" w:cs="宋体" w:eastAsia="宋体" w:hint="default"/>
          <w:b/>
          <w:bCs/>
          <w:sz w:val="16"/>
          <w:szCs w:val="16"/>
        </w:rPr>
      </w:pPr>
    </w:p>
    <w:p>
      <w:pPr>
        <w:pStyle w:val="BodyText"/>
        <w:spacing w:line="240" w:lineRule="auto" w:before="35"/>
        <w:ind w:left="1060" w:right="635"/>
        <w:jc w:val="left"/>
      </w:pPr>
      <w:r>
        <w:rPr/>
        <w:t>1、按成本法核算的长期股权投资</w:t>
      </w:r>
    </w:p>
    <w:p>
      <w:pPr>
        <w:spacing w:line="240" w:lineRule="auto" w:before="4"/>
        <w:rPr>
          <w:rFonts w:ascii="宋体" w:hAnsi="宋体" w:cs="宋体" w:eastAsia="宋体" w:hint="default"/>
          <w:sz w:val="14"/>
          <w:szCs w:val="14"/>
        </w:rPr>
      </w:pPr>
    </w:p>
    <w:tbl>
      <w:tblPr>
        <w:tblW w:w="0" w:type="auto"/>
        <w:jc w:val="left"/>
        <w:tblInd w:w="172" w:type="dxa"/>
        <w:tblLayout w:type="fixed"/>
        <w:tblCellMar>
          <w:top w:w="0" w:type="dxa"/>
          <w:left w:w="0" w:type="dxa"/>
          <w:bottom w:w="0" w:type="dxa"/>
          <w:right w:w="0" w:type="dxa"/>
        </w:tblCellMar>
        <w:tblLook w:val="01E0"/>
      </w:tblPr>
      <w:tblGrid>
        <w:gridCol w:w="2443"/>
        <w:gridCol w:w="1620"/>
        <w:gridCol w:w="1496"/>
        <w:gridCol w:w="1427"/>
        <w:gridCol w:w="1582"/>
        <w:gridCol w:w="664"/>
      </w:tblGrid>
      <w:tr>
        <w:trPr>
          <w:trHeight w:val="551" w:hRule="exact"/>
        </w:trPr>
        <w:tc>
          <w:tcPr>
            <w:tcW w:w="2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1"/>
                <w:szCs w:val="21"/>
              </w:rPr>
            </w:pPr>
            <w:r>
              <w:rPr>
                <w:rFonts w:ascii="宋体" w:hAnsi="宋体" w:cs="宋体" w:eastAsia="宋体" w:hint="default"/>
                <w:b/>
                <w:bCs/>
                <w:sz w:val="21"/>
                <w:szCs w:val="21"/>
              </w:rPr>
              <w:t>被投资单位名称</w:t>
            </w:r>
            <w:r>
              <w:rPr>
                <w:rFonts w:ascii="宋体" w:hAnsi="宋体" w:cs="宋体" w:eastAsia="宋体"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82" w:right="0"/>
              <w:jc w:val="left"/>
              <w:rPr>
                <w:rFonts w:ascii="宋体" w:hAnsi="宋体" w:cs="宋体" w:eastAsia="宋体" w:hint="default"/>
                <w:sz w:val="21"/>
                <w:szCs w:val="21"/>
              </w:rPr>
            </w:pPr>
            <w:r>
              <w:rPr>
                <w:rFonts w:ascii="宋体" w:hAnsi="宋体" w:cs="宋体" w:eastAsia="宋体" w:hint="default"/>
                <w:b/>
                <w:bCs/>
                <w:sz w:val="21"/>
                <w:szCs w:val="21"/>
              </w:rPr>
              <w:t>初始金额</w:t>
            </w:r>
            <w:r>
              <w:rPr>
                <w:rFonts w:ascii="宋体" w:hAnsi="宋体" w:cs="宋体" w:eastAsia="宋体" w:hint="default"/>
                <w:sz w:val="21"/>
                <w:szCs w:val="21"/>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0"/>
              <w:ind w:left="320" w:right="319" w:firstLine="211"/>
              <w:jc w:val="left"/>
              <w:rPr>
                <w:rFonts w:ascii="宋体" w:hAnsi="宋体" w:cs="宋体" w:eastAsia="宋体" w:hint="default"/>
                <w:sz w:val="21"/>
                <w:szCs w:val="21"/>
              </w:rPr>
            </w:pPr>
            <w:r>
              <w:rPr>
                <w:rFonts w:ascii="宋体" w:hAnsi="宋体" w:cs="宋体" w:eastAsia="宋体" w:hint="default"/>
                <w:b/>
                <w:bCs/>
                <w:sz w:val="21"/>
                <w:szCs w:val="21"/>
              </w:rPr>
              <w:t>年初</w:t>
            </w:r>
            <w:r>
              <w:rPr>
                <w:rFonts w:ascii="宋体" w:hAnsi="宋体" w:cs="宋体" w:eastAsia="宋体" w:hint="default"/>
                <w:b/>
                <w:bCs/>
                <w:spacing w:val="1"/>
                <w:w w:val="99"/>
                <w:sz w:val="21"/>
                <w:szCs w:val="21"/>
              </w:rPr>
              <w:t> </w:t>
            </w:r>
            <w:r>
              <w:rPr>
                <w:rFonts w:ascii="宋体" w:hAnsi="宋体" w:cs="宋体" w:eastAsia="宋体" w:hint="default"/>
                <w:b/>
                <w:bCs/>
                <w:sz w:val="21"/>
                <w:szCs w:val="21"/>
              </w:rPr>
              <w:t>账面余额</w:t>
            </w:r>
            <w:r>
              <w:rPr>
                <w:rFonts w:ascii="宋体" w:hAnsi="宋体" w:cs="宋体" w:eastAsia="宋体" w:hint="default"/>
                <w:sz w:val="21"/>
                <w:szCs w:val="21"/>
              </w:rPr>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0"/>
              <w:ind w:left="181" w:right="180" w:firstLine="315"/>
              <w:jc w:val="left"/>
              <w:rPr>
                <w:rFonts w:ascii="宋体" w:hAnsi="宋体" w:cs="宋体" w:eastAsia="宋体" w:hint="default"/>
                <w:sz w:val="21"/>
                <w:szCs w:val="21"/>
              </w:rPr>
            </w:pPr>
            <w:r>
              <w:rPr>
                <w:rFonts w:ascii="宋体" w:hAnsi="宋体" w:cs="宋体" w:eastAsia="宋体" w:hint="default"/>
                <w:b/>
                <w:bCs/>
                <w:sz w:val="21"/>
                <w:szCs w:val="21"/>
              </w:rPr>
              <w:t>本年</w:t>
            </w:r>
            <w:r>
              <w:rPr>
                <w:rFonts w:ascii="宋体" w:hAnsi="宋体" w:cs="宋体" w:eastAsia="宋体" w:hint="default"/>
                <w:b/>
                <w:bCs/>
                <w:spacing w:val="1"/>
                <w:w w:val="99"/>
                <w:sz w:val="21"/>
                <w:szCs w:val="21"/>
              </w:rPr>
              <w:t> </w:t>
            </w:r>
            <w:r>
              <w:rPr>
                <w:rFonts w:ascii="宋体" w:hAnsi="宋体" w:cs="宋体" w:eastAsia="宋体" w:hint="default"/>
                <w:b/>
                <w:bCs/>
                <w:sz w:val="21"/>
                <w:szCs w:val="21"/>
              </w:rPr>
              <w:t>投资增减额</w:t>
            </w:r>
            <w:r>
              <w:rPr>
                <w:rFonts w:ascii="宋体" w:hAnsi="宋体" w:cs="宋体" w:eastAsia="宋体" w:hint="default"/>
                <w:sz w:val="21"/>
                <w:szCs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0"/>
              <w:ind w:left="363" w:right="361" w:firstLine="211"/>
              <w:jc w:val="left"/>
              <w:rPr>
                <w:rFonts w:ascii="宋体" w:hAnsi="宋体" w:cs="宋体" w:eastAsia="宋体" w:hint="default"/>
                <w:sz w:val="21"/>
                <w:szCs w:val="21"/>
              </w:rPr>
            </w:pPr>
            <w:r>
              <w:rPr>
                <w:rFonts w:ascii="宋体" w:hAnsi="宋体" w:cs="宋体" w:eastAsia="宋体" w:hint="default"/>
                <w:b/>
                <w:bCs/>
                <w:sz w:val="21"/>
                <w:szCs w:val="21"/>
              </w:rPr>
              <w:t>年末</w:t>
            </w:r>
            <w:r>
              <w:rPr>
                <w:rFonts w:ascii="宋体" w:hAnsi="宋体" w:cs="宋体" w:eastAsia="宋体" w:hint="default"/>
                <w:b/>
                <w:bCs/>
                <w:spacing w:val="1"/>
                <w:w w:val="99"/>
                <w:sz w:val="21"/>
                <w:szCs w:val="21"/>
              </w:rPr>
              <w:t> </w:t>
            </w:r>
            <w:r>
              <w:rPr>
                <w:rFonts w:ascii="宋体" w:hAnsi="宋体" w:cs="宋体" w:eastAsia="宋体" w:hint="default"/>
                <w:b/>
                <w:bCs/>
                <w:sz w:val="21"/>
                <w:szCs w:val="21"/>
              </w:rPr>
              <w:t>账面余额</w:t>
            </w:r>
            <w:r>
              <w:rPr>
                <w:rFonts w:ascii="宋体" w:hAnsi="宋体" w:cs="宋体" w:eastAsia="宋体" w:hint="default"/>
                <w:sz w:val="21"/>
                <w:szCs w:val="21"/>
              </w:rPr>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0"/>
              <w:ind w:left="115" w:right="114"/>
              <w:jc w:val="left"/>
              <w:rPr>
                <w:rFonts w:ascii="宋体" w:hAnsi="宋体" w:cs="宋体" w:eastAsia="宋体" w:hint="default"/>
                <w:sz w:val="21"/>
                <w:szCs w:val="21"/>
              </w:rPr>
            </w:pPr>
            <w:r>
              <w:rPr>
                <w:rFonts w:ascii="宋体" w:hAnsi="宋体" w:cs="宋体" w:eastAsia="宋体" w:hint="default"/>
                <w:b/>
                <w:bCs/>
                <w:sz w:val="21"/>
                <w:szCs w:val="21"/>
              </w:rPr>
              <w:t>减值</w:t>
            </w:r>
            <w:r>
              <w:rPr>
                <w:rFonts w:ascii="宋体" w:hAnsi="宋体" w:cs="宋体" w:eastAsia="宋体" w:hint="default"/>
                <w:b/>
                <w:bCs/>
                <w:spacing w:val="1"/>
                <w:w w:val="99"/>
                <w:sz w:val="21"/>
                <w:szCs w:val="21"/>
              </w:rPr>
              <w:t> </w:t>
            </w:r>
            <w:r>
              <w:rPr>
                <w:rFonts w:ascii="宋体" w:hAnsi="宋体" w:cs="宋体" w:eastAsia="宋体" w:hint="default"/>
                <w:b/>
                <w:bCs/>
                <w:sz w:val="21"/>
                <w:szCs w:val="21"/>
              </w:rPr>
              <w:t>准备</w:t>
            </w:r>
            <w:r>
              <w:rPr>
                <w:rFonts w:ascii="宋体" w:hAnsi="宋体" w:cs="宋体" w:eastAsia="宋体" w:hint="default"/>
                <w:sz w:val="21"/>
                <w:szCs w:val="21"/>
              </w:rPr>
            </w:r>
          </w:p>
        </w:tc>
      </w:tr>
      <w:tr>
        <w:trPr>
          <w:trHeight w:val="558" w:hRule="exact"/>
        </w:trPr>
        <w:tc>
          <w:tcPr>
            <w:tcW w:w="24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3"/>
              <w:ind w:left="103" w:right="85"/>
              <w:jc w:val="left"/>
              <w:rPr>
                <w:rFonts w:ascii="宋体" w:hAnsi="宋体" w:cs="宋体" w:eastAsia="宋体" w:hint="default"/>
                <w:sz w:val="21"/>
                <w:szCs w:val="21"/>
              </w:rPr>
            </w:pPr>
            <w:r>
              <w:rPr>
                <w:rFonts w:ascii="宋体" w:hAnsi="宋体" w:cs="宋体" w:eastAsia="宋体" w:hint="default"/>
                <w:spacing w:val="13"/>
                <w:sz w:val="21"/>
                <w:szCs w:val="21"/>
              </w:rPr>
              <w:t>深圳广电银通金融电子</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科技有限公司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95,532,442.74</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pacing w:val="-1"/>
                <w:sz w:val="21"/>
              </w:rPr>
              <w:t>95,532,442.74</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Times New Roman" w:hAnsi="Times New Roman" w:cs="Times New Roman" w:eastAsia="Times New Roman" w:hint="default"/>
                <w:sz w:val="21"/>
                <w:szCs w:val="21"/>
              </w:rPr>
            </w:pPr>
            <w:r>
              <w:rPr>
                <w:rFonts w:ascii="Times New Roman"/>
                <w:spacing w:val="-1"/>
                <w:sz w:val="21"/>
              </w:rPr>
              <w:t>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58" w:right="0"/>
              <w:jc w:val="center"/>
              <w:rPr>
                <w:rFonts w:ascii="Times New Roman" w:hAnsi="Times New Roman" w:cs="Times New Roman" w:eastAsia="Times New Roman" w:hint="default"/>
                <w:sz w:val="21"/>
                <w:szCs w:val="21"/>
              </w:rPr>
            </w:pPr>
            <w:r>
              <w:rPr>
                <w:rFonts w:ascii="Times New Roman"/>
                <w:sz w:val="21"/>
              </w:rPr>
              <w:t>95,532,442.74</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Times New Roman" w:hAnsi="Times New Roman" w:cs="Times New Roman" w:eastAsia="Times New Roman" w:hint="default"/>
                <w:sz w:val="21"/>
                <w:szCs w:val="21"/>
              </w:rPr>
            </w:pPr>
            <w:r>
              <w:rPr>
                <w:rFonts w:ascii="Times New Roman"/>
                <w:spacing w:val="-1"/>
                <w:sz w:val="21"/>
              </w:rPr>
              <w:t>0.00</w:t>
            </w:r>
          </w:p>
        </w:tc>
      </w:tr>
      <w:tr>
        <w:trPr>
          <w:trHeight w:val="530" w:hRule="exact"/>
        </w:trPr>
        <w:tc>
          <w:tcPr>
            <w:tcW w:w="24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0"/>
              <w:ind w:left="103" w:right="85"/>
              <w:jc w:val="left"/>
              <w:rPr>
                <w:rFonts w:ascii="宋体" w:hAnsi="宋体" w:cs="宋体" w:eastAsia="宋体" w:hint="default"/>
                <w:sz w:val="21"/>
                <w:szCs w:val="21"/>
              </w:rPr>
            </w:pPr>
            <w:r>
              <w:rPr>
                <w:rFonts w:ascii="宋体" w:hAnsi="宋体" w:cs="宋体" w:eastAsia="宋体" w:hint="default"/>
                <w:spacing w:val="13"/>
                <w:sz w:val="21"/>
                <w:szCs w:val="21"/>
              </w:rPr>
              <w:t>广州穗通金融服务有限</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21"/>
                <w:szCs w:val="21"/>
              </w:rPr>
            </w:pPr>
            <w:r>
              <w:rPr>
                <w:rFonts w:ascii="Times New Roman"/>
                <w:spacing w:val="-1"/>
                <w:sz w:val="21"/>
              </w:rPr>
              <w:t>15,300,000.00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21"/>
                <w:szCs w:val="21"/>
              </w:rPr>
            </w:pPr>
            <w:r>
              <w:rPr>
                <w:rFonts w:ascii="Times New Roman"/>
                <w:spacing w:val="-1"/>
                <w:sz w:val="21"/>
              </w:rPr>
              <w:t>15,300,000.00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58" w:right="0"/>
              <w:jc w:val="center"/>
              <w:rPr>
                <w:rFonts w:ascii="Times New Roman" w:hAnsi="Times New Roman" w:cs="Times New Roman" w:eastAsia="Times New Roman" w:hint="default"/>
                <w:sz w:val="21"/>
                <w:szCs w:val="21"/>
              </w:rPr>
            </w:pPr>
            <w:r>
              <w:rPr>
                <w:rFonts w:ascii="Times New Roman"/>
                <w:sz w:val="21"/>
              </w:rPr>
              <w:t>15,300,000.00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Times New Roman" w:hAnsi="Times New Roman" w:cs="Times New Roman" w:eastAsia="Times New Roman" w:hint="default"/>
                <w:sz w:val="21"/>
                <w:szCs w:val="21"/>
              </w:rPr>
            </w:pPr>
            <w:r>
              <w:rPr>
                <w:rFonts w:ascii="Times New Roman"/>
                <w:spacing w:val="-1"/>
                <w:sz w:val="21"/>
              </w:rPr>
              <w:t>0.00</w:t>
            </w:r>
          </w:p>
        </w:tc>
      </w:tr>
      <w:tr>
        <w:trPr>
          <w:trHeight w:val="490" w:hRule="exact"/>
        </w:trPr>
        <w:tc>
          <w:tcPr>
            <w:tcW w:w="2443"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Times New Roman" w:hAnsi="Times New Roman" w:cs="Times New Roman" w:eastAsia="Times New Roman" w:hint="default"/>
                <w:sz w:val="21"/>
                <w:szCs w:val="21"/>
              </w:rPr>
            </w:pPr>
            <w:r>
              <w:rPr>
                <w:rFonts w:ascii="Times New Roman"/>
                <w:sz w:val="21"/>
              </w:rPr>
              <w:t>GRG Banking</w:t>
            </w:r>
            <w:r>
              <w:rPr>
                <w:rFonts w:ascii="Times New Roman"/>
                <w:spacing w:val="36"/>
                <w:sz w:val="21"/>
              </w:rPr>
              <w:t> </w:t>
            </w:r>
            <w:r>
              <w:rPr>
                <w:rFonts w:ascii="Times New Roman"/>
                <w:sz w:val="21"/>
              </w:rPr>
              <w:t>Equipment</w:t>
            </w:r>
          </w:p>
          <w:p>
            <w:pPr>
              <w:pStyle w:val="TableParagraph"/>
              <w:spacing w:line="265"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HK</w:t>
            </w:r>
            <w:r>
              <w:rPr>
                <w:rFonts w:ascii="宋体" w:hAnsi="宋体" w:cs="宋体" w:eastAsia="宋体" w:hint="default"/>
                <w:sz w:val="21"/>
                <w:szCs w:val="21"/>
              </w:rPr>
              <w:t>）</w:t>
            </w:r>
            <w:r>
              <w:rPr>
                <w:rFonts w:ascii="Times New Roman" w:hAnsi="Times New Roman" w:cs="Times New Roman" w:eastAsia="Times New Roman" w:hint="default"/>
                <w:sz w:val="21"/>
                <w:szCs w:val="21"/>
              </w:rPr>
              <w:t>Co.,Limited</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12,376,980.00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12,376,980.00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58" w:right="0"/>
              <w:jc w:val="center"/>
              <w:rPr>
                <w:rFonts w:ascii="Times New Roman" w:hAnsi="Times New Roman" w:cs="Times New Roman" w:eastAsia="Times New Roman" w:hint="default"/>
                <w:sz w:val="21"/>
                <w:szCs w:val="21"/>
              </w:rPr>
            </w:pPr>
            <w:r>
              <w:rPr>
                <w:rFonts w:ascii="Times New Roman"/>
                <w:sz w:val="21"/>
              </w:rPr>
              <w:t>12,376,980.00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Times New Roman" w:hAnsi="Times New Roman" w:cs="Times New Roman" w:eastAsia="Times New Roman" w:hint="default"/>
                <w:sz w:val="21"/>
                <w:szCs w:val="21"/>
              </w:rPr>
            </w:pPr>
            <w:r>
              <w:rPr>
                <w:rFonts w:ascii="Times New Roman"/>
                <w:spacing w:val="-1"/>
                <w:sz w:val="21"/>
              </w:rPr>
              <w:t>0.00</w:t>
            </w:r>
          </w:p>
        </w:tc>
      </w:tr>
      <w:tr>
        <w:trPr>
          <w:trHeight w:val="469" w:hRule="exact"/>
        </w:trPr>
        <w:tc>
          <w:tcPr>
            <w:tcW w:w="2443"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2"/>
              <w:jc w:val="right"/>
              <w:rPr>
                <w:rFonts w:ascii="Times New Roman" w:hAnsi="Times New Roman" w:cs="Times New Roman" w:eastAsia="Times New Roman" w:hint="default"/>
                <w:sz w:val="21"/>
                <w:szCs w:val="21"/>
              </w:rPr>
            </w:pPr>
            <w:r>
              <w:rPr>
                <w:rFonts w:ascii="Times New Roman"/>
                <w:spacing w:val="-1"/>
                <w:sz w:val="21"/>
              </w:rPr>
              <w:t>123,209,422.74</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21"/>
                <w:szCs w:val="21"/>
              </w:rPr>
            </w:pPr>
            <w:r>
              <w:rPr>
                <w:rFonts w:ascii="Times New Roman"/>
                <w:spacing w:val="-1"/>
                <w:sz w:val="21"/>
              </w:rPr>
              <w:t>95,532,442.74</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21"/>
                <w:szCs w:val="21"/>
              </w:rPr>
            </w:pPr>
            <w:r>
              <w:rPr>
                <w:rFonts w:ascii="Times New Roman"/>
                <w:spacing w:val="-1"/>
                <w:sz w:val="21"/>
              </w:rPr>
              <w:t>27,676,980.00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0" w:right="0"/>
              <w:jc w:val="center"/>
              <w:rPr>
                <w:rFonts w:ascii="Times New Roman" w:hAnsi="Times New Roman" w:cs="Times New Roman" w:eastAsia="Times New Roman" w:hint="default"/>
                <w:sz w:val="21"/>
                <w:szCs w:val="21"/>
              </w:rPr>
            </w:pPr>
            <w:r>
              <w:rPr>
                <w:rFonts w:ascii="Times New Roman"/>
                <w:sz w:val="21"/>
              </w:rPr>
              <w:t>123,209,422.74</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2"/>
              <w:jc w:val="right"/>
              <w:rPr>
                <w:rFonts w:ascii="Times New Roman" w:hAnsi="Times New Roman" w:cs="Times New Roman" w:eastAsia="Times New Roman" w:hint="default"/>
                <w:sz w:val="21"/>
                <w:szCs w:val="21"/>
              </w:rPr>
            </w:pPr>
            <w:r>
              <w:rPr>
                <w:rFonts w:ascii="Times New Roman"/>
                <w:spacing w:val="-1"/>
                <w:sz w:val="21"/>
              </w:rPr>
              <w:t>0.00</w:t>
            </w:r>
          </w:p>
        </w:tc>
      </w:tr>
    </w:tbl>
    <w:p>
      <w:pPr>
        <w:pStyle w:val="BodyText"/>
        <w:spacing w:line="297" w:lineRule="auto" w:before="53"/>
        <w:ind w:left="639" w:right="529" w:firstLine="420"/>
        <w:jc w:val="left"/>
      </w:pPr>
      <w:r>
        <w:rPr/>
        <w:t>注</w:t>
      </w:r>
      <w:r>
        <w:rPr>
          <w:spacing w:val="-53"/>
        </w:rPr>
        <w:t> </w:t>
      </w:r>
      <w:r>
        <w:rPr>
          <w:spacing w:val="-9"/>
        </w:rPr>
        <w:t>1：广州穗通金融服务有限公司，于</w:t>
      </w:r>
      <w:r>
        <w:rPr>
          <w:spacing w:val="-52"/>
        </w:rPr>
        <w:t> </w:t>
      </w:r>
      <w:r>
        <w:rPr/>
        <w:t>2008</w:t>
      </w:r>
      <w:r>
        <w:rPr>
          <w:spacing w:val="-52"/>
        </w:rPr>
        <w:t> </w:t>
      </w:r>
      <w:r>
        <w:rPr/>
        <w:t>年</w:t>
      </w:r>
      <w:r>
        <w:rPr>
          <w:spacing w:val="-52"/>
        </w:rPr>
        <w:t> </w:t>
      </w:r>
      <w:r>
        <w:rPr>
          <w:spacing w:val="17"/>
        </w:rPr>
        <w:t>12月</w:t>
      </w:r>
      <w:r>
        <w:rPr>
          <w:spacing w:val="-54"/>
        </w:rPr>
        <w:t> </w:t>
      </w:r>
      <w:r>
        <w:rPr/>
        <w:t>30</w:t>
      </w:r>
      <w:r>
        <w:rPr>
          <w:spacing w:val="-52"/>
        </w:rPr>
        <w:t> </w:t>
      </w:r>
      <w:r>
        <w:rPr>
          <w:spacing w:val="-8"/>
        </w:rPr>
        <w:t>日成立，注册资本为</w:t>
      </w:r>
      <w:r>
        <w:rPr>
          <w:spacing w:val="-53"/>
        </w:rPr>
        <w:t> </w:t>
      </w:r>
      <w:r>
        <w:rPr>
          <w:rFonts w:ascii="Times New Roman" w:hAnsi="Times New Roman" w:cs="Times New Roman" w:eastAsia="Times New Roman" w:hint="default"/>
        </w:rPr>
        <w:t>3,000 </w:t>
      </w:r>
      <w:r>
        <w:rPr/>
        <w:t>万元， 其中公司出资</w:t>
      </w:r>
      <w:r>
        <w:rPr>
          <w:spacing w:val="-55"/>
        </w:rPr>
        <w:t> </w:t>
      </w:r>
      <w:r>
        <w:rPr>
          <w:rFonts w:ascii="Times New Roman" w:hAnsi="Times New Roman" w:cs="Times New Roman" w:eastAsia="Times New Roman" w:hint="default"/>
        </w:rPr>
        <w:t>1,530</w:t>
      </w:r>
      <w:r>
        <w:rPr>
          <w:rFonts w:ascii="Times New Roman" w:hAnsi="Times New Roman" w:cs="Times New Roman" w:eastAsia="Times New Roman" w:hint="default"/>
          <w:spacing w:val="49"/>
        </w:rPr>
        <w:t> </w:t>
      </w:r>
      <w:r>
        <w:rPr>
          <w:spacing w:val="-3"/>
        </w:rPr>
        <w:t>万元，占比</w:t>
      </w:r>
      <w:r>
        <w:rPr>
          <w:spacing w:val="-55"/>
        </w:rPr>
        <w:t> </w:t>
      </w:r>
      <w:r>
        <w:rPr>
          <w:rFonts w:ascii="Times New Roman" w:hAnsi="Times New Roman" w:cs="Times New Roman" w:eastAsia="Times New Roman" w:hint="default"/>
        </w:rPr>
        <w:t>51</w:t>
      </w:r>
      <w:r>
        <w:rPr/>
        <w:t>％；广州汇卓出资</w:t>
      </w:r>
      <w:r>
        <w:rPr>
          <w:spacing w:val="-55"/>
        </w:rPr>
        <w:t> </w:t>
      </w:r>
      <w:r>
        <w:rPr>
          <w:rFonts w:ascii="Times New Roman" w:hAnsi="Times New Roman" w:cs="Times New Roman" w:eastAsia="Times New Roman" w:hint="default"/>
        </w:rPr>
        <w:t>870</w:t>
      </w:r>
      <w:r>
        <w:rPr>
          <w:rFonts w:ascii="Times New Roman" w:hAnsi="Times New Roman" w:cs="Times New Roman" w:eastAsia="Times New Roman" w:hint="default"/>
          <w:spacing w:val="48"/>
        </w:rPr>
        <w:t> </w:t>
      </w:r>
      <w:r>
        <w:rPr>
          <w:spacing w:val="-3"/>
        </w:rPr>
        <w:t>万元，占比</w:t>
      </w:r>
      <w:r>
        <w:rPr>
          <w:spacing w:val="-55"/>
        </w:rPr>
        <w:t> </w:t>
      </w:r>
      <w:r>
        <w:rPr>
          <w:rFonts w:ascii="Times New Roman" w:hAnsi="Times New Roman" w:cs="Times New Roman" w:eastAsia="Times New Roman" w:hint="default"/>
        </w:rPr>
        <w:t>29</w:t>
      </w:r>
      <w:r>
        <w:rPr/>
        <w:t>％；广州东亚出资 </w:t>
      </w:r>
      <w:r>
        <w:rPr>
          <w:rFonts w:ascii="Times New Roman" w:hAnsi="Times New Roman" w:cs="Times New Roman" w:eastAsia="Times New Roman" w:hint="default"/>
        </w:rPr>
        <w:t>360</w:t>
      </w:r>
      <w:r>
        <w:rPr>
          <w:rFonts w:ascii="Times New Roman" w:hAnsi="Times New Roman" w:cs="Times New Roman" w:eastAsia="Times New Roman" w:hint="default"/>
          <w:spacing w:val="-4"/>
        </w:rPr>
        <w:t> </w:t>
      </w:r>
      <w:r>
        <w:rPr>
          <w:spacing w:val="-3"/>
        </w:rPr>
        <w:t>万元，占比</w:t>
      </w:r>
      <w:r>
        <w:rPr>
          <w:spacing w:val="-57"/>
        </w:rPr>
        <w:t> </w:t>
      </w:r>
      <w:r>
        <w:rPr>
          <w:rFonts w:ascii="Times New Roman" w:hAnsi="Times New Roman" w:cs="Times New Roman" w:eastAsia="Times New Roman" w:hint="default"/>
        </w:rPr>
        <w:t>12</w:t>
      </w:r>
      <w:r>
        <w:rPr/>
        <w:t>％；广州穗保出资</w:t>
      </w:r>
      <w:r>
        <w:rPr>
          <w:spacing w:val="-57"/>
        </w:rPr>
        <w:t> </w:t>
      </w:r>
      <w:r>
        <w:rPr>
          <w:rFonts w:ascii="Times New Roman" w:hAnsi="Times New Roman" w:cs="Times New Roman" w:eastAsia="Times New Roman" w:hint="default"/>
        </w:rPr>
        <w:t>240</w:t>
      </w:r>
      <w:r>
        <w:rPr>
          <w:rFonts w:ascii="Times New Roman" w:hAnsi="Times New Roman" w:cs="Times New Roman" w:eastAsia="Times New Roman" w:hint="default"/>
          <w:spacing w:val="-4"/>
        </w:rPr>
        <w:t> </w:t>
      </w:r>
      <w:r>
        <w:rPr>
          <w:spacing w:val="-3"/>
        </w:rPr>
        <w:t>万元，占比</w:t>
      </w:r>
      <w:r>
        <w:rPr>
          <w:spacing w:val="-57"/>
        </w:rPr>
        <w:t> </w:t>
      </w:r>
      <w:r>
        <w:rPr>
          <w:rFonts w:ascii="Times New Roman" w:hAnsi="Times New Roman" w:cs="Times New Roman" w:eastAsia="Times New Roman" w:hint="default"/>
        </w:rPr>
        <w:t>8</w:t>
      </w:r>
      <w:r>
        <w:rPr/>
        <w:t>％。注册地址为广州市天河区黄埔大</w:t>
      </w:r>
    </w:p>
    <w:p>
      <w:pPr>
        <w:pStyle w:val="BodyText"/>
        <w:spacing w:line="240" w:lineRule="auto" w:before="13"/>
        <w:ind w:left="639" w:right="529"/>
        <w:jc w:val="left"/>
      </w:pPr>
      <w:r>
        <w:rPr/>
        <w:t>道西平云路</w:t>
      </w:r>
      <w:r>
        <w:rPr>
          <w:spacing w:val="-52"/>
        </w:rPr>
        <w:t> </w:t>
      </w:r>
      <w:r>
        <w:rPr/>
        <w:t>163</w:t>
      </w:r>
      <w:r>
        <w:rPr>
          <w:spacing w:val="-51"/>
        </w:rPr>
        <w:t> </w:t>
      </w:r>
      <w:r>
        <w:rPr>
          <w:spacing w:val="-3"/>
        </w:rPr>
        <w:t>号通讯车间大楼七楼东面，法定代表人为赵友永，取得广州市工商行政管理</w:t>
      </w:r>
    </w:p>
    <w:p>
      <w:pPr>
        <w:pStyle w:val="BodyText"/>
        <w:spacing w:line="314" w:lineRule="auto" w:before="85"/>
        <w:ind w:left="639" w:right="623"/>
        <w:jc w:val="left"/>
      </w:pPr>
      <w:r>
        <w:rPr/>
        <w:t>局签发注册号为</w:t>
      </w:r>
      <w:r>
        <w:rPr>
          <w:spacing w:val="-50"/>
        </w:rPr>
        <w:t> </w:t>
      </w:r>
      <w:r>
        <w:rPr/>
        <w:t>4401011112159</w:t>
      </w:r>
      <w:r>
        <w:rPr>
          <w:spacing w:val="-49"/>
        </w:rPr>
        <w:t> </w:t>
      </w:r>
      <w:r>
        <w:rPr>
          <w:spacing w:val="-4"/>
        </w:rPr>
        <w:t>的企业法人营业执照，经营范围为：受银行委托对自动柜员</w:t>
      </w:r>
      <w:r>
        <w:rPr/>
        <w:t> 机进行维护及管理，对现金及有价证券提供清分处理服务。</w:t>
      </w:r>
    </w:p>
    <w:p>
      <w:pPr>
        <w:pStyle w:val="BodyText"/>
        <w:spacing w:line="314" w:lineRule="auto" w:before="20"/>
        <w:ind w:left="639" w:right="529" w:firstLine="420"/>
        <w:jc w:val="left"/>
      </w:pPr>
      <w:r>
        <w:rPr/>
        <w:t>注</w:t>
      </w:r>
      <w:r>
        <w:rPr>
          <w:spacing w:val="-55"/>
        </w:rPr>
        <w:t> </w:t>
      </w:r>
      <w:r>
        <w:rPr/>
        <w:t>2：GRG</w:t>
      </w:r>
      <w:r>
        <w:rPr>
          <w:spacing w:val="-35"/>
        </w:rPr>
        <w:t> </w:t>
      </w:r>
      <w:r>
        <w:rPr/>
        <w:t>Banking</w:t>
      </w:r>
      <w:r>
        <w:rPr>
          <w:spacing w:val="-35"/>
        </w:rPr>
        <w:t> </w:t>
      </w:r>
      <w:r>
        <w:rPr/>
        <w:t>Equipment(HK)</w:t>
      </w:r>
      <w:r>
        <w:rPr>
          <w:spacing w:val="-35"/>
        </w:rPr>
        <w:t> </w:t>
      </w:r>
      <w:r>
        <w:rPr/>
        <w:t>Co.,Limited</w:t>
      </w:r>
      <w:r>
        <w:rPr>
          <w:spacing w:val="-54"/>
        </w:rPr>
        <w:t> </w:t>
      </w:r>
      <w:r>
        <w:rPr/>
        <w:t>成立于</w:t>
      </w:r>
      <w:r>
        <w:rPr>
          <w:spacing w:val="-55"/>
        </w:rPr>
        <w:t> </w:t>
      </w:r>
      <w:r>
        <w:rPr/>
        <w:t>2008</w:t>
      </w:r>
      <w:r>
        <w:rPr>
          <w:spacing w:val="-54"/>
        </w:rPr>
        <w:t> </w:t>
      </w:r>
      <w:r>
        <w:rPr/>
        <w:t>年</w:t>
      </w:r>
      <w:r>
        <w:rPr>
          <w:spacing w:val="-56"/>
        </w:rPr>
        <w:t> </w:t>
      </w:r>
      <w:r>
        <w:rPr/>
        <w:t>10</w:t>
      </w:r>
      <w:r>
        <w:rPr>
          <w:spacing w:val="-55"/>
        </w:rPr>
        <w:t> </w:t>
      </w:r>
      <w:r>
        <w:rPr/>
        <w:t>月</w:t>
      </w:r>
      <w:r>
        <w:rPr>
          <w:spacing w:val="-55"/>
        </w:rPr>
        <w:t> </w:t>
      </w:r>
      <w:r>
        <w:rPr/>
        <w:t>27</w:t>
      </w:r>
      <w:r>
        <w:rPr>
          <w:spacing w:val="-54"/>
        </w:rPr>
        <w:t> </w:t>
      </w:r>
      <w:r>
        <w:rPr/>
        <w:t>日，注册资本</w:t>
      </w:r>
      <w:r>
        <w:rPr/>
        <w:t> 为美元</w:t>
      </w:r>
      <w:r>
        <w:rPr>
          <w:spacing w:val="-59"/>
        </w:rPr>
        <w:t> </w:t>
      </w:r>
      <w:r>
        <w:rPr>
          <w:rFonts w:ascii="Times New Roman" w:hAnsi="Times New Roman" w:cs="Times New Roman" w:eastAsia="Times New Roman" w:hint="default"/>
          <w:spacing w:val="-1"/>
        </w:rPr>
        <w:t>30.00</w:t>
      </w:r>
      <w:r>
        <w:rPr>
          <w:rFonts w:ascii="Times New Roman" w:hAnsi="Times New Roman" w:cs="Times New Roman" w:eastAsia="Times New Roman" w:hint="default"/>
          <w:spacing w:val="-7"/>
        </w:rPr>
        <w:t> </w:t>
      </w:r>
      <w:r>
        <w:rPr>
          <w:spacing w:val="-12"/>
        </w:rPr>
        <w:t>万元，投资总额美元</w:t>
      </w:r>
      <w:r>
        <w:rPr>
          <w:spacing w:val="-59"/>
        </w:rPr>
        <w:t> </w:t>
      </w:r>
      <w:r>
        <w:rPr>
          <w:rFonts w:ascii="Times New Roman" w:hAnsi="Times New Roman" w:cs="Times New Roman" w:eastAsia="Times New Roman" w:hint="default"/>
          <w:spacing w:val="-1"/>
        </w:rPr>
        <w:t>300.00</w:t>
      </w:r>
      <w:r>
        <w:rPr>
          <w:rFonts w:ascii="Times New Roman" w:hAnsi="Times New Roman" w:cs="Times New Roman" w:eastAsia="Times New Roman" w:hint="default"/>
          <w:spacing w:val="-6"/>
        </w:rPr>
        <w:t> </w:t>
      </w:r>
      <w:r>
        <w:rPr>
          <w:spacing w:val="-9"/>
        </w:rPr>
        <w:t>万元。其中本公司出资美元</w:t>
      </w:r>
      <w:r>
        <w:rPr>
          <w:spacing w:val="-59"/>
        </w:rPr>
        <w:t> </w:t>
      </w:r>
      <w:r>
        <w:rPr>
          <w:rFonts w:ascii="Times New Roman" w:hAnsi="Times New Roman" w:cs="Times New Roman" w:eastAsia="Times New Roman" w:hint="default"/>
          <w:spacing w:val="-1"/>
        </w:rPr>
        <w:t>300.00</w:t>
      </w:r>
      <w:r>
        <w:rPr>
          <w:rFonts w:ascii="Times New Roman" w:hAnsi="Times New Roman" w:cs="Times New Roman" w:eastAsia="Times New Roman" w:hint="default"/>
          <w:spacing w:val="-7"/>
        </w:rPr>
        <w:t> </w:t>
      </w:r>
      <w:r>
        <w:rPr>
          <w:spacing w:val="-21"/>
        </w:rPr>
        <w:t>万元，占比</w:t>
      </w:r>
      <w:r>
        <w:rPr>
          <w:spacing w:val="-59"/>
        </w:rPr>
        <w:t> </w:t>
      </w:r>
      <w:r>
        <w:rPr>
          <w:rFonts w:ascii="Times New Roman" w:hAnsi="Times New Roman" w:cs="Times New Roman" w:eastAsia="Times New Roman" w:hint="default"/>
          <w:spacing w:val="-1"/>
        </w:rPr>
        <w:t>100%</w:t>
      </w:r>
      <w:r>
        <w:rPr>
          <w:spacing w:val="-1"/>
        </w:rPr>
        <w:t>，</w:t>
      </w:r>
    </w:p>
    <w:p>
      <w:pPr>
        <w:spacing w:after="0" w:line="314" w:lineRule="auto"/>
        <w:jc w:val="left"/>
        <w:sectPr>
          <w:pgSz w:w="11910" w:h="16840"/>
          <w:pgMar w:header="400" w:footer="982" w:top="1100" w:bottom="1180" w:left="1160" w:right="1160"/>
        </w:sectPr>
      </w:pPr>
    </w:p>
    <w:p>
      <w:pPr>
        <w:spacing w:line="240" w:lineRule="auto" w:before="12"/>
        <w:rPr>
          <w:rFonts w:ascii="宋体" w:hAnsi="宋体" w:cs="宋体" w:eastAsia="宋体" w:hint="default"/>
          <w:sz w:val="25"/>
          <w:szCs w:val="25"/>
        </w:rPr>
      </w:pPr>
    </w:p>
    <w:p>
      <w:pPr>
        <w:pStyle w:val="BodyText"/>
        <w:spacing w:line="240" w:lineRule="auto" w:before="35"/>
        <w:ind w:left="740" w:right="0"/>
        <w:jc w:val="left"/>
      </w:pPr>
      <w:r>
        <w:rPr/>
        <w:t>截止报表日止，已投资美元 </w:t>
      </w:r>
      <w:r>
        <w:rPr>
          <w:rFonts w:ascii="Times New Roman" w:hAnsi="Times New Roman" w:cs="Times New Roman" w:eastAsia="Times New Roman" w:hint="default"/>
        </w:rPr>
        <w:t>180 </w:t>
      </w:r>
      <w:r>
        <w:rPr/>
        <w:t>万元。注册地址为香港上环德辅道中 248</w:t>
      </w:r>
      <w:r>
        <w:rPr>
          <w:spacing w:val="-47"/>
        </w:rPr>
        <w:t> </w:t>
      </w:r>
      <w:r>
        <w:rPr/>
        <w:t>号东协商业大厦</w:t>
      </w:r>
    </w:p>
    <w:p>
      <w:pPr>
        <w:pStyle w:val="BodyText"/>
        <w:spacing w:line="314" w:lineRule="auto" w:before="69"/>
        <w:ind w:left="740" w:right="0"/>
        <w:jc w:val="left"/>
      </w:pPr>
      <w:r>
        <w:rPr/>
        <w:t>17</w:t>
      </w:r>
      <w:r>
        <w:rPr>
          <w:spacing w:val="-56"/>
        </w:rPr>
        <w:t> </w:t>
      </w:r>
      <w:r>
        <w:rPr/>
        <w:t>楼</w:t>
      </w:r>
      <w:r>
        <w:rPr>
          <w:spacing w:val="-56"/>
        </w:rPr>
        <w:t> </w:t>
      </w:r>
      <w:r>
        <w:rPr/>
        <w:t>1702</w:t>
      </w:r>
      <w:r>
        <w:rPr>
          <w:spacing w:val="-55"/>
        </w:rPr>
        <w:t> </w:t>
      </w:r>
      <w:r>
        <w:rPr>
          <w:spacing w:val="-3"/>
        </w:rPr>
        <w:t>室，取得香港公司注册处签发注册号为</w:t>
      </w:r>
      <w:r>
        <w:rPr>
          <w:spacing w:val="-56"/>
        </w:rPr>
        <w:t> </w:t>
      </w:r>
      <w:r>
        <w:rPr/>
        <w:t>39935822-000-10-08-4</w:t>
      </w:r>
      <w:r>
        <w:rPr>
          <w:spacing w:val="-55"/>
        </w:rPr>
        <w:t> </w:t>
      </w:r>
      <w:r>
        <w:rPr/>
        <w:t>的公司注册证书，</w:t>
      </w:r>
      <w:r>
        <w:rPr/>
        <w:t> 经营范围为：投资和贸易。</w:t>
      </w:r>
    </w:p>
    <w:p>
      <w:pPr>
        <w:pStyle w:val="BodyText"/>
        <w:spacing w:line="297" w:lineRule="auto" w:before="176"/>
        <w:ind w:left="740" w:right="0" w:firstLine="420"/>
        <w:jc w:val="left"/>
      </w:pPr>
      <w:r>
        <w:rPr/>
        <w:t>2、长期股权投资年末数比年初数增加 </w:t>
      </w:r>
      <w:r>
        <w:rPr>
          <w:rFonts w:ascii="Times New Roman" w:hAnsi="Times New Roman" w:cs="Times New Roman" w:eastAsia="Times New Roman" w:hint="default"/>
        </w:rPr>
        <w:t>27,676,980.00 </w:t>
      </w:r>
      <w:r>
        <w:rPr/>
        <w:t>元，增加比例为</w:t>
      </w:r>
      <w:r>
        <w:rPr>
          <w:spacing w:val="-70"/>
        </w:rPr>
        <w:t> </w:t>
      </w:r>
      <w:r>
        <w:rPr>
          <w:rFonts w:ascii="Times New Roman" w:hAnsi="Times New Roman" w:cs="Times New Roman" w:eastAsia="Times New Roman" w:hint="default"/>
        </w:rPr>
        <w:t>28.97%</w:t>
      </w:r>
      <w:r>
        <w:rPr/>
        <w:t>，变动原 因为：本期新增投资。</w:t>
      </w:r>
    </w:p>
    <w:p>
      <w:pPr>
        <w:spacing w:line="240" w:lineRule="auto" w:before="8"/>
        <w:rPr>
          <w:rFonts w:ascii="宋体" w:hAnsi="宋体" w:cs="宋体" w:eastAsia="宋体" w:hint="default"/>
          <w:sz w:val="17"/>
          <w:szCs w:val="17"/>
        </w:rPr>
      </w:pPr>
    </w:p>
    <w:p>
      <w:pPr>
        <w:pStyle w:val="Heading4"/>
        <w:spacing w:line="240" w:lineRule="auto"/>
        <w:ind w:left="1160" w:right="0"/>
        <w:jc w:val="left"/>
        <w:rPr>
          <w:b w:val="0"/>
          <w:bCs w:val="0"/>
        </w:rPr>
      </w:pPr>
      <w:r>
        <w:rPr/>
        <w:t>（四）营业收入及营业成本</w:t>
      </w:r>
      <w:r>
        <w:rPr>
          <w:b w:val="0"/>
          <w:bCs w:val="0"/>
        </w:rPr>
      </w:r>
    </w:p>
    <w:p>
      <w:pPr>
        <w:spacing w:line="240" w:lineRule="auto" w:before="5"/>
        <w:rPr>
          <w:rFonts w:ascii="宋体" w:hAnsi="宋体" w:cs="宋体" w:eastAsia="宋体" w:hint="default"/>
          <w:b/>
          <w:bCs/>
          <w:sz w:val="14"/>
          <w:szCs w:val="14"/>
        </w:rPr>
      </w:pPr>
    </w:p>
    <w:tbl>
      <w:tblPr>
        <w:tblW w:w="0" w:type="auto"/>
        <w:jc w:val="left"/>
        <w:tblInd w:w="1095" w:type="dxa"/>
        <w:tblLayout w:type="fixed"/>
        <w:tblCellMar>
          <w:top w:w="0" w:type="dxa"/>
          <w:left w:w="0" w:type="dxa"/>
          <w:bottom w:w="0" w:type="dxa"/>
          <w:right w:w="0" w:type="dxa"/>
        </w:tblCellMar>
        <w:tblLook w:val="01E0"/>
      </w:tblPr>
      <w:tblGrid>
        <w:gridCol w:w="2520"/>
        <w:gridCol w:w="2340"/>
        <w:gridCol w:w="2513"/>
      </w:tblGrid>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sz w:val="21"/>
                <w:szCs w:val="21"/>
              </w:rPr>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上年发生额</w:t>
            </w:r>
            <w:r>
              <w:rPr>
                <w:rFonts w:ascii="宋体" w:hAnsi="宋体" w:cs="宋体" w:eastAsia="宋体" w:hint="default"/>
                <w:sz w:val="21"/>
                <w:szCs w:val="21"/>
              </w:rPr>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1,137,925,592.54</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761,340,196.98</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630,899,453.60</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414,360,524.37</w:t>
            </w:r>
          </w:p>
        </w:tc>
      </w:tr>
    </w:tbl>
    <w:p>
      <w:pPr>
        <w:spacing w:line="240" w:lineRule="auto" w:before="5"/>
        <w:rPr>
          <w:rFonts w:ascii="宋体" w:hAnsi="宋体" w:cs="宋体" w:eastAsia="宋体" w:hint="default"/>
          <w:b/>
          <w:bCs/>
          <w:sz w:val="16"/>
          <w:szCs w:val="16"/>
        </w:rPr>
      </w:pPr>
    </w:p>
    <w:p>
      <w:pPr>
        <w:pStyle w:val="BodyText"/>
        <w:spacing w:line="240" w:lineRule="auto" w:before="35"/>
        <w:ind w:left="1160" w:right="0"/>
        <w:jc w:val="left"/>
      </w:pPr>
      <w:r>
        <w:rPr/>
        <w:t>1、按业务类别列示营业收入、营业成本</w:t>
      </w:r>
    </w:p>
    <w:p>
      <w:pPr>
        <w:spacing w:line="240" w:lineRule="auto" w:before="4"/>
        <w:rPr>
          <w:rFonts w:ascii="宋体" w:hAnsi="宋体" w:cs="宋体" w:eastAsia="宋体" w:hint="default"/>
          <w:sz w:val="14"/>
          <w:szCs w:val="14"/>
        </w:rPr>
      </w:pPr>
    </w:p>
    <w:tbl>
      <w:tblPr>
        <w:tblW w:w="0" w:type="auto"/>
        <w:jc w:val="left"/>
        <w:tblInd w:w="759" w:type="dxa"/>
        <w:tblLayout w:type="fixed"/>
        <w:tblCellMar>
          <w:top w:w="0" w:type="dxa"/>
          <w:left w:w="0" w:type="dxa"/>
          <w:bottom w:w="0" w:type="dxa"/>
          <w:right w:w="0" w:type="dxa"/>
        </w:tblCellMar>
        <w:tblLook w:val="01E0"/>
      </w:tblPr>
      <w:tblGrid>
        <w:gridCol w:w="1552"/>
        <w:gridCol w:w="1896"/>
        <w:gridCol w:w="1571"/>
        <w:gridCol w:w="1620"/>
        <w:gridCol w:w="1620"/>
      </w:tblGrid>
      <w:tr>
        <w:trPr>
          <w:trHeight w:val="322" w:hRule="exact"/>
        </w:trPr>
        <w:tc>
          <w:tcPr>
            <w:tcW w:w="1552" w:type="dxa"/>
            <w:vMerge w:val="restart"/>
            <w:tcBorders>
              <w:top w:val="single" w:sz="4" w:space="0" w:color="000000"/>
              <w:left w:val="single" w:sz="4" w:space="0" w:color="000000"/>
              <w:right w:val="single" w:sz="4" w:space="0" w:color="000000"/>
            </w:tcBorders>
          </w:tcPr>
          <w:p>
            <w:pPr>
              <w:pStyle w:val="TableParagraph"/>
              <w:tabs>
                <w:tab w:pos="875" w:val="left" w:leader="none"/>
              </w:tabs>
              <w:spacing w:line="240" w:lineRule="auto" w:before="141"/>
              <w:ind w:left="453" w:right="0"/>
              <w:jc w:val="left"/>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34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r>
      <w:tr>
        <w:trPr>
          <w:trHeight w:val="323" w:hRule="exact"/>
        </w:trPr>
        <w:tc>
          <w:tcPr>
            <w:tcW w:w="1552" w:type="dxa"/>
            <w:vMerge/>
            <w:tcBorders>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16" w:right="0"/>
              <w:jc w:val="left"/>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sz w:val="21"/>
                <w:szCs w:val="21"/>
              </w:rPr>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53" w:right="0"/>
              <w:jc w:val="left"/>
              <w:rPr>
                <w:rFonts w:ascii="宋体" w:hAnsi="宋体" w:cs="宋体" w:eastAsia="宋体" w:hint="default"/>
                <w:sz w:val="21"/>
                <w:szCs w:val="21"/>
              </w:rPr>
            </w:pPr>
            <w:r>
              <w:rPr>
                <w:rFonts w:ascii="宋体" w:hAnsi="宋体" w:cs="宋体" w:eastAsia="宋体" w:hint="default"/>
                <w:b/>
                <w:bCs/>
                <w:sz w:val="21"/>
                <w:szCs w:val="21"/>
              </w:rPr>
              <w:t>上年发生额</w:t>
            </w:r>
            <w:r>
              <w:rPr>
                <w:rFonts w:ascii="宋体" w:hAnsi="宋体" w:cs="宋体" w:eastAsia="宋体"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上年发生额</w:t>
            </w:r>
            <w:r>
              <w:rPr>
                <w:rFonts w:ascii="宋体" w:hAnsi="宋体" w:cs="宋体" w:eastAsia="宋体" w:hint="default"/>
                <w:sz w:val="21"/>
                <w:szCs w:val="21"/>
              </w:rPr>
            </w:r>
          </w:p>
        </w:tc>
      </w:tr>
      <w:tr>
        <w:trPr>
          <w:trHeight w:val="322" w:hRule="exact"/>
        </w:trPr>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）制造业</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1,114,753,535.17</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747,833,507.53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619,339,869.06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408,712,540.62</w:t>
            </w:r>
          </w:p>
        </w:tc>
      </w:tr>
      <w:tr>
        <w:trPr>
          <w:trHeight w:val="322" w:hRule="exact"/>
        </w:trPr>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）配件销售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22,615,375.98</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11,166,168.25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11,559,584.54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5,647,983.75</w:t>
            </w:r>
          </w:p>
        </w:tc>
      </w:tr>
      <w:tr>
        <w:trPr>
          <w:trHeight w:val="323" w:hRule="exact"/>
        </w:trPr>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）设备维护</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556,681.39</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2,340,521.20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2" w:hRule="exact"/>
        </w:trPr>
        <w:tc>
          <w:tcPr>
            <w:tcW w:w="1552" w:type="dxa"/>
            <w:tcBorders>
              <w:top w:val="single" w:sz="4" w:space="0" w:color="000000"/>
              <w:left w:val="single" w:sz="4" w:space="0" w:color="000000"/>
              <w:bottom w:val="single" w:sz="4" w:space="0" w:color="000000"/>
              <w:right w:val="single" w:sz="4" w:space="0" w:color="000000"/>
            </w:tcBorders>
          </w:tcPr>
          <w:p>
            <w:pPr>
              <w:pStyle w:val="TableParagraph"/>
              <w:tabs>
                <w:tab w:pos="875" w:val="left" w:leader="none"/>
              </w:tabs>
              <w:spacing w:line="260" w:lineRule="exact"/>
              <w:ind w:left="45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1,137,925,592.54</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761,340,196.98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630,899,453.60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414,360,524.37</w:t>
            </w:r>
          </w:p>
        </w:tc>
      </w:tr>
    </w:tbl>
    <w:p>
      <w:pPr>
        <w:spacing w:line="240" w:lineRule="auto" w:before="5"/>
        <w:rPr>
          <w:rFonts w:ascii="宋体" w:hAnsi="宋体" w:cs="宋体" w:eastAsia="宋体" w:hint="default"/>
          <w:sz w:val="16"/>
          <w:szCs w:val="16"/>
        </w:rPr>
      </w:pPr>
    </w:p>
    <w:p>
      <w:pPr>
        <w:pStyle w:val="BodyText"/>
        <w:spacing w:line="240" w:lineRule="auto" w:before="35"/>
        <w:ind w:left="1160" w:right="0"/>
        <w:jc w:val="left"/>
      </w:pPr>
      <w:r>
        <w:rPr/>
        <w:t>2、按产品类别列示营业收入、营业成本</w:t>
      </w:r>
    </w:p>
    <w:p>
      <w:pPr>
        <w:spacing w:line="240" w:lineRule="auto" w:before="6"/>
        <w:rPr>
          <w:rFonts w:ascii="宋体" w:hAnsi="宋体" w:cs="宋体" w:eastAsia="宋体" w:hint="default"/>
          <w:sz w:val="14"/>
          <w:szCs w:val="14"/>
        </w:rPr>
      </w:pPr>
    </w:p>
    <w:tbl>
      <w:tblPr>
        <w:tblW w:w="0" w:type="auto"/>
        <w:jc w:val="left"/>
        <w:tblInd w:w="745" w:type="dxa"/>
        <w:tblLayout w:type="fixed"/>
        <w:tblCellMar>
          <w:top w:w="0" w:type="dxa"/>
          <w:left w:w="0" w:type="dxa"/>
          <w:bottom w:w="0" w:type="dxa"/>
          <w:right w:w="0" w:type="dxa"/>
        </w:tblCellMar>
        <w:tblLook w:val="01E0"/>
      </w:tblPr>
      <w:tblGrid>
        <w:gridCol w:w="1610"/>
        <w:gridCol w:w="1789"/>
        <w:gridCol w:w="1583"/>
        <w:gridCol w:w="1769"/>
        <w:gridCol w:w="1532"/>
      </w:tblGrid>
      <w:tr>
        <w:trPr>
          <w:trHeight w:val="322" w:hRule="exact"/>
        </w:trPr>
        <w:tc>
          <w:tcPr>
            <w:tcW w:w="1610" w:type="dxa"/>
            <w:vMerge w:val="restart"/>
            <w:tcBorders>
              <w:top w:val="single" w:sz="4" w:space="0" w:color="000000"/>
              <w:left w:val="single" w:sz="4" w:space="0" w:color="000000"/>
              <w:right w:val="single" w:sz="4" w:space="0" w:color="000000"/>
            </w:tcBorders>
          </w:tcPr>
          <w:p>
            <w:pPr>
              <w:pStyle w:val="TableParagraph"/>
              <w:tabs>
                <w:tab w:pos="905" w:val="left" w:leader="none"/>
              </w:tabs>
              <w:spacing w:line="240" w:lineRule="auto" w:before="141"/>
              <w:ind w:left="483" w:right="0"/>
              <w:jc w:val="left"/>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3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r>
      <w:tr>
        <w:trPr>
          <w:trHeight w:val="322" w:hRule="exact"/>
        </w:trPr>
        <w:tc>
          <w:tcPr>
            <w:tcW w:w="1610" w:type="dxa"/>
            <w:vMerge/>
            <w:tcBorders>
              <w:left w:val="single" w:sz="4" w:space="0" w:color="000000"/>
              <w:bottom w:val="single" w:sz="4" w:space="0" w:color="000000"/>
              <w:right w:val="single" w:sz="4" w:space="0" w:color="000000"/>
            </w:tcBorders>
          </w:tcPr>
          <w:p>
            <w:pP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62" w:right="0"/>
              <w:jc w:val="left"/>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sz w:val="21"/>
                <w:szCs w:val="21"/>
              </w:rPr>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58" w:right="0"/>
              <w:jc w:val="left"/>
              <w:rPr>
                <w:rFonts w:ascii="宋体" w:hAnsi="宋体" w:cs="宋体" w:eastAsia="宋体" w:hint="default"/>
                <w:sz w:val="21"/>
                <w:szCs w:val="21"/>
              </w:rPr>
            </w:pPr>
            <w:r>
              <w:rPr>
                <w:rFonts w:ascii="宋体" w:hAnsi="宋体" w:cs="宋体" w:eastAsia="宋体" w:hint="default"/>
                <w:b/>
                <w:bCs/>
                <w:sz w:val="21"/>
                <w:szCs w:val="21"/>
              </w:rPr>
              <w:t>上年发生额</w:t>
            </w:r>
            <w:r>
              <w:rPr>
                <w:rFonts w:ascii="宋体" w:hAnsi="宋体" w:cs="宋体" w:eastAsia="宋体" w:hint="default"/>
                <w:sz w:val="21"/>
                <w:szCs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2" w:right="0"/>
              <w:jc w:val="left"/>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sz w:val="21"/>
                <w:szCs w:val="21"/>
              </w:rPr>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3" w:right="0"/>
              <w:jc w:val="left"/>
              <w:rPr>
                <w:rFonts w:ascii="宋体" w:hAnsi="宋体" w:cs="宋体" w:eastAsia="宋体" w:hint="default"/>
                <w:sz w:val="21"/>
                <w:szCs w:val="21"/>
              </w:rPr>
            </w:pPr>
            <w:r>
              <w:rPr>
                <w:rFonts w:ascii="宋体" w:hAnsi="宋体" w:cs="宋体" w:eastAsia="宋体" w:hint="default"/>
                <w:b/>
                <w:bCs/>
                <w:sz w:val="21"/>
                <w:szCs w:val="21"/>
              </w:rPr>
              <w:t>上年发生额</w:t>
            </w:r>
            <w:r>
              <w:rPr>
                <w:rFonts w:ascii="宋体" w:hAnsi="宋体" w:cs="宋体" w:eastAsia="宋体" w:hint="default"/>
                <w:sz w:val="21"/>
                <w:szCs w:val="21"/>
              </w:rPr>
            </w:r>
          </w:p>
        </w:tc>
      </w:tr>
      <w:tr>
        <w:trPr>
          <w:trHeight w:val="323"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ATM</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1,037,782,379.12</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740,659,514.35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572,413,604.95</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404,247,201.91</w:t>
            </w:r>
          </w:p>
        </w:tc>
      </w:tr>
      <w:tr>
        <w:trPr>
          <w:trHeight w:val="322"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AFC</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76,971,156.05</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7,173,993.18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46,926,264.11</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4,465,338.71</w:t>
            </w:r>
          </w:p>
        </w:tc>
      </w:tr>
      <w:tr>
        <w:trPr>
          <w:trHeight w:val="322"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）设备配件</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22,615,375.98</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11,166,168.25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11,559,584.54</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5,647,983.75</w:t>
            </w:r>
          </w:p>
        </w:tc>
      </w:tr>
      <w:tr>
        <w:trPr>
          <w:trHeight w:val="323"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）设备维护</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556,681.39</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2,340,521.20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2" w:hRule="exact"/>
        </w:trPr>
        <w:tc>
          <w:tcPr>
            <w:tcW w:w="1610" w:type="dxa"/>
            <w:tcBorders>
              <w:top w:val="single" w:sz="4" w:space="0" w:color="000000"/>
              <w:left w:val="single" w:sz="4" w:space="0" w:color="000000"/>
              <w:bottom w:val="single" w:sz="4" w:space="0" w:color="000000"/>
              <w:right w:val="single" w:sz="4" w:space="0" w:color="000000"/>
            </w:tcBorders>
          </w:tcPr>
          <w:p>
            <w:pPr>
              <w:pStyle w:val="TableParagraph"/>
              <w:tabs>
                <w:tab w:pos="905" w:val="left" w:leader="none"/>
              </w:tabs>
              <w:spacing w:line="260" w:lineRule="exact"/>
              <w:ind w:left="48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1,137,925,592.54</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761,340,196.98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630,899,453.60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414,360,524.37</w:t>
            </w:r>
          </w:p>
        </w:tc>
      </w:tr>
    </w:tbl>
    <w:p>
      <w:pPr>
        <w:spacing w:line="240" w:lineRule="auto" w:before="5"/>
        <w:rPr>
          <w:rFonts w:ascii="宋体" w:hAnsi="宋体" w:cs="宋体" w:eastAsia="宋体" w:hint="default"/>
          <w:sz w:val="16"/>
          <w:szCs w:val="16"/>
        </w:rPr>
      </w:pPr>
    </w:p>
    <w:p>
      <w:pPr>
        <w:pStyle w:val="BodyText"/>
        <w:spacing w:line="240" w:lineRule="auto" w:before="35"/>
        <w:ind w:left="1160" w:right="0"/>
        <w:jc w:val="left"/>
      </w:pPr>
      <w:r>
        <w:rPr/>
        <w:t>3、按客户列示营业收入</w:t>
      </w:r>
    </w:p>
    <w:p>
      <w:pPr>
        <w:spacing w:line="240" w:lineRule="auto" w:before="6"/>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2520"/>
        <w:gridCol w:w="1366"/>
        <w:gridCol w:w="1154"/>
        <w:gridCol w:w="1142"/>
        <w:gridCol w:w="1018"/>
        <w:gridCol w:w="1361"/>
        <w:gridCol w:w="979"/>
      </w:tblGrid>
      <w:tr>
        <w:trPr>
          <w:trHeight w:val="52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b/>
                <w:bCs/>
                <w:sz w:val="18"/>
                <w:szCs w:val="18"/>
              </w:rPr>
              <w:t>客户名称</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
              <w:jc w:val="center"/>
              <w:rPr>
                <w:rFonts w:ascii="Times New Roman" w:hAnsi="Times New Roman" w:cs="Times New Roman" w:eastAsia="Times New Roman" w:hint="default"/>
                <w:sz w:val="18"/>
                <w:szCs w:val="18"/>
              </w:rPr>
            </w:pPr>
            <w:r>
              <w:rPr>
                <w:rFonts w:ascii="Times New Roman"/>
                <w:b/>
                <w:spacing w:val="-5"/>
                <w:sz w:val="18"/>
              </w:rPr>
              <w:t>ATM</w:t>
            </w:r>
            <w:r>
              <w:rPr>
                <w:rFonts w:ascii="Times New Roman"/>
                <w:spacing w:val="-5"/>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Times New Roman" w:hAnsi="Times New Roman" w:cs="Times New Roman" w:eastAsia="Times New Roman" w:hint="default"/>
                <w:sz w:val="18"/>
                <w:szCs w:val="18"/>
              </w:rPr>
            </w:pPr>
            <w:r>
              <w:rPr>
                <w:rFonts w:ascii="Times New Roman"/>
                <w:b/>
                <w:sz w:val="18"/>
              </w:rPr>
              <w:t>AFC</w:t>
            </w:r>
            <w:r>
              <w:rPr>
                <w:rFonts w:ascii="Times New Roman"/>
                <w:sz w:val="18"/>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ind w:left="203" w:right="204" w:firstLine="181"/>
              <w:jc w:val="left"/>
              <w:rPr>
                <w:rFonts w:ascii="宋体" w:hAnsi="宋体" w:cs="宋体" w:eastAsia="宋体" w:hint="default"/>
                <w:sz w:val="18"/>
                <w:szCs w:val="18"/>
              </w:rPr>
            </w:pPr>
            <w:r>
              <w:rPr>
                <w:rFonts w:ascii="宋体" w:hAnsi="宋体" w:cs="宋体" w:eastAsia="宋体" w:hint="default"/>
                <w:b/>
                <w:bCs/>
                <w:sz w:val="18"/>
                <w:szCs w:val="18"/>
              </w:rPr>
              <w:t>设备</w:t>
            </w:r>
            <w:r>
              <w:rPr>
                <w:rFonts w:ascii="宋体" w:hAnsi="宋体" w:cs="宋体" w:eastAsia="宋体" w:hint="default"/>
                <w:b/>
                <w:bCs/>
                <w:spacing w:val="1"/>
                <w:w w:val="99"/>
                <w:sz w:val="18"/>
                <w:szCs w:val="18"/>
              </w:rPr>
              <w:t> </w:t>
            </w:r>
            <w:r>
              <w:rPr>
                <w:rFonts w:ascii="宋体" w:hAnsi="宋体" w:cs="宋体" w:eastAsia="宋体" w:hint="default"/>
                <w:b/>
                <w:bCs/>
                <w:sz w:val="18"/>
                <w:szCs w:val="18"/>
              </w:rPr>
              <w:t>配件销售</w:t>
            </w:r>
            <w:r>
              <w:rPr>
                <w:rFonts w:ascii="宋体" w:hAnsi="宋体" w:cs="宋体" w:eastAsia="宋体" w:hint="default"/>
                <w:sz w:val="18"/>
                <w:szCs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ind w:left="141" w:right="142" w:firstLine="181"/>
              <w:jc w:val="left"/>
              <w:rPr>
                <w:rFonts w:ascii="宋体" w:hAnsi="宋体" w:cs="宋体" w:eastAsia="宋体" w:hint="default"/>
                <w:sz w:val="18"/>
                <w:szCs w:val="18"/>
              </w:rPr>
            </w:pPr>
            <w:r>
              <w:rPr>
                <w:rFonts w:ascii="宋体" w:hAnsi="宋体" w:cs="宋体" w:eastAsia="宋体" w:hint="default"/>
                <w:b/>
                <w:bCs/>
                <w:sz w:val="18"/>
                <w:szCs w:val="18"/>
              </w:rPr>
              <w:t>设备</w:t>
            </w:r>
            <w:r>
              <w:rPr>
                <w:rFonts w:ascii="宋体" w:hAnsi="宋体" w:cs="宋体" w:eastAsia="宋体" w:hint="default"/>
                <w:b/>
                <w:bCs/>
                <w:spacing w:val="1"/>
                <w:w w:val="99"/>
                <w:sz w:val="18"/>
                <w:szCs w:val="18"/>
              </w:rPr>
              <w:t> </w:t>
            </w:r>
            <w:r>
              <w:rPr>
                <w:rFonts w:ascii="宋体" w:hAnsi="宋体" w:cs="宋体" w:eastAsia="宋体" w:hint="default"/>
                <w:b/>
                <w:bCs/>
                <w:sz w:val="18"/>
                <w:szCs w:val="18"/>
              </w:rPr>
              <w:t>维护收入</w:t>
            </w:r>
            <w:r>
              <w:rPr>
                <w:rFonts w:ascii="宋体" w:hAnsi="宋体" w:cs="宋体" w:eastAsia="宋体" w:hint="default"/>
                <w:sz w:val="18"/>
                <w:szCs w:val="18"/>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ind w:left="122" w:right="121" w:firstLine="1"/>
              <w:jc w:val="left"/>
              <w:rPr>
                <w:rFonts w:ascii="宋体" w:hAnsi="宋体" w:cs="宋体" w:eastAsia="宋体" w:hint="default"/>
                <w:sz w:val="18"/>
                <w:szCs w:val="18"/>
              </w:rPr>
            </w:pPr>
            <w:r>
              <w:rPr>
                <w:rFonts w:ascii="宋体" w:hAnsi="宋体" w:cs="宋体" w:eastAsia="宋体" w:hint="default"/>
                <w:b/>
                <w:bCs/>
                <w:sz w:val="18"/>
                <w:szCs w:val="18"/>
              </w:rPr>
              <w:t>占营业收</w:t>
            </w:r>
            <w:r>
              <w:rPr>
                <w:rFonts w:ascii="宋体" w:hAnsi="宋体" w:cs="宋体" w:eastAsia="宋体" w:hint="default"/>
                <w:b/>
                <w:bCs/>
                <w:w w:val="99"/>
                <w:sz w:val="18"/>
                <w:szCs w:val="18"/>
              </w:rPr>
              <w:t> </w:t>
            </w:r>
            <w:r>
              <w:rPr>
                <w:rFonts w:ascii="宋体" w:hAnsi="宋体" w:cs="宋体" w:eastAsia="宋体" w:hint="default"/>
                <w:b/>
                <w:bCs/>
                <w:sz w:val="18"/>
                <w:szCs w:val="18"/>
              </w:rPr>
              <w:t>入的比例</w:t>
            </w:r>
            <w:r>
              <w:rPr>
                <w:rFonts w:ascii="宋体" w:hAnsi="宋体" w:cs="宋体" w:eastAsia="宋体" w:hint="default"/>
                <w:sz w:val="18"/>
                <w:szCs w:val="18"/>
              </w:rPr>
            </w:r>
          </w:p>
        </w:tc>
      </w:tr>
      <w:tr>
        <w:trPr>
          <w:trHeight w:val="28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中国农业银行</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9"/>
              <w:jc w:val="right"/>
              <w:rPr>
                <w:rFonts w:ascii="Times New Roman" w:hAnsi="Times New Roman" w:cs="Times New Roman" w:eastAsia="Times New Roman" w:hint="default"/>
                <w:sz w:val="18"/>
                <w:szCs w:val="18"/>
              </w:rPr>
            </w:pPr>
            <w:r>
              <w:rPr>
                <w:rFonts w:ascii="Times New Roman"/>
                <w:spacing w:val="-1"/>
                <w:sz w:val="18"/>
              </w:rPr>
              <w:t>325,784,918.08</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8"/>
                <w:szCs w:val="18"/>
              </w:rPr>
            </w:pPr>
            <w:r>
              <w:rPr>
                <w:rFonts w:ascii="Times New Roman"/>
                <w:sz w:val="18"/>
              </w:rPr>
              <w:t>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8"/>
                <w:szCs w:val="18"/>
              </w:rPr>
            </w:pPr>
            <w:r>
              <w:rPr>
                <w:rFonts w:ascii="Times New Roman"/>
                <w:spacing w:val="-1"/>
                <w:sz w:val="18"/>
              </w:rPr>
              <w:t>5,878,076.75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1"/>
              <w:jc w:val="right"/>
              <w:rPr>
                <w:rFonts w:ascii="Times New Roman" w:hAnsi="Times New Roman" w:cs="Times New Roman" w:eastAsia="Times New Roman" w:hint="default"/>
                <w:sz w:val="18"/>
                <w:szCs w:val="18"/>
              </w:rPr>
            </w:pPr>
            <w:r>
              <w:rPr>
                <w:rFonts w:ascii="Times New Roman"/>
                <w:sz w:val="18"/>
              </w:rPr>
              <w:t>13,090.05</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8"/>
                <w:szCs w:val="18"/>
              </w:rPr>
            </w:pPr>
            <w:r>
              <w:rPr>
                <w:rFonts w:ascii="Times New Roman"/>
                <w:spacing w:val="-1"/>
                <w:sz w:val="18"/>
              </w:rPr>
              <w:t>331,676,084.88</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8"/>
                <w:szCs w:val="18"/>
              </w:rPr>
            </w:pPr>
            <w:r>
              <w:rPr>
                <w:rFonts w:ascii="Times New Roman"/>
                <w:sz w:val="18"/>
              </w:rPr>
              <w:t>29.15%</w:t>
            </w:r>
          </w:p>
        </w:tc>
      </w:tr>
      <w:tr>
        <w:trPr>
          <w:trHeight w:val="281"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中国银行股份有限公司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9"/>
              <w:jc w:val="right"/>
              <w:rPr>
                <w:rFonts w:ascii="Times New Roman" w:hAnsi="Times New Roman" w:cs="Times New Roman" w:eastAsia="Times New Roman" w:hint="default"/>
                <w:sz w:val="18"/>
                <w:szCs w:val="18"/>
              </w:rPr>
            </w:pPr>
            <w:r>
              <w:rPr>
                <w:rFonts w:ascii="Times New Roman"/>
                <w:spacing w:val="-1"/>
                <w:sz w:val="18"/>
              </w:rPr>
              <w:t>325,674,288.98</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8"/>
                <w:szCs w:val="18"/>
              </w:rPr>
            </w:pPr>
            <w:r>
              <w:rPr>
                <w:rFonts w:ascii="Times New Roman"/>
                <w:sz w:val="18"/>
              </w:rPr>
              <w:t>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1"/>
              <w:jc w:val="right"/>
              <w:rPr>
                <w:rFonts w:ascii="Times New Roman" w:hAnsi="Times New Roman" w:cs="Times New Roman" w:eastAsia="Times New Roman" w:hint="default"/>
                <w:sz w:val="18"/>
                <w:szCs w:val="18"/>
              </w:rPr>
            </w:pPr>
            <w:r>
              <w:rPr>
                <w:rFonts w:ascii="Times New Roman"/>
                <w:sz w:val="18"/>
              </w:rPr>
              <w:t>802,047.04</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8"/>
                <w:szCs w:val="18"/>
              </w:rPr>
            </w:pPr>
            <w:r>
              <w:rPr>
                <w:rFonts w:ascii="Times New Roman"/>
                <w:sz w:val="18"/>
              </w:rPr>
              <w:t>26,257.96</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9"/>
              <w:jc w:val="right"/>
              <w:rPr>
                <w:rFonts w:ascii="Times New Roman" w:hAnsi="Times New Roman" w:cs="Times New Roman" w:eastAsia="Times New Roman" w:hint="default"/>
                <w:sz w:val="18"/>
                <w:szCs w:val="18"/>
              </w:rPr>
            </w:pPr>
            <w:r>
              <w:rPr>
                <w:rFonts w:ascii="Times New Roman"/>
                <w:spacing w:val="-1"/>
                <w:sz w:val="18"/>
              </w:rPr>
              <w:t>326,502,593.98</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8"/>
                <w:szCs w:val="18"/>
              </w:rPr>
            </w:pPr>
            <w:r>
              <w:rPr>
                <w:rFonts w:ascii="Times New Roman"/>
                <w:sz w:val="18"/>
              </w:rPr>
              <w:t>28.69%</w:t>
            </w:r>
          </w:p>
        </w:tc>
      </w:tr>
      <w:tr>
        <w:trPr>
          <w:trHeight w:val="28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IAC</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8"/>
                <w:szCs w:val="18"/>
              </w:rPr>
            </w:pPr>
            <w:r>
              <w:rPr>
                <w:rFonts w:ascii="Times New Roman"/>
                <w:spacing w:val="-1"/>
                <w:sz w:val="18"/>
              </w:rPr>
              <w:t>94,693,535.05</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8"/>
                <w:szCs w:val="18"/>
              </w:rPr>
            </w:pPr>
            <w:r>
              <w:rPr>
                <w:rFonts w:ascii="Times New Roman"/>
                <w:sz w:val="18"/>
              </w:rPr>
              <w:t>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1"/>
              <w:jc w:val="right"/>
              <w:rPr>
                <w:rFonts w:ascii="Times New Roman" w:hAnsi="Times New Roman" w:cs="Times New Roman" w:eastAsia="Times New Roman" w:hint="default"/>
                <w:sz w:val="18"/>
                <w:szCs w:val="18"/>
              </w:rPr>
            </w:pPr>
            <w:r>
              <w:rPr>
                <w:rFonts w:ascii="Times New Roman"/>
                <w:sz w:val="18"/>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8"/>
                <w:szCs w:val="18"/>
              </w:rPr>
            </w:pPr>
            <w:r>
              <w:rPr>
                <w:rFonts w:ascii="Times New Roman"/>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8"/>
                <w:szCs w:val="18"/>
              </w:rPr>
            </w:pPr>
            <w:r>
              <w:rPr>
                <w:rFonts w:ascii="Times New Roman"/>
                <w:spacing w:val="-1"/>
                <w:sz w:val="18"/>
              </w:rPr>
              <w:t>94,693,535.05</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8"/>
                <w:szCs w:val="18"/>
              </w:rPr>
            </w:pPr>
            <w:r>
              <w:rPr>
                <w:rFonts w:ascii="Times New Roman"/>
                <w:w w:val="95"/>
                <w:sz w:val="18"/>
              </w:rPr>
              <w:t>8.32%</w:t>
            </w:r>
            <w:r>
              <w:rPr>
                <w:rFonts w:ascii="Times New Roman"/>
                <w:sz w:val="18"/>
              </w:rPr>
            </w:r>
          </w:p>
        </w:tc>
      </w:tr>
      <w:tr>
        <w:trPr>
          <w:trHeight w:val="28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北京乐金系统集成有限公司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8"/>
                <w:szCs w:val="18"/>
              </w:rPr>
            </w:pPr>
            <w:r>
              <w:rPr>
                <w:rFonts w:ascii="Times New Roman"/>
                <w:sz w:val="18"/>
              </w:rPr>
              <w:t>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8"/>
                <w:szCs w:val="18"/>
              </w:rPr>
            </w:pPr>
            <w:r>
              <w:rPr>
                <w:rFonts w:ascii="Times New Roman"/>
                <w:spacing w:val="-1"/>
                <w:sz w:val="18"/>
              </w:rPr>
              <w:t>57,949,815.89</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8"/>
                <w:szCs w:val="18"/>
              </w:rPr>
            </w:pPr>
            <w:r>
              <w:rPr>
                <w:rFonts w:ascii="Times New Roman"/>
                <w:spacing w:val="-1"/>
                <w:sz w:val="18"/>
              </w:rPr>
              <w:t>811,965.81</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1"/>
              <w:jc w:val="right"/>
              <w:rPr>
                <w:rFonts w:ascii="Times New Roman" w:hAnsi="Times New Roman" w:cs="Times New Roman" w:eastAsia="Times New Roman" w:hint="default"/>
                <w:sz w:val="18"/>
                <w:szCs w:val="18"/>
              </w:rPr>
            </w:pPr>
            <w:r>
              <w:rPr>
                <w:rFonts w:ascii="Times New Roman"/>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1"/>
              <w:jc w:val="right"/>
              <w:rPr>
                <w:rFonts w:ascii="Times New Roman" w:hAnsi="Times New Roman" w:cs="Times New Roman" w:eastAsia="Times New Roman" w:hint="default"/>
                <w:sz w:val="18"/>
                <w:szCs w:val="18"/>
              </w:rPr>
            </w:pPr>
            <w:r>
              <w:rPr>
                <w:rFonts w:ascii="Times New Roman"/>
                <w:spacing w:val="-1"/>
                <w:sz w:val="18"/>
              </w:rPr>
              <w:t>58,761,781.70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8"/>
                <w:szCs w:val="18"/>
              </w:rPr>
            </w:pPr>
            <w:r>
              <w:rPr>
                <w:rFonts w:ascii="Times New Roman"/>
                <w:w w:val="95"/>
                <w:sz w:val="18"/>
              </w:rPr>
              <w:t>5.16%</w:t>
            </w:r>
            <w:r>
              <w:rPr>
                <w:rFonts w:ascii="Times New Roman"/>
                <w:sz w:val="18"/>
              </w:rPr>
            </w:r>
          </w:p>
        </w:tc>
      </w:tr>
      <w:tr>
        <w:trPr>
          <w:trHeight w:val="281"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交通银行股份有限公司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8"/>
                <w:szCs w:val="18"/>
              </w:rPr>
            </w:pPr>
            <w:r>
              <w:rPr>
                <w:rFonts w:ascii="Times New Roman"/>
                <w:spacing w:val="-1"/>
                <w:sz w:val="18"/>
              </w:rPr>
              <w:t>48,497,264.90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1"/>
              <w:jc w:val="right"/>
              <w:rPr>
                <w:rFonts w:ascii="Times New Roman" w:hAnsi="Times New Roman" w:cs="Times New Roman" w:eastAsia="Times New Roman" w:hint="default"/>
                <w:sz w:val="18"/>
                <w:szCs w:val="18"/>
              </w:rPr>
            </w:pPr>
            <w:r>
              <w:rPr>
                <w:rFonts w:ascii="Times New Roman"/>
                <w:sz w:val="18"/>
              </w:rPr>
              <w:t>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1"/>
              <w:jc w:val="right"/>
              <w:rPr>
                <w:rFonts w:ascii="Times New Roman" w:hAnsi="Times New Roman" w:cs="Times New Roman" w:eastAsia="Times New Roman" w:hint="default"/>
                <w:sz w:val="18"/>
                <w:szCs w:val="18"/>
              </w:rPr>
            </w:pPr>
            <w:r>
              <w:rPr>
                <w:rFonts w:ascii="Times New Roman"/>
                <w:spacing w:val="-1"/>
                <w:sz w:val="18"/>
              </w:rPr>
              <w:t>2,303,205.16</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8"/>
                <w:szCs w:val="18"/>
              </w:rPr>
            </w:pPr>
            <w:r>
              <w:rPr>
                <w:rFonts w:ascii="Times New Roman"/>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1"/>
              <w:jc w:val="right"/>
              <w:rPr>
                <w:rFonts w:ascii="Times New Roman" w:hAnsi="Times New Roman" w:cs="Times New Roman" w:eastAsia="Times New Roman" w:hint="default"/>
                <w:sz w:val="18"/>
                <w:szCs w:val="18"/>
              </w:rPr>
            </w:pPr>
            <w:r>
              <w:rPr>
                <w:rFonts w:ascii="Times New Roman"/>
                <w:spacing w:val="-1"/>
                <w:sz w:val="18"/>
              </w:rPr>
              <w:t>50,800,470.06</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8"/>
                <w:szCs w:val="18"/>
              </w:rPr>
            </w:pPr>
            <w:r>
              <w:rPr>
                <w:rFonts w:ascii="Times New Roman"/>
                <w:w w:val="95"/>
                <w:sz w:val="18"/>
              </w:rPr>
              <w:t>4.46%</w:t>
            </w:r>
            <w:r>
              <w:rPr>
                <w:rFonts w:ascii="Times New Roman"/>
                <w:sz w:val="18"/>
              </w:rPr>
            </w:r>
          </w:p>
        </w:tc>
      </w:tr>
      <w:tr>
        <w:trPr>
          <w:trHeight w:val="28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EAB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8"/>
                <w:szCs w:val="18"/>
              </w:rPr>
            </w:pPr>
            <w:r>
              <w:rPr>
                <w:rFonts w:ascii="Times New Roman"/>
                <w:spacing w:val="-1"/>
                <w:sz w:val="18"/>
              </w:rPr>
              <w:t>29,417,755.69</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8"/>
                <w:szCs w:val="18"/>
              </w:rPr>
            </w:pPr>
            <w:r>
              <w:rPr>
                <w:rFonts w:ascii="Times New Roman"/>
                <w:sz w:val="18"/>
              </w:rPr>
              <w:t>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1"/>
              <w:jc w:val="right"/>
              <w:rPr>
                <w:rFonts w:ascii="Times New Roman" w:hAnsi="Times New Roman" w:cs="Times New Roman" w:eastAsia="Times New Roman" w:hint="default"/>
                <w:sz w:val="18"/>
                <w:szCs w:val="18"/>
              </w:rPr>
            </w:pPr>
            <w:r>
              <w:rPr>
                <w:rFonts w:ascii="Times New Roman"/>
                <w:spacing w:val="-1"/>
                <w:sz w:val="18"/>
              </w:rPr>
              <w:t>1,330,352.38</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8"/>
                <w:szCs w:val="18"/>
              </w:rPr>
            </w:pPr>
            <w:r>
              <w:rPr>
                <w:rFonts w:ascii="Times New Roman"/>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8"/>
                <w:szCs w:val="18"/>
              </w:rPr>
            </w:pPr>
            <w:r>
              <w:rPr>
                <w:rFonts w:ascii="Times New Roman"/>
                <w:spacing w:val="-1"/>
                <w:sz w:val="18"/>
              </w:rPr>
              <w:t>30,748,108.07</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8"/>
                <w:szCs w:val="18"/>
              </w:rPr>
            </w:pPr>
            <w:r>
              <w:rPr>
                <w:rFonts w:ascii="Times New Roman"/>
                <w:w w:val="95"/>
                <w:sz w:val="18"/>
              </w:rPr>
              <w:t>2.70%</w:t>
            </w:r>
            <w:r>
              <w:rPr>
                <w:rFonts w:ascii="Times New Roman"/>
                <w:sz w:val="18"/>
              </w:rPr>
            </w:r>
          </w:p>
        </w:tc>
      </w:tr>
      <w:tr>
        <w:trPr>
          <w:trHeight w:val="28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中信银行</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8"/>
                <w:szCs w:val="18"/>
              </w:rPr>
            </w:pPr>
            <w:r>
              <w:rPr>
                <w:rFonts w:ascii="Times New Roman"/>
                <w:spacing w:val="-1"/>
                <w:sz w:val="18"/>
              </w:rPr>
              <w:t>17,482,205.19</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1"/>
              <w:jc w:val="right"/>
              <w:rPr>
                <w:rFonts w:ascii="Times New Roman" w:hAnsi="Times New Roman" w:cs="Times New Roman" w:eastAsia="Times New Roman" w:hint="default"/>
                <w:sz w:val="18"/>
                <w:szCs w:val="18"/>
              </w:rPr>
            </w:pPr>
            <w:r>
              <w:rPr>
                <w:rFonts w:ascii="Times New Roman"/>
                <w:sz w:val="18"/>
              </w:rPr>
              <w:t>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1"/>
              <w:jc w:val="right"/>
              <w:rPr>
                <w:rFonts w:ascii="Times New Roman" w:hAnsi="Times New Roman" w:cs="Times New Roman" w:eastAsia="Times New Roman" w:hint="default"/>
                <w:sz w:val="18"/>
                <w:szCs w:val="18"/>
              </w:rPr>
            </w:pPr>
            <w:r>
              <w:rPr>
                <w:rFonts w:ascii="Times New Roman"/>
                <w:sz w:val="18"/>
              </w:rPr>
              <w:t>425,213.69</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8"/>
                <w:szCs w:val="18"/>
              </w:rPr>
            </w:pPr>
            <w:r>
              <w:rPr>
                <w:rFonts w:ascii="Times New Roman"/>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1"/>
              <w:jc w:val="right"/>
              <w:rPr>
                <w:rFonts w:ascii="Times New Roman" w:hAnsi="Times New Roman" w:cs="Times New Roman" w:eastAsia="Times New Roman" w:hint="default"/>
                <w:sz w:val="18"/>
                <w:szCs w:val="18"/>
              </w:rPr>
            </w:pPr>
            <w:r>
              <w:rPr>
                <w:rFonts w:ascii="Times New Roman"/>
                <w:spacing w:val="-1"/>
                <w:sz w:val="18"/>
              </w:rPr>
              <w:t>17,907,418.88</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8"/>
                <w:szCs w:val="18"/>
              </w:rPr>
            </w:pPr>
            <w:r>
              <w:rPr>
                <w:rFonts w:ascii="Times New Roman"/>
                <w:w w:val="95"/>
                <w:sz w:val="18"/>
              </w:rPr>
              <w:t>1.57%</w:t>
            </w:r>
            <w:r>
              <w:rPr>
                <w:rFonts w:ascii="Times New Roman"/>
                <w:sz w:val="18"/>
              </w:rPr>
            </w:r>
          </w:p>
        </w:tc>
      </w:tr>
      <w:tr>
        <w:trPr>
          <w:trHeight w:val="281"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易城科技股份有限公司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8"/>
                <w:szCs w:val="18"/>
              </w:rPr>
            </w:pPr>
            <w:r>
              <w:rPr>
                <w:rFonts w:ascii="Times New Roman"/>
                <w:sz w:val="18"/>
              </w:rPr>
              <w:t>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1"/>
              <w:jc w:val="right"/>
              <w:rPr>
                <w:rFonts w:ascii="Times New Roman" w:hAnsi="Times New Roman" w:cs="Times New Roman" w:eastAsia="Times New Roman" w:hint="default"/>
                <w:sz w:val="18"/>
                <w:szCs w:val="18"/>
              </w:rPr>
            </w:pPr>
            <w:r>
              <w:rPr>
                <w:rFonts w:ascii="Times New Roman"/>
                <w:spacing w:val="-1"/>
                <w:sz w:val="18"/>
              </w:rPr>
              <w:t>11,151,801.70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8"/>
                <w:szCs w:val="18"/>
              </w:rPr>
            </w:pPr>
            <w:r>
              <w:rPr>
                <w:rFonts w:ascii="Times New Roman"/>
                <w:sz w:val="18"/>
              </w:rPr>
              <w:t>950,633.42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1"/>
              <w:jc w:val="right"/>
              <w:rPr>
                <w:rFonts w:ascii="Times New Roman" w:hAnsi="Times New Roman" w:cs="Times New Roman" w:eastAsia="Times New Roman" w:hint="default"/>
                <w:sz w:val="18"/>
                <w:szCs w:val="18"/>
              </w:rPr>
            </w:pPr>
            <w:r>
              <w:rPr>
                <w:rFonts w:ascii="Times New Roman"/>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1"/>
              <w:jc w:val="right"/>
              <w:rPr>
                <w:rFonts w:ascii="Times New Roman" w:hAnsi="Times New Roman" w:cs="Times New Roman" w:eastAsia="Times New Roman" w:hint="default"/>
                <w:sz w:val="18"/>
                <w:szCs w:val="18"/>
              </w:rPr>
            </w:pPr>
            <w:r>
              <w:rPr>
                <w:rFonts w:ascii="Times New Roman"/>
                <w:spacing w:val="-1"/>
                <w:sz w:val="18"/>
              </w:rPr>
              <w:t>12,102,435.12</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8"/>
                <w:szCs w:val="18"/>
              </w:rPr>
            </w:pPr>
            <w:r>
              <w:rPr>
                <w:rFonts w:ascii="Times New Roman"/>
                <w:w w:val="95"/>
                <w:sz w:val="18"/>
              </w:rPr>
              <w:t>1.06%</w:t>
            </w:r>
            <w:r>
              <w:rPr>
                <w:rFonts w:ascii="Times New Roman"/>
                <w:sz w:val="18"/>
              </w:rPr>
            </w:r>
          </w:p>
        </w:tc>
      </w:tr>
      <w:tr>
        <w:trPr>
          <w:trHeight w:val="28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8"/>
                <w:szCs w:val="18"/>
              </w:rPr>
            </w:pPr>
            <w:r>
              <w:rPr>
                <w:rFonts w:ascii="Times New Roman"/>
                <w:spacing w:val="-1"/>
                <w:sz w:val="18"/>
              </w:rPr>
              <w:t>11,164,752.19</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8"/>
                <w:szCs w:val="18"/>
              </w:rPr>
            </w:pPr>
            <w:r>
              <w:rPr>
                <w:rFonts w:ascii="Times New Roman"/>
                <w:sz w:val="18"/>
              </w:rPr>
              <w:t>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1"/>
              <w:jc w:val="right"/>
              <w:rPr>
                <w:rFonts w:ascii="Times New Roman" w:hAnsi="Times New Roman" w:cs="Times New Roman" w:eastAsia="Times New Roman" w:hint="default"/>
                <w:sz w:val="18"/>
                <w:szCs w:val="18"/>
              </w:rPr>
            </w:pPr>
            <w:r>
              <w:rPr>
                <w:rFonts w:ascii="Times New Roman"/>
                <w:sz w:val="18"/>
              </w:rPr>
              <w:t>418,461.50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8"/>
                <w:szCs w:val="18"/>
              </w:rPr>
            </w:pPr>
            <w:r>
              <w:rPr>
                <w:rFonts w:ascii="Times New Roman"/>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1"/>
              <w:jc w:val="right"/>
              <w:rPr>
                <w:rFonts w:ascii="Times New Roman" w:hAnsi="Times New Roman" w:cs="Times New Roman" w:eastAsia="Times New Roman" w:hint="default"/>
                <w:sz w:val="18"/>
                <w:szCs w:val="18"/>
              </w:rPr>
            </w:pPr>
            <w:r>
              <w:rPr>
                <w:rFonts w:ascii="Times New Roman"/>
                <w:spacing w:val="-1"/>
                <w:sz w:val="18"/>
              </w:rPr>
              <w:t>11,583,213.69</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8"/>
                <w:szCs w:val="18"/>
              </w:rPr>
            </w:pPr>
            <w:r>
              <w:rPr>
                <w:rFonts w:ascii="Times New Roman"/>
                <w:w w:val="95"/>
                <w:sz w:val="18"/>
              </w:rPr>
              <w:t>1.02%</w:t>
            </w:r>
            <w:r>
              <w:rPr>
                <w:rFonts w:ascii="Times New Roman"/>
                <w:sz w:val="18"/>
              </w:rPr>
            </w:r>
          </w:p>
        </w:tc>
      </w:tr>
      <w:tr>
        <w:trPr>
          <w:trHeight w:val="28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广东省电信实业集团公司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8"/>
                <w:szCs w:val="18"/>
              </w:rPr>
            </w:pPr>
            <w:r>
              <w:rPr>
                <w:rFonts w:ascii="Times New Roman"/>
                <w:spacing w:val="-1"/>
                <w:sz w:val="18"/>
              </w:rPr>
              <w:t>10,688,461.49</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1"/>
              <w:jc w:val="right"/>
              <w:rPr>
                <w:rFonts w:ascii="Times New Roman" w:hAnsi="Times New Roman" w:cs="Times New Roman" w:eastAsia="Times New Roman" w:hint="default"/>
                <w:sz w:val="18"/>
                <w:szCs w:val="18"/>
              </w:rPr>
            </w:pPr>
            <w:r>
              <w:rPr>
                <w:rFonts w:ascii="Times New Roman"/>
                <w:sz w:val="18"/>
              </w:rPr>
              <w:t>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8"/>
                <w:szCs w:val="18"/>
              </w:rPr>
            </w:pPr>
            <w:r>
              <w:rPr>
                <w:rFonts w:ascii="Times New Roman"/>
                <w:sz w:val="18"/>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8"/>
                <w:szCs w:val="18"/>
              </w:rPr>
            </w:pPr>
            <w:r>
              <w:rPr>
                <w:rFonts w:ascii="Times New Roman"/>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1"/>
              <w:jc w:val="right"/>
              <w:rPr>
                <w:rFonts w:ascii="Times New Roman" w:hAnsi="Times New Roman" w:cs="Times New Roman" w:eastAsia="Times New Roman" w:hint="default"/>
                <w:sz w:val="18"/>
                <w:szCs w:val="18"/>
              </w:rPr>
            </w:pPr>
            <w:r>
              <w:rPr>
                <w:rFonts w:ascii="Times New Roman"/>
                <w:spacing w:val="-1"/>
                <w:sz w:val="18"/>
              </w:rPr>
              <w:t>10,688,461.49</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8"/>
                <w:szCs w:val="18"/>
              </w:rPr>
            </w:pPr>
            <w:r>
              <w:rPr>
                <w:rFonts w:ascii="Times New Roman"/>
                <w:w w:val="95"/>
                <w:sz w:val="18"/>
              </w:rPr>
              <w:t>0.94%</w:t>
            </w:r>
            <w:r>
              <w:rPr>
                <w:rFonts w:ascii="Times New Roman"/>
                <w:sz w:val="18"/>
              </w:rPr>
            </w:r>
          </w:p>
        </w:tc>
      </w:tr>
      <w:tr>
        <w:trPr>
          <w:trHeight w:val="281"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9"/>
              <w:jc w:val="right"/>
              <w:rPr>
                <w:rFonts w:ascii="Times New Roman" w:hAnsi="Times New Roman" w:cs="Times New Roman" w:eastAsia="Times New Roman" w:hint="default"/>
                <w:sz w:val="18"/>
                <w:szCs w:val="18"/>
              </w:rPr>
            </w:pPr>
            <w:r>
              <w:rPr>
                <w:rFonts w:ascii="Times New Roman"/>
                <w:spacing w:val="-1"/>
                <w:sz w:val="18"/>
              </w:rPr>
              <w:t>174,379,197.55</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1"/>
              <w:jc w:val="right"/>
              <w:rPr>
                <w:rFonts w:ascii="Times New Roman" w:hAnsi="Times New Roman" w:cs="Times New Roman" w:eastAsia="Times New Roman" w:hint="default"/>
                <w:sz w:val="18"/>
                <w:szCs w:val="18"/>
              </w:rPr>
            </w:pPr>
            <w:r>
              <w:rPr>
                <w:rFonts w:ascii="Times New Roman"/>
                <w:spacing w:val="-1"/>
                <w:sz w:val="18"/>
              </w:rPr>
              <w:t>7,869,538.46</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1"/>
              <w:jc w:val="right"/>
              <w:rPr>
                <w:rFonts w:ascii="Times New Roman" w:hAnsi="Times New Roman" w:cs="Times New Roman" w:eastAsia="Times New Roman" w:hint="default"/>
                <w:sz w:val="18"/>
                <w:szCs w:val="18"/>
              </w:rPr>
            </w:pPr>
            <w:r>
              <w:rPr>
                <w:rFonts w:ascii="Times New Roman"/>
                <w:spacing w:val="-1"/>
                <w:sz w:val="18"/>
              </w:rPr>
              <w:t>9,695,420.23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8"/>
                <w:szCs w:val="18"/>
              </w:rPr>
            </w:pPr>
            <w:r>
              <w:rPr>
                <w:rFonts w:ascii="Times New Roman"/>
                <w:sz w:val="18"/>
              </w:rPr>
              <w:t>517,333.38</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9"/>
              <w:jc w:val="right"/>
              <w:rPr>
                <w:rFonts w:ascii="Times New Roman" w:hAnsi="Times New Roman" w:cs="Times New Roman" w:eastAsia="Times New Roman" w:hint="default"/>
                <w:sz w:val="18"/>
                <w:szCs w:val="18"/>
              </w:rPr>
            </w:pPr>
            <w:r>
              <w:rPr>
                <w:rFonts w:ascii="Times New Roman"/>
                <w:spacing w:val="-1"/>
                <w:sz w:val="18"/>
              </w:rPr>
              <w:t>192,461,489.62</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8"/>
                <w:szCs w:val="18"/>
              </w:rPr>
            </w:pPr>
            <w:r>
              <w:rPr>
                <w:rFonts w:ascii="Times New Roman"/>
                <w:sz w:val="18"/>
              </w:rPr>
              <w:t>16.91%</w:t>
            </w:r>
          </w:p>
        </w:tc>
      </w:tr>
      <w:tr>
        <w:trPr>
          <w:trHeight w:val="28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1"/>
              <w:jc w:val="right"/>
              <w:rPr>
                <w:rFonts w:ascii="Times New Roman" w:hAnsi="Times New Roman" w:cs="Times New Roman" w:eastAsia="Times New Roman" w:hint="default"/>
                <w:sz w:val="18"/>
                <w:szCs w:val="18"/>
              </w:rPr>
            </w:pPr>
            <w:r>
              <w:rPr>
                <w:rFonts w:ascii="Times New Roman"/>
                <w:spacing w:val="-1"/>
                <w:sz w:val="18"/>
              </w:rPr>
              <w:t>1,037,782,379.12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1"/>
              <w:jc w:val="right"/>
              <w:rPr>
                <w:rFonts w:ascii="Times New Roman" w:hAnsi="Times New Roman" w:cs="Times New Roman" w:eastAsia="Times New Roman" w:hint="default"/>
                <w:sz w:val="18"/>
                <w:szCs w:val="18"/>
              </w:rPr>
            </w:pPr>
            <w:r>
              <w:rPr>
                <w:rFonts w:ascii="Times New Roman"/>
                <w:spacing w:val="-1"/>
                <w:sz w:val="18"/>
              </w:rPr>
              <w:t>76,971,156.05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8"/>
                <w:szCs w:val="18"/>
              </w:rPr>
            </w:pPr>
            <w:r>
              <w:rPr>
                <w:rFonts w:ascii="Times New Roman"/>
                <w:spacing w:val="-1"/>
                <w:sz w:val="18"/>
              </w:rPr>
              <w:t>22,615,375.98</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1"/>
              <w:jc w:val="right"/>
              <w:rPr>
                <w:rFonts w:ascii="Times New Roman" w:hAnsi="Times New Roman" w:cs="Times New Roman" w:eastAsia="Times New Roman" w:hint="default"/>
                <w:sz w:val="18"/>
                <w:szCs w:val="18"/>
              </w:rPr>
            </w:pPr>
            <w:r>
              <w:rPr>
                <w:rFonts w:ascii="Times New Roman"/>
                <w:sz w:val="18"/>
              </w:rPr>
              <w:t>556,681.39</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1"/>
              <w:jc w:val="right"/>
              <w:rPr>
                <w:rFonts w:ascii="Times New Roman" w:hAnsi="Times New Roman" w:cs="Times New Roman" w:eastAsia="Times New Roman" w:hint="default"/>
                <w:sz w:val="18"/>
                <w:szCs w:val="18"/>
              </w:rPr>
            </w:pPr>
            <w:r>
              <w:rPr>
                <w:rFonts w:ascii="Times New Roman"/>
                <w:spacing w:val="-1"/>
                <w:sz w:val="18"/>
              </w:rPr>
              <w:t>1,137,925,592.54</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400" w:footer="982" w:top="1100" w:bottom="1180" w:left="1060" w:right="1060"/>
        </w:sectPr>
      </w:pPr>
    </w:p>
    <w:p>
      <w:pPr>
        <w:spacing w:line="240" w:lineRule="auto" w:before="12"/>
        <w:rPr>
          <w:rFonts w:ascii="宋体" w:hAnsi="宋体" w:cs="宋体" w:eastAsia="宋体" w:hint="default"/>
          <w:sz w:val="28"/>
          <w:szCs w:val="28"/>
        </w:rPr>
      </w:pPr>
    </w:p>
    <w:p>
      <w:pPr>
        <w:pStyle w:val="BodyText"/>
        <w:spacing w:line="240" w:lineRule="auto" w:before="35"/>
        <w:ind w:left="1120" w:right="711"/>
        <w:jc w:val="left"/>
      </w:pPr>
      <w:r>
        <w:rPr/>
        <w:t>4、按地区列示营业收入</w:t>
      </w:r>
    </w:p>
    <w:p>
      <w:pPr>
        <w:spacing w:line="240" w:lineRule="auto" w:before="4"/>
        <w:rPr>
          <w:rFonts w:ascii="宋体" w:hAnsi="宋体" w:cs="宋体" w:eastAsia="宋体" w:hint="default"/>
          <w:sz w:val="14"/>
          <w:szCs w:val="14"/>
        </w:rPr>
      </w:pPr>
    </w:p>
    <w:tbl>
      <w:tblPr>
        <w:tblW w:w="0" w:type="auto"/>
        <w:jc w:val="left"/>
        <w:tblInd w:w="1518" w:type="dxa"/>
        <w:tblLayout w:type="fixed"/>
        <w:tblCellMar>
          <w:top w:w="0" w:type="dxa"/>
          <w:left w:w="0" w:type="dxa"/>
          <w:bottom w:w="0" w:type="dxa"/>
          <w:right w:w="0" w:type="dxa"/>
        </w:tblCellMar>
        <w:tblLook w:val="01E0"/>
      </w:tblPr>
      <w:tblGrid>
        <w:gridCol w:w="2628"/>
        <w:gridCol w:w="2052"/>
        <w:gridCol w:w="1980"/>
      </w:tblGrid>
      <w:tr>
        <w:trPr>
          <w:trHeight w:val="323"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地</w:t>
              <w:tab/>
            </w:r>
            <w:r>
              <w:rPr>
                <w:rFonts w:ascii="宋体" w:hAnsi="宋体" w:cs="宋体" w:eastAsia="宋体" w:hint="default"/>
                <w:b/>
                <w:bCs/>
                <w:sz w:val="21"/>
                <w:szCs w:val="21"/>
              </w:rPr>
              <w:t>区</w:t>
            </w:r>
            <w:r>
              <w:rPr>
                <w:rFonts w:ascii="宋体" w:hAnsi="宋体" w:cs="宋体" w:eastAsia="宋体" w:hint="default"/>
                <w:sz w:val="21"/>
                <w:szCs w:val="21"/>
              </w:rPr>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sz w:val="21"/>
                <w:szCs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上年发生额</w:t>
            </w:r>
            <w:r>
              <w:rPr>
                <w:rFonts w:ascii="宋体" w:hAnsi="宋体" w:cs="宋体" w:eastAsia="宋体" w:hint="default"/>
                <w:sz w:val="21"/>
                <w:szCs w:val="21"/>
              </w:rPr>
            </w:r>
          </w:p>
        </w:tc>
      </w:tr>
      <w:tr>
        <w:trPr>
          <w:trHeight w:val="322"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国内地区</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980,575,026.76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657,364,632.89</w:t>
            </w:r>
          </w:p>
        </w:tc>
      </w:tr>
      <w:tr>
        <w:trPr>
          <w:trHeight w:val="322"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国外地区</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157,350,565.78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103,975,564.09</w:t>
            </w:r>
          </w:p>
        </w:tc>
      </w:tr>
      <w:tr>
        <w:trPr>
          <w:trHeight w:val="323"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1,137,925,592.54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761,340,196.98</w:t>
            </w:r>
          </w:p>
        </w:tc>
      </w:tr>
    </w:tbl>
    <w:p>
      <w:pPr>
        <w:spacing w:line="240" w:lineRule="auto" w:before="5"/>
        <w:rPr>
          <w:rFonts w:ascii="宋体" w:hAnsi="宋体" w:cs="宋体" w:eastAsia="宋体" w:hint="default"/>
          <w:sz w:val="16"/>
          <w:szCs w:val="16"/>
        </w:rPr>
      </w:pPr>
    </w:p>
    <w:p>
      <w:pPr>
        <w:pStyle w:val="BodyText"/>
        <w:spacing w:line="240" w:lineRule="auto" w:before="35"/>
        <w:ind w:left="1120" w:right="0"/>
        <w:jc w:val="left"/>
      </w:pPr>
      <w:r>
        <w:rPr>
          <w:spacing w:val="12"/>
        </w:rPr>
        <w:t>5、公司向前五名客户销售总额为 </w:t>
      </w:r>
      <w:r>
        <w:rPr>
          <w:rFonts w:ascii="Times New Roman" w:hAnsi="Times New Roman" w:cs="Times New Roman" w:eastAsia="Times New Roman" w:hint="default"/>
        </w:rPr>
        <w:t>862,434,465.67 </w:t>
      </w:r>
      <w:r>
        <w:rPr>
          <w:rFonts w:ascii="Times New Roman" w:hAnsi="Times New Roman" w:cs="Times New Roman" w:eastAsia="Times New Roman" w:hint="default"/>
          <w:spacing w:val="18"/>
        </w:rPr>
        <w:t> </w:t>
      </w:r>
      <w:r>
        <w:rPr>
          <w:spacing w:val="11"/>
        </w:rPr>
        <w:t>元，占公司本年全部营业收入的</w:t>
      </w:r>
    </w:p>
    <w:p>
      <w:pPr>
        <w:pStyle w:val="BodyText"/>
        <w:spacing w:line="240" w:lineRule="auto" w:before="109"/>
        <w:ind w:left="699" w:right="711"/>
        <w:jc w:val="left"/>
      </w:pPr>
      <w:r>
        <w:rPr>
          <w:rFonts w:ascii="Times New Roman" w:hAnsi="Times New Roman" w:cs="Times New Roman" w:eastAsia="Times New Roman" w:hint="default"/>
        </w:rPr>
        <w:t>75.78%</w:t>
      </w:r>
      <w:r>
        <w:rPr/>
        <w:t>。</w:t>
      </w:r>
    </w:p>
    <w:p>
      <w:pPr>
        <w:pStyle w:val="BodyText"/>
        <w:spacing w:line="328" w:lineRule="auto" w:before="110"/>
        <w:ind w:left="699" w:right="714" w:firstLine="420"/>
        <w:jc w:val="left"/>
      </w:pPr>
      <w:r>
        <w:rPr/>
        <w:t>6、营业收入本年发生数比上年发生数增加</w:t>
      </w:r>
      <w:r>
        <w:rPr>
          <w:spacing w:val="-60"/>
        </w:rPr>
        <w:t> </w:t>
      </w:r>
      <w:r>
        <w:rPr>
          <w:rFonts w:ascii="Times New Roman" w:hAnsi="Times New Roman" w:cs="Times New Roman" w:eastAsia="Times New Roman" w:hint="default"/>
        </w:rPr>
        <w:t>376,585,395.56</w:t>
      </w:r>
      <w:r>
        <w:rPr>
          <w:rFonts w:ascii="Times New Roman" w:hAnsi="Times New Roman" w:cs="Times New Roman" w:eastAsia="Times New Roman" w:hint="default"/>
          <w:spacing w:val="-7"/>
        </w:rPr>
        <w:t> </w:t>
      </w:r>
      <w:r>
        <w:rPr/>
        <w:t>元，增加比例为</w:t>
      </w:r>
      <w:r>
        <w:rPr>
          <w:spacing w:val="-60"/>
        </w:rPr>
        <w:t> </w:t>
      </w:r>
      <w:r>
        <w:rPr>
          <w:rFonts w:ascii="Times New Roman" w:hAnsi="Times New Roman" w:cs="Times New Roman" w:eastAsia="Times New Roman" w:hint="default"/>
        </w:rPr>
        <w:t>49.46%</w:t>
      </w:r>
      <w:r>
        <w:rPr/>
        <w:t>，变</w:t>
      </w:r>
      <w:r>
        <w:rPr>
          <w:spacing w:val="-4"/>
        </w:rPr>
        <w:t> </w:t>
      </w:r>
      <w:r>
        <w:rPr/>
        <w:t>动主要原因为：ATM(货币自动处理设备)的销售额大幅增加。</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4"/>
        <w:spacing w:line="240" w:lineRule="auto"/>
        <w:ind w:left="1119" w:right="711"/>
        <w:jc w:val="left"/>
        <w:rPr>
          <w:b w:val="0"/>
          <w:bCs w:val="0"/>
        </w:rPr>
      </w:pPr>
      <w:r>
        <w:rPr/>
        <w:t>八、关联方关系及其交易</w:t>
      </w:r>
      <w:r>
        <w:rPr>
          <w:b w:val="0"/>
          <w:bCs w:val="0"/>
        </w:rPr>
      </w:r>
    </w:p>
    <w:p>
      <w:pPr>
        <w:spacing w:line="348" w:lineRule="auto" w:before="125"/>
        <w:ind w:left="1119" w:right="5421" w:firstLine="2"/>
        <w:jc w:val="left"/>
        <w:rPr>
          <w:rFonts w:ascii="宋体" w:hAnsi="宋体" w:cs="宋体" w:eastAsia="宋体" w:hint="default"/>
          <w:sz w:val="21"/>
          <w:szCs w:val="21"/>
        </w:rPr>
      </w:pPr>
      <w:r>
        <w:rPr>
          <w:rFonts w:ascii="宋体" w:hAnsi="宋体" w:cs="宋体" w:eastAsia="宋体" w:hint="default"/>
          <w:b/>
          <w:bCs/>
          <w:sz w:val="21"/>
          <w:szCs w:val="21"/>
        </w:rPr>
        <w:t>（一）存在控制关系的关联方情况</w:t>
      </w:r>
      <w:r>
        <w:rPr>
          <w:rFonts w:ascii="宋体" w:hAnsi="宋体" w:cs="宋体" w:eastAsia="宋体" w:hint="default"/>
          <w:b/>
          <w:bCs/>
          <w:w w:val="99"/>
          <w:sz w:val="21"/>
          <w:szCs w:val="21"/>
        </w:rPr>
        <w:t> </w:t>
      </w:r>
      <w:r>
        <w:rPr>
          <w:rFonts w:ascii="宋体" w:hAnsi="宋体" w:cs="宋体" w:eastAsia="宋体" w:hint="default"/>
          <w:sz w:val="21"/>
          <w:szCs w:val="21"/>
        </w:rPr>
        <w:t>１、存在控制关系的关联方</w:t>
      </w:r>
    </w:p>
    <w:p>
      <w:pPr>
        <w:pStyle w:val="BodyText"/>
        <w:spacing w:line="240" w:lineRule="auto" w:before="31"/>
        <w:ind w:left="1119" w:right="711"/>
        <w:jc w:val="left"/>
      </w:pPr>
      <w:r>
        <w:rPr/>
        <w:t>（1）控制本公司的关联方</w:t>
      </w:r>
    </w:p>
    <w:p>
      <w:pPr>
        <w:spacing w:line="240" w:lineRule="auto" w:before="4"/>
        <w:rPr>
          <w:rFonts w:ascii="宋体" w:hAnsi="宋体" w:cs="宋体" w:eastAsia="宋体" w:hint="default"/>
          <w:sz w:val="14"/>
          <w:szCs w:val="14"/>
        </w:rPr>
      </w:pPr>
    </w:p>
    <w:tbl>
      <w:tblPr>
        <w:tblW w:w="0" w:type="auto"/>
        <w:jc w:val="left"/>
        <w:tblInd w:w="403" w:type="dxa"/>
        <w:tblLayout w:type="fixed"/>
        <w:tblCellMar>
          <w:top w:w="0" w:type="dxa"/>
          <w:left w:w="0" w:type="dxa"/>
          <w:bottom w:w="0" w:type="dxa"/>
          <w:right w:w="0" w:type="dxa"/>
        </w:tblCellMar>
        <w:tblLook w:val="01E0"/>
      </w:tblPr>
      <w:tblGrid>
        <w:gridCol w:w="1424"/>
        <w:gridCol w:w="1705"/>
        <w:gridCol w:w="1355"/>
        <w:gridCol w:w="805"/>
        <w:gridCol w:w="1080"/>
        <w:gridCol w:w="1175"/>
        <w:gridCol w:w="1345"/>
      </w:tblGrid>
      <w:tr>
        <w:trPr>
          <w:trHeight w:val="558"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345" w:right="0"/>
              <w:jc w:val="left"/>
              <w:rPr>
                <w:rFonts w:ascii="宋体" w:hAnsi="宋体" w:cs="宋体" w:eastAsia="宋体" w:hint="default"/>
                <w:sz w:val="18"/>
                <w:szCs w:val="18"/>
              </w:rPr>
            </w:pPr>
            <w:r>
              <w:rPr>
                <w:rFonts w:ascii="宋体" w:hAnsi="宋体" w:cs="宋体" w:eastAsia="宋体" w:hint="default"/>
                <w:b/>
                <w:bCs/>
                <w:sz w:val="18"/>
                <w:szCs w:val="18"/>
              </w:rPr>
              <w:t>企业名称</w:t>
            </w:r>
            <w:r>
              <w:rPr>
                <w:rFonts w:ascii="宋体" w:hAnsi="宋体" w:cs="宋体" w:eastAsia="宋体" w:hint="default"/>
                <w:sz w:val="18"/>
                <w:szCs w:val="18"/>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485" w:right="0"/>
              <w:jc w:val="left"/>
              <w:rPr>
                <w:rFonts w:ascii="宋体" w:hAnsi="宋体" w:cs="宋体" w:eastAsia="宋体" w:hint="default"/>
                <w:sz w:val="18"/>
                <w:szCs w:val="18"/>
              </w:rPr>
            </w:pPr>
            <w:r>
              <w:rPr>
                <w:rFonts w:ascii="宋体" w:hAnsi="宋体" w:cs="宋体" w:eastAsia="宋体" w:hint="default"/>
                <w:b/>
                <w:bCs/>
                <w:sz w:val="18"/>
                <w:szCs w:val="18"/>
              </w:rPr>
              <w:t>注册地址</w:t>
            </w:r>
            <w:r>
              <w:rPr>
                <w:rFonts w:ascii="宋体" w:hAnsi="宋体" w:cs="宋体" w:eastAsia="宋体" w:hint="default"/>
                <w:sz w:val="18"/>
                <w:szCs w:val="18"/>
              </w:rPr>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310" w:right="0"/>
              <w:jc w:val="left"/>
              <w:rPr>
                <w:rFonts w:ascii="宋体" w:hAnsi="宋体" w:cs="宋体" w:eastAsia="宋体" w:hint="default"/>
                <w:sz w:val="18"/>
                <w:szCs w:val="18"/>
              </w:rPr>
            </w:pPr>
            <w:r>
              <w:rPr>
                <w:rFonts w:ascii="宋体" w:hAnsi="宋体" w:cs="宋体" w:eastAsia="宋体" w:hint="default"/>
                <w:b/>
                <w:bCs/>
                <w:sz w:val="18"/>
                <w:szCs w:val="18"/>
              </w:rPr>
              <w:t>主营业务</w:t>
            </w:r>
            <w:r>
              <w:rPr>
                <w:rFonts w:ascii="宋体" w:hAnsi="宋体" w:cs="宋体" w:eastAsia="宋体" w:hint="default"/>
                <w:sz w:val="18"/>
                <w:szCs w:val="18"/>
              </w:rPr>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
              <w:ind w:left="125" w:right="124"/>
              <w:jc w:val="left"/>
              <w:rPr>
                <w:rFonts w:ascii="宋体" w:hAnsi="宋体" w:cs="宋体" w:eastAsia="宋体" w:hint="default"/>
                <w:sz w:val="18"/>
                <w:szCs w:val="18"/>
              </w:rPr>
            </w:pPr>
            <w:r>
              <w:rPr>
                <w:rFonts w:ascii="宋体" w:hAnsi="宋体" w:cs="宋体" w:eastAsia="宋体" w:hint="default"/>
                <w:b/>
                <w:bCs/>
                <w:sz w:val="18"/>
                <w:szCs w:val="18"/>
              </w:rPr>
              <w:t>与本企</w:t>
            </w:r>
            <w:r>
              <w:rPr>
                <w:rFonts w:ascii="宋体" w:hAnsi="宋体" w:cs="宋体" w:eastAsia="宋体" w:hint="default"/>
                <w:b/>
                <w:bCs/>
                <w:spacing w:val="1"/>
                <w:w w:val="99"/>
                <w:sz w:val="18"/>
                <w:szCs w:val="18"/>
              </w:rPr>
              <w:t> </w:t>
            </w:r>
            <w:r>
              <w:rPr>
                <w:rFonts w:ascii="宋体" w:hAnsi="宋体" w:cs="宋体" w:eastAsia="宋体" w:hint="default"/>
                <w:b/>
                <w:bCs/>
                <w:sz w:val="18"/>
                <w:szCs w:val="18"/>
              </w:rPr>
              <w:t>业关系</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72"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宋体" w:hAnsi="宋体" w:cs="宋体" w:eastAsia="宋体" w:hint="default"/>
                <w:sz w:val="18"/>
                <w:szCs w:val="18"/>
              </w:rPr>
            </w:pPr>
            <w:r>
              <w:rPr>
                <w:rFonts w:ascii="宋体" w:hAnsi="宋体" w:cs="宋体" w:eastAsia="宋体" w:hint="default"/>
                <w:b/>
                <w:bCs/>
                <w:sz w:val="18"/>
                <w:szCs w:val="18"/>
              </w:rPr>
              <w:t>法定代表人</w:t>
            </w:r>
            <w:r>
              <w:rPr>
                <w:rFonts w:ascii="宋体" w:hAnsi="宋体" w:cs="宋体" w:eastAsia="宋体" w:hint="default"/>
                <w:sz w:val="18"/>
                <w:szCs w:val="18"/>
              </w:rPr>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b/>
                <w:bCs/>
                <w:sz w:val="18"/>
                <w:szCs w:val="18"/>
              </w:rPr>
              <w:t>组织机构代码</w:t>
            </w:r>
            <w:r>
              <w:rPr>
                <w:rFonts w:ascii="宋体" w:hAnsi="宋体" w:cs="宋体" w:eastAsia="宋体" w:hint="default"/>
                <w:sz w:val="18"/>
                <w:szCs w:val="18"/>
              </w:rPr>
            </w:r>
          </w:p>
        </w:tc>
      </w:tr>
      <w:tr>
        <w:trPr>
          <w:trHeight w:val="587"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9"/>
              <w:ind w:left="103" w:right="77"/>
              <w:jc w:val="left"/>
              <w:rPr>
                <w:rFonts w:ascii="宋体" w:hAnsi="宋体" w:cs="宋体" w:eastAsia="宋体" w:hint="default"/>
                <w:sz w:val="18"/>
                <w:szCs w:val="18"/>
              </w:rPr>
            </w:pPr>
            <w:r>
              <w:rPr>
                <w:rFonts w:ascii="宋体" w:hAnsi="宋体" w:cs="宋体" w:eastAsia="宋体" w:hint="default"/>
                <w:spacing w:val="16"/>
                <w:sz w:val="18"/>
                <w:szCs w:val="18"/>
              </w:rPr>
              <w:t>广州无</w:t>
            </w:r>
            <w:r>
              <w:rPr>
                <w:rFonts w:ascii="宋体" w:hAnsi="宋体" w:cs="宋体" w:eastAsia="宋体" w:hint="default"/>
                <w:spacing w:val="-63"/>
                <w:sz w:val="18"/>
                <w:szCs w:val="18"/>
              </w:rPr>
              <w:t> </w:t>
            </w:r>
            <w:r>
              <w:rPr>
                <w:rFonts w:ascii="宋体" w:hAnsi="宋体" w:cs="宋体" w:eastAsia="宋体" w:hint="default"/>
                <w:spacing w:val="16"/>
                <w:sz w:val="18"/>
                <w:szCs w:val="18"/>
              </w:rPr>
              <w:t>线电集</w:t>
            </w:r>
            <w:r>
              <w:rPr>
                <w:rFonts w:ascii="宋体" w:hAnsi="宋体" w:cs="宋体" w:eastAsia="宋体" w:hint="default"/>
                <w:spacing w:val="-88"/>
                <w:sz w:val="18"/>
                <w:szCs w:val="18"/>
              </w:rPr>
              <w:t> </w:t>
            </w:r>
            <w:r>
              <w:rPr>
                <w:rFonts w:ascii="宋体" w:hAnsi="宋体" w:cs="宋体" w:eastAsia="宋体" w:hint="default"/>
                <w:sz w:val="18"/>
                <w:szCs w:val="18"/>
              </w:rPr>
              <w:t>团有限公司</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9"/>
              <w:ind w:left="103" w:right="94"/>
              <w:jc w:val="left"/>
              <w:rPr>
                <w:rFonts w:ascii="宋体" w:hAnsi="宋体" w:cs="宋体" w:eastAsia="宋体" w:hint="default"/>
                <w:sz w:val="18"/>
                <w:szCs w:val="18"/>
              </w:rPr>
            </w:pPr>
            <w:r>
              <w:rPr>
                <w:rFonts w:ascii="宋体" w:hAnsi="宋体" w:cs="宋体" w:eastAsia="宋体" w:hint="default"/>
                <w:spacing w:val="6"/>
                <w:sz w:val="18"/>
                <w:szCs w:val="18"/>
              </w:rPr>
              <w:t>广州市天河黄埔大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道西平云路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9"/>
              <w:ind w:left="103" w:right="87"/>
              <w:jc w:val="left"/>
              <w:rPr>
                <w:rFonts w:ascii="宋体" w:hAnsi="宋体" w:cs="宋体" w:eastAsia="宋体" w:hint="default"/>
                <w:sz w:val="18"/>
                <w:szCs w:val="18"/>
              </w:rPr>
            </w:pPr>
            <w:r>
              <w:rPr>
                <w:rFonts w:ascii="宋体" w:hAnsi="宋体" w:cs="宋体" w:eastAsia="宋体" w:hint="default"/>
                <w:spacing w:val="12"/>
                <w:sz w:val="18"/>
                <w:szCs w:val="18"/>
              </w:rPr>
              <w:t>经营授权管理 </w:t>
            </w:r>
            <w:r>
              <w:rPr>
                <w:rFonts w:ascii="宋体" w:hAnsi="宋体" w:cs="宋体" w:eastAsia="宋体" w:hint="default"/>
                <w:sz w:val="18"/>
                <w:szCs w:val="18"/>
              </w:rPr>
              <w:t>的国有资产</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27"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9"/>
              <w:ind w:left="355" w:right="173" w:hanging="180"/>
              <w:jc w:val="left"/>
              <w:rPr>
                <w:rFonts w:ascii="宋体" w:hAnsi="宋体" w:cs="宋体" w:eastAsia="宋体" w:hint="default"/>
                <w:sz w:val="18"/>
                <w:szCs w:val="18"/>
              </w:rPr>
            </w:pPr>
            <w:r>
              <w:rPr>
                <w:rFonts w:ascii="宋体" w:hAnsi="宋体" w:cs="宋体" w:eastAsia="宋体" w:hint="default"/>
                <w:sz w:val="18"/>
                <w:szCs w:val="18"/>
              </w:rPr>
              <w:t>国有独资 公司</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宋体" w:hAnsi="宋体" w:cs="宋体" w:eastAsia="宋体" w:hint="default"/>
                <w:sz w:val="18"/>
                <w:szCs w:val="18"/>
              </w:rPr>
            </w:pPr>
            <w:r>
              <w:rPr>
                <w:rFonts w:ascii="宋体" w:hAnsi="宋体" w:cs="宋体" w:eastAsia="宋体" w:hint="default"/>
                <w:sz w:val="18"/>
                <w:szCs w:val="18"/>
              </w:rPr>
              <w:t>赵友永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231216220</w:t>
            </w:r>
          </w:p>
        </w:tc>
      </w:tr>
    </w:tbl>
    <w:p>
      <w:pPr>
        <w:pStyle w:val="BodyText"/>
        <w:spacing w:line="328" w:lineRule="auto" w:before="93"/>
        <w:ind w:left="700" w:right="702" w:firstLine="420"/>
        <w:jc w:val="left"/>
      </w:pPr>
      <w:r>
        <w:rPr/>
        <w:t>母公司对本公司的持股比例和表决权比例分别为</w:t>
      </w:r>
      <w:r>
        <w:rPr>
          <w:spacing w:val="-66"/>
        </w:rPr>
        <w:t> </w:t>
      </w:r>
      <w:r>
        <w:rPr>
          <w:rFonts w:ascii="Times New Roman" w:hAnsi="Times New Roman" w:cs="Times New Roman" w:eastAsia="Times New Roman" w:hint="default"/>
        </w:rPr>
        <w:t>50.23%</w:t>
      </w:r>
      <w:r>
        <w:rPr/>
        <w:t>和</w:t>
      </w:r>
      <w:r>
        <w:rPr>
          <w:spacing w:val="-67"/>
        </w:rPr>
        <w:t> </w:t>
      </w:r>
      <w:r>
        <w:rPr>
          <w:rFonts w:ascii="Times New Roman" w:hAnsi="Times New Roman" w:cs="Times New Roman" w:eastAsia="Times New Roman" w:hint="default"/>
        </w:rPr>
        <w:t>50.23%</w:t>
      </w:r>
      <w:r>
        <w:rPr/>
        <w:t>。本公司的最终控制 方为广州市国资委。</w:t>
      </w:r>
    </w:p>
    <w:p>
      <w:pPr>
        <w:spacing w:line="240" w:lineRule="auto" w:before="7"/>
        <w:rPr>
          <w:rFonts w:ascii="宋体" w:hAnsi="宋体" w:cs="宋体" w:eastAsia="宋体" w:hint="default"/>
          <w:sz w:val="15"/>
          <w:szCs w:val="15"/>
        </w:rPr>
      </w:pPr>
    </w:p>
    <w:p>
      <w:pPr>
        <w:pStyle w:val="BodyText"/>
        <w:spacing w:line="240" w:lineRule="auto" w:before="0"/>
        <w:ind w:left="1120" w:right="711"/>
        <w:jc w:val="left"/>
      </w:pPr>
      <w:r>
        <w:rPr/>
        <w:t>（2）受本公司控制的关联方</w:t>
      </w:r>
    </w:p>
    <w:p>
      <w:pPr>
        <w:spacing w:line="240" w:lineRule="auto" w:before="6"/>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101"/>
        <w:gridCol w:w="601"/>
        <w:gridCol w:w="3402"/>
        <w:gridCol w:w="797"/>
        <w:gridCol w:w="756"/>
        <w:gridCol w:w="770"/>
        <w:gridCol w:w="1061"/>
      </w:tblGrid>
      <w:tr>
        <w:trPr>
          <w:trHeight w:val="545" w:hRule="exact"/>
        </w:trPr>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84" w:right="0"/>
              <w:jc w:val="left"/>
              <w:rPr>
                <w:rFonts w:ascii="宋体" w:hAnsi="宋体" w:cs="宋体" w:eastAsia="宋体" w:hint="default"/>
                <w:sz w:val="18"/>
                <w:szCs w:val="18"/>
              </w:rPr>
            </w:pPr>
            <w:r>
              <w:rPr>
                <w:rFonts w:ascii="宋体" w:hAnsi="宋体" w:cs="宋体" w:eastAsia="宋体" w:hint="default"/>
                <w:b/>
                <w:bCs/>
                <w:sz w:val="18"/>
                <w:szCs w:val="18"/>
              </w:rPr>
              <w:t>企业名称</w:t>
            </w:r>
            <w:r>
              <w:rPr>
                <w:rFonts w:ascii="宋体" w:hAnsi="宋体" w:cs="宋体" w:eastAsia="宋体" w:hint="default"/>
                <w:sz w:val="18"/>
                <w:szCs w:val="18"/>
              </w:rPr>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
              <w:ind w:left="115" w:right="112"/>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1"/>
                <w:w w:val="99"/>
                <w:sz w:val="18"/>
                <w:szCs w:val="18"/>
              </w:rPr>
              <w:t> </w:t>
            </w:r>
            <w:r>
              <w:rPr>
                <w:rFonts w:ascii="宋体" w:hAnsi="宋体" w:cs="宋体" w:eastAsia="宋体" w:hint="default"/>
                <w:b/>
                <w:bCs/>
                <w:sz w:val="18"/>
                <w:szCs w:val="18"/>
              </w:rPr>
              <w:t>地址</w:t>
            </w:r>
            <w:r>
              <w:rPr>
                <w:rFonts w:ascii="宋体" w:hAnsi="宋体" w:cs="宋体" w:eastAsia="宋体" w:hint="default"/>
                <w:sz w:val="18"/>
                <w:szCs w:val="18"/>
              </w:rPr>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b/>
                <w:bCs/>
                <w:sz w:val="18"/>
                <w:szCs w:val="18"/>
              </w:rPr>
              <w:t>主营业务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
              <w:ind w:left="121" w:right="119" w:firstLine="1"/>
              <w:jc w:val="left"/>
              <w:rPr>
                <w:rFonts w:ascii="宋体" w:hAnsi="宋体" w:cs="宋体" w:eastAsia="宋体" w:hint="default"/>
                <w:sz w:val="18"/>
                <w:szCs w:val="18"/>
              </w:rPr>
            </w:pPr>
            <w:r>
              <w:rPr>
                <w:rFonts w:ascii="宋体" w:hAnsi="宋体" w:cs="宋体" w:eastAsia="宋体" w:hint="default"/>
                <w:b/>
                <w:bCs/>
                <w:sz w:val="18"/>
                <w:szCs w:val="18"/>
              </w:rPr>
              <w:t>与本企</w:t>
            </w:r>
            <w:r>
              <w:rPr>
                <w:rFonts w:ascii="宋体" w:hAnsi="宋体" w:cs="宋体" w:eastAsia="宋体" w:hint="default"/>
                <w:b/>
                <w:bCs/>
                <w:spacing w:val="1"/>
                <w:w w:val="99"/>
                <w:sz w:val="18"/>
                <w:szCs w:val="18"/>
              </w:rPr>
              <w:t> </w:t>
            </w:r>
            <w:r>
              <w:rPr>
                <w:rFonts w:ascii="宋体" w:hAnsi="宋体" w:cs="宋体" w:eastAsia="宋体" w:hint="default"/>
                <w:b/>
                <w:bCs/>
                <w:sz w:val="18"/>
                <w:szCs w:val="18"/>
              </w:rPr>
              <w:t>业关系</w:t>
            </w:r>
            <w:r>
              <w:rPr>
                <w:rFonts w:ascii="宋体" w:hAnsi="宋体" w:cs="宋体" w:eastAsia="宋体" w:hint="default"/>
                <w:sz w:val="18"/>
                <w:szCs w:val="18"/>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
              <w:ind w:left="191" w:right="190"/>
              <w:jc w:val="left"/>
              <w:rPr>
                <w:rFonts w:ascii="宋体" w:hAnsi="宋体" w:cs="宋体" w:eastAsia="宋体" w:hint="default"/>
                <w:sz w:val="18"/>
                <w:szCs w:val="18"/>
              </w:rPr>
            </w:pPr>
            <w:r>
              <w:rPr>
                <w:rFonts w:ascii="宋体" w:hAnsi="宋体" w:cs="宋体" w:eastAsia="宋体" w:hint="default"/>
                <w:b/>
                <w:bCs/>
                <w:sz w:val="18"/>
                <w:szCs w:val="18"/>
              </w:rPr>
              <w:t>业务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性质</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
              <w:ind w:left="199" w:right="106" w:hanging="90"/>
              <w:jc w:val="left"/>
              <w:rPr>
                <w:rFonts w:ascii="宋体" w:hAnsi="宋体" w:cs="宋体" w:eastAsia="宋体" w:hint="default"/>
                <w:sz w:val="18"/>
                <w:szCs w:val="18"/>
              </w:rPr>
            </w:pPr>
            <w:r>
              <w:rPr>
                <w:rFonts w:ascii="宋体" w:hAnsi="宋体" w:cs="宋体" w:eastAsia="宋体" w:hint="default"/>
                <w:b/>
                <w:bCs/>
                <w:sz w:val="18"/>
                <w:szCs w:val="18"/>
              </w:rPr>
              <w:t>法定代</w:t>
            </w:r>
            <w:r>
              <w:rPr>
                <w:rFonts w:ascii="宋体" w:hAnsi="宋体" w:cs="宋体" w:eastAsia="宋体" w:hint="default"/>
                <w:b/>
                <w:bCs/>
                <w:spacing w:val="1"/>
                <w:w w:val="99"/>
                <w:sz w:val="18"/>
                <w:szCs w:val="18"/>
              </w:rPr>
              <w:t> </w:t>
            </w:r>
            <w:r>
              <w:rPr>
                <w:rFonts w:ascii="宋体" w:hAnsi="宋体" w:cs="宋体" w:eastAsia="宋体" w:hint="default"/>
                <w:b/>
                <w:bCs/>
                <w:sz w:val="18"/>
                <w:szCs w:val="18"/>
              </w:rPr>
              <w:t>表人</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
              <w:ind w:left="344" w:right="162" w:hanging="180"/>
              <w:jc w:val="left"/>
              <w:rPr>
                <w:rFonts w:ascii="宋体" w:hAnsi="宋体" w:cs="宋体" w:eastAsia="宋体" w:hint="default"/>
                <w:sz w:val="18"/>
                <w:szCs w:val="18"/>
              </w:rPr>
            </w:pPr>
            <w:r>
              <w:rPr>
                <w:rFonts w:ascii="宋体" w:hAnsi="宋体" w:cs="宋体" w:eastAsia="宋体" w:hint="default"/>
                <w:b/>
                <w:bCs/>
                <w:sz w:val="18"/>
                <w:szCs w:val="18"/>
              </w:rPr>
              <w:t>组织机构</w:t>
            </w:r>
            <w:r>
              <w:rPr>
                <w:rFonts w:ascii="宋体" w:hAnsi="宋体" w:cs="宋体" w:eastAsia="宋体" w:hint="default"/>
                <w:b/>
                <w:bCs/>
                <w:w w:val="99"/>
                <w:sz w:val="18"/>
                <w:szCs w:val="18"/>
              </w:rPr>
              <w:t> </w:t>
            </w:r>
            <w:r>
              <w:rPr>
                <w:rFonts w:ascii="宋体" w:hAnsi="宋体" w:cs="宋体" w:eastAsia="宋体" w:hint="default"/>
                <w:b/>
                <w:bCs/>
                <w:sz w:val="18"/>
                <w:szCs w:val="18"/>
              </w:rPr>
              <w:t>代码</w:t>
            </w:r>
            <w:r>
              <w:rPr>
                <w:rFonts w:ascii="宋体" w:hAnsi="宋体" w:cs="宋体" w:eastAsia="宋体" w:hint="default"/>
                <w:sz w:val="18"/>
                <w:szCs w:val="18"/>
              </w:rPr>
            </w:r>
          </w:p>
        </w:tc>
      </w:tr>
      <w:tr>
        <w:trPr>
          <w:trHeight w:val="823" w:hRule="exact"/>
        </w:trPr>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8"/>
              <w:ind w:left="505" w:right="144" w:hanging="360"/>
              <w:jc w:val="left"/>
              <w:rPr>
                <w:rFonts w:ascii="宋体" w:hAnsi="宋体" w:cs="宋体" w:eastAsia="宋体" w:hint="default"/>
                <w:sz w:val="18"/>
                <w:szCs w:val="18"/>
              </w:rPr>
            </w:pPr>
            <w:r>
              <w:rPr>
                <w:rFonts w:ascii="宋体" w:hAnsi="宋体" w:cs="宋体" w:eastAsia="宋体" w:hint="default"/>
                <w:sz w:val="18"/>
                <w:szCs w:val="18"/>
              </w:rPr>
              <w:t>深圳广电银通金融电子 科技有限公司</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8"/>
              <w:ind w:left="103" w:right="47"/>
              <w:jc w:val="both"/>
              <w:rPr>
                <w:rFonts w:ascii="宋体" w:hAnsi="宋体" w:cs="宋体" w:eastAsia="宋体" w:hint="default"/>
                <w:sz w:val="18"/>
                <w:szCs w:val="18"/>
              </w:rPr>
            </w:pPr>
            <w:r>
              <w:rPr>
                <w:rFonts w:ascii="宋体" w:hAnsi="宋体" w:cs="宋体" w:eastAsia="宋体" w:hint="default"/>
                <w:spacing w:val="-4"/>
                <w:sz w:val="18"/>
                <w:szCs w:val="18"/>
              </w:rPr>
              <w:t>研发、生产经营金融电子设备、从事金融</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电子系统软件开发、金融电子系统集成， 并提供相关的技术支持和服务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21"/>
              <w:jc w:val="right"/>
              <w:rPr>
                <w:rFonts w:ascii="宋体" w:hAnsi="宋体" w:cs="宋体" w:eastAsia="宋体" w:hint="default"/>
                <w:sz w:val="18"/>
                <w:szCs w:val="18"/>
              </w:rPr>
            </w:pPr>
            <w:r>
              <w:rPr>
                <w:rFonts w:ascii="宋体" w:hAnsi="宋体" w:cs="宋体" w:eastAsia="宋体" w:hint="default"/>
                <w:sz w:val="18"/>
                <w:szCs w:val="18"/>
              </w:rPr>
              <w:t>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8"/>
              <w:ind w:left="103" w:right="101"/>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赵友永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755664630</w:t>
            </w:r>
          </w:p>
        </w:tc>
      </w:tr>
      <w:tr>
        <w:trPr>
          <w:trHeight w:val="572" w:hRule="exact"/>
        </w:trPr>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865" w:right="144" w:hanging="720"/>
              <w:jc w:val="left"/>
              <w:rPr>
                <w:rFonts w:ascii="宋体" w:hAnsi="宋体" w:cs="宋体" w:eastAsia="宋体" w:hint="default"/>
                <w:sz w:val="18"/>
                <w:szCs w:val="18"/>
              </w:rPr>
            </w:pPr>
            <w:r>
              <w:rPr>
                <w:rFonts w:ascii="宋体" w:hAnsi="宋体" w:cs="宋体" w:eastAsia="宋体" w:hint="default"/>
                <w:sz w:val="18"/>
                <w:szCs w:val="18"/>
              </w:rPr>
              <w:t>广州穗通金融服务有限 公司</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103" w:right="93"/>
              <w:jc w:val="left"/>
              <w:rPr>
                <w:rFonts w:ascii="宋体" w:hAnsi="宋体" w:cs="宋体" w:eastAsia="宋体" w:hint="default"/>
                <w:sz w:val="18"/>
                <w:szCs w:val="18"/>
              </w:rPr>
            </w:pPr>
            <w:r>
              <w:rPr>
                <w:rFonts w:ascii="宋体" w:hAnsi="宋体" w:cs="宋体" w:eastAsia="宋体" w:hint="default"/>
                <w:spacing w:val="7"/>
                <w:sz w:val="18"/>
                <w:szCs w:val="18"/>
              </w:rPr>
              <w:t>受银行委托对自动柜员机进行维护及管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理，对现金及有价证券提供清分处理服务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21"/>
              <w:jc w:val="right"/>
              <w:rPr>
                <w:rFonts w:ascii="宋体" w:hAnsi="宋体" w:cs="宋体" w:eastAsia="宋体" w:hint="default"/>
                <w:sz w:val="18"/>
                <w:szCs w:val="18"/>
              </w:rPr>
            </w:pPr>
            <w:r>
              <w:rPr>
                <w:rFonts w:ascii="宋体" w:hAnsi="宋体" w:cs="宋体" w:eastAsia="宋体" w:hint="default"/>
                <w:sz w:val="18"/>
                <w:szCs w:val="18"/>
              </w:rPr>
              <w:t>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103" w:right="101"/>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赵友永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683277112</w:t>
            </w:r>
          </w:p>
        </w:tc>
      </w:tr>
      <w:tr>
        <w:trPr>
          <w:trHeight w:val="572" w:hRule="exact"/>
        </w:trPr>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before="64"/>
              <w:ind w:right="0"/>
              <w:jc w:val="center"/>
              <w:rPr>
                <w:rFonts w:ascii="Times New Roman" w:hAnsi="Times New Roman" w:cs="Times New Roman" w:eastAsia="Times New Roman" w:hint="default"/>
                <w:sz w:val="18"/>
                <w:szCs w:val="18"/>
              </w:rPr>
            </w:pPr>
            <w:r>
              <w:rPr>
                <w:rFonts w:ascii="Times New Roman"/>
                <w:sz w:val="18"/>
              </w:rPr>
              <w:t>GRG Banking</w:t>
            </w:r>
            <w:r>
              <w:rPr>
                <w:rFonts w:ascii="Times New Roman"/>
                <w:spacing w:val="-1"/>
                <w:sz w:val="18"/>
              </w:rPr>
              <w:t> </w:t>
            </w:r>
            <w:r>
              <w:rPr>
                <w:rFonts w:ascii="Times New Roman"/>
                <w:sz w:val="18"/>
              </w:rPr>
              <w:t>Equipment</w:t>
            </w:r>
          </w:p>
          <w:p>
            <w:pPr>
              <w:pStyle w:val="TableParagraph"/>
              <w:spacing w:line="245"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HK</w:t>
            </w:r>
            <w:r>
              <w:rPr>
                <w:rFonts w:ascii="宋体" w:hAnsi="宋体" w:cs="宋体" w:eastAsia="宋体" w:hint="default"/>
                <w:sz w:val="18"/>
                <w:szCs w:val="18"/>
              </w:rPr>
              <w:t>）</w:t>
            </w:r>
            <w:r>
              <w:rPr>
                <w:rFonts w:ascii="Times New Roman" w:hAnsi="Times New Roman" w:cs="Times New Roman" w:eastAsia="Times New Roman" w:hint="default"/>
                <w:sz w:val="18"/>
                <w:szCs w:val="18"/>
              </w:rPr>
              <w:t>Co.,Limited</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hAnsi="宋体" w:cs="宋体" w:eastAsia="宋体" w:hint="default"/>
                <w:sz w:val="18"/>
                <w:szCs w:val="18"/>
              </w:rPr>
              <w:t>投资和贸易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21"/>
              <w:jc w:val="right"/>
              <w:rPr>
                <w:rFonts w:ascii="宋体" w:hAnsi="宋体" w:cs="宋体" w:eastAsia="宋体" w:hint="default"/>
                <w:sz w:val="18"/>
                <w:szCs w:val="18"/>
              </w:rPr>
            </w:pPr>
            <w:r>
              <w:rPr>
                <w:rFonts w:ascii="宋体" w:hAnsi="宋体" w:cs="宋体" w:eastAsia="宋体" w:hint="default"/>
                <w:sz w:val="18"/>
                <w:szCs w:val="18"/>
              </w:rPr>
              <w:t>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103" w:right="101"/>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77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6"/>
          <w:szCs w:val="16"/>
        </w:rPr>
      </w:pPr>
    </w:p>
    <w:p>
      <w:pPr>
        <w:pStyle w:val="BodyText"/>
        <w:spacing w:line="240" w:lineRule="auto" w:before="35"/>
        <w:ind w:left="1120" w:right="711"/>
        <w:jc w:val="left"/>
      </w:pPr>
      <w:r>
        <w:rPr/>
        <w:t>2、存在控</w:t>
      </w:r>
      <w:r>
        <w:rPr>
          <w:spacing w:val="-2"/>
        </w:rPr>
        <w:t>制</w:t>
      </w:r>
      <w:r>
        <w:rPr/>
        <w:t>关系的关联方的注册资本及其变化（金额单位：万元</w:t>
      </w:r>
      <w:r>
        <w:rPr>
          <w:spacing w:val="-105"/>
        </w:rPr>
        <w:t>）</w:t>
      </w:r>
      <w:r>
        <w:rPr/>
        <w:t>：</w:t>
      </w:r>
    </w:p>
    <w:p>
      <w:pPr>
        <w:spacing w:line="240" w:lineRule="auto" w:before="4"/>
        <w:rPr>
          <w:rFonts w:ascii="宋体" w:hAnsi="宋体" w:cs="宋体" w:eastAsia="宋体" w:hint="default"/>
          <w:sz w:val="14"/>
          <w:szCs w:val="14"/>
        </w:rPr>
      </w:pPr>
    </w:p>
    <w:tbl>
      <w:tblPr>
        <w:tblW w:w="0" w:type="auto"/>
        <w:jc w:val="left"/>
        <w:tblInd w:w="740" w:type="dxa"/>
        <w:tblLayout w:type="fixed"/>
        <w:tblCellMar>
          <w:top w:w="0" w:type="dxa"/>
          <w:left w:w="0" w:type="dxa"/>
          <w:bottom w:w="0" w:type="dxa"/>
          <w:right w:w="0" w:type="dxa"/>
        </w:tblCellMar>
        <w:tblLook w:val="01E0"/>
      </w:tblPr>
      <w:tblGrid>
        <w:gridCol w:w="3330"/>
        <w:gridCol w:w="1260"/>
        <w:gridCol w:w="1284"/>
        <w:gridCol w:w="1080"/>
        <w:gridCol w:w="1260"/>
      </w:tblGrid>
      <w:tr>
        <w:trPr>
          <w:trHeight w:val="371" w:hRule="exact"/>
        </w:trPr>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8" w:right="0"/>
              <w:jc w:val="left"/>
              <w:rPr>
                <w:rFonts w:ascii="宋体" w:hAnsi="宋体" w:cs="宋体" w:eastAsia="宋体" w:hint="default"/>
                <w:sz w:val="21"/>
                <w:szCs w:val="21"/>
              </w:rPr>
            </w:pPr>
            <w:r>
              <w:rPr>
                <w:rFonts w:ascii="宋体" w:hAnsi="宋体" w:cs="宋体" w:eastAsia="宋体" w:hint="default"/>
                <w:b/>
                <w:bCs/>
                <w:sz w:val="21"/>
                <w:szCs w:val="21"/>
              </w:rPr>
              <w:t>年初数</w:t>
            </w:r>
            <w:r>
              <w:rPr>
                <w:rFonts w:ascii="宋体" w:hAnsi="宋体" w:cs="宋体" w:eastAsia="宋体" w:hint="default"/>
                <w:sz w:val="21"/>
                <w:szCs w:val="21"/>
              </w:rPr>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3"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11"/>
              <w:jc w:val="righ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8" w:right="0"/>
              <w:jc w:val="left"/>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r>
      <w:tr>
        <w:trPr>
          <w:trHeight w:val="370" w:hRule="exact"/>
        </w:trPr>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广州无线电集团有限公司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20,000.00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1"/>
                <w:szCs w:val="21"/>
              </w:rPr>
            </w:pPr>
            <w:r>
              <w:rPr>
                <w:rFonts w:ascii="Times New Roman"/>
                <w:spacing w:val="-1"/>
                <w:sz w:val="21"/>
              </w:rPr>
              <w:t>30,000.00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50,000.00</w:t>
            </w:r>
          </w:p>
        </w:tc>
      </w:tr>
      <w:tr>
        <w:trPr>
          <w:trHeight w:val="370" w:hRule="exact"/>
        </w:trPr>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深圳广电银通电子科技有限公司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1"/>
                <w:szCs w:val="21"/>
              </w:rPr>
            </w:pPr>
            <w:r>
              <w:rPr>
                <w:rFonts w:ascii="Times New Roman"/>
                <w:spacing w:val="-1"/>
                <w:sz w:val="21"/>
              </w:rPr>
              <w:t>6,500.00</w:t>
            </w:r>
            <w:r>
              <w:rPr>
                <w:rFonts w:ascii="Times New Roman"/>
                <w:sz w:val="21"/>
              </w:rPr>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Times New Roman" w:hAnsi="Times New Roman" w:cs="Times New Roman" w:eastAsia="Times New Roman" w:hint="default"/>
                <w:sz w:val="21"/>
                <w:szCs w:val="21"/>
              </w:rPr>
            </w:pPr>
            <w:r>
              <w:rPr>
                <w:rFonts w:ascii="Times New Roman"/>
                <w:spacing w:val="-1"/>
                <w:sz w:val="21"/>
              </w:rPr>
              <w:t>6,500.00</w:t>
            </w:r>
            <w:r>
              <w:rPr>
                <w:rFonts w:ascii="Times New Roman"/>
                <w:sz w:val="21"/>
              </w:rPr>
            </w:r>
          </w:p>
        </w:tc>
      </w:tr>
      <w:tr>
        <w:trPr>
          <w:trHeight w:val="371" w:hRule="exact"/>
        </w:trPr>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广州穗通金融服务有限公司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Times New Roman" w:hAnsi="Times New Roman" w:cs="Times New Roman" w:eastAsia="Times New Roman" w:hint="default"/>
                <w:sz w:val="21"/>
                <w:szCs w:val="21"/>
              </w:rPr>
            </w:pPr>
            <w:r>
              <w:rPr>
                <w:rFonts w:ascii="Times New Roman"/>
                <w:spacing w:val="-1"/>
                <w:sz w:val="21"/>
              </w:rPr>
              <w:t>3,000.00</w:t>
            </w:r>
            <w:r>
              <w:rPr>
                <w:rFonts w:ascii="Times New Roman"/>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Times New Roman" w:hAnsi="Times New Roman" w:cs="Times New Roman" w:eastAsia="Times New Roman" w:hint="default"/>
                <w:sz w:val="21"/>
                <w:szCs w:val="21"/>
              </w:rPr>
            </w:pPr>
            <w:r>
              <w:rPr>
                <w:rFonts w:ascii="Times New Roman"/>
                <w:spacing w:val="-1"/>
                <w:sz w:val="21"/>
              </w:rPr>
              <w:t>3,000.00</w:t>
            </w:r>
            <w:r>
              <w:rPr>
                <w:rFonts w:ascii="Times New Roman"/>
                <w:sz w:val="21"/>
              </w:rPr>
            </w:r>
          </w:p>
        </w:tc>
      </w:tr>
      <w:tr>
        <w:trPr>
          <w:trHeight w:val="572" w:hRule="exact"/>
        </w:trPr>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40"/>
              <w:ind w:left="103" w:right="102"/>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GRG</w:t>
            </w:r>
            <w:r>
              <w:rPr>
                <w:rFonts w:ascii="Times New Roman" w:hAnsi="Times New Roman" w:cs="Times New Roman" w:eastAsia="Times New Roman" w:hint="default"/>
                <w:spacing w:val="25"/>
                <w:sz w:val="21"/>
                <w:szCs w:val="21"/>
              </w:rPr>
              <w:t> </w:t>
            </w:r>
            <w:r>
              <w:rPr>
                <w:rFonts w:ascii="Times New Roman" w:hAnsi="Times New Roman" w:cs="Times New Roman" w:eastAsia="Times New Roman" w:hint="default"/>
                <w:sz w:val="21"/>
                <w:szCs w:val="21"/>
              </w:rPr>
              <w:t>Banking</w:t>
            </w:r>
            <w:r>
              <w:rPr>
                <w:rFonts w:ascii="Times New Roman" w:hAnsi="Times New Roman" w:cs="Times New Roman" w:eastAsia="Times New Roman" w:hint="default"/>
                <w:spacing w:val="26"/>
                <w:sz w:val="21"/>
                <w:szCs w:val="21"/>
              </w:rPr>
              <w:t> </w:t>
            </w:r>
            <w:r>
              <w:rPr>
                <w:rFonts w:ascii="Times New Roman" w:hAnsi="Times New Roman" w:cs="Times New Roman" w:eastAsia="Times New Roman" w:hint="default"/>
                <w:sz w:val="21"/>
                <w:szCs w:val="21"/>
              </w:rPr>
              <w:t>Equipment</w:t>
            </w:r>
            <w:r>
              <w:rPr>
                <w:rFonts w:ascii="宋体" w:hAnsi="宋体" w:cs="宋体" w:eastAsia="宋体" w:hint="default"/>
                <w:sz w:val="21"/>
                <w:szCs w:val="21"/>
              </w:rPr>
              <w:t>（</w:t>
            </w:r>
            <w:r>
              <w:rPr>
                <w:rFonts w:ascii="宋体" w:hAnsi="宋体" w:cs="宋体" w:eastAsia="宋体" w:hint="default"/>
                <w:spacing w:val="-85"/>
                <w:sz w:val="21"/>
                <w:szCs w:val="21"/>
              </w:rPr>
              <w:t> </w:t>
            </w:r>
            <w:r>
              <w:rPr>
                <w:rFonts w:ascii="Times New Roman" w:hAnsi="Times New Roman" w:cs="Times New Roman" w:eastAsia="Times New Roman" w:hint="default"/>
                <w:sz w:val="21"/>
                <w:szCs w:val="21"/>
              </w:rPr>
              <w:t>HK</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 </w:t>
            </w:r>
            <w:r>
              <w:rPr>
                <w:rFonts w:ascii="Times New Roman" w:hAnsi="Times New Roman" w:cs="Times New Roman" w:eastAsia="Times New Roman" w:hint="default"/>
                <w:sz w:val="21"/>
                <w:szCs w:val="21"/>
              </w:rPr>
              <w:t>Co.,Limited</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2"/>
              <w:jc w:val="right"/>
              <w:rPr>
                <w:rFonts w:ascii="Times New Roman" w:hAnsi="Times New Roman" w:cs="Times New Roman" w:eastAsia="Times New Roman" w:hint="default"/>
                <w:sz w:val="21"/>
                <w:szCs w:val="21"/>
              </w:rPr>
            </w:pPr>
            <w:r>
              <w:rPr>
                <w:rFonts w:ascii="宋体" w:hAnsi="宋体" w:cs="宋体" w:eastAsia="宋体" w:hint="default"/>
                <w:sz w:val="21"/>
                <w:szCs w:val="21"/>
              </w:rPr>
              <w:t>美元</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Times New Roman" w:hAnsi="Times New Roman" w:cs="Times New Roman" w:eastAsia="Times New Roman" w:hint="default"/>
                <w:sz w:val="21"/>
                <w:szCs w:val="21"/>
              </w:rPr>
            </w:pPr>
            <w:r>
              <w:rPr>
                <w:rFonts w:ascii="Times New Roman"/>
                <w:sz w:val="21"/>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2"/>
              <w:jc w:val="right"/>
              <w:rPr>
                <w:rFonts w:ascii="Times New Roman" w:hAnsi="Times New Roman" w:cs="Times New Roman" w:eastAsia="Times New Roman" w:hint="default"/>
                <w:sz w:val="21"/>
                <w:szCs w:val="21"/>
              </w:rPr>
            </w:pPr>
            <w:r>
              <w:rPr>
                <w:rFonts w:ascii="宋体" w:hAnsi="宋体" w:cs="宋体" w:eastAsia="宋体" w:hint="default"/>
                <w:sz w:val="21"/>
                <w:szCs w:val="21"/>
              </w:rPr>
              <w:t>美元</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30.00</w:t>
            </w:r>
          </w:p>
        </w:tc>
      </w:tr>
    </w:tbl>
    <w:p>
      <w:pPr>
        <w:spacing w:after="0" w:line="240" w:lineRule="auto"/>
        <w:jc w:val="right"/>
        <w:rPr>
          <w:rFonts w:ascii="Times New Roman" w:hAnsi="Times New Roman" w:cs="Times New Roman" w:eastAsia="Times New Roman" w:hint="default"/>
          <w:sz w:val="21"/>
          <w:szCs w:val="21"/>
        </w:rPr>
        <w:sectPr>
          <w:pgSz w:w="11910" w:h="16840"/>
          <w:pgMar w:header="400" w:footer="982" w:top="1100" w:bottom="1180" w:left="1100" w:right="1080"/>
        </w:sectPr>
      </w:pPr>
    </w:p>
    <w:p>
      <w:pPr>
        <w:spacing w:line="240" w:lineRule="auto" w:before="12"/>
        <w:rPr>
          <w:rFonts w:ascii="宋体" w:hAnsi="宋体" w:cs="宋体" w:eastAsia="宋体" w:hint="default"/>
          <w:sz w:val="28"/>
          <w:szCs w:val="28"/>
        </w:rPr>
      </w:pPr>
    </w:p>
    <w:p>
      <w:pPr>
        <w:pStyle w:val="BodyText"/>
        <w:spacing w:line="240" w:lineRule="auto" w:before="35"/>
        <w:ind w:left="1020" w:right="589"/>
        <w:jc w:val="left"/>
      </w:pPr>
      <w:r>
        <w:rPr/>
        <w:t>3、存在控制关系的关联方所持股份及其变化（金额单位：万元）</w:t>
      </w:r>
    </w:p>
    <w:p>
      <w:pPr>
        <w:spacing w:line="240" w:lineRule="auto" w:before="4"/>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2700"/>
        <w:gridCol w:w="1056"/>
        <w:gridCol w:w="740"/>
        <w:gridCol w:w="1056"/>
        <w:gridCol w:w="427"/>
        <w:gridCol w:w="846"/>
        <w:gridCol w:w="554"/>
        <w:gridCol w:w="1162"/>
        <w:gridCol w:w="740"/>
      </w:tblGrid>
      <w:tr>
        <w:trPr>
          <w:trHeight w:val="323" w:hRule="exact"/>
        </w:trPr>
        <w:tc>
          <w:tcPr>
            <w:tcW w:w="2700" w:type="dxa"/>
            <w:vMerge w:val="restart"/>
            <w:tcBorders>
              <w:top w:val="single" w:sz="4" w:space="0" w:color="000000"/>
              <w:left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企业名称</w:t>
            </w:r>
            <w:r>
              <w:rPr>
                <w:rFonts w:ascii="宋体" w:hAnsi="宋体" w:cs="宋体" w:eastAsia="宋体" w:hint="default"/>
                <w:sz w:val="21"/>
                <w:szCs w:val="21"/>
              </w:rPr>
            </w:r>
          </w:p>
        </w:tc>
        <w:tc>
          <w:tcPr>
            <w:tcW w:w="17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77" w:right="0"/>
              <w:jc w:val="left"/>
              <w:rPr>
                <w:rFonts w:ascii="宋体" w:hAnsi="宋体" w:cs="宋体" w:eastAsia="宋体" w:hint="default"/>
                <w:sz w:val="21"/>
                <w:szCs w:val="21"/>
              </w:rPr>
            </w:pPr>
            <w:r>
              <w:rPr>
                <w:rFonts w:ascii="宋体" w:hAnsi="宋体" w:cs="宋体" w:eastAsia="宋体" w:hint="default"/>
                <w:b/>
                <w:bCs/>
                <w:sz w:val="21"/>
                <w:szCs w:val="21"/>
              </w:rPr>
              <w:t>年初数</w:t>
            </w:r>
            <w:r>
              <w:rPr>
                <w:rFonts w:ascii="宋体" w:hAnsi="宋体" w:cs="宋体" w:eastAsia="宋体" w:hint="default"/>
                <w:sz w:val="21"/>
                <w:szCs w:val="21"/>
              </w:rPr>
            </w:r>
          </w:p>
        </w:tc>
        <w:tc>
          <w:tcPr>
            <w:tcW w:w="14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14"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tc>
        <w:tc>
          <w:tcPr>
            <w:tcW w:w="14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sz w:val="21"/>
                <w:szCs w:val="21"/>
              </w:rPr>
            </w:r>
          </w:p>
        </w:tc>
        <w:tc>
          <w:tcPr>
            <w:tcW w:w="19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28" w:right="0"/>
              <w:jc w:val="left"/>
              <w:rPr>
                <w:rFonts w:ascii="宋体" w:hAnsi="宋体" w:cs="宋体" w:eastAsia="宋体" w:hint="default"/>
                <w:sz w:val="21"/>
                <w:szCs w:val="21"/>
              </w:rPr>
            </w:pPr>
            <w:r>
              <w:rPr>
                <w:rFonts w:ascii="宋体" w:hAnsi="宋体" w:cs="宋体" w:eastAsia="宋体" w:hint="default"/>
                <w:b/>
                <w:bCs/>
                <w:sz w:val="21"/>
                <w:szCs w:val="21"/>
              </w:rPr>
              <w:t>年末数</w:t>
            </w:r>
            <w:r>
              <w:rPr>
                <w:rFonts w:ascii="宋体" w:hAnsi="宋体" w:cs="宋体" w:eastAsia="宋体" w:hint="default"/>
                <w:sz w:val="21"/>
                <w:szCs w:val="21"/>
              </w:rPr>
            </w:r>
          </w:p>
        </w:tc>
      </w:tr>
      <w:tr>
        <w:trPr>
          <w:trHeight w:val="322" w:hRule="exact"/>
        </w:trPr>
        <w:tc>
          <w:tcPr>
            <w:tcW w:w="2700" w:type="dxa"/>
            <w:vMerge/>
            <w:tcBorders>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w w:val="99"/>
                <w:sz w:val="21"/>
                <w:szCs w:val="21"/>
              </w:rPr>
              <w:t>％</w:t>
            </w:r>
            <w:r>
              <w:rPr>
                <w:rFonts w:ascii="宋体" w:hAnsi="宋体" w:cs="宋体" w:eastAsia="宋体" w:hint="default"/>
                <w:sz w:val="21"/>
                <w:szCs w:val="21"/>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b/>
                <w:bCs/>
                <w:w w:val="99"/>
                <w:sz w:val="21"/>
                <w:szCs w:val="21"/>
              </w:rPr>
              <w:t>％</w:t>
            </w:r>
            <w:r>
              <w:rPr>
                <w:rFonts w:ascii="宋体" w:hAnsi="宋体" w:cs="宋体" w:eastAsia="宋体" w:hint="default"/>
                <w:sz w:val="21"/>
                <w:szCs w:val="21"/>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6"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66" w:right="0"/>
              <w:jc w:val="left"/>
              <w:rPr>
                <w:rFonts w:ascii="宋体" w:hAnsi="宋体" w:cs="宋体" w:eastAsia="宋体" w:hint="default"/>
                <w:sz w:val="21"/>
                <w:szCs w:val="21"/>
              </w:rPr>
            </w:pPr>
            <w:r>
              <w:rPr>
                <w:rFonts w:ascii="宋体" w:hAnsi="宋体" w:cs="宋体" w:eastAsia="宋体" w:hint="default"/>
                <w:b/>
                <w:bCs/>
                <w:w w:val="99"/>
                <w:sz w:val="21"/>
                <w:szCs w:val="21"/>
              </w:rPr>
              <w:t>％</w:t>
            </w:r>
            <w:r>
              <w:rPr>
                <w:rFonts w:ascii="宋体" w:hAnsi="宋体" w:cs="宋体" w:eastAsia="宋体" w:hint="default"/>
                <w:sz w:val="21"/>
                <w:szCs w:val="21"/>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w w:val="99"/>
                <w:sz w:val="21"/>
                <w:szCs w:val="21"/>
              </w:rPr>
              <w:t>％</w:t>
            </w:r>
            <w:r>
              <w:rPr>
                <w:rFonts w:ascii="宋体" w:hAnsi="宋体" w:cs="宋体" w:eastAsia="宋体" w:hint="default"/>
                <w:sz w:val="21"/>
                <w:szCs w:val="21"/>
              </w:rPr>
            </w:r>
          </w:p>
        </w:tc>
      </w:tr>
      <w:tr>
        <w:trPr>
          <w:trHeight w:val="323"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广州无线电集团有限公司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center"/>
              <w:rPr>
                <w:rFonts w:ascii="Times New Roman" w:hAnsi="Times New Roman" w:cs="Times New Roman" w:eastAsia="Times New Roman" w:hint="default"/>
                <w:sz w:val="21"/>
                <w:szCs w:val="21"/>
              </w:rPr>
            </w:pPr>
            <w:r>
              <w:rPr>
                <w:rFonts w:ascii="Times New Roman"/>
                <w:sz w:val="21"/>
              </w:rPr>
              <w:t>7,160.07</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8"/>
              <w:jc w:val="center"/>
              <w:rPr>
                <w:rFonts w:ascii="Times New Roman" w:hAnsi="Times New Roman" w:cs="Times New Roman" w:eastAsia="Times New Roman" w:hint="default"/>
                <w:sz w:val="21"/>
                <w:szCs w:val="21"/>
              </w:rPr>
            </w:pPr>
            <w:r>
              <w:rPr>
                <w:rFonts w:ascii="Times New Roman"/>
                <w:sz w:val="21"/>
              </w:rPr>
              <w:t>50.23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center"/>
              <w:rPr>
                <w:rFonts w:ascii="Times New Roman" w:hAnsi="Times New Roman" w:cs="Times New Roman" w:eastAsia="Times New Roman" w:hint="default"/>
                <w:sz w:val="21"/>
                <w:szCs w:val="21"/>
              </w:rPr>
            </w:pPr>
            <w:r>
              <w:rPr>
                <w:rFonts w:ascii="Times New Roman"/>
                <w:sz w:val="21"/>
              </w:rPr>
              <w:t>7,160.07</w:t>
            </w:r>
          </w:p>
        </w:tc>
        <w:tc>
          <w:tcPr>
            <w:tcW w:w="427"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center"/>
              <w:rPr>
                <w:rFonts w:ascii="Times New Roman" w:hAnsi="Times New Roman" w:cs="Times New Roman" w:eastAsia="Times New Roman" w:hint="default"/>
                <w:sz w:val="21"/>
                <w:szCs w:val="21"/>
              </w:rPr>
            </w:pPr>
            <w:r>
              <w:rPr>
                <w:rFonts w:ascii="Times New Roman"/>
                <w:sz w:val="21"/>
              </w:rPr>
              <w:t>14,320.14</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8"/>
              <w:jc w:val="center"/>
              <w:rPr>
                <w:rFonts w:ascii="Times New Roman" w:hAnsi="Times New Roman" w:cs="Times New Roman" w:eastAsia="Times New Roman" w:hint="default"/>
                <w:sz w:val="21"/>
                <w:szCs w:val="21"/>
              </w:rPr>
            </w:pPr>
            <w:r>
              <w:rPr>
                <w:rFonts w:ascii="Times New Roman"/>
                <w:sz w:val="21"/>
              </w:rPr>
              <w:t>50.23</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before="35"/>
        <w:ind w:left="1020" w:right="589"/>
        <w:jc w:val="left"/>
      </w:pPr>
      <w:r>
        <w:rPr/>
        <w:t>4、不存在控制关系的关联方情况（如无交易可免填）</w:t>
      </w:r>
    </w:p>
    <w:p>
      <w:pPr>
        <w:spacing w:line="240" w:lineRule="auto" w:before="4"/>
        <w:rPr>
          <w:rFonts w:ascii="宋体" w:hAnsi="宋体" w:cs="宋体" w:eastAsia="宋体" w:hint="default"/>
          <w:sz w:val="14"/>
          <w:szCs w:val="14"/>
        </w:rPr>
      </w:pPr>
    </w:p>
    <w:tbl>
      <w:tblPr>
        <w:tblW w:w="0" w:type="auto"/>
        <w:jc w:val="left"/>
        <w:tblInd w:w="347" w:type="dxa"/>
        <w:tblLayout w:type="fixed"/>
        <w:tblCellMar>
          <w:top w:w="0" w:type="dxa"/>
          <w:left w:w="0" w:type="dxa"/>
          <w:bottom w:w="0" w:type="dxa"/>
          <w:right w:w="0" w:type="dxa"/>
        </w:tblCellMar>
        <w:tblLook w:val="01E0"/>
      </w:tblPr>
      <w:tblGrid>
        <w:gridCol w:w="5305"/>
        <w:gridCol w:w="3496"/>
      </w:tblGrid>
      <w:tr>
        <w:trPr>
          <w:trHeight w:val="323" w:hRule="exact"/>
        </w:trPr>
        <w:tc>
          <w:tcPr>
            <w:tcW w:w="53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34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与本公司的关系</w:t>
            </w:r>
            <w:r>
              <w:rPr>
                <w:rFonts w:ascii="宋体" w:hAnsi="宋体" w:cs="宋体" w:eastAsia="宋体" w:hint="default"/>
                <w:sz w:val="21"/>
                <w:szCs w:val="21"/>
              </w:rPr>
            </w:r>
          </w:p>
        </w:tc>
      </w:tr>
      <w:tr>
        <w:trPr>
          <w:trHeight w:val="322" w:hRule="exact"/>
        </w:trPr>
        <w:tc>
          <w:tcPr>
            <w:tcW w:w="53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广州海格机械有限公司</w:t>
            </w:r>
          </w:p>
        </w:tc>
        <w:tc>
          <w:tcPr>
            <w:tcW w:w="34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同一最终母公司</w:t>
            </w:r>
          </w:p>
        </w:tc>
      </w:tr>
      <w:tr>
        <w:trPr>
          <w:trHeight w:val="322" w:hRule="exact"/>
        </w:trPr>
        <w:tc>
          <w:tcPr>
            <w:tcW w:w="53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广州鑫广电物业服务有限公司</w:t>
            </w:r>
          </w:p>
        </w:tc>
        <w:tc>
          <w:tcPr>
            <w:tcW w:w="34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同一最终母公司</w:t>
            </w:r>
          </w:p>
        </w:tc>
      </w:tr>
      <w:tr>
        <w:trPr>
          <w:trHeight w:val="323" w:hRule="exact"/>
        </w:trPr>
        <w:tc>
          <w:tcPr>
            <w:tcW w:w="53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广州广电物业管理有限公司</w:t>
            </w:r>
          </w:p>
        </w:tc>
        <w:tc>
          <w:tcPr>
            <w:tcW w:w="34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同一最终母公司</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350" w:lineRule="auto" w:before="35"/>
        <w:ind w:left="1020" w:right="589"/>
        <w:jc w:val="left"/>
      </w:pPr>
      <w:r>
        <w:rPr>
          <w:rFonts w:ascii="宋体" w:hAnsi="宋体" w:cs="宋体" w:eastAsia="宋体" w:hint="default"/>
          <w:b/>
          <w:bCs/>
        </w:rPr>
        <w:t>（二）关联方交易</w:t>
      </w:r>
      <w:r>
        <w:rPr>
          <w:rFonts w:ascii="宋体" w:hAnsi="宋体" w:cs="宋体" w:eastAsia="宋体" w:hint="default"/>
          <w:b/>
          <w:bCs/>
          <w:spacing w:val="1"/>
          <w:w w:val="99"/>
        </w:rPr>
        <w:t> </w:t>
      </w:r>
      <w:r>
        <w:rPr/>
        <w:t>1、存在控制关系且已纳入本公司合并会计报表范围的子公司，其相互间交易及母子公</w:t>
      </w:r>
    </w:p>
    <w:p>
      <w:pPr>
        <w:pStyle w:val="BodyText"/>
        <w:spacing w:line="348" w:lineRule="auto" w:before="28"/>
        <w:ind w:left="1020" w:right="6469" w:hanging="420"/>
        <w:jc w:val="left"/>
      </w:pPr>
      <w:r>
        <w:rPr/>
        <w:t>司交易已作抵销。 2、关联交易定价原则</w:t>
      </w:r>
    </w:p>
    <w:p>
      <w:pPr>
        <w:pStyle w:val="BodyText"/>
        <w:spacing w:line="348" w:lineRule="auto" w:before="31"/>
        <w:ind w:left="1020" w:right="4474"/>
        <w:jc w:val="left"/>
      </w:pPr>
      <w:r>
        <w:rPr/>
        <w:t>本公司对关联方交易价格根据市场价确定。 3、向关联方采购货物</w:t>
      </w:r>
    </w:p>
    <w:p>
      <w:pPr>
        <w:pStyle w:val="BodyText"/>
        <w:spacing w:line="240" w:lineRule="auto" w:before="30"/>
        <w:ind w:left="1020" w:right="589"/>
        <w:jc w:val="left"/>
      </w:pPr>
      <w:r>
        <w:rPr/>
        <w:t>交易规模</w:t>
      </w:r>
    </w:p>
    <w:p>
      <w:pPr>
        <w:spacing w:line="240" w:lineRule="auto" w:before="5"/>
        <w:rPr>
          <w:rFonts w:ascii="宋体" w:hAnsi="宋体" w:cs="宋体" w:eastAsia="宋体" w:hint="default"/>
          <w:sz w:val="14"/>
          <w:szCs w:val="14"/>
        </w:rPr>
      </w:pPr>
    </w:p>
    <w:tbl>
      <w:tblPr>
        <w:tblW w:w="0" w:type="auto"/>
        <w:jc w:val="left"/>
        <w:tblInd w:w="210" w:type="dxa"/>
        <w:tblLayout w:type="fixed"/>
        <w:tblCellMar>
          <w:top w:w="0" w:type="dxa"/>
          <w:left w:w="0" w:type="dxa"/>
          <w:bottom w:w="0" w:type="dxa"/>
          <w:right w:w="0" w:type="dxa"/>
        </w:tblCellMar>
        <w:tblLook w:val="01E0"/>
      </w:tblPr>
      <w:tblGrid>
        <w:gridCol w:w="2626"/>
        <w:gridCol w:w="1364"/>
        <w:gridCol w:w="1948"/>
        <w:gridCol w:w="979"/>
        <w:gridCol w:w="2160"/>
      </w:tblGrid>
      <w:tr>
        <w:trPr>
          <w:trHeight w:val="324" w:hRule="exact"/>
        </w:trPr>
        <w:tc>
          <w:tcPr>
            <w:tcW w:w="262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企业名称</w:t>
            </w:r>
            <w:r>
              <w:rPr>
                <w:rFonts w:ascii="宋体" w:hAnsi="宋体" w:cs="宋体" w:eastAsia="宋体" w:hint="default"/>
                <w:sz w:val="21"/>
                <w:szCs w:val="21"/>
              </w:rPr>
            </w:r>
          </w:p>
        </w:tc>
        <w:tc>
          <w:tcPr>
            <w:tcW w:w="3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31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640" w:hRule="exact"/>
        </w:trPr>
        <w:tc>
          <w:tcPr>
            <w:tcW w:w="2626" w:type="dxa"/>
            <w:vMerge/>
            <w:tcBorders>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3"/>
              <w:jc w:val="center"/>
              <w:rPr>
                <w:rFonts w:ascii="宋体" w:hAnsi="宋体" w:cs="宋体" w:eastAsia="宋体" w:hint="default"/>
                <w:sz w:val="21"/>
                <w:szCs w:val="21"/>
              </w:rPr>
            </w:pPr>
            <w:r>
              <w:rPr>
                <w:rFonts w:ascii="宋体" w:hAnsi="宋体" w:cs="宋体" w:eastAsia="宋体" w:hint="default"/>
                <w:b/>
                <w:bCs/>
                <w:spacing w:val="-2"/>
                <w:sz w:val="21"/>
                <w:szCs w:val="21"/>
              </w:rPr>
              <w:t>金额（万元）</w:t>
            </w:r>
            <w:r>
              <w:rPr>
                <w:rFonts w:ascii="宋体" w:hAnsi="宋体" w:cs="宋体" w:eastAsia="宋体" w:hint="default"/>
                <w:spacing w:val="-2"/>
                <w:sz w:val="21"/>
                <w:szCs w:val="21"/>
              </w:rPr>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 w:firstLine="21"/>
              <w:jc w:val="left"/>
              <w:rPr>
                <w:rFonts w:ascii="宋体" w:hAnsi="宋体" w:cs="宋体" w:eastAsia="宋体" w:hint="default"/>
                <w:sz w:val="21"/>
                <w:szCs w:val="21"/>
              </w:rPr>
            </w:pPr>
            <w:r>
              <w:rPr>
                <w:rFonts w:ascii="宋体" w:hAnsi="宋体" w:cs="宋体" w:eastAsia="宋体" w:hint="default"/>
                <w:b/>
                <w:bCs/>
                <w:sz w:val="21"/>
                <w:szCs w:val="21"/>
              </w:rPr>
              <w:t>占年度（同期）同</w:t>
            </w:r>
            <w:r>
              <w:rPr>
                <w:rFonts w:ascii="宋体" w:hAnsi="宋体" w:cs="宋体" w:eastAsia="宋体" w:hint="default"/>
                <w:b/>
                <w:bCs/>
                <w:spacing w:val="1"/>
                <w:w w:val="99"/>
                <w:sz w:val="21"/>
                <w:szCs w:val="21"/>
              </w:rPr>
              <w:t> </w:t>
            </w:r>
            <w:r>
              <w:rPr>
                <w:rFonts w:ascii="宋体" w:hAnsi="宋体" w:cs="宋体" w:eastAsia="宋体" w:hint="default"/>
                <w:b/>
                <w:bCs/>
                <w:spacing w:val="-7"/>
                <w:sz w:val="21"/>
                <w:szCs w:val="21"/>
              </w:rPr>
              <w:t>类交易百分比（％）</w:t>
            </w:r>
            <w:r>
              <w:rPr>
                <w:rFonts w:ascii="宋体" w:hAnsi="宋体" w:cs="宋体" w:eastAsia="宋体" w:hint="default"/>
                <w:sz w:val="21"/>
                <w:szCs w:val="21"/>
              </w:rPr>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73" w:right="99" w:hanging="171"/>
              <w:jc w:val="left"/>
              <w:rPr>
                <w:rFonts w:ascii="宋体" w:hAnsi="宋体" w:cs="宋体" w:eastAsia="宋体" w:hint="default"/>
                <w:sz w:val="21"/>
                <w:szCs w:val="21"/>
              </w:rPr>
            </w:pPr>
            <w:r>
              <w:rPr>
                <w:rFonts w:ascii="宋体" w:hAnsi="宋体" w:cs="宋体" w:eastAsia="宋体" w:hint="default"/>
                <w:b/>
                <w:bCs/>
                <w:spacing w:val="-20"/>
                <w:sz w:val="21"/>
                <w:szCs w:val="21"/>
              </w:rPr>
              <w:t>金额（万</w:t>
            </w:r>
            <w:r>
              <w:rPr>
                <w:rFonts w:ascii="宋体" w:hAnsi="宋体" w:cs="宋体" w:eastAsia="宋体" w:hint="default"/>
                <w:b/>
                <w:bCs/>
                <w:spacing w:val="1"/>
                <w:w w:val="99"/>
                <w:sz w:val="21"/>
                <w:szCs w:val="21"/>
              </w:rPr>
              <w:t> </w:t>
            </w:r>
            <w:r>
              <w:rPr>
                <w:rFonts w:ascii="宋体" w:hAnsi="宋体" w:cs="宋体" w:eastAsia="宋体" w:hint="default"/>
                <w:b/>
                <w:bCs/>
                <w:sz w:val="21"/>
                <w:szCs w:val="21"/>
              </w:rPr>
              <w:t>元）</w:t>
            </w:r>
            <w:r>
              <w:rPr>
                <w:rFonts w:ascii="宋体" w:hAnsi="宋体" w:cs="宋体" w:eastAsia="宋体" w:hint="default"/>
                <w:sz w:val="21"/>
                <w:szCs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1" w:right="124" w:hanging="106"/>
              <w:jc w:val="left"/>
              <w:rPr>
                <w:rFonts w:ascii="宋体" w:hAnsi="宋体" w:cs="宋体" w:eastAsia="宋体" w:hint="default"/>
                <w:sz w:val="21"/>
                <w:szCs w:val="21"/>
              </w:rPr>
            </w:pPr>
            <w:r>
              <w:rPr>
                <w:rFonts w:ascii="宋体" w:hAnsi="宋体" w:cs="宋体" w:eastAsia="宋体" w:hint="default"/>
                <w:b/>
                <w:bCs/>
                <w:sz w:val="21"/>
                <w:szCs w:val="21"/>
              </w:rPr>
              <w:t>占年度（同期）同类</w:t>
            </w:r>
            <w:r>
              <w:rPr>
                <w:rFonts w:ascii="宋体" w:hAnsi="宋体" w:cs="宋体" w:eastAsia="宋体" w:hint="default"/>
                <w:b/>
                <w:bCs/>
                <w:spacing w:val="1"/>
                <w:w w:val="99"/>
                <w:sz w:val="21"/>
                <w:szCs w:val="21"/>
              </w:rPr>
              <w:t> </w:t>
            </w:r>
            <w:r>
              <w:rPr>
                <w:rFonts w:ascii="宋体" w:hAnsi="宋体" w:cs="宋体" w:eastAsia="宋体" w:hint="default"/>
                <w:b/>
                <w:bCs/>
                <w:sz w:val="21"/>
                <w:szCs w:val="21"/>
              </w:rPr>
              <w:t>交易百分比（％）</w:t>
            </w:r>
            <w:r>
              <w:rPr>
                <w:rFonts w:ascii="宋体" w:hAnsi="宋体" w:cs="宋体" w:eastAsia="宋体" w:hint="default"/>
                <w:sz w:val="21"/>
                <w:szCs w:val="21"/>
              </w:rPr>
            </w:r>
          </w:p>
        </w:tc>
      </w:tr>
      <w:tr>
        <w:trPr>
          <w:trHeight w:val="322"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广州海格机械有限公司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1.23</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97" w:right="0"/>
              <w:jc w:val="left"/>
              <w:rPr>
                <w:rFonts w:ascii="Times New Roman" w:hAnsi="Times New Roman" w:cs="Times New Roman" w:eastAsia="Times New Roman" w:hint="default"/>
                <w:sz w:val="21"/>
                <w:szCs w:val="21"/>
              </w:rPr>
            </w:pPr>
            <w:r>
              <w:rPr>
                <w:rFonts w:ascii="Times New Roman"/>
                <w:sz w:val="21"/>
              </w:rPr>
              <w:t>0.01%</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24.07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0.03%</w:t>
            </w:r>
          </w:p>
        </w:tc>
      </w:tr>
      <w:tr>
        <w:trPr>
          <w:trHeight w:val="323"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广州无线电集团有限公司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0.00</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97" w:right="0"/>
              <w:jc w:val="left"/>
              <w:rPr>
                <w:rFonts w:ascii="Times New Roman" w:hAnsi="Times New Roman" w:cs="Times New Roman" w:eastAsia="Times New Roman" w:hint="default"/>
                <w:sz w:val="21"/>
                <w:szCs w:val="21"/>
              </w:rPr>
            </w:pPr>
            <w:r>
              <w:rPr>
                <w:rFonts w:ascii="Times New Roman"/>
                <w:sz w:val="21"/>
              </w:rPr>
              <w:t>0.00%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12.46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0.02%</w:t>
            </w:r>
          </w:p>
        </w:tc>
      </w:tr>
      <w:tr>
        <w:trPr>
          <w:trHeight w:val="322"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1.23</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97" w:right="0"/>
              <w:jc w:val="left"/>
              <w:rPr>
                <w:rFonts w:ascii="Times New Roman" w:hAnsi="Times New Roman" w:cs="Times New Roman" w:eastAsia="Times New Roman" w:hint="default"/>
                <w:sz w:val="21"/>
                <w:szCs w:val="21"/>
              </w:rPr>
            </w:pPr>
            <w:r>
              <w:rPr>
                <w:rFonts w:ascii="Times New Roman"/>
                <w:sz w:val="21"/>
              </w:rPr>
              <w:t>0.01%</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36.53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0.05%</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35"/>
        <w:ind w:left="1020" w:right="589"/>
        <w:jc w:val="left"/>
      </w:pPr>
      <w:r>
        <w:rPr/>
        <w:t>4、关联方往来款项余额</w:t>
      </w:r>
    </w:p>
    <w:p>
      <w:pPr>
        <w:spacing w:line="240" w:lineRule="auto" w:before="4"/>
        <w:rPr>
          <w:rFonts w:ascii="宋体" w:hAnsi="宋体" w:cs="宋体" w:eastAsia="宋体" w:hint="default"/>
          <w:sz w:val="14"/>
          <w:szCs w:val="14"/>
        </w:rPr>
      </w:pPr>
    </w:p>
    <w:tbl>
      <w:tblPr>
        <w:tblW w:w="0" w:type="auto"/>
        <w:jc w:val="left"/>
        <w:tblInd w:w="192" w:type="dxa"/>
        <w:tblLayout w:type="fixed"/>
        <w:tblCellMar>
          <w:top w:w="0" w:type="dxa"/>
          <w:left w:w="0" w:type="dxa"/>
          <w:bottom w:w="0" w:type="dxa"/>
          <w:right w:w="0" w:type="dxa"/>
        </w:tblCellMar>
        <w:tblLook w:val="01E0"/>
      </w:tblPr>
      <w:tblGrid>
        <w:gridCol w:w="1440"/>
        <w:gridCol w:w="2998"/>
        <w:gridCol w:w="1093"/>
        <w:gridCol w:w="949"/>
        <w:gridCol w:w="1552"/>
        <w:gridCol w:w="1080"/>
      </w:tblGrid>
      <w:tr>
        <w:trPr>
          <w:trHeight w:val="638" w:hRule="exact"/>
        </w:trPr>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9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sz w:val="21"/>
                <w:szCs w:val="21"/>
              </w:rPr>
            </w:r>
          </w:p>
        </w:tc>
        <w:tc>
          <w:tcPr>
            <w:tcW w:w="20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72" w:right="0"/>
              <w:jc w:val="left"/>
              <w:rPr>
                <w:rFonts w:ascii="宋体" w:hAnsi="宋体" w:cs="宋体" w:eastAsia="宋体" w:hint="default"/>
                <w:sz w:val="21"/>
                <w:szCs w:val="21"/>
              </w:rPr>
            </w:pPr>
            <w:r>
              <w:rPr>
                <w:rFonts w:ascii="宋体" w:hAnsi="宋体" w:cs="宋体" w:eastAsia="宋体" w:hint="default"/>
                <w:b/>
                <w:bCs/>
                <w:sz w:val="21"/>
                <w:szCs w:val="21"/>
              </w:rPr>
              <w:t>年末金额（万元）</w:t>
            </w:r>
            <w:r>
              <w:rPr>
                <w:rFonts w:ascii="宋体" w:hAnsi="宋体" w:cs="宋体" w:eastAsia="宋体" w:hint="default"/>
                <w:sz w:val="21"/>
                <w:szCs w:val="21"/>
              </w:rPr>
            </w:r>
          </w:p>
        </w:tc>
        <w:tc>
          <w:tcPr>
            <w:tcW w:w="26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56" w:right="-3" w:hanging="154"/>
              <w:jc w:val="left"/>
              <w:rPr>
                <w:rFonts w:ascii="宋体" w:hAnsi="宋体" w:cs="宋体" w:eastAsia="宋体" w:hint="default"/>
                <w:sz w:val="21"/>
                <w:szCs w:val="21"/>
              </w:rPr>
            </w:pPr>
            <w:r>
              <w:rPr>
                <w:rFonts w:ascii="宋体" w:hAnsi="宋体" w:cs="宋体" w:eastAsia="宋体" w:hint="default"/>
                <w:b/>
                <w:bCs/>
                <w:w w:val="95"/>
                <w:sz w:val="21"/>
                <w:szCs w:val="21"/>
              </w:rPr>
              <w:t>占所属科目全部应收（付）</w:t>
            </w:r>
            <w:r>
              <w:rPr>
                <w:rFonts w:ascii="宋体" w:hAnsi="宋体" w:cs="宋体" w:eastAsia="宋体" w:hint="default"/>
                <w:b/>
                <w:bCs/>
                <w:spacing w:val="12"/>
                <w:w w:val="95"/>
                <w:sz w:val="21"/>
                <w:szCs w:val="21"/>
              </w:rPr>
              <w:t> </w:t>
            </w:r>
            <w:r>
              <w:rPr>
                <w:rFonts w:ascii="宋体" w:hAnsi="宋体" w:cs="宋体" w:eastAsia="宋体" w:hint="default"/>
                <w:b/>
                <w:bCs/>
                <w:spacing w:val="12"/>
                <w:w w:val="95"/>
                <w:sz w:val="21"/>
                <w:szCs w:val="21"/>
              </w:rPr>
            </w:r>
            <w:r>
              <w:rPr>
                <w:rFonts w:ascii="宋体" w:hAnsi="宋体" w:cs="宋体" w:eastAsia="宋体" w:hint="default"/>
                <w:b/>
                <w:bCs/>
                <w:sz w:val="21"/>
                <w:szCs w:val="21"/>
              </w:rPr>
              <w:t>款项余额的比重（</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23" w:hRule="exact"/>
        </w:trPr>
        <w:tc>
          <w:tcPr>
            <w:tcW w:w="1440" w:type="dxa"/>
            <w:vMerge/>
            <w:tcBorders>
              <w:left w:val="single" w:sz="4" w:space="0" w:color="000000"/>
              <w:bottom w:val="single" w:sz="4" w:space="0" w:color="000000"/>
              <w:right w:val="single" w:sz="4" w:space="0" w:color="000000"/>
            </w:tcBorders>
          </w:tcPr>
          <w:p>
            <w:pPr/>
          </w:p>
        </w:tc>
        <w:tc>
          <w:tcPr>
            <w:tcW w:w="2998" w:type="dxa"/>
            <w:vMerge/>
            <w:tcBorders>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本年末</w:t>
            </w:r>
            <w:r>
              <w:rPr>
                <w:rFonts w:ascii="宋体" w:hAnsi="宋体" w:cs="宋体" w:eastAsia="宋体" w:hint="default"/>
                <w:sz w:val="21"/>
                <w:szCs w:val="21"/>
              </w:rPr>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上年末</w:t>
            </w:r>
            <w:r>
              <w:rPr>
                <w:rFonts w:ascii="宋体" w:hAnsi="宋体" w:cs="宋体" w:eastAsia="宋体" w:hint="default"/>
                <w:sz w:val="21"/>
                <w:szCs w:val="21"/>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本年末</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8" w:right="0"/>
              <w:jc w:val="left"/>
              <w:rPr>
                <w:rFonts w:ascii="宋体" w:hAnsi="宋体" w:cs="宋体" w:eastAsia="宋体" w:hint="default"/>
                <w:sz w:val="21"/>
                <w:szCs w:val="21"/>
              </w:rPr>
            </w:pPr>
            <w:r>
              <w:rPr>
                <w:rFonts w:ascii="宋体" w:hAnsi="宋体" w:cs="宋体" w:eastAsia="宋体" w:hint="default"/>
                <w:b/>
                <w:bCs/>
                <w:sz w:val="21"/>
                <w:szCs w:val="21"/>
              </w:rPr>
              <w:t>上年末</w:t>
            </w:r>
            <w:r>
              <w:rPr>
                <w:rFonts w:ascii="宋体" w:hAnsi="宋体" w:cs="宋体" w:eastAsia="宋体" w:hint="default"/>
                <w:sz w:val="21"/>
                <w:szCs w:val="21"/>
              </w:rPr>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广州无线电集团有限公司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1.361</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0.72</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0.08%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2" w:right="0"/>
              <w:jc w:val="left"/>
              <w:rPr>
                <w:rFonts w:ascii="Times New Roman" w:hAnsi="Times New Roman" w:cs="Times New Roman" w:eastAsia="Times New Roman" w:hint="default"/>
                <w:sz w:val="21"/>
                <w:szCs w:val="21"/>
              </w:rPr>
            </w:pPr>
            <w:r>
              <w:rPr>
                <w:rFonts w:ascii="Times New Roman"/>
                <w:sz w:val="21"/>
              </w:rPr>
              <w:t>0.05%</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广州鑫广电物业服务有限公司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6.90</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6.90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0.42%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2" w:right="0"/>
              <w:jc w:val="left"/>
              <w:rPr>
                <w:rFonts w:ascii="Times New Roman" w:hAnsi="Times New Roman" w:cs="Times New Roman" w:eastAsia="Times New Roman" w:hint="default"/>
                <w:sz w:val="21"/>
                <w:szCs w:val="21"/>
              </w:rPr>
            </w:pPr>
            <w:r>
              <w:rPr>
                <w:rFonts w:ascii="Times New Roman"/>
                <w:sz w:val="21"/>
              </w:rPr>
              <w:t>0.46%</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广州无线电集团有限公司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0.00</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34.54</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2" w:right="0"/>
              <w:jc w:val="left"/>
              <w:rPr>
                <w:rFonts w:ascii="Times New Roman" w:hAnsi="Times New Roman" w:cs="Times New Roman" w:eastAsia="Times New Roman" w:hint="default"/>
                <w:sz w:val="21"/>
                <w:szCs w:val="21"/>
              </w:rPr>
            </w:pPr>
            <w:r>
              <w:rPr>
                <w:rFonts w:ascii="Times New Roman"/>
                <w:sz w:val="21"/>
              </w:rPr>
              <w:t>0.13%</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广州广电物业管理有限公司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18.77</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0.19</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0.12%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2" w:right="0"/>
              <w:jc w:val="left"/>
              <w:rPr>
                <w:rFonts w:ascii="Times New Roman" w:hAnsi="Times New Roman" w:cs="Times New Roman" w:eastAsia="Times New Roman" w:hint="default"/>
                <w:sz w:val="21"/>
                <w:szCs w:val="21"/>
              </w:rPr>
            </w:pPr>
            <w:r>
              <w:rPr>
                <w:rFonts w:ascii="Times New Roman"/>
                <w:sz w:val="21"/>
              </w:rPr>
              <w:t>0.00%</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广州鑫广电物业服务有限公司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0.00</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18.08</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2" w:right="0"/>
              <w:jc w:val="left"/>
              <w:rPr>
                <w:rFonts w:ascii="Times New Roman" w:hAnsi="Times New Roman" w:cs="Times New Roman" w:eastAsia="Times New Roman" w:hint="default"/>
                <w:sz w:val="21"/>
                <w:szCs w:val="21"/>
              </w:rPr>
            </w:pPr>
            <w:r>
              <w:rPr>
                <w:rFonts w:ascii="Times New Roman"/>
                <w:sz w:val="21"/>
              </w:rPr>
              <w:t>0.07%</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广州海格机械有限公司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1.51</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7.29</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0.01%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2" w:right="0"/>
              <w:jc w:val="left"/>
              <w:rPr>
                <w:rFonts w:ascii="Times New Roman" w:hAnsi="Times New Roman" w:cs="Times New Roman" w:eastAsia="Times New Roman" w:hint="default"/>
                <w:sz w:val="21"/>
                <w:szCs w:val="21"/>
              </w:rPr>
            </w:pPr>
            <w:r>
              <w:rPr>
                <w:rFonts w:ascii="Times New Roman"/>
                <w:sz w:val="21"/>
              </w:rPr>
              <w:t>0.03%</w:t>
            </w:r>
          </w:p>
        </w:tc>
      </w:tr>
    </w:tbl>
    <w:p>
      <w:pPr>
        <w:spacing w:after="0" w:line="240" w:lineRule="auto"/>
        <w:jc w:val="left"/>
        <w:rPr>
          <w:rFonts w:ascii="Times New Roman" w:hAnsi="Times New Roman" w:cs="Times New Roman" w:eastAsia="Times New Roman" w:hint="default"/>
          <w:sz w:val="21"/>
          <w:szCs w:val="21"/>
        </w:rPr>
        <w:sectPr>
          <w:pgSz w:w="11910" w:h="16840"/>
          <w:pgMar w:header="400" w:footer="982" w:top="1100" w:bottom="1180" w:left="1200" w:right="1200"/>
        </w:sectPr>
      </w:pPr>
    </w:p>
    <w:p>
      <w:pPr>
        <w:spacing w:line="240" w:lineRule="auto" w:before="12"/>
        <w:rPr>
          <w:rFonts w:ascii="宋体" w:hAnsi="宋体" w:cs="宋体" w:eastAsia="宋体" w:hint="default"/>
          <w:sz w:val="28"/>
          <w:szCs w:val="28"/>
        </w:rPr>
      </w:pPr>
    </w:p>
    <w:p>
      <w:pPr>
        <w:pStyle w:val="BodyText"/>
        <w:spacing w:line="240" w:lineRule="auto" w:before="35"/>
        <w:ind w:left="560" w:right="102"/>
        <w:jc w:val="left"/>
      </w:pPr>
      <w:r>
        <w:rPr/>
        <w:t>5、其他关联方交易事项</w:t>
      </w:r>
    </w:p>
    <w:p>
      <w:pPr>
        <w:pStyle w:val="BodyText"/>
        <w:spacing w:line="350" w:lineRule="auto" w:before="125"/>
        <w:ind w:left="560" w:right="4829"/>
        <w:jc w:val="left"/>
      </w:pPr>
      <w:r>
        <w:rPr/>
        <w:t>（1）房屋与场地租赁、管理及其他 A、房屋租赁</w:t>
      </w:r>
    </w:p>
    <w:p>
      <w:pPr>
        <w:pStyle w:val="BodyText"/>
        <w:spacing w:line="240" w:lineRule="auto" w:before="28"/>
        <w:ind w:left="560" w:right="102"/>
        <w:jc w:val="left"/>
      </w:pPr>
      <w:r>
        <w:rPr/>
        <w:t>1</w:t>
      </w:r>
      <w:r>
        <w:rPr>
          <w:spacing w:val="-32"/>
        </w:rPr>
        <w:t>、</w:t>
      </w:r>
      <w:r>
        <w:rPr/>
        <w:t>本公司于</w:t>
      </w:r>
      <w:r>
        <w:rPr>
          <w:spacing w:val="-54"/>
        </w:rPr>
        <w:t> </w:t>
      </w:r>
      <w:r>
        <w:rPr/>
        <w:t>2006</w:t>
      </w:r>
      <w:r>
        <w:rPr>
          <w:spacing w:val="-53"/>
        </w:rPr>
        <w:t> </w:t>
      </w:r>
      <w:r>
        <w:rPr/>
        <w:t>年</w:t>
      </w:r>
      <w:r>
        <w:rPr>
          <w:spacing w:val="-53"/>
        </w:rPr>
        <w:t> </w:t>
      </w:r>
      <w:r>
        <w:rPr/>
        <w:t>3</w:t>
      </w:r>
      <w:r>
        <w:rPr>
          <w:spacing w:val="-53"/>
        </w:rPr>
        <w:t> </w:t>
      </w:r>
      <w:r>
        <w:rPr/>
        <w:t>月</w:t>
      </w:r>
      <w:r>
        <w:rPr>
          <w:spacing w:val="-54"/>
        </w:rPr>
        <w:t> </w:t>
      </w:r>
      <w:r>
        <w:rPr/>
        <w:t>15</w:t>
      </w:r>
      <w:r>
        <w:rPr>
          <w:spacing w:val="-52"/>
        </w:rPr>
        <w:t> </w:t>
      </w:r>
      <w:r>
        <w:rPr/>
        <w:t>日与广</w:t>
      </w:r>
      <w:r>
        <w:rPr>
          <w:spacing w:val="-2"/>
        </w:rPr>
        <w:t>州</w:t>
      </w:r>
      <w:r>
        <w:rPr/>
        <w:t>无线电集团有限公司签</w:t>
      </w:r>
      <w:r>
        <w:rPr>
          <w:spacing w:val="-32"/>
        </w:rPr>
        <w:t>订</w:t>
      </w:r>
      <w:r>
        <w:rPr/>
        <w:t>《房地产租赁合同</w:t>
      </w:r>
      <w:r>
        <w:rPr>
          <w:spacing w:val="-105"/>
        </w:rPr>
        <w:t>》</w:t>
      </w:r>
      <w:r>
        <w:rPr>
          <w:spacing w:val="-33"/>
        </w:rPr>
        <w:t>，公</w:t>
      </w:r>
      <w:r>
        <w:rPr/>
      </w:r>
    </w:p>
    <w:p>
      <w:pPr>
        <w:pStyle w:val="BodyText"/>
        <w:spacing w:line="240" w:lineRule="auto" w:before="125"/>
        <w:ind w:right="102"/>
        <w:jc w:val="left"/>
      </w:pPr>
      <w:r>
        <w:rPr/>
        <w:t>司租用广州无线电集团有限公司拥有的坐落在广州市天河区平云路</w:t>
      </w:r>
      <w:r>
        <w:rPr>
          <w:spacing w:val="-48"/>
        </w:rPr>
        <w:t> </w:t>
      </w:r>
      <w:r>
        <w:rPr/>
        <w:t>163</w:t>
      </w:r>
      <w:r>
        <w:rPr>
          <w:spacing w:val="-47"/>
        </w:rPr>
        <w:t> </w:t>
      </w:r>
      <w:r>
        <w:rPr/>
        <w:t>号的房屋、场地,租</w:t>
      </w:r>
    </w:p>
    <w:p>
      <w:pPr>
        <w:pStyle w:val="BodyText"/>
        <w:spacing w:line="240" w:lineRule="auto" w:before="126"/>
        <w:ind w:right="102"/>
        <w:jc w:val="left"/>
      </w:pPr>
      <w:r>
        <w:rPr/>
        <w:t>赁期限从</w:t>
      </w:r>
      <w:r>
        <w:rPr>
          <w:spacing w:val="-54"/>
        </w:rPr>
        <w:t> </w:t>
      </w:r>
      <w:r>
        <w:rPr/>
        <w:t>2006</w:t>
      </w:r>
      <w:r>
        <w:rPr>
          <w:spacing w:val="-53"/>
        </w:rPr>
        <w:t> </w:t>
      </w:r>
      <w:r>
        <w:rPr/>
        <w:t>年</w:t>
      </w:r>
      <w:r>
        <w:rPr>
          <w:spacing w:val="-55"/>
        </w:rPr>
        <w:t> </w:t>
      </w:r>
      <w:r>
        <w:rPr/>
        <w:t>1</w:t>
      </w:r>
      <w:r>
        <w:rPr>
          <w:spacing w:val="-53"/>
        </w:rPr>
        <w:t> </w:t>
      </w:r>
      <w:r>
        <w:rPr/>
        <w:t>月</w:t>
      </w:r>
      <w:r>
        <w:rPr>
          <w:spacing w:val="-55"/>
        </w:rPr>
        <w:t> </w:t>
      </w:r>
      <w:r>
        <w:rPr/>
        <w:t>1</w:t>
      </w:r>
      <w:r>
        <w:rPr>
          <w:spacing w:val="-53"/>
        </w:rPr>
        <w:t> </w:t>
      </w:r>
      <w:r>
        <w:rPr/>
        <w:t>日至</w:t>
      </w:r>
      <w:r>
        <w:rPr>
          <w:spacing w:val="-54"/>
        </w:rPr>
        <w:t> </w:t>
      </w:r>
      <w:r>
        <w:rPr/>
        <w:t>2008</w:t>
      </w:r>
      <w:r>
        <w:rPr>
          <w:spacing w:val="-53"/>
        </w:rPr>
        <w:t> </w:t>
      </w:r>
      <w:r>
        <w:rPr/>
        <w:t>年</w:t>
      </w:r>
      <w:r>
        <w:rPr>
          <w:spacing w:val="-54"/>
        </w:rPr>
        <w:t> </w:t>
      </w:r>
      <w:r>
        <w:rPr/>
        <w:t>12</w:t>
      </w:r>
      <w:r>
        <w:rPr>
          <w:spacing w:val="-53"/>
        </w:rPr>
        <w:t> </w:t>
      </w:r>
      <w:r>
        <w:rPr/>
        <w:t>月</w:t>
      </w:r>
      <w:r>
        <w:rPr>
          <w:spacing w:val="-55"/>
        </w:rPr>
        <w:t> </w:t>
      </w:r>
      <w:r>
        <w:rPr/>
        <w:t>31</w:t>
      </w:r>
      <w:r>
        <w:rPr>
          <w:spacing w:val="-53"/>
        </w:rPr>
        <w:t> </w:t>
      </w:r>
      <w:r>
        <w:rPr>
          <w:spacing w:val="-6"/>
        </w:rPr>
        <w:t>日。其中租用通讯大楼一楼，房地产建筑面积</w:t>
      </w:r>
      <w:r>
        <w:rPr/>
      </w:r>
    </w:p>
    <w:p>
      <w:pPr>
        <w:pStyle w:val="BodyText"/>
        <w:spacing w:line="240" w:lineRule="auto" w:before="125"/>
        <w:ind w:right="102"/>
        <w:jc w:val="left"/>
      </w:pPr>
      <w:r>
        <w:rPr/>
        <w:t>914.4</w:t>
      </w:r>
      <w:r>
        <w:rPr>
          <w:spacing w:val="-34"/>
        </w:rPr>
        <w:t> </w:t>
      </w:r>
      <w:r>
        <w:rPr/>
        <w:t>平方米；租用通讯大楼四楼，房地产建筑面积</w:t>
      </w:r>
      <w:r>
        <w:rPr>
          <w:spacing w:val="-34"/>
        </w:rPr>
        <w:t> </w:t>
      </w:r>
      <w:r>
        <w:rPr/>
        <w:t>1944.6</w:t>
      </w:r>
      <w:r>
        <w:rPr>
          <w:spacing w:val="-34"/>
        </w:rPr>
        <w:t> </w:t>
      </w:r>
      <w:r>
        <w:rPr/>
        <w:t>平方米；租用通讯大楼七楼，</w:t>
      </w:r>
    </w:p>
    <w:p>
      <w:pPr>
        <w:pStyle w:val="BodyText"/>
        <w:spacing w:line="240" w:lineRule="auto" w:before="125"/>
        <w:ind w:right="102"/>
        <w:jc w:val="left"/>
      </w:pPr>
      <w:r>
        <w:rPr/>
        <w:t>房地产建筑面积</w:t>
      </w:r>
      <w:r>
        <w:rPr>
          <w:spacing w:val="-52"/>
        </w:rPr>
        <w:t> </w:t>
      </w:r>
      <w:r>
        <w:rPr/>
        <w:t>2961.6</w:t>
      </w:r>
      <w:r>
        <w:rPr>
          <w:spacing w:val="-52"/>
        </w:rPr>
        <w:t> </w:t>
      </w:r>
      <w:r>
        <w:rPr>
          <w:spacing w:val="-5"/>
        </w:rPr>
        <w:t>平方米；租用通讯大楼八楼，房地产建筑面积</w:t>
      </w:r>
      <w:r>
        <w:rPr>
          <w:spacing w:val="-52"/>
        </w:rPr>
        <w:t> </w:t>
      </w:r>
      <w:r>
        <w:rPr/>
        <w:t>3035.3</w:t>
      </w:r>
      <w:r>
        <w:rPr>
          <w:spacing w:val="-51"/>
        </w:rPr>
        <w:t> </w:t>
      </w:r>
      <w:r>
        <w:rPr>
          <w:spacing w:val="-7"/>
        </w:rPr>
        <w:t>平方米；租用</w:t>
      </w:r>
      <w:r>
        <w:rPr/>
      </w:r>
    </w:p>
    <w:p>
      <w:pPr>
        <w:pStyle w:val="BodyText"/>
        <w:spacing w:line="240" w:lineRule="auto" w:before="126"/>
        <w:ind w:right="102"/>
        <w:jc w:val="left"/>
      </w:pPr>
      <w:r>
        <w:rPr>
          <w:spacing w:val="-3"/>
        </w:rPr>
        <w:t>通讯大楼六楼，房地产建筑面积</w:t>
      </w:r>
      <w:r>
        <w:rPr>
          <w:spacing w:val="-49"/>
        </w:rPr>
        <w:t> </w:t>
      </w:r>
      <w:r>
        <w:rPr/>
        <w:t>1164.92</w:t>
      </w:r>
      <w:r>
        <w:rPr>
          <w:spacing w:val="-47"/>
        </w:rPr>
        <w:t> </w:t>
      </w:r>
      <w:r>
        <w:rPr>
          <w:spacing w:val="-3"/>
        </w:rPr>
        <w:t>平方米；租用通讯大楼六楼西面，房地产建筑面积</w:t>
      </w:r>
    </w:p>
    <w:p>
      <w:pPr>
        <w:pStyle w:val="BodyText"/>
        <w:spacing w:line="240" w:lineRule="auto" w:before="125"/>
        <w:ind w:right="102"/>
        <w:jc w:val="left"/>
      </w:pPr>
      <w:r>
        <w:rPr/>
        <w:t>700.03</w:t>
      </w:r>
      <w:r>
        <w:rPr>
          <w:spacing w:val="-68"/>
        </w:rPr>
        <w:t> </w:t>
      </w:r>
      <w:r>
        <w:rPr/>
        <w:t>平方米；租用通讯大楼二楼，房地产建筑面积</w:t>
      </w:r>
      <w:r>
        <w:rPr>
          <w:spacing w:val="-69"/>
        </w:rPr>
        <w:t> </w:t>
      </w:r>
      <w:r>
        <w:rPr/>
        <w:t>316.75</w:t>
      </w:r>
      <w:r>
        <w:rPr>
          <w:spacing w:val="-68"/>
        </w:rPr>
        <w:t> </w:t>
      </w:r>
      <w:r>
        <w:rPr/>
        <w:t>平方米，以上租用的楼房按单</w:t>
      </w:r>
    </w:p>
    <w:p>
      <w:pPr>
        <w:pStyle w:val="BodyText"/>
        <w:spacing w:line="240" w:lineRule="auto" w:before="125"/>
        <w:ind w:right="102"/>
        <w:jc w:val="left"/>
      </w:pPr>
      <w:r>
        <w:rPr/>
        <w:t>价</w:t>
      </w:r>
      <w:r>
        <w:rPr>
          <w:spacing w:val="-56"/>
        </w:rPr>
        <w:t> </w:t>
      </w:r>
      <w:r>
        <w:rPr/>
        <w:t>15</w:t>
      </w:r>
      <w:r>
        <w:rPr>
          <w:spacing w:val="-55"/>
        </w:rPr>
        <w:t> </w:t>
      </w:r>
      <w:r>
        <w:rPr/>
        <w:t>元/平方米/月计算月租金。</w:t>
      </w:r>
    </w:p>
    <w:p>
      <w:pPr>
        <w:pStyle w:val="BodyText"/>
        <w:spacing w:line="240" w:lineRule="auto" w:before="126"/>
        <w:ind w:left="560" w:right="102"/>
        <w:jc w:val="left"/>
      </w:pPr>
      <w:r>
        <w:rPr>
          <w:spacing w:val="-1"/>
        </w:rPr>
        <w:t>另租用广州无线电集团有限公</w:t>
      </w:r>
      <w:r>
        <w:rPr/>
        <w:t>司</w:t>
      </w:r>
      <w:r>
        <w:rPr>
          <w:spacing w:val="-53"/>
        </w:rPr>
        <w:t> </w:t>
      </w:r>
      <w:r>
        <w:rPr>
          <w:spacing w:val="-1"/>
        </w:rPr>
        <w:t>4</w:t>
      </w:r>
      <w:r>
        <w:rPr/>
        <w:t>1</w:t>
      </w:r>
      <w:r>
        <w:rPr>
          <w:spacing w:val="-53"/>
        </w:rPr>
        <w:t> </w:t>
      </w:r>
      <w:r>
        <w:rPr>
          <w:spacing w:val="-1"/>
        </w:rPr>
        <w:t>号楼五金库</w:t>
      </w:r>
      <w:r>
        <w:rPr>
          <w:spacing w:val="-94"/>
        </w:rPr>
        <w:t>，</w:t>
      </w:r>
      <w:r>
        <w:rPr/>
        <w:t>房地产建筑面积</w:t>
      </w:r>
      <w:r>
        <w:rPr>
          <w:spacing w:val="-53"/>
        </w:rPr>
        <w:t> </w:t>
      </w:r>
      <w:r>
        <w:rPr/>
        <w:t>18.18</w:t>
      </w:r>
      <w:r>
        <w:rPr>
          <w:spacing w:val="-53"/>
        </w:rPr>
        <w:t> </w:t>
      </w:r>
      <w:r>
        <w:rPr/>
        <w:t>平方米,按</w:t>
      </w:r>
      <w:r>
        <w:rPr>
          <w:spacing w:val="-2"/>
        </w:rPr>
        <w:t>单</w:t>
      </w:r>
      <w:r>
        <w:rPr/>
        <w:t>价</w:t>
      </w:r>
    </w:p>
    <w:p>
      <w:pPr>
        <w:pStyle w:val="BodyText"/>
        <w:spacing w:line="240" w:lineRule="auto" w:before="125"/>
        <w:ind w:left="139" w:right="102"/>
        <w:jc w:val="left"/>
      </w:pPr>
      <w:r>
        <w:rPr/>
        <w:t>3</w:t>
      </w:r>
      <w:r>
        <w:rPr>
          <w:spacing w:val="-54"/>
        </w:rPr>
        <w:t> </w:t>
      </w:r>
      <w:r>
        <w:rPr/>
        <w:t>元/平方米/月计算月租金;租用</w:t>
      </w:r>
      <w:r>
        <w:rPr>
          <w:spacing w:val="-55"/>
        </w:rPr>
        <w:t> </w:t>
      </w:r>
      <w:r>
        <w:rPr/>
        <w:t>62</w:t>
      </w:r>
      <w:r>
        <w:rPr>
          <w:spacing w:val="-55"/>
        </w:rPr>
        <w:t> </w:t>
      </w:r>
      <w:r>
        <w:rPr>
          <w:spacing w:val="-3"/>
        </w:rPr>
        <w:t>号楼质检楼一楼，房地产建筑面积</w:t>
      </w:r>
      <w:r>
        <w:rPr>
          <w:spacing w:val="-55"/>
        </w:rPr>
        <w:t> </w:t>
      </w:r>
      <w:r>
        <w:rPr/>
        <w:t>245.4</w:t>
      </w:r>
      <w:r>
        <w:rPr>
          <w:spacing w:val="-54"/>
        </w:rPr>
        <w:t> </w:t>
      </w:r>
      <w:r>
        <w:rPr>
          <w:spacing w:val="-5"/>
        </w:rPr>
        <w:t>平方米，按单</w:t>
      </w:r>
      <w:r>
        <w:rPr/>
      </w:r>
    </w:p>
    <w:p>
      <w:pPr>
        <w:pStyle w:val="BodyText"/>
        <w:spacing w:line="240" w:lineRule="auto" w:before="125"/>
        <w:ind w:left="139" w:right="0"/>
        <w:jc w:val="left"/>
      </w:pPr>
      <w:r>
        <w:rPr/>
        <w:t>价</w:t>
      </w:r>
      <w:r>
        <w:rPr>
          <w:spacing w:val="-55"/>
        </w:rPr>
        <w:t> </w:t>
      </w:r>
      <w:r>
        <w:rPr/>
        <w:t>6</w:t>
      </w:r>
      <w:r>
        <w:rPr>
          <w:spacing w:val="-54"/>
        </w:rPr>
        <w:t> </w:t>
      </w:r>
      <w:r>
        <w:rPr/>
        <w:t>元/平方米/月计算月租金；租用</w:t>
      </w:r>
      <w:r>
        <w:rPr>
          <w:spacing w:val="-55"/>
        </w:rPr>
        <w:t> </w:t>
      </w:r>
      <w:r>
        <w:rPr/>
        <w:t>2</w:t>
      </w:r>
      <w:r>
        <w:rPr>
          <w:spacing w:val="-54"/>
        </w:rPr>
        <w:t> </w:t>
      </w:r>
      <w:r>
        <w:rPr/>
        <w:t>号厂房大厅北房间，房地产建筑面积</w:t>
      </w:r>
      <w:r>
        <w:rPr>
          <w:spacing w:val="-55"/>
        </w:rPr>
        <w:t> </w:t>
      </w:r>
      <w:r>
        <w:rPr/>
        <w:t>161.4</w:t>
      </w:r>
      <w:r>
        <w:rPr>
          <w:spacing w:val="-54"/>
        </w:rPr>
        <w:t> </w:t>
      </w:r>
      <w:r>
        <w:rPr/>
        <w:t>平方米，</w:t>
      </w:r>
    </w:p>
    <w:p>
      <w:pPr>
        <w:pStyle w:val="BodyText"/>
        <w:spacing w:line="240" w:lineRule="auto" w:before="126"/>
        <w:ind w:left="139" w:right="102"/>
        <w:jc w:val="left"/>
      </w:pPr>
      <w:r>
        <w:rPr/>
        <w:t>按单价</w:t>
      </w:r>
      <w:r>
        <w:rPr>
          <w:spacing w:val="-55"/>
        </w:rPr>
        <w:t> </w:t>
      </w:r>
      <w:r>
        <w:rPr/>
        <w:t>7</w:t>
      </w:r>
      <w:r>
        <w:rPr>
          <w:spacing w:val="-54"/>
        </w:rPr>
        <w:t> </w:t>
      </w:r>
      <w:r>
        <w:rPr/>
        <w:t>元/平方米/月计算月租金。</w:t>
      </w:r>
    </w:p>
    <w:p>
      <w:pPr>
        <w:pStyle w:val="BodyText"/>
        <w:spacing w:line="350" w:lineRule="auto" w:before="125"/>
        <w:ind w:left="139" w:right="217" w:firstLine="420"/>
        <w:jc w:val="both"/>
      </w:pPr>
      <w:r>
        <w:rPr/>
        <w:t>2、2007</w:t>
      </w:r>
      <w:r>
        <w:rPr>
          <w:spacing w:val="-39"/>
        </w:rPr>
        <w:t> </w:t>
      </w:r>
      <w:r>
        <w:rPr/>
        <w:t>年</w:t>
      </w:r>
      <w:r>
        <w:rPr>
          <w:spacing w:val="-41"/>
        </w:rPr>
        <w:t> </w:t>
      </w:r>
      <w:r>
        <w:rPr/>
        <w:t>7</w:t>
      </w:r>
      <w:r>
        <w:rPr>
          <w:spacing w:val="-39"/>
        </w:rPr>
        <w:t> </w:t>
      </w:r>
      <w:r>
        <w:rPr/>
        <w:t>月</w:t>
      </w:r>
      <w:r>
        <w:rPr>
          <w:spacing w:val="-39"/>
        </w:rPr>
        <w:t> </w:t>
      </w:r>
      <w:r>
        <w:rPr/>
        <w:t>30</w:t>
      </w:r>
      <w:r>
        <w:rPr>
          <w:spacing w:val="-39"/>
        </w:rPr>
        <w:t> </w:t>
      </w:r>
      <w:r>
        <w:rPr/>
        <w:t>日，本公司重新与广州无线电集团有限公司签订编号为</w:t>
      </w:r>
      <w:r>
        <w:rPr>
          <w:spacing w:val="-39"/>
        </w:rPr>
        <w:t> </w:t>
      </w:r>
      <w:r>
        <w:rPr/>
        <w:t>ZL2007026</w:t>
      </w:r>
      <w:r>
        <w:rPr>
          <w:spacing w:val="-1"/>
        </w:rPr>
        <w:t> </w:t>
      </w:r>
      <w:r>
        <w:rPr>
          <w:spacing w:val="-3"/>
        </w:rPr>
        <w:t>的《房屋租赁合同》，公司租用广州无线电集团有限公司拥有的坐落在广州市天河区平云路</w:t>
      </w:r>
      <w:r>
        <w:rPr>
          <w:spacing w:val="-84"/>
        </w:rPr>
        <w:t> </w:t>
      </w:r>
      <w:r>
        <w:rPr>
          <w:spacing w:val="-84"/>
        </w:rPr>
      </w:r>
      <w:r>
        <w:rPr/>
        <w:t>163</w:t>
      </w:r>
      <w:r>
        <w:rPr>
          <w:spacing w:val="-55"/>
        </w:rPr>
        <w:t> </w:t>
      </w:r>
      <w:r>
        <w:rPr/>
        <w:t>号的房屋、场地,租赁期限从</w:t>
      </w:r>
      <w:r>
        <w:rPr>
          <w:spacing w:val="-56"/>
        </w:rPr>
        <w:t> </w:t>
      </w:r>
      <w:r>
        <w:rPr/>
        <w:t>2007</w:t>
      </w:r>
      <w:r>
        <w:rPr>
          <w:spacing w:val="-56"/>
        </w:rPr>
        <w:t> </w:t>
      </w:r>
      <w:r>
        <w:rPr/>
        <w:t>年</w:t>
      </w:r>
      <w:r>
        <w:rPr>
          <w:spacing w:val="-56"/>
        </w:rPr>
        <w:t> </w:t>
      </w:r>
      <w:r>
        <w:rPr/>
        <w:t>8</w:t>
      </w:r>
      <w:r>
        <w:rPr>
          <w:spacing w:val="-55"/>
        </w:rPr>
        <w:t> </w:t>
      </w:r>
      <w:r>
        <w:rPr/>
        <w:t>月</w:t>
      </w:r>
      <w:r>
        <w:rPr>
          <w:spacing w:val="-56"/>
        </w:rPr>
        <w:t> </w:t>
      </w:r>
      <w:r>
        <w:rPr/>
        <w:t>1</w:t>
      </w:r>
      <w:r>
        <w:rPr>
          <w:spacing w:val="-55"/>
        </w:rPr>
        <w:t> </w:t>
      </w:r>
      <w:r>
        <w:rPr/>
        <w:t>日至</w:t>
      </w:r>
      <w:r>
        <w:rPr>
          <w:spacing w:val="-56"/>
        </w:rPr>
        <w:t> </w:t>
      </w:r>
      <w:r>
        <w:rPr/>
        <w:t>2008</w:t>
      </w:r>
      <w:r>
        <w:rPr>
          <w:spacing w:val="-55"/>
        </w:rPr>
        <w:t> </w:t>
      </w:r>
      <w:r>
        <w:rPr/>
        <w:t>年</w:t>
      </w:r>
      <w:r>
        <w:rPr>
          <w:spacing w:val="-56"/>
        </w:rPr>
        <w:t> </w:t>
      </w:r>
      <w:r>
        <w:rPr/>
        <w:t>7</w:t>
      </w:r>
      <w:r>
        <w:rPr>
          <w:spacing w:val="-56"/>
        </w:rPr>
        <w:t> </w:t>
      </w:r>
      <w:r>
        <w:rPr/>
        <w:t>月</w:t>
      </w:r>
      <w:r>
        <w:rPr>
          <w:spacing w:val="-56"/>
        </w:rPr>
        <w:t> </w:t>
      </w:r>
      <w:r>
        <w:rPr/>
        <w:t>31</w:t>
      </w:r>
      <w:r>
        <w:rPr>
          <w:spacing w:val="-55"/>
        </w:rPr>
        <w:t> </w:t>
      </w:r>
      <w:r>
        <w:rPr/>
        <w:t>日。</w:t>
      </w:r>
    </w:p>
    <w:p>
      <w:pPr>
        <w:pStyle w:val="BodyText"/>
        <w:spacing w:line="240" w:lineRule="auto" w:before="28"/>
        <w:ind w:left="559" w:right="0"/>
        <w:jc w:val="left"/>
      </w:pPr>
      <w:r>
        <w:rPr/>
        <w:t>其中租用通讯大楼一楼中部，房地产建筑面积</w:t>
      </w:r>
      <w:r>
        <w:rPr>
          <w:spacing w:val="-54"/>
        </w:rPr>
        <w:t> </w:t>
      </w:r>
      <w:r>
        <w:rPr/>
        <w:t>914.4</w:t>
      </w:r>
      <w:r>
        <w:rPr>
          <w:spacing w:val="-53"/>
        </w:rPr>
        <w:t> </w:t>
      </w:r>
      <w:r>
        <w:rPr/>
        <w:t>平方米；租用通讯大楼二楼东部，</w:t>
      </w:r>
    </w:p>
    <w:p>
      <w:pPr>
        <w:pStyle w:val="BodyText"/>
        <w:spacing w:line="240" w:lineRule="auto" w:before="125"/>
        <w:ind w:left="139" w:right="102"/>
        <w:jc w:val="left"/>
      </w:pPr>
      <w:r>
        <w:rPr/>
        <w:t>房地产建筑面积</w:t>
      </w:r>
      <w:r>
        <w:rPr>
          <w:spacing w:val="-64"/>
        </w:rPr>
        <w:t> </w:t>
      </w:r>
      <w:r>
        <w:rPr/>
        <w:t>1581.4</w:t>
      </w:r>
      <w:r>
        <w:rPr>
          <w:spacing w:val="-64"/>
        </w:rPr>
        <w:t> </w:t>
      </w:r>
      <w:r>
        <w:rPr/>
        <w:t>平方米；租用通讯大楼四楼东部，房地产建筑面积</w:t>
      </w:r>
      <w:r>
        <w:rPr>
          <w:spacing w:val="-64"/>
        </w:rPr>
        <w:t> </w:t>
      </w:r>
      <w:r>
        <w:rPr/>
        <w:t>1944.6</w:t>
      </w:r>
      <w:r>
        <w:rPr>
          <w:spacing w:val="-64"/>
        </w:rPr>
        <w:t> </w:t>
      </w:r>
      <w:r>
        <w:rPr/>
        <w:t>平方米；</w:t>
      </w:r>
    </w:p>
    <w:p>
      <w:pPr>
        <w:pStyle w:val="BodyText"/>
        <w:spacing w:line="240" w:lineRule="auto" w:before="126"/>
        <w:ind w:left="139" w:right="102"/>
        <w:jc w:val="left"/>
      </w:pPr>
      <w:r>
        <w:rPr/>
        <w:t>租用通讯大楼五楼，房地产建筑面积</w:t>
      </w:r>
      <w:r>
        <w:rPr>
          <w:spacing w:val="-61"/>
        </w:rPr>
        <w:t> </w:t>
      </w:r>
      <w:r>
        <w:rPr/>
        <w:t>2961.57</w:t>
      </w:r>
      <w:r>
        <w:rPr>
          <w:spacing w:val="-61"/>
        </w:rPr>
        <w:t> </w:t>
      </w:r>
      <w:r>
        <w:rPr>
          <w:spacing w:val="-4"/>
        </w:rPr>
        <w:t>平方米；租用通讯大楼六楼西部，房地产建筑</w:t>
      </w:r>
    </w:p>
    <w:p>
      <w:pPr>
        <w:pStyle w:val="BodyText"/>
        <w:spacing w:line="240" w:lineRule="auto" w:before="125"/>
        <w:ind w:left="139" w:right="102"/>
        <w:jc w:val="left"/>
      </w:pPr>
      <w:r>
        <w:rPr/>
        <w:t>面积</w:t>
      </w:r>
      <w:r>
        <w:rPr>
          <w:spacing w:val="-51"/>
        </w:rPr>
        <w:t> </w:t>
      </w:r>
      <w:r>
        <w:rPr/>
        <w:t>1290.3</w:t>
      </w:r>
      <w:r>
        <w:rPr>
          <w:spacing w:val="-52"/>
        </w:rPr>
        <w:t> </w:t>
      </w:r>
      <w:r>
        <w:rPr/>
        <w:t>平方米；租用通讯大楼七楼，房地产建筑面积</w:t>
      </w:r>
      <w:r>
        <w:rPr>
          <w:spacing w:val="-51"/>
        </w:rPr>
        <w:t> </w:t>
      </w:r>
      <w:r>
        <w:rPr/>
        <w:t>2961.57</w:t>
      </w:r>
      <w:r>
        <w:rPr>
          <w:spacing w:val="-51"/>
        </w:rPr>
        <w:t> </w:t>
      </w:r>
      <w:r>
        <w:rPr/>
        <w:t>平方米；租用通讯大楼</w:t>
      </w:r>
    </w:p>
    <w:p>
      <w:pPr>
        <w:pStyle w:val="BodyText"/>
        <w:spacing w:line="350" w:lineRule="auto" w:before="125"/>
        <w:ind w:left="139" w:right="204"/>
        <w:jc w:val="left"/>
      </w:pPr>
      <w:r>
        <w:rPr/>
        <w:t>八楼，房地产建筑面积</w:t>
      </w:r>
      <w:r>
        <w:rPr>
          <w:spacing w:val="-51"/>
        </w:rPr>
        <w:t> </w:t>
      </w:r>
      <w:r>
        <w:rPr/>
        <w:t>3035.25</w:t>
      </w:r>
      <w:r>
        <w:rPr>
          <w:spacing w:val="-51"/>
        </w:rPr>
        <w:t> </w:t>
      </w:r>
      <w:r>
        <w:rPr/>
        <w:t>平方米，以上租用的楼房按单价</w:t>
      </w:r>
      <w:r>
        <w:rPr>
          <w:spacing w:val="-51"/>
        </w:rPr>
        <w:t> </w:t>
      </w:r>
      <w:r>
        <w:rPr/>
        <w:t>15</w:t>
      </w:r>
      <w:r>
        <w:rPr>
          <w:spacing w:val="-51"/>
        </w:rPr>
        <w:t> </w:t>
      </w:r>
      <w:r>
        <w:rPr/>
        <w:t>元/平方米/月计算月租</w:t>
      </w:r>
      <w:r>
        <w:rPr/>
        <w:t> 金。</w:t>
      </w:r>
    </w:p>
    <w:p>
      <w:pPr>
        <w:pStyle w:val="BodyText"/>
        <w:spacing w:line="240" w:lineRule="auto" w:before="28"/>
        <w:ind w:left="559" w:right="102"/>
        <w:jc w:val="left"/>
      </w:pPr>
      <w:r>
        <w:rPr/>
        <w:t>租用</w:t>
      </w:r>
      <w:r>
        <w:rPr>
          <w:spacing w:val="-56"/>
        </w:rPr>
        <w:t> </w:t>
      </w:r>
      <w:r>
        <w:rPr>
          <w:spacing w:val="-3"/>
        </w:rPr>
        <w:t>13#平房，房地产建筑面积</w:t>
      </w:r>
      <w:r>
        <w:rPr>
          <w:spacing w:val="-56"/>
        </w:rPr>
        <w:t> </w:t>
      </w:r>
      <w:r>
        <w:rPr/>
        <w:t>134.78</w:t>
      </w:r>
      <w:r>
        <w:rPr>
          <w:spacing w:val="-55"/>
        </w:rPr>
        <w:t> </w:t>
      </w:r>
      <w:r>
        <w:rPr>
          <w:spacing w:val="-4"/>
        </w:rPr>
        <w:t>平方米；租用</w:t>
      </w:r>
      <w:r>
        <w:rPr>
          <w:spacing w:val="-56"/>
        </w:rPr>
        <w:t> </w:t>
      </w:r>
      <w:r>
        <w:rPr/>
        <w:t>62</w:t>
      </w:r>
      <w:r>
        <w:rPr>
          <w:spacing w:val="-55"/>
        </w:rPr>
        <w:t> </w:t>
      </w:r>
      <w:r>
        <w:rPr/>
        <w:t>号楼质检楼一楼北部，房地产</w:t>
      </w:r>
    </w:p>
    <w:p>
      <w:pPr>
        <w:pStyle w:val="BodyText"/>
        <w:spacing w:line="240" w:lineRule="auto" w:before="125"/>
        <w:ind w:left="139" w:right="102"/>
        <w:jc w:val="left"/>
      </w:pPr>
      <w:r>
        <w:rPr/>
        <w:t>建筑面积</w:t>
      </w:r>
      <w:r>
        <w:rPr>
          <w:spacing w:val="-61"/>
        </w:rPr>
        <w:t> </w:t>
      </w:r>
      <w:r>
        <w:rPr/>
        <w:t>245.36</w:t>
      </w:r>
      <w:r>
        <w:rPr>
          <w:spacing w:val="-60"/>
        </w:rPr>
        <w:t> </w:t>
      </w:r>
      <w:r>
        <w:rPr/>
        <w:t>平方米，按单价</w:t>
      </w:r>
      <w:r>
        <w:rPr>
          <w:spacing w:val="-61"/>
        </w:rPr>
        <w:t> </w:t>
      </w:r>
      <w:r>
        <w:rPr/>
        <w:t>6</w:t>
      </w:r>
      <w:r>
        <w:rPr>
          <w:spacing w:val="-60"/>
        </w:rPr>
        <w:t> </w:t>
      </w:r>
      <w:r>
        <w:rPr/>
        <w:t>元/平方米/月计算月租金。</w:t>
      </w:r>
    </w:p>
    <w:p>
      <w:pPr>
        <w:pStyle w:val="BodyText"/>
        <w:spacing w:line="240" w:lineRule="auto" w:before="126"/>
        <w:ind w:left="559" w:right="0"/>
        <w:jc w:val="left"/>
      </w:pPr>
      <w:r>
        <w:rPr/>
        <w:t>租用</w:t>
      </w:r>
      <w:r>
        <w:rPr>
          <w:spacing w:val="-51"/>
        </w:rPr>
        <w:t> </w:t>
      </w:r>
      <w:r>
        <w:rPr>
          <w:spacing w:val="-6"/>
        </w:rPr>
        <w:t>1#厂房一层中部，房地产建筑面积</w:t>
      </w:r>
      <w:r>
        <w:rPr>
          <w:spacing w:val="-51"/>
        </w:rPr>
        <w:t> </w:t>
      </w:r>
      <w:r>
        <w:rPr/>
        <w:t>820.37</w:t>
      </w:r>
      <w:r>
        <w:rPr>
          <w:spacing w:val="-50"/>
        </w:rPr>
        <w:t> </w:t>
      </w:r>
      <w:r>
        <w:rPr>
          <w:spacing w:val="-13"/>
        </w:rPr>
        <w:t>平方米；租用</w:t>
      </w:r>
      <w:r>
        <w:rPr>
          <w:spacing w:val="-51"/>
        </w:rPr>
        <w:t> </w:t>
      </w:r>
      <w:r>
        <w:rPr/>
        <w:t>2</w:t>
      </w:r>
      <w:r>
        <w:rPr>
          <w:spacing w:val="-51"/>
        </w:rPr>
        <w:t> </w:t>
      </w:r>
      <w:r>
        <w:rPr/>
        <w:t>号厂房首层东北部房间，</w:t>
      </w:r>
    </w:p>
    <w:p>
      <w:pPr>
        <w:pStyle w:val="BodyText"/>
        <w:spacing w:line="240" w:lineRule="auto" w:before="125"/>
        <w:ind w:right="102"/>
        <w:jc w:val="left"/>
      </w:pPr>
      <w:r>
        <w:rPr>
          <w:spacing w:val="-4"/>
        </w:rPr>
        <w:t>房地产建筑面积平方米；租用</w:t>
      </w:r>
      <w:r>
        <w:rPr>
          <w:spacing w:val="-51"/>
        </w:rPr>
        <w:t> </w:t>
      </w:r>
      <w:r>
        <w:rPr/>
        <w:t>62</w:t>
      </w:r>
      <w:r>
        <w:rPr>
          <w:spacing w:val="-50"/>
        </w:rPr>
        <w:t> </w:t>
      </w:r>
      <w:r>
        <w:rPr>
          <w:spacing w:val="-3"/>
        </w:rPr>
        <w:t>号楼质检楼一楼南部，房地产建筑面积</w:t>
      </w:r>
      <w:r>
        <w:rPr>
          <w:spacing w:val="-51"/>
        </w:rPr>
        <w:t> </w:t>
      </w:r>
      <w:r>
        <w:rPr/>
        <w:t>359.55</w:t>
      </w:r>
      <w:r>
        <w:rPr>
          <w:spacing w:val="-50"/>
        </w:rPr>
        <w:t> </w:t>
      </w:r>
      <w:r>
        <w:rPr>
          <w:spacing w:val="-8"/>
        </w:rPr>
        <w:t>平方米；租</w:t>
      </w:r>
    </w:p>
    <w:p>
      <w:pPr>
        <w:pStyle w:val="BodyText"/>
        <w:spacing w:line="240" w:lineRule="auto" w:before="125"/>
        <w:ind w:right="0"/>
        <w:jc w:val="left"/>
      </w:pPr>
      <w:r>
        <w:rPr/>
        <w:t>用</w:t>
      </w:r>
      <w:r>
        <w:rPr>
          <w:spacing w:val="-59"/>
        </w:rPr>
        <w:t> </w:t>
      </w:r>
      <w:r>
        <w:rPr/>
        <w:t>2#厂房首层北房间，房地产建筑面积</w:t>
      </w:r>
      <w:r>
        <w:rPr>
          <w:spacing w:val="-59"/>
        </w:rPr>
        <w:t> </w:t>
      </w:r>
      <w:r>
        <w:rPr/>
        <w:t>161.4</w:t>
      </w:r>
      <w:r>
        <w:rPr>
          <w:spacing w:val="-59"/>
        </w:rPr>
        <w:t> </w:t>
      </w:r>
      <w:r>
        <w:rPr>
          <w:spacing w:val="-3"/>
        </w:rPr>
        <w:t>平方米，按单价</w:t>
      </w:r>
      <w:r>
        <w:rPr>
          <w:spacing w:val="-59"/>
        </w:rPr>
        <w:t> </w:t>
      </w:r>
      <w:r>
        <w:rPr/>
        <w:t>7</w:t>
      </w:r>
      <w:r>
        <w:rPr>
          <w:spacing w:val="-58"/>
        </w:rPr>
        <w:t> </w:t>
      </w:r>
      <w:r>
        <w:rPr/>
        <w:t>元/平方米/月计算月租金。</w:t>
      </w:r>
    </w:p>
    <w:p>
      <w:pPr>
        <w:pStyle w:val="BodyText"/>
        <w:spacing w:line="240" w:lineRule="auto" w:before="126"/>
        <w:ind w:left="560" w:right="102"/>
        <w:jc w:val="left"/>
      </w:pPr>
      <w:r>
        <w:rPr/>
        <w:t>租用</w:t>
      </w:r>
      <w:r>
        <w:rPr>
          <w:spacing w:val="-55"/>
        </w:rPr>
        <w:t> </w:t>
      </w:r>
      <w:r>
        <w:rPr/>
        <w:t>41#五金库，房地产建筑面积</w:t>
      </w:r>
      <w:r>
        <w:rPr>
          <w:spacing w:val="-55"/>
        </w:rPr>
        <w:t> </w:t>
      </w:r>
      <w:r>
        <w:rPr/>
        <w:t>18.18</w:t>
      </w:r>
      <w:r>
        <w:rPr>
          <w:spacing w:val="-54"/>
        </w:rPr>
        <w:t> </w:t>
      </w:r>
      <w:r>
        <w:rPr/>
        <w:t>平方米，按单价</w:t>
      </w:r>
      <w:r>
        <w:rPr>
          <w:spacing w:val="-55"/>
        </w:rPr>
        <w:t> </w:t>
      </w:r>
      <w:r>
        <w:rPr/>
        <w:t>3</w:t>
      </w:r>
      <w:r>
        <w:rPr>
          <w:spacing w:val="-54"/>
        </w:rPr>
        <w:t> </w:t>
      </w:r>
      <w:r>
        <w:rPr/>
        <w:t>元/平方米/月计算月租金。</w:t>
      </w:r>
    </w:p>
    <w:p>
      <w:pPr>
        <w:pStyle w:val="BodyText"/>
        <w:spacing w:line="240" w:lineRule="auto" w:before="125"/>
        <w:ind w:left="560" w:right="102"/>
        <w:jc w:val="left"/>
      </w:pPr>
      <w:r>
        <w:rPr/>
        <w:t>2007</w:t>
      </w:r>
      <w:r>
        <w:rPr>
          <w:spacing w:val="-45"/>
        </w:rPr>
        <w:t> </w:t>
      </w:r>
      <w:r>
        <w:rPr/>
        <w:t>年</w:t>
      </w:r>
      <w:r>
        <w:rPr>
          <w:spacing w:val="-45"/>
        </w:rPr>
        <w:t> </w:t>
      </w:r>
      <w:r>
        <w:rPr/>
        <w:t>10</w:t>
      </w:r>
      <w:r>
        <w:rPr>
          <w:spacing w:val="-46"/>
        </w:rPr>
        <w:t> </w:t>
      </w:r>
      <w:r>
        <w:rPr/>
        <w:t>月</w:t>
      </w:r>
      <w:r>
        <w:rPr>
          <w:spacing w:val="-45"/>
        </w:rPr>
        <w:t> </w:t>
      </w:r>
      <w:r>
        <w:rPr/>
        <w:t>22</w:t>
      </w:r>
      <w:r>
        <w:rPr>
          <w:spacing w:val="-45"/>
        </w:rPr>
        <w:t> </w:t>
      </w:r>
      <w:r>
        <w:rPr/>
        <w:t>日，公司与广州无线电集团有限公司签订编号为</w:t>
      </w:r>
      <w:r>
        <w:rPr>
          <w:spacing w:val="-45"/>
        </w:rPr>
        <w:t> </w:t>
      </w:r>
      <w:r>
        <w:rPr/>
        <w:t>ZL2007026-1</w:t>
      </w:r>
      <w:r>
        <w:rPr>
          <w:spacing w:val="-45"/>
        </w:rPr>
        <w:t> </w:t>
      </w:r>
      <w:r>
        <w:rPr/>
        <w:t>的《房</w:t>
      </w:r>
    </w:p>
    <w:p>
      <w:pPr>
        <w:pStyle w:val="BodyText"/>
        <w:spacing w:line="240" w:lineRule="auto" w:before="125"/>
        <w:ind w:right="102"/>
        <w:jc w:val="left"/>
      </w:pPr>
      <w:r>
        <w:rPr/>
        <w:t>屋租赁合同补充协议</w:t>
      </w:r>
      <w:r>
        <w:rPr>
          <w:spacing w:val="-105"/>
        </w:rPr>
        <w:t>》</w:t>
      </w:r>
      <w:r>
        <w:rPr>
          <w:spacing w:val="-2"/>
        </w:rPr>
        <w:t>，</w:t>
      </w:r>
      <w:r>
        <w:rPr/>
        <w:t>退租</w:t>
      </w:r>
      <w:r>
        <w:rPr>
          <w:spacing w:val="-50"/>
        </w:rPr>
        <w:t> </w:t>
      </w:r>
      <w:r>
        <w:rPr/>
        <w:t>2#厂</w:t>
      </w:r>
      <w:r>
        <w:rPr>
          <w:spacing w:val="-2"/>
        </w:rPr>
        <w:t>房</w:t>
      </w:r>
      <w:r>
        <w:rPr/>
        <w:t>首层北房间，房地产建筑面积</w:t>
      </w:r>
      <w:r>
        <w:rPr>
          <w:spacing w:val="-50"/>
        </w:rPr>
        <w:t> </w:t>
      </w:r>
      <w:r>
        <w:rPr/>
        <w:t>161.4</w:t>
      </w:r>
      <w:r>
        <w:rPr>
          <w:spacing w:val="-50"/>
        </w:rPr>
        <w:t> </w:t>
      </w:r>
      <w:r>
        <w:rPr/>
        <w:t>平方米；另租用</w:t>
      </w:r>
      <w:r>
        <w:rPr>
          <w:spacing w:val="-50"/>
        </w:rPr>
        <w:t> </w:t>
      </w:r>
      <w:r>
        <w:rPr/>
        <w:t>2</w:t>
      </w:r>
    </w:p>
    <w:p>
      <w:pPr>
        <w:pStyle w:val="BodyText"/>
        <w:spacing w:line="348" w:lineRule="auto" w:before="126"/>
        <w:ind w:left="560" w:right="106" w:hanging="421"/>
        <w:jc w:val="left"/>
      </w:pPr>
      <w:r>
        <w:rPr>
          <w:spacing w:val="-6"/>
        </w:rPr>
        <w:t>号厂房首层东北部房间，房地产建筑面积</w:t>
      </w:r>
      <w:r>
        <w:rPr>
          <w:spacing w:val="-49"/>
        </w:rPr>
        <w:t> </w:t>
      </w:r>
      <w:r>
        <w:rPr/>
        <w:t>82.69</w:t>
      </w:r>
      <w:r>
        <w:rPr>
          <w:spacing w:val="-49"/>
        </w:rPr>
        <w:t> </w:t>
      </w:r>
      <w:r>
        <w:rPr>
          <w:spacing w:val="-15"/>
        </w:rPr>
        <w:t>平方米，按单价</w:t>
      </w:r>
      <w:r>
        <w:rPr>
          <w:spacing w:val="-49"/>
        </w:rPr>
        <w:t> </w:t>
      </w:r>
      <w:r>
        <w:rPr/>
        <w:t>7</w:t>
      </w:r>
      <w:r>
        <w:rPr>
          <w:spacing w:val="-48"/>
        </w:rPr>
        <w:t> </w:t>
      </w:r>
      <w:r>
        <w:rPr>
          <w:spacing w:val="-1"/>
        </w:rPr>
        <w:t>元/平方米/月计算月租金。</w:t>
      </w:r>
      <w:r>
        <w:rPr/>
        <w:t> 3、2008</w:t>
      </w:r>
      <w:r>
        <w:rPr>
          <w:spacing w:val="-40"/>
        </w:rPr>
        <w:t> </w:t>
      </w:r>
      <w:r>
        <w:rPr/>
        <w:t>年</w:t>
      </w:r>
      <w:r>
        <w:rPr>
          <w:spacing w:val="-42"/>
        </w:rPr>
        <w:t> </w:t>
      </w:r>
      <w:r>
        <w:rPr/>
        <w:t>7</w:t>
      </w:r>
      <w:r>
        <w:rPr>
          <w:spacing w:val="-40"/>
        </w:rPr>
        <w:t> </w:t>
      </w:r>
      <w:r>
        <w:rPr/>
        <w:t>月</w:t>
      </w:r>
      <w:r>
        <w:rPr>
          <w:spacing w:val="-40"/>
        </w:rPr>
        <w:t> </w:t>
      </w:r>
      <w:r>
        <w:rPr/>
        <w:t>31</w:t>
      </w:r>
      <w:r>
        <w:rPr>
          <w:spacing w:val="-40"/>
        </w:rPr>
        <w:t> </w:t>
      </w:r>
      <w:r>
        <w:rPr/>
        <w:t>日，本公司重新与广州无线电集团有限公司签订编号为</w:t>
      </w:r>
      <w:r>
        <w:rPr>
          <w:spacing w:val="-40"/>
        </w:rPr>
        <w:t> </w:t>
      </w:r>
      <w:r>
        <w:rPr/>
        <w:t>ZL2008017</w:t>
      </w:r>
    </w:p>
    <w:p>
      <w:pPr>
        <w:spacing w:after="0" w:line="348" w:lineRule="auto"/>
        <w:jc w:val="left"/>
        <w:sectPr>
          <w:pgSz w:w="11910" w:h="16840"/>
          <w:pgMar w:header="400" w:footer="982" w:top="1100" w:bottom="1180" w:left="1660" w:right="1580"/>
        </w:sectPr>
      </w:pPr>
    </w:p>
    <w:p>
      <w:pPr>
        <w:spacing w:line="240" w:lineRule="auto" w:before="12"/>
        <w:rPr>
          <w:rFonts w:ascii="宋体" w:hAnsi="宋体" w:cs="宋体" w:eastAsia="宋体" w:hint="default"/>
          <w:sz w:val="28"/>
          <w:szCs w:val="28"/>
        </w:rPr>
      </w:pPr>
    </w:p>
    <w:p>
      <w:pPr>
        <w:pStyle w:val="BodyText"/>
        <w:spacing w:line="348" w:lineRule="auto" w:before="35"/>
        <w:ind w:right="102"/>
        <w:jc w:val="left"/>
      </w:pPr>
      <w:r>
        <w:rPr>
          <w:spacing w:val="-3"/>
        </w:rPr>
        <w:t>的《房屋租赁合同》，公司租用广州无线电集团有限公司拥有的坐落在广州市天河区平云路</w:t>
      </w:r>
      <w:r>
        <w:rPr>
          <w:spacing w:val="-84"/>
        </w:rPr>
        <w:t> </w:t>
      </w:r>
      <w:r>
        <w:rPr>
          <w:spacing w:val="-84"/>
        </w:rPr>
      </w:r>
      <w:r>
        <w:rPr/>
        <w:t>163</w:t>
      </w:r>
      <w:r>
        <w:rPr>
          <w:spacing w:val="-55"/>
        </w:rPr>
        <w:t> </w:t>
      </w:r>
      <w:r>
        <w:rPr/>
        <w:t>号的房屋、场地,租赁期限从</w:t>
      </w:r>
      <w:r>
        <w:rPr>
          <w:spacing w:val="-56"/>
        </w:rPr>
        <w:t> </w:t>
      </w:r>
      <w:r>
        <w:rPr/>
        <w:t>2008</w:t>
      </w:r>
      <w:r>
        <w:rPr>
          <w:spacing w:val="-56"/>
        </w:rPr>
        <w:t> </w:t>
      </w:r>
      <w:r>
        <w:rPr/>
        <w:t>年</w:t>
      </w:r>
      <w:r>
        <w:rPr>
          <w:spacing w:val="-56"/>
        </w:rPr>
        <w:t> </w:t>
      </w:r>
      <w:r>
        <w:rPr/>
        <w:t>8</w:t>
      </w:r>
      <w:r>
        <w:rPr>
          <w:spacing w:val="-55"/>
        </w:rPr>
        <w:t> </w:t>
      </w:r>
      <w:r>
        <w:rPr/>
        <w:t>月</w:t>
      </w:r>
      <w:r>
        <w:rPr>
          <w:spacing w:val="-56"/>
        </w:rPr>
        <w:t> </w:t>
      </w:r>
      <w:r>
        <w:rPr/>
        <w:t>1</w:t>
      </w:r>
      <w:r>
        <w:rPr>
          <w:spacing w:val="-55"/>
        </w:rPr>
        <w:t> </w:t>
      </w:r>
      <w:r>
        <w:rPr/>
        <w:t>日至</w:t>
      </w:r>
      <w:r>
        <w:rPr>
          <w:spacing w:val="-56"/>
        </w:rPr>
        <w:t> </w:t>
      </w:r>
      <w:r>
        <w:rPr/>
        <w:t>2009</w:t>
      </w:r>
      <w:r>
        <w:rPr>
          <w:spacing w:val="-55"/>
        </w:rPr>
        <w:t> </w:t>
      </w:r>
      <w:r>
        <w:rPr/>
        <w:t>年</w:t>
      </w:r>
      <w:r>
        <w:rPr>
          <w:spacing w:val="-56"/>
        </w:rPr>
        <w:t> </w:t>
      </w:r>
      <w:r>
        <w:rPr/>
        <w:t>7</w:t>
      </w:r>
      <w:r>
        <w:rPr>
          <w:spacing w:val="-56"/>
        </w:rPr>
        <w:t> </w:t>
      </w:r>
      <w:r>
        <w:rPr/>
        <w:t>月</w:t>
      </w:r>
      <w:r>
        <w:rPr>
          <w:spacing w:val="-56"/>
        </w:rPr>
        <w:t> </w:t>
      </w:r>
      <w:r>
        <w:rPr/>
        <w:t>31</w:t>
      </w:r>
      <w:r>
        <w:rPr>
          <w:spacing w:val="-55"/>
        </w:rPr>
        <w:t> </w:t>
      </w:r>
      <w:r>
        <w:rPr/>
        <w:t>日。</w:t>
      </w:r>
    </w:p>
    <w:p>
      <w:pPr>
        <w:pStyle w:val="BodyText"/>
        <w:spacing w:line="240" w:lineRule="auto" w:before="31"/>
        <w:ind w:left="560" w:right="0"/>
        <w:jc w:val="left"/>
      </w:pPr>
      <w:r>
        <w:rPr/>
        <w:t>其中租用通讯大楼一楼中部，房地产建筑面积</w:t>
      </w:r>
      <w:r>
        <w:rPr>
          <w:spacing w:val="-54"/>
        </w:rPr>
        <w:t> </w:t>
      </w:r>
      <w:r>
        <w:rPr/>
        <w:t>914.4</w:t>
      </w:r>
      <w:r>
        <w:rPr>
          <w:spacing w:val="-53"/>
        </w:rPr>
        <w:t> </w:t>
      </w:r>
      <w:r>
        <w:rPr/>
        <w:t>平方米；租用通讯大楼二楼东部，</w:t>
      </w:r>
    </w:p>
    <w:p>
      <w:pPr>
        <w:pStyle w:val="BodyText"/>
        <w:spacing w:line="240" w:lineRule="auto" w:before="125"/>
        <w:ind w:right="102"/>
        <w:jc w:val="left"/>
      </w:pPr>
      <w:r>
        <w:rPr/>
        <w:t>房地产建筑面积</w:t>
      </w:r>
      <w:r>
        <w:rPr>
          <w:spacing w:val="-64"/>
        </w:rPr>
        <w:t> </w:t>
      </w:r>
      <w:r>
        <w:rPr/>
        <w:t>1581.4</w:t>
      </w:r>
      <w:r>
        <w:rPr>
          <w:spacing w:val="-64"/>
        </w:rPr>
        <w:t> </w:t>
      </w:r>
      <w:r>
        <w:rPr/>
        <w:t>平方米；租用通讯大楼四楼东部，房地产建筑面积</w:t>
      </w:r>
      <w:r>
        <w:rPr>
          <w:spacing w:val="-64"/>
        </w:rPr>
        <w:t> </w:t>
      </w:r>
      <w:r>
        <w:rPr/>
        <w:t>1944.6</w:t>
      </w:r>
      <w:r>
        <w:rPr>
          <w:spacing w:val="-64"/>
        </w:rPr>
        <w:t> </w:t>
      </w:r>
      <w:r>
        <w:rPr/>
        <w:t>平方米；</w:t>
      </w:r>
    </w:p>
    <w:p>
      <w:pPr>
        <w:pStyle w:val="BodyText"/>
        <w:spacing w:line="240" w:lineRule="auto" w:before="125"/>
        <w:ind w:right="102"/>
        <w:jc w:val="left"/>
      </w:pPr>
      <w:r>
        <w:rPr/>
        <w:t>租用通讯大楼五楼，房地产建筑面积</w:t>
      </w:r>
      <w:r>
        <w:rPr>
          <w:spacing w:val="-61"/>
        </w:rPr>
        <w:t> </w:t>
      </w:r>
      <w:r>
        <w:rPr/>
        <w:t>2961.57</w:t>
      </w:r>
      <w:r>
        <w:rPr>
          <w:spacing w:val="-61"/>
        </w:rPr>
        <w:t> </w:t>
      </w:r>
      <w:r>
        <w:rPr>
          <w:spacing w:val="-4"/>
        </w:rPr>
        <w:t>平方米；租用通讯大楼六楼西部，房地产建筑</w:t>
      </w:r>
    </w:p>
    <w:p>
      <w:pPr>
        <w:pStyle w:val="BodyText"/>
        <w:spacing w:line="240" w:lineRule="auto" w:before="126"/>
        <w:ind w:right="102"/>
        <w:jc w:val="left"/>
      </w:pPr>
      <w:r>
        <w:rPr/>
        <w:t>面积</w:t>
      </w:r>
      <w:r>
        <w:rPr>
          <w:spacing w:val="-51"/>
        </w:rPr>
        <w:t> </w:t>
      </w:r>
      <w:r>
        <w:rPr/>
        <w:t>241.91</w:t>
      </w:r>
      <w:r>
        <w:rPr>
          <w:spacing w:val="-52"/>
        </w:rPr>
        <w:t> </w:t>
      </w:r>
      <w:r>
        <w:rPr/>
        <w:t>平方米；租用通讯大楼七楼，房地产建筑面积</w:t>
      </w:r>
      <w:r>
        <w:rPr>
          <w:spacing w:val="-51"/>
        </w:rPr>
        <w:t> </w:t>
      </w:r>
      <w:r>
        <w:rPr/>
        <w:t>2961.57</w:t>
      </w:r>
      <w:r>
        <w:rPr>
          <w:spacing w:val="-51"/>
        </w:rPr>
        <w:t> </w:t>
      </w:r>
      <w:r>
        <w:rPr/>
        <w:t>平方米；租用通讯大楼</w:t>
      </w:r>
    </w:p>
    <w:p>
      <w:pPr>
        <w:pStyle w:val="BodyText"/>
        <w:spacing w:line="348" w:lineRule="auto" w:before="125"/>
        <w:ind w:right="203"/>
        <w:jc w:val="left"/>
      </w:pPr>
      <w:r>
        <w:rPr/>
        <w:t>八楼，房地产建筑面积</w:t>
      </w:r>
      <w:r>
        <w:rPr>
          <w:spacing w:val="-51"/>
        </w:rPr>
        <w:t> </w:t>
      </w:r>
      <w:r>
        <w:rPr/>
        <w:t>3035.25</w:t>
      </w:r>
      <w:r>
        <w:rPr>
          <w:spacing w:val="-51"/>
        </w:rPr>
        <w:t> </w:t>
      </w:r>
      <w:r>
        <w:rPr/>
        <w:t>平方米，以上租用的楼房按单价</w:t>
      </w:r>
      <w:r>
        <w:rPr>
          <w:spacing w:val="-51"/>
        </w:rPr>
        <w:t> </w:t>
      </w:r>
      <w:r>
        <w:rPr/>
        <w:t>15</w:t>
      </w:r>
      <w:r>
        <w:rPr>
          <w:spacing w:val="-51"/>
        </w:rPr>
        <w:t> </w:t>
      </w:r>
      <w:r>
        <w:rPr/>
        <w:t>元/平方米/月计算月租</w:t>
      </w:r>
      <w:r>
        <w:rPr/>
        <w:t> 金。</w:t>
      </w:r>
    </w:p>
    <w:p>
      <w:pPr>
        <w:pStyle w:val="BodyText"/>
        <w:spacing w:line="348" w:lineRule="auto" w:before="31"/>
        <w:ind w:right="215" w:firstLine="420"/>
        <w:jc w:val="both"/>
      </w:pPr>
      <w:r>
        <w:rPr>
          <w:spacing w:val="-9"/>
        </w:rPr>
        <w:t>4、2008</w:t>
      </w:r>
      <w:r>
        <w:rPr>
          <w:spacing w:val="-51"/>
        </w:rPr>
        <w:t> </w:t>
      </w:r>
      <w:r>
        <w:rPr/>
        <w:t>年</w:t>
      </w:r>
      <w:r>
        <w:rPr>
          <w:spacing w:val="-51"/>
        </w:rPr>
        <w:t> </w:t>
      </w:r>
      <w:r>
        <w:rPr/>
        <w:t>4</w:t>
      </w:r>
      <w:r>
        <w:rPr>
          <w:spacing w:val="-51"/>
        </w:rPr>
        <w:t> </w:t>
      </w:r>
      <w:r>
        <w:rPr/>
        <w:t>月</w:t>
      </w:r>
      <w:r>
        <w:rPr>
          <w:spacing w:val="-51"/>
        </w:rPr>
        <w:t> </w:t>
      </w:r>
      <w:r>
        <w:rPr/>
        <w:t>15</w:t>
      </w:r>
      <w:r>
        <w:rPr>
          <w:spacing w:val="-50"/>
        </w:rPr>
        <w:t> </w:t>
      </w:r>
      <w:r>
        <w:rPr>
          <w:spacing w:val="-3"/>
        </w:rPr>
        <w:t>日，本公司与广州无线电集团有限公司签订编号为</w:t>
      </w:r>
      <w:r>
        <w:rPr>
          <w:spacing w:val="-51"/>
        </w:rPr>
        <w:t> </w:t>
      </w:r>
      <w:r>
        <w:rPr/>
        <w:t>ZL2008009</w:t>
      </w:r>
      <w:r>
        <w:rPr>
          <w:spacing w:val="-50"/>
        </w:rPr>
        <w:t> </w:t>
      </w:r>
      <w:r>
        <w:rPr>
          <w:spacing w:val="-18"/>
        </w:rPr>
        <w:t>的《房</w:t>
      </w:r>
      <w:r>
        <w:rPr/>
        <w:t> </w:t>
      </w:r>
      <w:r>
        <w:rPr>
          <w:spacing w:val="-3"/>
        </w:rPr>
        <w:t>屋租赁合同》，公司租用广州无线电集团有限公司拥有的坐落在广州市天河区平云路</w:t>
      </w:r>
      <w:r>
        <w:rPr>
          <w:spacing w:val="-46"/>
        </w:rPr>
        <w:t> </w:t>
      </w:r>
      <w:r>
        <w:rPr/>
        <w:t>163</w:t>
      </w:r>
      <w:r>
        <w:rPr>
          <w:spacing w:val="-45"/>
        </w:rPr>
        <w:t> </w:t>
      </w:r>
      <w:r>
        <w:rPr/>
        <w:t>号</w:t>
      </w:r>
    </w:p>
    <w:p>
      <w:pPr>
        <w:pStyle w:val="BodyText"/>
        <w:spacing w:line="240" w:lineRule="auto" w:before="30"/>
        <w:ind w:right="102"/>
        <w:jc w:val="left"/>
      </w:pPr>
      <w:r>
        <w:rPr>
          <w:spacing w:val="-3"/>
        </w:rPr>
        <w:t>的广电科技大厦四楼、五楼作为办公及研发用地，房地产建筑面积 </w:t>
      </w:r>
      <w:r>
        <w:rPr/>
        <w:t>4599.58</w:t>
      </w:r>
      <w:r>
        <w:rPr>
          <w:spacing w:val="-78"/>
        </w:rPr>
        <w:t> </w:t>
      </w:r>
      <w:r>
        <w:rPr>
          <w:spacing w:val="-5"/>
        </w:rPr>
        <w:t>平方米，租赁期</w:t>
      </w:r>
    </w:p>
    <w:p>
      <w:pPr>
        <w:pStyle w:val="BodyText"/>
        <w:spacing w:line="348" w:lineRule="auto" w:before="126"/>
        <w:ind w:right="102"/>
        <w:jc w:val="left"/>
      </w:pPr>
      <w:r>
        <w:rPr/>
        <w:t>限为</w:t>
      </w:r>
      <w:r>
        <w:rPr>
          <w:spacing w:val="-53"/>
        </w:rPr>
        <w:t> </w:t>
      </w:r>
      <w:r>
        <w:rPr/>
        <w:t>2007</w:t>
      </w:r>
      <w:r>
        <w:rPr>
          <w:spacing w:val="-52"/>
        </w:rPr>
        <w:t> </w:t>
      </w:r>
      <w:r>
        <w:rPr/>
        <w:t>年</w:t>
      </w:r>
      <w:r>
        <w:rPr>
          <w:spacing w:val="-54"/>
        </w:rPr>
        <w:t> </w:t>
      </w:r>
      <w:r>
        <w:rPr/>
        <w:t>9</w:t>
      </w:r>
      <w:r>
        <w:rPr>
          <w:spacing w:val="-52"/>
        </w:rPr>
        <w:t> </w:t>
      </w:r>
      <w:r>
        <w:rPr/>
        <w:t>月</w:t>
      </w:r>
      <w:r>
        <w:rPr>
          <w:spacing w:val="-54"/>
        </w:rPr>
        <w:t> </w:t>
      </w:r>
      <w:r>
        <w:rPr/>
        <w:t>1</w:t>
      </w:r>
      <w:r>
        <w:rPr>
          <w:spacing w:val="-52"/>
        </w:rPr>
        <w:t> </w:t>
      </w:r>
      <w:r>
        <w:rPr/>
        <w:t>日至</w:t>
      </w:r>
      <w:r>
        <w:rPr>
          <w:spacing w:val="-54"/>
        </w:rPr>
        <w:t> </w:t>
      </w:r>
      <w:r>
        <w:rPr/>
        <w:t>2012</w:t>
      </w:r>
      <w:r>
        <w:rPr>
          <w:spacing w:val="-52"/>
        </w:rPr>
        <w:t> </w:t>
      </w:r>
      <w:r>
        <w:rPr/>
        <w:t>年</w:t>
      </w:r>
      <w:r>
        <w:rPr>
          <w:spacing w:val="-54"/>
        </w:rPr>
        <w:t> </w:t>
      </w:r>
      <w:r>
        <w:rPr/>
        <w:t>8</w:t>
      </w:r>
      <w:r>
        <w:rPr>
          <w:spacing w:val="-52"/>
        </w:rPr>
        <w:t> </w:t>
      </w:r>
      <w:r>
        <w:rPr/>
        <w:t>月</w:t>
      </w:r>
      <w:r>
        <w:rPr>
          <w:spacing w:val="-54"/>
        </w:rPr>
        <w:t> </w:t>
      </w:r>
      <w:r>
        <w:rPr/>
        <w:t>31</w:t>
      </w:r>
      <w:r>
        <w:rPr>
          <w:spacing w:val="-52"/>
        </w:rPr>
        <w:t> </w:t>
      </w:r>
      <w:r>
        <w:rPr>
          <w:spacing w:val="-16"/>
        </w:rPr>
        <w:t>日，按</w:t>
      </w:r>
      <w:r>
        <w:rPr>
          <w:spacing w:val="-54"/>
        </w:rPr>
        <w:t> </w:t>
      </w:r>
      <w:r>
        <w:rPr/>
        <w:t>27</w:t>
      </w:r>
      <w:r>
        <w:rPr>
          <w:spacing w:val="-53"/>
        </w:rPr>
        <w:t> </w:t>
      </w:r>
      <w:r>
        <w:rPr>
          <w:spacing w:val="-4"/>
        </w:rPr>
        <w:t>元/平主米/月计算月租金，第二年开始每</w:t>
      </w:r>
      <w:r>
        <w:rPr>
          <w:spacing w:val="-1"/>
        </w:rPr>
        <w:t> </w:t>
      </w:r>
      <w:r>
        <w:rPr/>
        <w:t>年递增</w:t>
      </w:r>
      <w:r>
        <w:rPr>
          <w:spacing w:val="-53"/>
        </w:rPr>
        <w:t> </w:t>
      </w:r>
      <w:r>
        <w:rPr/>
        <w:t>5%。</w:t>
      </w:r>
    </w:p>
    <w:p>
      <w:pPr>
        <w:pStyle w:val="BodyText"/>
        <w:spacing w:line="350" w:lineRule="auto" w:before="30"/>
        <w:ind w:right="217" w:firstLine="420"/>
        <w:jc w:val="both"/>
      </w:pPr>
      <w:r>
        <w:rPr>
          <w:spacing w:val="-5"/>
        </w:rPr>
        <w:t>5、本公司的全资子公司深圳广电银通金融电子科技有限公司于</w:t>
      </w:r>
      <w:r>
        <w:rPr>
          <w:spacing w:val="-50"/>
        </w:rPr>
        <w:t> </w:t>
      </w:r>
      <w:r>
        <w:rPr>
          <w:spacing w:val="-1"/>
        </w:rPr>
        <w:t>2007</w:t>
      </w:r>
      <w:r>
        <w:rPr>
          <w:spacing w:val="-49"/>
        </w:rPr>
        <w:t> </w:t>
      </w:r>
      <w:r>
        <w:rPr/>
        <w:t>年</w:t>
      </w:r>
      <w:r>
        <w:rPr>
          <w:spacing w:val="-51"/>
        </w:rPr>
        <w:t> </w:t>
      </w:r>
      <w:r>
        <w:rPr/>
        <w:t>1</w:t>
      </w:r>
      <w:r>
        <w:rPr>
          <w:spacing w:val="-49"/>
        </w:rPr>
        <w:t> </w:t>
      </w:r>
      <w:r>
        <w:rPr/>
        <w:t>月</w:t>
      </w:r>
      <w:r>
        <w:rPr>
          <w:spacing w:val="-51"/>
        </w:rPr>
        <w:t> </w:t>
      </w:r>
      <w:r>
        <w:rPr/>
        <w:t>1</w:t>
      </w:r>
      <w:r>
        <w:rPr>
          <w:spacing w:val="-49"/>
        </w:rPr>
        <w:t> </w:t>
      </w:r>
      <w:r>
        <w:rPr>
          <w:spacing w:val="-1"/>
        </w:rPr>
        <w:t>日与广州</w:t>
      </w:r>
      <w:r>
        <w:rPr/>
        <w:t> </w:t>
      </w:r>
      <w:r>
        <w:rPr>
          <w:spacing w:val="-3"/>
        </w:rPr>
        <w:t>无线电集团有限公司签订《广州市房屋租赁合同》，租用广州无线电集团有限公司拥有的坐</w:t>
      </w:r>
      <w:r>
        <w:rPr>
          <w:spacing w:val="-84"/>
        </w:rPr>
        <w:t> </w:t>
      </w:r>
      <w:r>
        <w:rPr>
          <w:spacing w:val="-84"/>
        </w:rPr>
      </w:r>
      <w:r>
        <w:rPr/>
        <w:t>落在广州市天河区平云路</w:t>
      </w:r>
      <w:r>
        <w:rPr>
          <w:spacing w:val="-40"/>
        </w:rPr>
        <w:t> </w:t>
      </w:r>
      <w:r>
        <w:rPr/>
        <w:t>163</w:t>
      </w:r>
      <w:r>
        <w:rPr>
          <w:spacing w:val="-40"/>
        </w:rPr>
        <w:t> </w:t>
      </w:r>
      <w:r>
        <w:rPr/>
        <w:t>号的房屋、场地,租赁期限从</w:t>
      </w:r>
      <w:r>
        <w:rPr>
          <w:spacing w:val="-40"/>
        </w:rPr>
        <w:t> </w:t>
      </w:r>
      <w:r>
        <w:rPr/>
        <w:t>2007</w:t>
      </w:r>
      <w:r>
        <w:rPr>
          <w:spacing w:val="-40"/>
        </w:rPr>
        <w:t> </w:t>
      </w:r>
      <w:r>
        <w:rPr/>
        <w:t>年</w:t>
      </w:r>
      <w:r>
        <w:rPr>
          <w:spacing w:val="-41"/>
        </w:rPr>
        <w:t> </w:t>
      </w:r>
      <w:r>
        <w:rPr/>
        <w:t>1</w:t>
      </w:r>
      <w:r>
        <w:rPr>
          <w:spacing w:val="-41"/>
        </w:rPr>
        <w:t> </w:t>
      </w:r>
      <w:r>
        <w:rPr/>
        <w:t>月</w:t>
      </w:r>
      <w:r>
        <w:rPr>
          <w:spacing w:val="-41"/>
        </w:rPr>
        <w:t> </w:t>
      </w:r>
      <w:r>
        <w:rPr/>
        <w:t>1</w:t>
      </w:r>
      <w:r>
        <w:rPr>
          <w:spacing w:val="-40"/>
        </w:rPr>
        <w:t> </w:t>
      </w:r>
      <w:r>
        <w:rPr/>
        <w:t>日至</w:t>
      </w:r>
      <w:r>
        <w:rPr>
          <w:spacing w:val="-41"/>
        </w:rPr>
        <w:t> </w:t>
      </w:r>
      <w:r>
        <w:rPr/>
        <w:t>2008</w:t>
      </w:r>
      <w:r>
        <w:rPr>
          <w:spacing w:val="-41"/>
        </w:rPr>
        <w:t> </w:t>
      </w:r>
      <w:r>
        <w:rPr/>
        <w:t>年</w:t>
      </w:r>
      <w:r>
        <w:rPr>
          <w:spacing w:val="-40"/>
        </w:rPr>
        <w:t> </w:t>
      </w:r>
      <w:r>
        <w:rPr/>
        <w:t>12</w:t>
      </w:r>
    </w:p>
    <w:p>
      <w:pPr>
        <w:pStyle w:val="BodyText"/>
        <w:spacing w:line="350" w:lineRule="auto" w:before="28"/>
        <w:ind w:right="206"/>
        <w:jc w:val="left"/>
      </w:pPr>
      <w:r>
        <w:rPr/>
        <w:t>月</w:t>
      </w:r>
      <w:r>
        <w:rPr>
          <w:spacing w:val="-52"/>
        </w:rPr>
        <w:t> </w:t>
      </w:r>
      <w:r>
        <w:rPr/>
        <w:t>31</w:t>
      </w:r>
      <w:r>
        <w:rPr>
          <w:spacing w:val="-52"/>
        </w:rPr>
        <w:t> </w:t>
      </w:r>
      <w:r>
        <w:rPr/>
        <w:t>日。其中租用通讯大楼六楼东部，房地产建筑面积</w:t>
      </w:r>
      <w:r>
        <w:rPr>
          <w:spacing w:val="-52"/>
        </w:rPr>
        <w:t> </w:t>
      </w:r>
      <w:r>
        <w:rPr/>
        <w:t>1099.92</w:t>
      </w:r>
      <w:r>
        <w:rPr>
          <w:spacing w:val="-52"/>
        </w:rPr>
        <w:t> </w:t>
      </w:r>
      <w:r>
        <w:rPr/>
        <w:t>平方米，按单价</w:t>
      </w:r>
      <w:r>
        <w:rPr>
          <w:spacing w:val="-52"/>
        </w:rPr>
        <w:t> </w:t>
      </w:r>
      <w:r>
        <w:rPr/>
        <w:t>15</w:t>
      </w:r>
      <w:r>
        <w:rPr>
          <w:spacing w:val="-52"/>
        </w:rPr>
        <w:t> </w:t>
      </w:r>
      <w:r>
        <w:rPr/>
        <w:t>元/平</w:t>
      </w:r>
      <w:r>
        <w:rPr/>
        <w:t> 方米/月计算月租金。</w:t>
      </w:r>
    </w:p>
    <w:p>
      <w:pPr>
        <w:pStyle w:val="BodyText"/>
        <w:spacing w:line="240" w:lineRule="auto" w:before="28"/>
        <w:ind w:left="560" w:right="102"/>
        <w:jc w:val="left"/>
      </w:pPr>
      <w:r>
        <w:rPr/>
        <w:t>2007</w:t>
      </w:r>
      <w:r>
        <w:rPr>
          <w:spacing w:val="-63"/>
        </w:rPr>
        <w:t> </w:t>
      </w:r>
      <w:r>
        <w:rPr/>
        <w:t>年</w:t>
      </w:r>
      <w:r>
        <w:rPr>
          <w:spacing w:val="-63"/>
        </w:rPr>
        <w:t> </w:t>
      </w:r>
      <w:r>
        <w:rPr/>
        <w:t>5</w:t>
      </w:r>
      <w:r>
        <w:rPr>
          <w:spacing w:val="-62"/>
        </w:rPr>
        <w:t> </w:t>
      </w:r>
      <w:r>
        <w:rPr/>
        <w:t>月起，增加租用通讯大楼六楼西面，房地产建筑面积</w:t>
      </w:r>
      <w:r>
        <w:rPr>
          <w:spacing w:val="-63"/>
        </w:rPr>
        <w:t> </w:t>
      </w:r>
      <w:r>
        <w:rPr/>
        <w:t>511.65</w:t>
      </w:r>
      <w:r>
        <w:rPr>
          <w:spacing w:val="-63"/>
        </w:rPr>
        <w:t> </w:t>
      </w:r>
      <w:r>
        <w:rPr/>
        <w:t>平方米，按单价</w:t>
      </w:r>
    </w:p>
    <w:p>
      <w:pPr>
        <w:pStyle w:val="BodyText"/>
        <w:spacing w:line="240" w:lineRule="auto" w:before="125"/>
        <w:ind w:right="102"/>
        <w:jc w:val="left"/>
      </w:pPr>
      <w:r>
        <w:rPr/>
        <w:t>15</w:t>
      </w:r>
      <w:r>
        <w:rPr>
          <w:spacing w:val="-58"/>
        </w:rPr>
        <w:t> </w:t>
      </w:r>
      <w:r>
        <w:rPr/>
        <w:t>元/平方米/月计算月租金。</w:t>
      </w:r>
    </w:p>
    <w:p>
      <w:pPr>
        <w:pStyle w:val="BodyText"/>
        <w:spacing w:line="240" w:lineRule="auto" w:before="126"/>
        <w:ind w:left="560" w:right="102"/>
        <w:jc w:val="left"/>
      </w:pPr>
      <w:r>
        <w:rPr/>
        <w:t>2007</w:t>
      </w:r>
      <w:r>
        <w:rPr>
          <w:spacing w:val="-41"/>
        </w:rPr>
        <w:t> </w:t>
      </w:r>
      <w:r>
        <w:rPr/>
        <w:t>年</w:t>
      </w:r>
      <w:r>
        <w:rPr>
          <w:spacing w:val="-42"/>
        </w:rPr>
        <w:t> </w:t>
      </w:r>
      <w:r>
        <w:rPr/>
        <w:t>6</w:t>
      </w:r>
      <w:r>
        <w:rPr>
          <w:spacing w:val="-41"/>
        </w:rPr>
        <w:t> </w:t>
      </w:r>
      <w:r>
        <w:rPr/>
        <w:t>月起，增加租用通讯大楼六楼西面，房地产建筑面积</w:t>
      </w:r>
      <w:r>
        <w:rPr>
          <w:spacing w:val="-42"/>
        </w:rPr>
        <w:t> </w:t>
      </w:r>
      <w:r>
        <w:rPr/>
        <w:t>63.00</w:t>
      </w:r>
      <w:r>
        <w:rPr>
          <w:spacing w:val="-42"/>
        </w:rPr>
        <w:t> </w:t>
      </w:r>
      <w:r>
        <w:rPr/>
        <w:t>平方米，按单价</w:t>
      </w:r>
    </w:p>
    <w:p>
      <w:pPr>
        <w:pStyle w:val="BodyText"/>
        <w:spacing w:line="240" w:lineRule="auto" w:before="125"/>
        <w:ind w:right="102"/>
        <w:jc w:val="left"/>
      </w:pPr>
      <w:r>
        <w:rPr/>
        <w:t>15</w:t>
      </w:r>
      <w:r>
        <w:rPr>
          <w:spacing w:val="-58"/>
        </w:rPr>
        <w:t> </w:t>
      </w:r>
      <w:r>
        <w:rPr/>
        <w:t>元/平方米/月计算月租金。</w:t>
      </w:r>
    </w:p>
    <w:p>
      <w:pPr>
        <w:pStyle w:val="BodyText"/>
        <w:spacing w:line="350" w:lineRule="auto" w:before="125"/>
        <w:ind w:right="216" w:firstLine="420"/>
        <w:jc w:val="both"/>
      </w:pPr>
      <w:r>
        <w:rPr/>
        <w:t>6、本公司的全资子公司深圳广电银通金融电子科技有限公司于</w:t>
      </w:r>
      <w:r>
        <w:rPr>
          <w:spacing w:val="-52"/>
        </w:rPr>
        <w:t> </w:t>
      </w:r>
      <w:r>
        <w:rPr/>
        <w:t>2008</w:t>
      </w:r>
      <w:r>
        <w:rPr>
          <w:spacing w:val="-52"/>
        </w:rPr>
        <w:t> </w:t>
      </w:r>
      <w:r>
        <w:rPr/>
        <w:t>年</w:t>
      </w:r>
      <w:r>
        <w:rPr>
          <w:spacing w:val="-54"/>
        </w:rPr>
        <w:t> </w:t>
      </w:r>
      <w:r>
        <w:rPr/>
        <w:t>7</w:t>
      </w:r>
      <w:r>
        <w:rPr>
          <w:spacing w:val="-52"/>
        </w:rPr>
        <w:t> </w:t>
      </w:r>
      <w:r>
        <w:rPr/>
        <w:t>月</w:t>
      </w:r>
      <w:r>
        <w:rPr>
          <w:spacing w:val="-52"/>
        </w:rPr>
        <w:t> </w:t>
      </w:r>
      <w:r>
        <w:rPr/>
        <w:t>31</w:t>
      </w:r>
      <w:r>
        <w:rPr>
          <w:spacing w:val="-52"/>
        </w:rPr>
        <w:t> </w:t>
      </w:r>
      <w:r>
        <w:rPr/>
        <w:t>日与广</w:t>
      </w:r>
      <w:r>
        <w:rPr/>
        <w:t> 州无线电集团有限公司签订编号为</w:t>
      </w:r>
      <w:r>
        <w:rPr>
          <w:spacing w:val="-44"/>
        </w:rPr>
        <w:t> </w:t>
      </w:r>
      <w:r>
        <w:rPr/>
        <w:t>ZL2008015</w:t>
      </w:r>
      <w:r>
        <w:rPr>
          <w:spacing w:val="-43"/>
        </w:rPr>
        <w:t> </w:t>
      </w:r>
      <w:r>
        <w:rPr>
          <w:spacing w:val="-6"/>
        </w:rPr>
        <w:t>的《房屋租赁合同》，租用广州无线电集团有</w:t>
      </w:r>
      <w:r>
        <w:rPr/>
        <w:t> 限公司拥有的坐落在广州市天河区平云路</w:t>
      </w:r>
      <w:r>
        <w:rPr>
          <w:spacing w:val="-30"/>
        </w:rPr>
        <w:t> </w:t>
      </w:r>
      <w:r>
        <w:rPr/>
        <w:t>163</w:t>
      </w:r>
      <w:r>
        <w:rPr>
          <w:spacing w:val="-30"/>
        </w:rPr>
        <w:t> </w:t>
      </w:r>
      <w:r>
        <w:rPr/>
        <w:t>号的房屋、场地,租赁期限从</w:t>
      </w:r>
      <w:r>
        <w:rPr>
          <w:spacing w:val="-30"/>
        </w:rPr>
        <w:t> </w:t>
      </w:r>
      <w:r>
        <w:rPr/>
        <w:t>2008</w:t>
      </w:r>
      <w:r>
        <w:rPr>
          <w:spacing w:val="-30"/>
        </w:rPr>
        <w:t> </w:t>
      </w:r>
      <w:r>
        <w:rPr/>
        <w:t>年</w:t>
      </w:r>
      <w:r>
        <w:rPr>
          <w:spacing w:val="-30"/>
        </w:rPr>
        <w:t> </w:t>
      </w:r>
      <w:r>
        <w:rPr/>
        <w:t>8</w:t>
      </w:r>
      <w:r>
        <w:rPr>
          <w:spacing w:val="-29"/>
        </w:rPr>
        <w:t> </w:t>
      </w:r>
      <w:r>
        <w:rPr/>
        <w:t>月</w:t>
      </w:r>
      <w:r>
        <w:rPr>
          <w:spacing w:val="-31"/>
        </w:rPr>
        <w:t> </w:t>
      </w:r>
      <w:r>
        <w:rPr/>
        <w:t>1</w:t>
      </w:r>
    </w:p>
    <w:p>
      <w:pPr>
        <w:pStyle w:val="BodyText"/>
        <w:spacing w:line="240" w:lineRule="auto" w:before="28"/>
        <w:ind w:right="102"/>
        <w:jc w:val="left"/>
      </w:pPr>
      <w:r>
        <w:rPr/>
        <w:t>日至</w:t>
      </w:r>
      <w:r>
        <w:rPr>
          <w:spacing w:val="-54"/>
        </w:rPr>
        <w:t> </w:t>
      </w:r>
      <w:r>
        <w:rPr/>
        <w:t>2009</w:t>
      </w:r>
      <w:r>
        <w:rPr>
          <w:spacing w:val="-53"/>
        </w:rPr>
        <w:t> </w:t>
      </w:r>
      <w:r>
        <w:rPr/>
        <w:t>年</w:t>
      </w:r>
      <w:r>
        <w:rPr>
          <w:spacing w:val="-55"/>
        </w:rPr>
        <w:t> </w:t>
      </w:r>
      <w:r>
        <w:rPr/>
        <w:t>7</w:t>
      </w:r>
      <w:r>
        <w:rPr>
          <w:spacing w:val="-53"/>
        </w:rPr>
        <w:t> </w:t>
      </w:r>
      <w:r>
        <w:rPr/>
        <w:t>月</w:t>
      </w:r>
      <w:r>
        <w:rPr>
          <w:spacing w:val="-55"/>
        </w:rPr>
        <w:t> </w:t>
      </w:r>
      <w:r>
        <w:rPr/>
        <w:t>31</w:t>
      </w:r>
      <w:r>
        <w:rPr>
          <w:spacing w:val="-53"/>
        </w:rPr>
        <w:t> </w:t>
      </w:r>
      <w:r>
        <w:rPr>
          <w:spacing w:val="-4"/>
        </w:rPr>
        <w:t>日。其中租用通讯大楼六楼东部，房地产建筑面积</w:t>
      </w:r>
      <w:r>
        <w:rPr>
          <w:spacing w:val="-54"/>
        </w:rPr>
        <w:t> </w:t>
      </w:r>
      <w:r>
        <w:rPr/>
        <w:t>1674.57</w:t>
      </w:r>
      <w:r>
        <w:rPr>
          <w:spacing w:val="-53"/>
        </w:rPr>
        <w:t> </w:t>
      </w:r>
      <w:r>
        <w:rPr>
          <w:spacing w:val="-8"/>
        </w:rPr>
        <w:t>平方米；租</w:t>
      </w:r>
    </w:p>
    <w:p>
      <w:pPr>
        <w:pStyle w:val="BodyText"/>
        <w:spacing w:line="348" w:lineRule="auto" w:before="126"/>
        <w:ind w:right="203"/>
        <w:jc w:val="left"/>
      </w:pPr>
      <w:r>
        <w:rPr/>
        <w:t>用通讯大楼六楼西部，房地产建筑面积</w:t>
      </w:r>
      <w:r>
        <w:rPr>
          <w:spacing w:val="-51"/>
        </w:rPr>
        <w:t> </w:t>
      </w:r>
      <w:r>
        <w:rPr/>
        <w:t>1048.39</w:t>
      </w:r>
      <w:r>
        <w:rPr>
          <w:spacing w:val="-51"/>
        </w:rPr>
        <w:t> </w:t>
      </w:r>
      <w:r>
        <w:rPr/>
        <w:t>平方米，按单价</w:t>
      </w:r>
      <w:r>
        <w:rPr>
          <w:spacing w:val="-51"/>
        </w:rPr>
        <w:t> </w:t>
      </w:r>
      <w:r>
        <w:rPr/>
        <w:t>15</w:t>
      </w:r>
      <w:r>
        <w:rPr>
          <w:spacing w:val="-51"/>
        </w:rPr>
        <w:t> </w:t>
      </w:r>
      <w:r>
        <w:rPr/>
        <w:t>元/平方米/月计算月租</w:t>
      </w:r>
      <w:r>
        <w:rPr/>
        <w:t> 金。</w:t>
      </w:r>
    </w:p>
    <w:p>
      <w:pPr>
        <w:pStyle w:val="BodyText"/>
        <w:spacing w:line="240" w:lineRule="auto" w:before="30"/>
        <w:ind w:left="560" w:right="102"/>
        <w:jc w:val="left"/>
      </w:pPr>
      <w:r>
        <w:rPr/>
        <w:t>2007</w:t>
      </w:r>
      <w:r>
        <w:rPr>
          <w:spacing w:val="-54"/>
        </w:rPr>
        <w:t> </w:t>
      </w:r>
      <w:r>
        <w:rPr/>
        <w:t>年度、2008</w:t>
      </w:r>
      <w:r>
        <w:rPr>
          <w:spacing w:val="-54"/>
        </w:rPr>
        <w:t> </w:t>
      </w:r>
      <w:r>
        <w:rPr/>
        <w:t>年度的租金情况列示如下：</w:t>
      </w:r>
    </w:p>
    <w:p>
      <w:pPr>
        <w:spacing w:line="240" w:lineRule="auto" w:before="4"/>
        <w:rPr>
          <w:rFonts w:ascii="宋体" w:hAnsi="宋体" w:cs="宋体" w:eastAsia="宋体" w:hint="default"/>
          <w:sz w:val="14"/>
          <w:szCs w:val="14"/>
        </w:rPr>
      </w:pPr>
    </w:p>
    <w:tbl>
      <w:tblPr>
        <w:tblW w:w="0" w:type="auto"/>
        <w:jc w:val="left"/>
        <w:tblInd w:w="1048" w:type="dxa"/>
        <w:tblLayout w:type="fixed"/>
        <w:tblCellMar>
          <w:top w:w="0" w:type="dxa"/>
          <w:left w:w="0" w:type="dxa"/>
          <w:bottom w:w="0" w:type="dxa"/>
          <w:right w:w="0" w:type="dxa"/>
        </w:tblCellMar>
        <w:tblLook w:val="01E0"/>
      </w:tblPr>
      <w:tblGrid>
        <w:gridCol w:w="2624"/>
        <w:gridCol w:w="796"/>
        <w:gridCol w:w="1620"/>
        <w:gridCol w:w="1440"/>
      </w:tblGrid>
      <w:tr>
        <w:trPr>
          <w:trHeight w:val="400" w:hRule="exact"/>
        </w:trPr>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b/>
                <w:bCs/>
                <w:sz w:val="21"/>
                <w:szCs w:val="21"/>
              </w:rPr>
              <w:t>租赁方</w:t>
            </w:r>
            <w:r>
              <w:rPr>
                <w:rFonts w:ascii="宋体" w:hAnsi="宋体" w:cs="宋体" w:eastAsia="宋体" w:hint="default"/>
                <w:sz w:val="21"/>
                <w:szCs w:val="21"/>
              </w:rPr>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1" w:right="0"/>
              <w:jc w:val="left"/>
              <w:rPr>
                <w:rFonts w:ascii="宋体" w:hAnsi="宋体" w:cs="宋体" w:eastAsia="宋体" w:hint="default"/>
                <w:sz w:val="21"/>
                <w:szCs w:val="21"/>
              </w:rPr>
            </w:pPr>
            <w:r>
              <w:rPr>
                <w:rFonts w:ascii="宋体" w:hAnsi="宋体" w:cs="宋体" w:eastAsia="宋体" w:hint="default"/>
                <w:b/>
                <w:bCs/>
                <w:sz w:val="21"/>
                <w:szCs w:val="21"/>
              </w:rPr>
              <w:t>性质</w:t>
            </w:r>
            <w:r>
              <w:rPr>
                <w:rFonts w:ascii="宋体" w:hAnsi="宋体" w:cs="宋体" w:eastAsia="宋体"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323" w:hRule="exact"/>
        </w:trPr>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广州无线电集团有限公司</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82" w:right="0"/>
              <w:jc w:val="left"/>
              <w:rPr>
                <w:rFonts w:ascii="宋体" w:hAnsi="宋体" w:cs="宋体" w:eastAsia="宋体" w:hint="default"/>
                <w:sz w:val="21"/>
                <w:szCs w:val="21"/>
              </w:rPr>
            </w:pPr>
            <w:r>
              <w:rPr>
                <w:rFonts w:ascii="宋体" w:hAnsi="宋体" w:cs="宋体" w:eastAsia="宋体" w:hint="default"/>
                <w:sz w:val="21"/>
                <w:szCs w:val="21"/>
              </w:rPr>
              <w:t>租金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5,263,623.04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2,949,910.04</w:t>
            </w:r>
          </w:p>
        </w:tc>
      </w:tr>
    </w:tbl>
    <w:p>
      <w:pPr>
        <w:pStyle w:val="BodyText"/>
        <w:spacing w:line="240" w:lineRule="auto" w:before="93"/>
        <w:ind w:left="560" w:right="102"/>
        <w:jc w:val="left"/>
      </w:pPr>
      <w:r>
        <w:rPr/>
        <w:t>B、物业管理</w:t>
      </w:r>
    </w:p>
    <w:p>
      <w:pPr>
        <w:pStyle w:val="BodyText"/>
        <w:spacing w:line="240" w:lineRule="auto" w:before="125"/>
        <w:ind w:left="560" w:right="0"/>
        <w:jc w:val="left"/>
      </w:pPr>
      <w:r>
        <w:rPr>
          <w:spacing w:val="-1"/>
        </w:rPr>
        <w:t>本公司</w:t>
      </w:r>
      <w:r>
        <w:rPr/>
        <w:t>于</w:t>
      </w:r>
      <w:r>
        <w:rPr>
          <w:spacing w:val="-53"/>
        </w:rPr>
        <w:t> </w:t>
      </w:r>
      <w:r>
        <w:rPr>
          <w:spacing w:val="-1"/>
        </w:rPr>
        <w:t>200</w:t>
      </w:r>
      <w:r>
        <w:rPr/>
        <w:t>6</w:t>
      </w:r>
      <w:r>
        <w:rPr>
          <w:spacing w:val="-52"/>
        </w:rPr>
        <w:t> </w:t>
      </w:r>
      <w:r>
        <w:rPr/>
        <w:t>年</w:t>
      </w:r>
      <w:r>
        <w:rPr>
          <w:spacing w:val="-54"/>
        </w:rPr>
        <w:t> </w:t>
      </w:r>
      <w:r>
        <w:rPr/>
        <w:t>3</w:t>
      </w:r>
      <w:r>
        <w:rPr>
          <w:spacing w:val="-52"/>
        </w:rPr>
        <w:t> </w:t>
      </w:r>
      <w:r>
        <w:rPr/>
        <w:t>月</w:t>
      </w:r>
      <w:r>
        <w:rPr>
          <w:spacing w:val="-54"/>
        </w:rPr>
        <w:t> </w:t>
      </w:r>
      <w:r>
        <w:rPr/>
        <w:t>15</w:t>
      </w:r>
      <w:r>
        <w:rPr>
          <w:spacing w:val="-53"/>
        </w:rPr>
        <w:t> </w:t>
      </w:r>
      <w:r>
        <w:rPr>
          <w:spacing w:val="-1"/>
        </w:rPr>
        <w:t>日与广州广电物业管理有限公司签订</w:t>
      </w:r>
      <w:r>
        <w:rPr>
          <w:spacing w:val="-94"/>
        </w:rPr>
        <w:t>的</w:t>
      </w:r>
      <w:r>
        <w:rPr/>
        <w:t>《物业委托管理合同</w:t>
      </w:r>
      <w:r>
        <w:rPr>
          <w:spacing w:val="-106"/>
        </w:rPr>
        <w:t>》</w:t>
      </w:r>
      <w:r>
        <w:rPr/>
        <w:t>：</w:t>
      </w:r>
    </w:p>
    <w:p>
      <w:pPr>
        <w:pStyle w:val="BodyText"/>
        <w:spacing w:line="240" w:lineRule="auto" w:before="125"/>
        <w:ind w:right="102"/>
        <w:jc w:val="left"/>
      </w:pPr>
      <w:r>
        <w:rPr/>
        <w:t>公司同意将坐落在天河区平云路</w:t>
      </w:r>
      <w:r>
        <w:rPr>
          <w:spacing w:val="-53"/>
        </w:rPr>
        <w:t> </w:t>
      </w:r>
      <w:r>
        <w:rPr/>
        <w:t>163</w:t>
      </w:r>
      <w:r>
        <w:rPr>
          <w:spacing w:val="-52"/>
        </w:rPr>
        <w:t> </w:t>
      </w:r>
      <w:r>
        <w:rPr/>
        <w:t>号与广州</w:t>
      </w:r>
      <w:r>
        <w:rPr>
          <w:spacing w:val="-2"/>
        </w:rPr>
        <w:t>无</w:t>
      </w:r>
      <w:r>
        <w:rPr/>
        <w:t>线电集团有限公司签订租赁合同的房屋</w:t>
      </w:r>
      <w:r>
        <w:rPr>
          <w:spacing w:val="-94"/>
        </w:rPr>
        <w:t>、</w:t>
      </w:r>
      <w:r>
        <w:rPr/>
        <w:t>场</w:t>
      </w:r>
    </w:p>
    <w:p>
      <w:pPr>
        <w:spacing w:after="0" w:line="240" w:lineRule="auto"/>
        <w:jc w:val="left"/>
        <w:sectPr>
          <w:pgSz w:w="11910" w:h="16840"/>
          <w:pgMar w:header="400" w:footer="982" w:top="1100" w:bottom="1180" w:left="1660" w:right="1580"/>
        </w:sectPr>
      </w:pPr>
    </w:p>
    <w:p>
      <w:pPr>
        <w:spacing w:line="240" w:lineRule="auto" w:before="12"/>
        <w:rPr>
          <w:rFonts w:ascii="宋体" w:hAnsi="宋体" w:cs="宋体" w:eastAsia="宋体" w:hint="default"/>
          <w:sz w:val="28"/>
          <w:szCs w:val="28"/>
        </w:rPr>
      </w:pPr>
    </w:p>
    <w:p>
      <w:pPr>
        <w:pStyle w:val="BodyText"/>
        <w:spacing w:line="240" w:lineRule="auto" w:before="35"/>
        <w:ind w:right="102"/>
        <w:jc w:val="left"/>
      </w:pPr>
      <w:r>
        <w:rPr/>
        <w:t>地等物业以</w:t>
      </w:r>
      <w:r>
        <w:rPr>
          <w:spacing w:val="-51"/>
        </w:rPr>
        <w:t> </w:t>
      </w:r>
      <w:r>
        <w:rPr/>
        <w:t>2.5</w:t>
      </w:r>
      <w:r>
        <w:rPr>
          <w:spacing w:val="-50"/>
        </w:rPr>
        <w:t> </w:t>
      </w:r>
      <w:r>
        <w:rPr/>
        <w:t>元/月/平方米的价格委托给广州广电物业管理有限公司进行管理,并按电梯</w:t>
      </w:r>
    </w:p>
    <w:p>
      <w:pPr>
        <w:pStyle w:val="BodyText"/>
        <w:spacing w:line="240" w:lineRule="auto" w:before="125"/>
        <w:ind w:right="102"/>
        <w:jc w:val="left"/>
      </w:pPr>
      <w:r>
        <w:rPr/>
        <w:t>所在楼层面积计算分摊电梯费（根据合同本企业每月应分摊电梯费为</w:t>
      </w:r>
      <w:r>
        <w:rPr>
          <w:spacing w:val="-50"/>
        </w:rPr>
        <w:t> </w:t>
      </w:r>
      <w:r>
        <w:rPr>
          <w:rFonts w:ascii="Times New Roman" w:hAnsi="Times New Roman" w:cs="Times New Roman" w:eastAsia="Times New Roman" w:hint="default"/>
        </w:rPr>
        <w:t>8,466.26</w:t>
      </w:r>
      <w:r>
        <w:rPr>
          <w:rFonts w:ascii="Times New Roman" w:hAnsi="Times New Roman" w:cs="Times New Roman" w:eastAsia="Times New Roman" w:hint="default"/>
          <w:spacing w:val="3"/>
        </w:rPr>
        <w:t> </w:t>
      </w:r>
      <w:r>
        <w:rPr/>
        <w:t>元,加班分摊</w:t>
      </w:r>
    </w:p>
    <w:p>
      <w:pPr>
        <w:pStyle w:val="BodyText"/>
        <w:spacing w:line="240" w:lineRule="auto" w:before="110"/>
        <w:ind w:right="102"/>
        <w:jc w:val="left"/>
      </w:pPr>
      <w:r>
        <w:rPr/>
        <w:t>电梯费另算</w:t>
      </w:r>
      <w:r>
        <w:rPr>
          <w:spacing w:val="-106"/>
        </w:rPr>
        <w:t>）</w:t>
      </w:r>
      <w:r>
        <w:rPr>
          <w:spacing w:val="-1"/>
        </w:rPr>
        <w:t>，管理期限</w:t>
      </w:r>
      <w:r>
        <w:rPr/>
        <w:t>从</w:t>
      </w:r>
      <w:r>
        <w:rPr>
          <w:spacing w:val="-53"/>
        </w:rPr>
        <w:t> </w:t>
      </w:r>
      <w:r>
        <w:rPr>
          <w:spacing w:val="-1"/>
        </w:rPr>
        <w:t>200</w:t>
      </w:r>
      <w:r>
        <w:rPr/>
        <w:t>6</w:t>
      </w:r>
      <w:r>
        <w:rPr>
          <w:spacing w:val="-52"/>
        </w:rPr>
        <w:t> </w:t>
      </w:r>
      <w:r>
        <w:rPr/>
        <w:t>年</w:t>
      </w:r>
      <w:r>
        <w:rPr>
          <w:spacing w:val="-54"/>
        </w:rPr>
        <w:t> </w:t>
      </w:r>
      <w:r>
        <w:rPr/>
        <w:t>1</w:t>
      </w:r>
      <w:r>
        <w:rPr>
          <w:spacing w:val="-53"/>
        </w:rPr>
        <w:t> </w:t>
      </w:r>
      <w:r>
        <w:rPr/>
        <w:t>月</w:t>
      </w:r>
      <w:r>
        <w:rPr>
          <w:spacing w:val="-53"/>
        </w:rPr>
        <w:t> </w:t>
      </w:r>
      <w:r>
        <w:rPr/>
        <w:t>1</w:t>
      </w:r>
      <w:r>
        <w:rPr>
          <w:spacing w:val="-52"/>
        </w:rPr>
        <w:t> </w:t>
      </w:r>
      <w:r>
        <w:rPr>
          <w:spacing w:val="-1"/>
        </w:rPr>
        <w:t>日</w:t>
      </w:r>
      <w:r>
        <w:rPr/>
        <w:t>至</w:t>
      </w:r>
      <w:r>
        <w:rPr>
          <w:spacing w:val="-54"/>
        </w:rPr>
        <w:t> </w:t>
      </w:r>
      <w:r>
        <w:rPr>
          <w:spacing w:val="-1"/>
        </w:rPr>
        <w:t>200</w:t>
      </w:r>
      <w:r>
        <w:rPr/>
        <w:t>8</w:t>
      </w:r>
      <w:r>
        <w:rPr>
          <w:spacing w:val="-52"/>
        </w:rPr>
        <w:t> </w:t>
      </w:r>
      <w:r>
        <w:rPr/>
        <w:t>年</w:t>
      </w:r>
      <w:r>
        <w:rPr>
          <w:spacing w:val="-54"/>
        </w:rPr>
        <w:t> </w:t>
      </w:r>
      <w:r>
        <w:rPr/>
        <w:t>12</w:t>
      </w:r>
      <w:r>
        <w:rPr>
          <w:spacing w:val="-53"/>
        </w:rPr>
        <w:t> </w:t>
      </w:r>
      <w:r>
        <w:rPr/>
        <w:t>月</w:t>
      </w:r>
      <w:r>
        <w:rPr>
          <w:spacing w:val="-53"/>
        </w:rPr>
        <w:t> </w:t>
      </w:r>
      <w:r>
        <w:rPr>
          <w:spacing w:val="-1"/>
        </w:rPr>
        <w:t>3</w:t>
      </w:r>
      <w:r>
        <w:rPr/>
        <w:t>1</w:t>
      </w:r>
      <w:r>
        <w:rPr>
          <w:spacing w:val="-53"/>
        </w:rPr>
        <w:t> </w:t>
      </w:r>
      <w:r>
        <w:rPr>
          <w:spacing w:val="-1"/>
        </w:rPr>
        <w:t>日。</w:t>
      </w:r>
      <w:r>
        <w:rPr/>
      </w:r>
    </w:p>
    <w:p>
      <w:pPr>
        <w:pStyle w:val="BodyText"/>
        <w:spacing w:line="348" w:lineRule="auto" w:before="125"/>
        <w:ind w:right="102" w:firstLine="420"/>
        <w:jc w:val="left"/>
      </w:pPr>
      <w:r>
        <w:rPr/>
        <w:t>2007</w:t>
      </w:r>
      <w:r>
        <w:rPr>
          <w:spacing w:val="-49"/>
        </w:rPr>
        <w:t> </w:t>
      </w:r>
      <w:r>
        <w:rPr>
          <w:spacing w:val="-3"/>
        </w:rPr>
        <w:t>年，与广州鑫广电物业服务有限公司签订补充协议，由</w:t>
      </w:r>
      <w:r>
        <w:rPr>
          <w:spacing w:val="-50"/>
        </w:rPr>
        <w:t> </w:t>
      </w:r>
      <w:r>
        <w:rPr/>
        <w:t>2007</w:t>
      </w:r>
      <w:r>
        <w:rPr>
          <w:spacing w:val="-49"/>
        </w:rPr>
        <w:t> </w:t>
      </w:r>
      <w:r>
        <w:rPr/>
        <w:t>年</w:t>
      </w:r>
      <w:r>
        <w:rPr>
          <w:spacing w:val="-51"/>
        </w:rPr>
        <w:t> </w:t>
      </w:r>
      <w:r>
        <w:rPr/>
        <w:t>2</w:t>
      </w:r>
      <w:r>
        <w:rPr>
          <w:spacing w:val="-50"/>
        </w:rPr>
        <w:t> </w:t>
      </w:r>
      <w:r>
        <w:rPr>
          <w:spacing w:val="-3"/>
        </w:rPr>
        <w:t>月起，上述物业</w:t>
      </w:r>
      <w:r>
        <w:rPr/>
        <w:t> 管理合同由广州鑫广电物业服务有限公司执行，其他条款不变。</w:t>
      </w:r>
    </w:p>
    <w:p>
      <w:pPr>
        <w:pStyle w:val="BodyText"/>
        <w:spacing w:line="343" w:lineRule="auto" w:before="31"/>
        <w:ind w:right="104" w:firstLine="420"/>
        <w:jc w:val="left"/>
      </w:pPr>
      <w:r>
        <w:rPr/>
        <w:t>2008</w:t>
      </w:r>
      <w:r>
        <w:rPr>
          <w:spacing w:val="-60"/>
        </w:rPr>
        <w:t> </w:t>
      </w:r>
      <w:r>
        <w:rPr/>
        <w:t>年</w:t>
      </w:r>
      <w:r>
        <w:rPr>
          <w:spacing w:val="-60"/>
        </w:rPr>
        <w:t> </w:t>
      </w:r>
      <w:r>
        <w:rPr/>
        <w:t>8</w:t>
      </w:r>
      <w:r>
        <w:rPr>
          <w:spacing w:val="-60"/>
        </w:rPr>
        <w:t> </w:t>
      </w:r>
      <w:r>
        <w:rPr/>
        <w:t>月</w:t>
      </w:r>
      <w:r>
        <w:rPr>
          <w:spacing w:val="-61"/>
        </w:rPr>
        <w:t> </w:t>
      </w:r>
      <w:r>
        <w:rPr/>
        <w:t>29</w:t>
      </w:r>
      <w:r>
        <w:rPr>
          <w:spacing w:val="-59"/>
        </w:rPr>
        <w:t> </w:t>
      </w:r>
      <w:r>
        <w:rPr/>
        <w:t>日，本公司与广州广电物业管理有限公司签订《广州广电运通科学城产</w:t>
      </w:r>
      <w:r>
        <w:rPr/>
        <w:t> 业园》物业管理合同，将广电运通科学城产业园委托广州广电物业管理有限公司进行管理， 每月费用为</w:t>
      </w:r>
      <w:r>
        <w:rPr>
          <w:spacing w:val="-42"/>
        </w:rPr>
        <w:t> </w:t>
      </w:r>
      <w:r>
        <w:rPr>
          <w:rFonts w:ascii="Times New Roman" w:hAnsi="Times New Roman" w:cs="Times New Roman" w:eastAsia="Times New Roman" w:hint="default"/>
          <w:spacing w:val="-1"/>
        </w:rPr>
        <w:t>84,937.00</w:t>
      </w:r>
      <w:r>
        <w:rPr>
          <w:rFonts w:ascii="Times New Roman" w:hAnsi="Times New Roman" w:cs="Times New Roman" w:eastAsia="Times New Roman" w:hint="default"/>
          <w:spacing w:val="11"/>
        </w:rPr>
        <w:t> </w:t>
      </w:r>
      <w:r>
        <w:rPr>
          <w:spacing w:val="-1"/>
        </w:rPr>
        <w:t>元（服务人数为</w:t>
      </w:r>
      <w:r>
        <w:rPr>
          <w:spacing w:val="-42"/>
        </w:rPr>
        <w:t> </w:t>
      </w:r>
      <w:r>
        <w:rPr/>
        <w:t>29</w:t>
      </w:r>
      <w:r>
        <w:rPr>
          <w:spacing w:val="-42"/>
        </w:rPr>
        <w:t> </w:t>
      </w:r>
      <w:r>
        <w:rPr>
          <w:spacing w:val="-11"/>
        </w:rPr>
        <w:t>人），每增派保安每名</w:t>
      </w:r>
      <w:r>
        <w:rPr>
          <w:spacing w:val="-42"/>
        </w:rPr>
        <w:t> </w:t>
      </w:r>
      <w:r>
        <w:rPr/>
        <w:t>2000</w:t>
      </w:r>
      <w:r>
        <w:rPr>
          <w:spacing w:val="-42"/>
        </w:rPr>
        <w:t> </w:t>
      </w:r>
      <w:r>
        <w:rPr>
          <w:spacing w:val="-1"/>
        </w:rPr>
        <w:t>元，保洁员每名</w:t>
      </w:r>
      <w:r>
        <w:rPr>
          <w:spacing w:val="-42"/>
        </w:rPr>
        <w:t> </w:t>
      </w:r>
      <w:r>
        <w:rPr/>
        <w:t>1850</w:t>
      </w:r>
      <w:r>
        <w:rPr>
          <w:spacing w:val="-101"/>
        </w:rPr>
        <w:t> </w:t>
      </w:r>
      <w:r>
        <w:rPr>
          <w:spacing w:val="-101"/>
        </w:rPr>
      </w:r>
      <w:r>
        <w:rPr/>
        <w:t>元，每月按双方核定并认可的服务人员人数按实结算，管理期限为一年。</w:t>
      </w:r>
    </w:p>
    <w:p>
      <w:pPr>
        <w:pStyle w:val="BodyText"/>
        <w:spacing w:line="240" w:lineRule="auto" w:before="34"/>
        <w:ind w:left="560" w:right="102"/>
        <w:jc w:val="left"/>
      </w:pPr>
      <w:r>
        <w:rPr/>
        <w:t>2007</w:t>
      </w:r>
      <w:r>
        <w:rPr>
          <w:spacing w:val="-54"/>
        </w:rPr>
        <w:t> </w:t>
      </w:r>
      <w:r>
        <w:rPr/>
        <w:t>年度、2008</w:t>
      </w:r>
      <w:r>
        <w:rPr>
          <w:spacing w:val="-54"/>
        </w:rPr>
        <w:t> </w:t>
      </w:r>
      <w:r>
        <w:rPr/>
        <w:t>年度的物业管理费情况列示如下：</w:t>
      </w:r>
    </w:p>
    <w:p>
      <w:pPr>
        <w:spacing w:line="240" w:lineRule="auto" w:before="4"/>
        <w:rPr>
          <w:rFonts w:ascii="宋体" w:hAnsi="宋体" w:cs="宋体" w:eastAsia="宋体" w:hint="default"/>
          <w:sz w:val="14"/>
          <w:szCs w:val="14"/>
        </w:rPr>
      </w:pPr>
    </w:p>
    <w:tbl>
      <w:tblPr>
        <w:tblW w:w="0" w:type="auto"/>
        <w:jc w:val="left"/>
        <w:tblInd w:w="618" w:type="dxa"/>
        <w:tblLayout w:type="fixed"/>
        <w:tblCellMar>
          <w:top w:w="0" w:type="dxa"/>
          <w:left w:w="0" w:type="dxa"/>
          <w:bottom w:w="0" w:type="dxa"/>
          <w:right w:w="0" w:type="dxa"/>
        </w:tblCellMar>
        <w:tblLook w:val="01E0"/>
      </w:tblPr>
      <w:tblGrid>
        <w:gridCol w:w="3018"/>
        <w:gridCol w:w="1260"/>
        <w:gridCol w:w="1620"/>
        <w:gridCol w:w="1440"/>
      </w:tblGrid>
      <w:tr>
        <w:trPr>
          <w:trHeight w:val="40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b/>
                <w:bCs/>
                <w:sz w:val="21"/>
                <w:szCs w:val="21"/>
              </w:rPr>
              <w:t>租赁方</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b/>
                <w:bCs/>
                <w:sz w:val="21"/>
                <w:szCs w:val="21"/>
              </w:rPr>
              <w:t>性质</w:t>
            </w:r>
            <w:r>
              <w:rPr>
                <w:rFonts w:ascii="宋体" w:hAnsi="宋体" w:cs="宋体" w:eastAsia="宋体"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54" w:right="0"/>
              <w:jc w:val="left"/>
              <w:rPr>
                <w:rFonts w:ascii="宋体" w:hAnsi="宋体" w:cs="宋体" w:eastAsia="宋体" w:hint="default"/>
                <w:sz w:val="21"/>
                <w:szCs w:val="21"/>
              </w:rPr>
            </w:pPr>
            <w:r>
              <w:rPr>
                <w:rFonts w:ascii="宋体" w:hAnsi="宋体" w:cs="宋体" w:eastAsia="宋体" w:hint="default"/>
                <w:b/>
                <w:bCs/>
                <w:sz w:val="21"/>
                <w:szCs w:val="21"/>
              </w:rPr>
              <w:t>2008</w:t>
            </w:r>
            <w:r>
              <w:rPr>
                <w:rFonts w:ascii="宋体" w:hAnsi="宋体" w:cs="宋体" w:eastAsia="宋体" w:hint="default"/>
                <w:b/>
                <w:bCs/>
                <w:spacing w:val="-5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64" w:right="0"/>
              <w:jc w:val="left"/>
              <w:rPr>
                <w:rFonts w:ascii="宋体" w:hAnsi="宋体" w:cs="宋体" w:eastAsia="宋体" w:hint="default"/>
                <w:sz w:val="21"/>
                <w:szCs w:val="21"/>
              </w:rPr>
            </w:pPr>
            <w:r>
              <w:rPr>
                <w:rFonts w:ascii="宋体" w:hAnsi="宋体" w:cs="宋体" w:eastAsia="宋体" w:hint="default"/>
                <w:b/>
                <w:bCs/>
                <w:sz w:val="21"/>
                <w:szCs w:val="21"/>
              </w:rPr>
              <w:t>2007</w:t>
            </w:r>
            <w:r>
              <w:rPr>
                <w:rFonts w:ascii="宋体" w:hAnsi="宋体" w:cs="宋体" w:eastAsia="宋体" w:hint="default"/>
                <w:b/>
                <w:bCs/>
                <w:spacing w:val="-5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 w:right="0"/>
              <w:jc w:val="center"/>
              <w:rPr>
                <w:rFonts w:ascii="宋体" w:hAnsi="宋体" w:cs="宋体" w:eastAsia="宋体" w:hint="default"/>
                <w:sz w:val="21"/>
                <w:szCs w:val="21"/>
              </w:rPr>
            </w:pPr>
            <w:r>
              <w:rPr>
                <w:rFonts w:ascii="宋体" w:hAnsi="宋体" w:cs="宋体" w:eastAsia="宋体" w:hint="default"/>
                <w:sz w:val="21"/>
                <w:szCs w:val="21"/>
              </w:rPr>
              <w:t>广州广电物业管理有限公司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6" w:right="0"/>
              <w:jc w:val="center"/>
              <w:rPr>
                <w:rFonts w:ascii="宋体" w:hAnsi="宋体" w:cs="宋体" w:eastAsia="宋体" w:hint="default"/>
                <w:sz w:val="21"/>
                <w:szCs w:val="21"/>
              </w:rPr>
            </w:pPr>
            <w:r>
              <w:rPr>
                <w:rFonts w:ascii="宋体" w:hAnsi="宋体" w:cs="宋体" w:eastAsia="宋体" w:hint="default"/>
                <w:sz w:val="21"/>
                <w:szCs w:val="21"/>
              </w:rPr>
              <w:t>物业管理费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247,054.19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50,177.81</w:t>
            </w:r>
          </w:p>
        </w:tc>
      </w:tr>
      <w:tr>
        <w:trPr>
          <w:trHeight w:val="32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宋体" w:hAnsi="宋体" w:cs="宋体" w:eastAsia="宋体" w:hint="default"/>
                <w:sz w:val="21"/>
                <w:szCs w:val="21"/>
              </w:rPr>
              <w:t>广州鑫广电物业服务有限公司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6" w:right="0"/>
              <w:jc w:val="center"/>
              <w:rPr>
                <w:rFonts w:ascii="宋体" w:hAnsi="宋体" w:cs="宋体" w:eastAsia="宋体" w:hint="default"/>
                <w:sz w:val="21"/>
                <w:szCs w:val="21"/>
              </w:rPr>
            </w:pPr>
            <w:r>
              <w:rPr>
                <w:rFonts w:ascii="宋体" w:hAnsi="宋体" w:cs="宋体" w:eastAsia="宋体" w:hint="default"/>
                <w:sz w:val="21"/>
                <w:szCs w:val="21"/>
              </w:rPr>
              <w:t>物业管理费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1,341,273.92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853,451.62</w:t>
            </w:r>
          </w:p>
        </w:tc>
      </w:tr>
    </w:tbl>
    <w:p>
      <w:pPr>
        <w:pStyle w:val="BodyText"/>
        <w:spacing w:line="350" w:lineRule="auto" w:before="93"/>
        <w:ind w:right="216" w:firstLine="420"/>
        <w:jc w:val="both"/>
      </w:pPr>
      <w:r>
        <w:rPr/>
        <w:t>C、公司租用的房屋使用的水电费由广州无线电集团有限公司物业管理部根据公司独立 </w:t>
      </w:r>
      <w:r>
        <w:rPr>
          <w:spacing w:val="-3"/>
        </w:rPr>
        <w:t>水表，电表读数作合理分摊后计算应收水费及电费；公司每月电话费由广州无线电集团有限</w:t>
      </w:r>
      <w:r>
        <w:rPr>
          <w:spacing w:val="-79"/>
        </w:rPr>
        <w:t> </w:t>
      </w:r>
      <w:r>
        <w:rPr>
          <w:spacing w:val="-79"/>
        </w:rPr>
      </w:r>
      <w:r>
        <w:rPr>
          <w:spacing w:val="-3"/>
        </w:rPr>
        <w:t>公司物业管理部代收代付，广州无线电集团有限公司物业管理部每月根据由公司使用的各电</w:t>
      </w:r>
      <w:r>
        <w:rPr>
          <w:spacing w:val="-79"/>
        </w:rPr>
        <w:t> </w:t>
      </w:r>
      <w:r>
        <w:rPr>
          <w:spacing w:val="-79"/>
        </w:rPr>
      </w:r>
      <w:r>
        <w:rPr/>
        <w:t>话号码的电信费用结算清单汇总代收代付电话费。</w:t>
      </w:r>
    </w:p>
    <w:p>
      <w:pPr>
        <w:pStyle w:val="BodyText"/>
        <w:spacing w:line="348" w:lineRule="auto" w:before="28"/>
        <w:ind w:left="560" w:right="102"/>
        <w:jc w:val="left"/>
      </w:pPr>
      <w:r>
        <w:rPr/>
        <w:t>（2）华颖宾馆房租 </w:t>
      </w:r>
      <w:r>
        <w:rPr>
          <w:spacing w:val="2"/>
        </w:rPr>
        <w:t>本公司按市场价格租用广州无线电集团有限公司下属二级核算单位广州无线电华颖宾</w:t>
      </w:r>
    </w:p>
    <w:p>
      <w:pPr>
        <w:pStyle w:val="BodyText"/>
        <w:spacing w:line="240" w:lineRule="auto" w:before="31"/>
        <w:ind w:right="102"/>
        <w:jc w:val="left"/>
        <w:rPr>
          <w:rFonts w:ascii="Times New Roman" w:hAnsi="Times New Roman" w:cs="Times New Roman" w:eastAsia="Times New Roman" w:hint="default"/>
        </w:rPr>
      </w:pPr>
      <w:r>
        <w:rPr/>
        <w:t>馆房间和综合楼宿舍，2007</w:t>
      </w:r>
      <w:r>
        <w:rPr>
          <w:spacing w:val="-44"/>
        </w:rPr>
        <w:t> </w:t>
      </w:r>
      <w:r>
        <w:rPr/>
        <w:t>年度支付租赁费</w:t>
      </w:r>
      <w:r>
        <w:rPr>
          <w:spacing w:val="-45"/>
        </w:rPr>
        <w:t> </w:t>
      </w:r>
      <w:r>
        <w:rPr>
          <w:rFonts w:ascii="Times New Roman" w:hAnsi="Times New Roman" w:cs="Times New Roman" w:eastAsia="Times New Roman" w:hint="default"/>
        </w:rPr>
        <w:t>406,353.00</w:t>
      </w:r>
      <w:r>
        <w:rPr>
          <w:rFonts w:ascii="Times New Roman" w:hAnsi="Times New Roman" w:cs="Times New Roman" w:eastAsia="Times New Roman" w:hint="default"/>
          <w:spacing w:val="8"/>
        </w:rPr>
        <w:t> </w:t>
      </w:r>
      <w:r>
        <w:rPr/>
        <w:t>元；2008</w:t>
      </w:r>
      <w:r>
        <w:rPr>
          <w:spacing w:val="-44"/>
        </w:rPr>
        <w:t> </w:t>
      </w:r>
      <w:r>
        <w:rPr/>
        <w:t>年支付租赁费</w:t>
      </w:r>
      <w:r>
        <w:rPr>
          <w:spacing w:val="-45"/>
        </w:rPr>
        <w:t> </w:t>
      </w:r>
      <w:r>
        <w:rPr>
          <w:rFonts w:ascii="Times New Roman" w:hAnsi="Times New Roman" w:cs="Times New Roman" w:eastAsia="Times New Roman" w:hint="default"/>
        </w:rPr>
        <w:t>518,010.00</w:t>
      </w:r>
    </w:p>
    <w:p>
      <w:pPr>
        <w:pStyle w:val="BodyText"/>
        <w:spacing w:line="240" w:lineRule="auto" w:before="109"/>
        <w:ind w:left="139" w:right="102"/>
        <w:jc w:val="left"/>
      </w:pPr>
      <w:r>
        <w:rPr/>
        <w:t>元。</w:t>
      </w:r>
    </w:p>
    <w:p>
      <w:pPr>
        <w:pStyle w:val="BodyText"/>
        <w:spacing w:line="240" w:lineRule="auto" w:before="125"/>
        <w:ind w:left="559" w:right="102"/>
        <w:jc w:val="left"/>
      </w:pPr>
      <w:r>
        <w:rPr/>
        <w:t>（3）委托代理进口及委托代理出口</w:t>
      </w:r>
    </w:p>
    <w:p>
      <w:pPr>
        <w:pStyle w:val="BodyText"/>
        <w:spacing w:line="345" w:lineRule="auto" w:before="126"/>
        <w:ind w:left="139" w:right="215" w:firstLine="420"/>
        <w:jc w:val="both"/>
      </w:pPr>
      <w:r>
        <w:rPr/>
        <w:t>A、本公司于</w:t>
      </w:r>
      <w:r>
        <w:rPr>
          <w:spacing w:val="-52"/>
        </w:rPr>
        <w:t> </w:t>
      </w:r>
      <w:r>
        <w:rPr/>
        <w:t>2006</w:t>
      </w:r>
      <w:r>
        <w:rPr>
          <w:spacing w:val="-52"/>
        </w:rPr>
        <w:t> </w:t>
      </w:r>
      <w:r>
        <w:rPr/>
        <w:t>年</w:t>
      </w:r>
      <w:r>
        <w:rPr>
          <w:spacing w:val="-52"/>
        </w:rPr>
        <w:t> </w:t>
      </w:r>
      <w:r>
        <w:rPr/>
        <w:t>3</w:t>
      </w:r>
      <w:r>
        <w:rPr>
          <w:spacing w:val="-52"/>
        </w:rPr>
        <w:t> </w:t>
      </w:r>
      <w:r>
        <w:rPr/>
        <w:t>月</w:t>
      </w:r>
      <w:r>
        <w:rPr>
          <w:spacing w:val="-52"/>
        </w:rPr>
        <w:t> </w:t>
      </w:r>
      <w:r>
        <w:rPr/>
        <w:t>13</w:t>
      </w:r>
      <w:r>
        <w:rPr>
          <w:spacing w:val="-52"/>
        </w:rPr>
        <w:t> </w:t>
      </w:r>
      <w:r>
        <w:rPr/>
        <w:t>日与母公司广州无线电集团有限公司签订了《代理进口协</w:t>
      </w:r>
      <w:r>
        <w:rPr/>
        <w:t> </w:t>
      </w:r>
      <w:r>
        <w:rPr>
          <w:spacing w:val="-3"/>
        </w:rPr>
        <w:t>议》，就公司货币自动处理设备备件等产品的进口、进出境修理、暂时进出口等进口业务，</w:t>
      </w:r>
      <w:r>
        <w:rPr>
          <w:spacing w:val="-84"/>
        </w:rPr>
        <w:t> </w:t>
      </w:r>
      <w:r>
        <w:rPr>
          <w:spacing w:val="-84"/>
        </w:rPr>
      </w:r>
      <w:r>
        <w:rPr>
          <w:spacing w:val="-3"/>
        </w:rPr>
        <w:t>委托广州无线电集团有限公司代理进口或由其负责进口并销售给公司，广州无线电集团有限</w:t>
      </w:r>
      <w:r>
        <w:rPr>
          <w:spacing w:val="-79"/>
        </w:rPr>
        <w:t> </w:t>
      </w:r>
      <w:r>
        <w:rPr>
          <w:spacing w:val="-79"/>
        </w:rPr>
      </w:r>
      <w:r>
        <w:rPr/>
        <w:t>公司按货物价值的 </w:t>
      </w:r>
      <w:r>
        <w:rPr>
          <w:rFonts w:ascii="Times New Roman" w:hAnsi="Times New Roman" w:cs="Times New Roman" w:eastAsia="Times New Roman" w:hint="default"/>
        </w:rPr>
        <w:t>2%</w:t>
      </w:r>
      <w:r>
        <w:rPr/>
        <w:t>向公司收取代理服务手续费，该协议自 2005</w:t>
      </w:r>
      <w:r>
        <w:rPr>
          <w:spacing w:val="-64"/>
        </w:rPr>
        <w:t> </w:t>
      </w:r>
      <w:r>
        <w:rPr/>
        <w:t>年度股东大会通过后正</w:t>
      </w:r>
      <w:r>
        <w:rPr/>
        <w:t> 式生效,有效期为两年。</w:t>
      </w:r>
    </w:p>
    <w:p>
      <w:pPr>
        <w:pStyle w:val="BodyText"/>
        <w:spacing w:line="340" w:lineRule="auto" w:before="32"/>
        <w:ind w:right="190" w:firstLine="419"/>
        <w:jc w:val="both"/>
      </w:pPr>
      <w:r>
        <w:rPr/>
        <w:t>2006</w:t>
      </w:r>
      <w:r>
        <w:rPr>
          <w:spacing w:val="-52"/>
        </w:rPr>
        <w:t> </w:t>
      </w:r>
      <w:r>
        <w:rPr/>
        <w:t>年度委托代理进口货物结算支付手续费共计</w:t>
      </w:r>
      <w:r>
        <w:rPr>
          <w:spacing w:val="-53"/>
        </w:rPr>
        <w:t> </w:t>
      </w:r>
      <w:r>
        <w:rPr>
          <w:rFonts w:ascii="Times New Roman" w:hAnsi="Times New Roman" w:cs="Times New Roman" w:eastAsia="Times New Roman" w:hint="default"/>
        </w:rPr>
        <w:t>310,172.73</w:t>
      </w:r>
      <w:r>
        <w:rPr>
          <w:rFonts w:ascii="Times New Roman" w:hAnsi="Times New Roman" w:cs="Times New Roman" w:eastAsia="Times New Roman" w:hint="default"/>
          <w:spacing w:val="1"/>
        </w:rPr>
        <w:t> </w:t>
      </w:r>
      <w:r>
        <w:rPr/>
        <w:t>元。2007</w:t>
      </w:r>
      <w:r>
        <w:rPr>
          <w:spacing w:val="-53"/>
        </w:rPr>
        <w:t> </w:t>
      </w:r>
      <w:r>
        <w:rPr/>
        <w:t>年度本公司支付</w:t>
      </w:r>
      <w:r>
        <w:rPr/>
        <w:t> </w:t>
      </w:r>
      <w:r>
        <w:rPr>
          <w:spacing w:val="18"/>
        </w:rPr>
        <w:t>以前年</w:t>
      </w:r>
      <w:r>
        <w:rPr>
          <w:spacing w:val="-77"/>
        </w:rPr>
        <w:t> </w:t>
      </w:r>
      <w:r>
        <w:rPr>
          <w:spacing w:val="13"/>
        </w:rPr>
        <w:t>度通</w:t>
      </w:r>
      <w:r>
        <w:rPr>
          <w:spacing w:val="-77"/>
        </w:rPr>
        <w:t> </w:t>
      </w:r>
      <w:r>
        <w:rPr>
          <w:spacing w:val="18"/>
        </w:rPr>
        <w:t>过委托</w:t>
      </w:r>
      <w:r>
        <w:rPr>
          <w:spacing w:val="-77"/>
        </w:rPr>
        <w:t> </w:t>
      </w:r>
      <w:r>
        <w:rPr>
          <w:spacing w:val="13"/>
        </w:rPr>
        <w:t>广州</w:t>
      </w:r>
      <w:r>
        <w:rPr>
          <w:spacing w:val="-77"/>
        </w:rPr>
        <w:t> </w:t>
      </w:r>
      <w:r>
        <w:rPr>
          <w:spacing w:val="18"/>
        </w:rPr>
        <w:t>无线电</w:t>
      </w:r>
      <w:r>
        <w:rPr>
          <w:spacing w:val="-77"/>
        </w:rPr>
        <w:t> </w:t>
      </w:r>
      <w:r>
        <w:rPr>
          <w:spacing w:val="13"/>
        </w:rPr>
        <w:t>集团</w:t>
      </w:r>
      <w:r>
        <w:rPr>
          <w:spacing w:val="-77"/>
        </w:rPr>
        <w:t> </w:t>
      </w:r>
      <w:r>
        <w:rPr>
          <w:spacing w:val="18"/>
        </w:rPr>
        <w:t>有限公</w:t>
      </w:r>
      <w:r>
        <w:rPr>
          <w:spacing w:val="-77"/>
        </w:rPr>
        <w:t> </w:t>
      </w:r>
      <w:r>
        <w:rPr>
          <w:spacing w:val="13"/>
        </w:rPr>
        <w:t>司代</w:t>
      </w:r>
      <w:r>
        <w:rPr>
          <w:spacing w:val="-77"/>
        </w:rPr>
        <w:t> </w:t>
      </w:r>
      <w:r>
        <w:rPr>
          <w:spacing w:val="18"/>
        </w:rPr>
        <w:t>理进口</w:t>
      </w:r>
      <w:r>
        <w:rPr>
          <w:spacing w:val="-77"/>
        </w:rPr>
        <w:t> </w:t>
      </w:r>
      <w:r>
        <w:rPr>
          <w:spacing w:val="13"/>
        </w:rPr>
        <w:t>货物</w:t>
      </w:r>
      <w:r>
        <w:rPr>
          <w:spacing w:val="-77"/>
        </w:rPr>
        <w:t> </w:t>
      </w:r>
      <w:r>
        <w:rPr>
          <w:spacing w:val="18"/>
        </w:rPr>
        <w:t>本年结</w:t>
      </w:r>
      <w:r>
        <w:rPr>
          <w:spacing w:val="-77"/>
        </w:rPr>
        <w:t> </w:t>
      </w:r>
      <w:r>
        <w:rPr>
          <w:spacing w:val="13"/>
        </w:rPr>
        <w:t>算的</w:t>
      </w:r>
      <w:r>
        <w:rPr>
          <w:spacing w:val="-77"/>
        </w:rPr>
        <w:t> </w:t>
      </w:r>
      <w:r>
        <w:rPr>
          <w:spacing w:val="18"/>
        </w:rPr>
        <w:t>手续费</w:t>
      </w:r>
      <w:r>
        <w:rPr>
          <w:spacing w:val="-77"/>
        </w:rPr>
        <w:t> </w:t>
      </w:r>
      <w:r>
        <w:rPr>
          <w:spacing w:val="13"/>
        </w:rPr>
        <w:t>共计</w:t>
      </w:r>
      <w:r>
        <w:rPr>
          <w:spacing w:val="-78"/>
        </w:rPr>
        <w:t> </w:t>
      </w:r>
      <w:r>
        <w:rPr>
          <w:rFonts w:ascii="Times New Roman" w:hAnsi="Times New Roman" w:cs="Times New Roman" w:eastAsia="Times New Roman" w:hint="default"/>
        </w:rPr>
        <w:t>778,587.42 </w:t>
      </w:r>
      <w:r>
        <w:rPr/>
        <w:t>元。2008</w:t>
      </w:r>
      <w:r>
        <w:rPr>
          <w:spacing w:val="-60"/>
        </w:rPr>
        <w:t> </w:t>
      </w:r>
      <w:r>
        <w:rPr/>
        <w:t>年本公司开始自营出口，未通过广州无线电集团有限公司代理出口。</w:t>
      </w:r>
    </w:p>
    <w:p>
      <w:pPr>
        <w:pStyle w:val="BodyText"/>
        <w:spacing w:line="350" w:lineRule="auto" w:before="11"/>
        <w:ind w:right="102" w:firstLine="419"/>
        <w:jc w:val="left"/>
      </w:pPr>
      <w:r>
        <w:rPr>
          <w:spacing w:val="-21"/>
        </w:rPr>
        <w:t>B、本公司</w:t>
      </w:r>
      <w:r>
        <w:rPr>
          <w:spacing w:val="-53"/>
        </w:rPr>
        <w:t> </w:t>
      </w:r>
      <w:r>
        <w:rPr>
          <w:spacing w:val="-1"/>
        </w:rPr>
        <w:t>2006</w:t>
      </w:r>
      <w:r>
        <w:rPr>
          <w:spacing w:val="-52"/>
        </w:rPr>
        <w:t> </w:t>
      </w:r>
      <w:r>
        <w:rPr/>
        <w:t>年</w:t>
      </w:r>
      <w:r>
        <w:rPr>
          <w:spacing w:val="-54"/>
        </w:rPr>
        <w:t> </w:t>
      </w:r>
      <w:r>
        <w:rPr/>
        <w:t>3</w:t>
      </w:r>
      <w:r>
        <w:rPr>
          <w:spacing w:val="-52"/>
        </w:rPr>
        <w:t> </w:t>
      </w:r>
      <w:r>
        <w:rPr/>
        <w:t>月</w:t>
      </w:r>
      <w:r>
        <w:rPr>
          <w:spacing w:val="-54"/>
        </w:rPr>
        <w:t> </w:t>
      </w:r>
      <w:r>
        <w:rPr/>
        <w:t>13</w:t>
      </w:r>
      <w:r>
        <w:rPr>
          <w:spacing w:val="-53"/>
        </w:rPr>
        <w:t> </w:t>
      </w:r>
      <w:r>
        <w:rPr>
          <w:spacing w:val="-8"/>
        </w:rPr>
        <w:t>日与母公司广州无线电集团有限公司签订了《收购出口协议》，</w:t>
      </w:r>
      <w:r>
        <w:rPr/>
        <w:t> </w:t>
      </w:r>
      <w:r>
        <w:rPr>
          <w:spacing w:val="-3"/>
        </w:rPr>
        <w:t>就公司生产的货币自动处理设备以及其他产品委托广州无线电集团有限公司收购出口。广州</w:t>
      </w:r>
      <w:r>
        <w:rPr>
          <w:spacing w:val="-79"/>
        </w:rPr>
        <w:t> </w:t>
      </w:r>
      <w:r>
        <w:rPr>
          <w:spacing w:val="-79"/>
        </w:rPr>
      </w:r>
      <w:r>
        <w:rPr/>
        <w:t>无线电集团有限公司按每批委托出口货物金额的 1%收取相应手续费，相应的手续费在收购</w:t>
      </w:r>
      <w:r>
        <w:rPr>
          <w:spacing w:val="-100"/>
        </w:rPr>
        <w:t> </w:t>
      </w:r>
      <w:r>
        <w:rPr>
          <w:spacing w:val="-100"/>
        </w:rPr>
      </w:r>
      <w:r>
        <w:rPr/>
        <w:t>结算价中核减，该协议自</w:t>
      </w:r>
      <w:r>
        <w:rPr>
          <w:spacing w:val="-25"/>
        </w:rPr>
        <w:t> </w:t>
      </w:r>
      <w:r>
        <w:rPr/>
        <w:t>2005</w:t>
      </w:r>
      <w:r>
        <w:rPr>
          <w:spacing w:val="-24"/>
        </w:rPr>
        <w:t> </w:t>
      </w:r>
      <w:r>
        <w:rPr/>
        <w:t>年年度股东大会通过后正式生效,有效期为两年。2006</w:t>
      </w:r>
      <w:r>
        <w:rPr>
          <w:spacing w:val="-24"/>
        </w:rPr>
        <w:t> </w:t>
      </w:r>
      <w:r>
        <w:rPr/>
        <w:t>年</w:t>
      </w:r>
      <w:r>
        <w:rPr>
          <w:spacing w:val="-25"/>
        </w:rPr>
        <w:t> </w:t>
      </w:r>
      <w:r>
        <w:rPr/>
        <w:t>4</w:t>
      </w:r>
    </w:p>
    <w:p>
      <w:pPr>
        <w:spacing w:after="0" w:line="350" w:lineRule="auto"/>
        <w:jc w:val="left"/>
        <w:sectPr>
          <w:pgSz w:w="11910" w:h="16840"/>
          <w:pgMar w:header="400" w:footer="982" w:top="1100" w:bottom="1180" w:left="1660" w:right="1580"/>
        </w:sectPr>
      </w:pPr>
    </w:p>
    <w:p>
      <w:pPr>
        <w:spacing w:line="240" w:lineRule="auto" w:before="12"/>
        <w:rPr>
          <w:rFonts w:ascii="宋体" w:hAnsi="宋体" w:cs="宋体" w:eastAsia="宋体" w:hint="default"/>
          <w:sz w:val="28"/>
          <w:szCs w:val="28"/>
        </w:rPr>
      </w:pPr>
    </w:p>
    <w:p>
      <w:pPr>
        <w:pStyle w:val="BodyText"/>
        <w:spacing w:line="240" w:lineRule="auto" w:before="35"/>
        <w:ind w:left="780" w:right="5060"/>
        <w:jc w:val="left"/>
      </w:pPr>
      <w:r>
        <w:rPr/>
        <w:t>月起本公司开始自营出口。</w:t>
      </w:r>
    </w:p>
    <w:p>
      <w:pPr>
        <w:pStyle w:val="BodyText"/>
        <w:spacing w:line="240" w:lineRule="auto" w:before="125"/>
        <w:ind w:left="1200" w:right="5060"/>
        <w:jc w:val="left"/>
      </w:pPr>
      <w:r>
        <w:rPr/>
        <w:t>（4）董事、监事、高级管理人员报酬</w:t>
      </w:r>
    </w:p>
    <w:p>
      <w:pPr>
        <w:spacing w:line="240" w:lineRule="auto" w:before="6"/>
        <w:rPr>
          <w:rFonts w:ascii="宋体" w:hAnsi="宋体" w:cs="宋体" w:eastAsia="宋体" w:hint="default"/>
          <w:sz w:val="14"/>
          <w:szCs w:val="14"/>
        </w:rPr>
      </w:pPr>
    </w:p>
    <w:tbl>
      <w:tblPr>
        <w:tblW w:w="0" w:type="auto"/>
        <w:jc w:val="left"/>
        <w:tblInd w:w="1184" w:type="dxa"/>
        <w:tblLayout w:type="fixed"/>
        <w:tblCellMar>
          <w:top w:w="0" w:type="dxa"/>
          <w:left w:w="0" w:type="dxa"/>
          <w:bottom w:w="0" w:type="dxa"/>
          <w:right w:w="0" w:type="dxa"/>
        </w:tblCellMar>
        <w:tblLook w:val="01E0"/>
      </w:tblPr>
      <w:tblGrid>
        <w:gridCol w:w="2843"/>
        <w:gridCol w:w="2305"/>
        <w:gridCol w:w="2340"/>
      </w:tblGrid>
      <w:tr>
        <w:trPr>
          <w:trHeight w:val="322"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322"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年度报酬总额</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763.75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837.76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r>
        <w:trPr>
          <w:trHeight w:val="32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人均报酬</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58.75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69.81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4"/>
        <w:spacing w:line="240" w:lineRule="auto" w:before="35"/>
        <w:ind w:left="1200" w:right="5060"/>
        <w:jc w:val="left"/>
        <w:rPr>
          <w:b w:val="0"/>
          <w:bCs w:val="0"/>
        </w:rPr>
      </w:pPr>
      <w:r>
        <w:rPr/>
        <w:t>九、或有事项</w:t>
      </w:r>
      <w:r>
        <w:rPr>
          <w:b w:val="0"/>
          <w:bCs w:val="0"/>
        </w:rPr>
      </w:r>
    </w:p>
    <w:p>
      <w:pPr>
        <w:spacing w:line="348" w:lineRule="auto" w:before="126"/>
        <w:ind w:left="1200" w:right="5060" w:firstLine="0"/>
        <w:jc w:val="left"/>
        <w:rPr>
          <w:rFonts w:ascii="宋体" w:hAnsi="宋体" w:cs="宋体" w:eastAsia="宋体" w:hint="default"/>
          <w:sz w:val="21"/>
          <w:szCs w:val="21"/>
        </w:rPr>
      </w:pPr>
      <w:r>
        <w:rPr>
          <w:rFonts w:ascii="宋体" w:hAnsi="宋体" w:cs="宋体" w:eastAsia="宋体" w:hint="default"/>
          <w:b/>
          <w:bCs/>
          <w:sz w:val="21"/>
          <w:szCs w:val="21"/>
        </w:rPr>
        <w:t>（一）未决诉讼或仲裁形成的或有负债</w:t>
      </w:r>
      <w:r>
        <w:rPr>
          <w:rFonts w:ascii="宋体" w:hAnsi="宋体" w:cs="宋体" w:eastAsia="宋体" w:hint="default"/>
          <w:b/>
          <w:bCs/>
          <w:spacing w:val="1"/>
          <w:w w:val="99"/>
          <w:sz w:val="21"/>
          <w:szCs w:val="21"/>
        </w:rPr>
        <w:t> </w:t>
      </w:r>
      <w:r>
        <w:rPr>
          <w:rFonts w:ascii="宋体" w:hAnsi="宋体" w:cs="宋体" w:eastAsia="宋体" w:hint="default"/>
          <w:sz w:val="21"/>
          <w:szCs w:val="21"/>
        </w:rPr>
        <w:t>本年度本公司未发生此事项。</w:t>
      </w:r>
    </w:p>
    <w:p>
      <w:pPr>
        <w:spacing w:line="350" w:lineRule="auto" w:before="30"/>
        <w:ind w:left="1200" w:right="546" w:firstLine="0"/>
        <w:jc w:val="left"/>
        <w:rPr>
          <w:rFonts w:ascii="宋体" w:hAnsi="宋体" w:cs="宋体" w:eastAsia="宋体" w:hint="default"/>
          <w:sz w:val="21"/>
          <w:szCs w:val="21"/>
        </w:rPr>
      </w:pPr>
      <w:r>
        <w:rPr>
          <w:rFonts w:ascii="宋体" w:hAnsi="宋体" w:cs="宋体" w:eastAsia="宋体" w:hint="default"/>
          <w:b/>
          <w:bCs/>
          <w:w w:val="95"/>
          <w:sz w:val="21"/>
          <w:szCs w:val="21"/>
        </w:rPr>
        <w:t>（二）公司为关联方及其他单位提供债务担保形成的或有负债</w:t>
      </w:r>
      <w:r>
        <w:rPr>
          <w:rFonts w:ascii="宋体" w:hAnsi="宋体" w:cs="宋体" w:eastAsia="宋体" w:hint="default"/>
          <w:b/>
          <w:bCs/>
          <w:spacing w:val="68"/>
          <w:w w:val="95"/>
          <w:sz w:val="21"/>
          <w:szCs w:val="21"/>
        </w:rPr>
        <w:t> </w:t>
      </w:r>
      <w:r>
        <w:rPr>
          <w:rFonts w:ascii="宋体" w:hAnsi="宋体" w:cs="宋体" w:eastAsia="宋体" w:hint="default"/>
          <w:b/>
          <w:bCs/>
          <w:spacing w:val="68"/>
          <w:w w:val="95"/>
          <w:sz w:val="21"/>
          <w:szCs w:val="21"/>
        </w:rPr>
      </w:r>
      <w:r>
        <w:rPr>
          <w:rFonts w:ascii="宋体" w:hAnsi="宋体" w:cs="宋体" w:eastAsia="宋体" w:hint="default"/>
          <w:sz w:val="21"/>
          <w:szCs w:val="21"/>
        </w:rPr>
        <w:t>本年度本公司未发生此事项。</w:t>
      </w:r>
    </w:p>
    <w:p>
      <w:pPr>
        <w:spacing w:line="348" w:lineRule="auto" w:before="28"/>
        <w:ind w:left="1200" w:right="5494" w:firstLine="0"/>
        <w:jc w:val="left"/>
        <w:rPr>
          <w:rFonts w:ascii="宋体" w:hAnsi="宋体" w:cs="宋体" w:eastAsia="宋体" w:hint="default"/>
          <w:sz w:val="21"/>
          <w:szCs w:val="21"/>
        </w:rPr>
      </w:pPr>
      <w:r>
        <w:rPr>
          <w:rFonts w:ascii="宋体" w:hAnsi="宋体" w:cs="宋体" w:eastAsia="宋体" w:hint="default"/>
          <w:b/>
          <w:bCs/>
          <w:sz w:val="21"/>
          <w:szCs w:val="21"/>
        </w:rPr>
        <w:t>（三）其他或有负债</w:t>
      </w:r>
      <w:r>
        <w:rPr>
          <w:rFonts w:ascii="宋体" w:hAnsi="宋体" w:cs="宋体" w:eastAsia="宋体" w:hint="default"/>
          <w:b/>
          <w:bCs/>
          <w:spacing w:val="1"/>
          <w:w w:val="99"/>
          <w:sz w:val="21"/>
          <w:szCs w:val="21"/>
        </w:rPr>
        <w:t> </w:t>
      </w:r>
      <w:r>
        <w:rPr>
          <w:rFonts w:ascii="宋体" w:hAnsi="宋体" w:cs="宋体" w:eastAsia="宋体" w:hint="default"/>
          <w:sz w:val="21"/>
          <w:szCs w:val="21"/>
        </w:rPr>
        <w:t>截至报告日止本公司未结清保函：</w:t>
      </w:r>
    </w:p>
    <w:p>
      <w:pPr>
        <w:spacing w:line="240" w:lineRule="auto" w:before="2"/>
        <w:rPr>
          <w:rFonts w:ascii="宋体" w:hAnsi="宋体" w:cs="宋体" w:eastAsia="宋体" w:hint="default"/>
          <w:sz w:val="7"/>
          <w:szCs w:val="7"/>
        </w:rPr>
      </w:pPr>
    </w:p>
    <w:tbl>
      <w:tblPr>
        <w:tblW w:w="0" w:type="auto"/>
        <w:jc w:val="left"/>
        <w:tblInd w:w="117" w:type="dxa"/>
        <w:tblLayout w:type="fixed"/>
        <w:tblCellMar>
          <w:top w:w="0" w:type="dxa"/>
          <w:left w:w="0" w:type="dxa"/>
          <w:bottom w:w="0" w:type="dxa"/>
          <w:right w:w="0" w:type="dxa"/>
        </w:tblCellMar>
        <w:tblLook w:val="01E0"/>
      </w:tblPr>
      <w:tblGrid>
        <w:gridCol w:w="1877"/>
        <w:gridCol w:w="1204"/>
        <w:gridCol w:w="2966"/>
        <w:gridCol w:w="785"/>
        <w:gridCol w:w="1484"/>
        <w:gridCol w:w="1306"/>
      </w:tblGrid>
      <w:tr>
        <w:trPr>
          <w:trHeight w:val="490"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b/>
                <w:bCs/>
                <w:sz w:val="18"/>
                <w:szCs w:val="18"/>
              </w:rPr>
              <w:t>担保方</w:t>
            </w:r>
            <w:r>
              <w:rPr>
                <w:rFonts w:ascii="宋体" w:hAnsi="宋体" w:cs="宋体" w:eastAsia="宋体" w:hint="default"/>
                <w:sz w:val="18"/>
                <w:szCs w:val="18"/>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b/>
                <w:bCs/>
                <w:sz w:val="18"/>
                <w:szCs w:val="18"/>
              </w:rPr>
              <w:t>担保期限</w:t>
            </w:r>
            <w:r>
              <w:rPr>
                <w:rFonts w:ascii="宋体" w:hAnsi="宋体" w:cs="宋体" w:eastAsia="宋体" w:hint="default"/>
                <w:sz w:val="18"/>
                <w:szCs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6" w:right="204"/>
              <w:jc w:val="left"/>
              <w:rPr>
                <w:rFonts w:ascii="宋体" w:hAnsi="宋体" w:cs="宋体" w:eastAsia="宋体" w:hint="default"/>
                <w:sz w:val="18"/>
                <w:szCs w:val="18"/>
              </w:rPr>
            </w:pPr>
            <w:r>
              <w:rPr>
                <w:rFonts w:ascii="宋体" w:hAnsi="宋体" w:cs="宋体" w:eastAsia="宋体" w:hint="default"/>
                <w:b/>
                <w:bCs/>
                <w:sz w:val="18"/>
                <w:szCs w:val="18"/>
              </w:rPr>
              <w:t>形成</w:t>
            </w:r>
            <w:r>
              <w:rPr>
                <w:rFonts w:ascii="宋体" w:hAnsi="宋体" w:cs="宋体" w:eastAsia="宋体" w:hint="default"/>
                <w:b/>
                <w:bCs/>
                <w:spacing w:val="1"/>
                <w:w w:val="99"/>
                <w:sz w:val="18"/>
                <w:szCs w:val="18"/>
              </w:rPr>
              <w:t> </w:t>
            </w:r>
            <w:r>
              <w:rPr>
                <w:rFonts w:ascii="宋体" w:hAnsi="宋体" w:cs="宋体" w:eastAsia="宋体" w:hint="default"/>
                <w:b/>
                <w:bCs/>
                <w:sz w:val="18"/>
                <w:szCs w:val="18"/>
              </w:rPr>
              <w:t>原因</w:t>
            </w:r>
            <w:r>
              <w:rPr>
                <w:rFonts w:ascii="宋体" w:hAnsi="宋体" w:cs="宋体" w:eastAsia="宋体" w:hint="default"/>
                <w:sz w:val="18"/>
                <w:szCs w:val="18"/>
              </w:rPr>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5" w:right="104" w:hanging="92"/>
              <w:jc w:val="left"/>
              <w:rPr>
                <w:rFonts w:ascii="宋体" w:hAnsi="宋体" w:cs="宋体" w:eastAsia="宋体" w:hint="default"/>
                <w:sz w:val="18"/>
                <w:szCs w:val="18"/>
              </w:rPr>
            </w:pPr>
            <w:r>
              <w:rPr>
                <w:rFonts w:ascii="宋体" w:hAnsi="宋体" w:cs="宋体" w:eastAsia="宋体" w:hint="default"/>
                <w:b/>
                <w:bCs/>
                <w:sz w:val="18"/>
                <w:szCs w:val="18"/>
              </w:rPr>
              <w:t>经济利益流出不</w:t>
            </w:r>
            <w:r>
              <w:rPr>
                <w:rFonts w:ascii="宋体" w:hAnsi="宋体" w:cs="宋体" w:eastAsia="宋体" w:hint="default"/>
                <w:b/>
                <w:bCs/>
                <w:w w:val="99"/>
                <w:sz w:val="18"/>
                <w:szCs w:val="18"/>
              </w:rPr>
              <w:t> </w:t>
            </w:r>
            <w:r>
              <w:rPr>
                <w:rFonts w:ascii="宋体" w:hAnsi="宋体" w:cs="宋体" w:eastAsia="宋体" w:hint="default"/>
                <w:b/>
                <w:bCs/>
                <w:sz w:val="18"/>
                <w:szCs w:val="18"/>
              </w:rPr>
              <w:t>确定性的说明</w:t>
            </w:r>
            <w:r>
              <w:rPr>
                <w:rFonts w:ascii="宋体" w:hAnsi="宋体" w:cs="宋体" w:eastAsia="宋体" w:hint="default"/>
                <w:sz w:val="18"/>
                <w:szCs w:val="18"/>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5" w:right="104" w:hanging="270"/>
              <w:jc w:val="left"/>
              <w:rPr>
                <w:rFonts w:ascii="宋体" w:hAnsi="宋体" w:cs="宋体" w:eastAsia="宋体" w:hint="default"/>
                <w:sz w:val="18"/>
                <w:szCs w:val="18"/>
              </w:rPr>
            </w:pPr>
            <w:r>
              <w:rPr>
                <w:rFonts w:ascii="宋体" w:hAnsi="宋体" w:cs="宋体" w:eastAsia="宋体" w:hint="default"/>
                <w:b/>
                <w:bCs/>
                <w:sz w:val="18"/>
                <w:szCs w:val="18"/>
              </w:rPr>
              <w:t>对本公司的财</w:t>
            </w:r>
            <w:r>
              <w:rPr>
                <w:rFonts w:ascii="宋体" w:hAnsi="宋体" w:cs="宋体" w:eastAsia="宋体" w:hint="default"/>
                <w:b/>
                <w:bCs/>
                <w:w w:val="99"/>
                <w:sz w:val="18"/>
                <w:szCs w:val="18"/>
              </w:rPr>
              <w:t> </w:t>
            </w:r>
            <w:r>
              <w:rPr>
                <w:rFonts w:ascii="宋体" w:hAnsi="宋体" w:cs="宋体" w:eastAsia="宋体" w:hint="default"/>
                <w:b/>
                <w:bCs/>
                <w:sz w:val="18"/>
                <w:szCs w:val="18"/>
              </w:rPr>
              <w:t>务影响</w:t>
            </w:r>
            <w:r>
              <w:rPr>
                <w:rFonts w:ascii="宋体" w:hAnsi="宋体" w:cs="宋体" w:eastAsia="宋体" w:hint="default"/>
                <w:sz w:val="18"/>
                <w:szCs w:val="18"/>
              </w:rPr>
            </w:r>
          </w:p>
        </w:tc>
      </w:tr>
      <w:tr>
        <w:trPr>
          <w:trHeight w:val="490"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6"/>
              <w:jc w:val="left"/>
              <w:rPr>
                <w:rFonts w:ascii="宋体" w:hAnsi="宋体" w:cs="宋体" w:eastAsia="宋体" w:hint="default"/>
                <w:sz w:val="18"/>
                <w:szCs w:val="18"/>
              </w:rPr>
            </w:pPr>
            <w:r>
              <w:rPr>
                <w:rFonts w:ascii="宋体" w:hAnsi="宋体" w:cs="宋体" w:eastAsia="宋体" w:hint="default"/>
                <w:spacing w:val="4"/>
                <w:sz w:val="18"/>
                <w:szCs w:val="18"/>
              </w:rPr>
              <w:t>中国工商银行股份有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限公司广州天河支行</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2,987,795.15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2006.12.22-2009.4.30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115"/>
              <w:jc w:val="left"/>
              <w:rPr>
                <w:rFonts w:ascii="宋体" w:hAnsi="宋体" w:cs="宋体" w:eastAsia="宋体" w:hint="default"/>
                <w:sz w:val="18"/>
                <w:szCs w:val="18"/>
              </w:rPr>
            </w:pPr>
            <w:r>
              <w:rPr>
                <w:rFonts w:ascii="宋体" w:hAnsi="宋体" w:cs="宋体" w:eastAsia="宋体" w:hint="default"/>
                <w:sz w:val="18"/>
                <w:szCs w:val="18"/>
              </w:rPr>
              <w:t>合同履 约保函</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6" w:right="106" w:hanging="450"/>
              <w:jc w:val="left"/>
              <w:rPr>
                <w:rFonts w:ascii="宋体" w:hAnsi="宋体" w:cs="宋体" w:eastAsia="宋体" w:hint="default"/>
                <w:sz w:val="18"/>
                <w:szCs w:val="18"/>
              </w:rPr>
            </w:pPr>
            <w:r>
              <w:rPr>
                <w:rFonts w:ascii="宋体" w:hAnsi="宋体" w:cs="宋体" w:eastAsia="宋体" w:hint="default"/>
                <w:sz w:val="18"/>
                <w:szCs w:val="18"/>
              </w:rPr>
              <w:t>视合同履行情况 而定</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106"/>
              <w:jc w:val="left"/>
              <w:rPr>
                <w:rFonts w:ascii="宋体" w:hAnsi="宋体" w:cs="宋体" w:eastAsia="宋体" w:hint="default"/>
                <w:sz w:val="18"/>
                <w:szCs w:val="18"/>
              </w:rPr>
            </w:pPr>
            <w:r>
              <w:rPr>
                <w:rFonts w:ascii="宋体" w:hAnsi="宋体" w:cs="宋体" w:eastAsia="宋体" w:hint="default"/>
                <w:sz w:val="18"/>
                <w:szCs w:val="18"/>
              </w:rPr>
              <w:t>对本公司财务 没有重大影响</w:t>
            </w:r>
          </w:p>
        </w:tc>
      </w:tr>
      <w:tr>
        <w:trPr>
          <w:trHeight w:val="491"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6"/>
              <w:jc w:val="left"/>
              <w:rPr>
                <w:rFonts w:ascii="宋体" w:hAnsi="宋体" w:cs="宋体" w:eastAsia="宋体" w:hint="default"/>
                <w:sz w:val="18"/>
                <w:szCs w:val="18"/>
              </w:rPr>
            </w:pPr>
            <w:r>
              <w:rPr>
                <w:rFonts w:ascii="宋体" w:hAnsi="宋体" w:cs="宋体" w:eastAsia="宋体" w:hint="default"/>
                <w:spacing w:val="4"/>
                <w:sz w:val="18"/>
                <w:szCs w:val="18"/>
              </w:rPr>
              <w:t>中国工商银行股份有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限公司广州天河支行</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984,160.80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2006.12.19-2010.12.5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115"/>
              <w:jc w:val="left"/>
              <w:rPr>
                <w:rFonts w:ascii="宋体" w:hAnsi="宋体" w:cs="宋体" w:eastAsia="宋体" w:hint="default"/>
                <w:sz w:val="18"/>
                <w:szCs w:val="18"/>
              </w:rPr>
            </w:pPr>
            <w:r>
              <w:rPr>
                <w:rFonts w:ascii="宋体" w:hAnsi="宋体" w:cs="宋体" w:eastAsia="宋体" w:hint="default"/>
                <w:sz w:val="18"/>
                <w:szCs w:val="18"/>
              </w:rPr>
              <w:t>合同履 约保函</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6" w:right="105" w:hanging="450"/>
              <w:jc w:val="left"/>
              <w:rPr>
                <w:rFonts w:ascii="宋体" w:hAnsi="宋体" w:cs="宋体" w:eastAsia="宋体" w:hint="default"/>
                <w:sz w:val="18"/>
                <w:szCs w:val="18"/>
              </w:rPr>
            </w:pPr>
            <w:r>
              <w:rPr>
                <w:rFonts w:ascii="宋体" w:hAnsi="宋体" w:cs="宋体" w:eastAsia="宋体" w:hint="default"/>
                <w:sz w:val="18"/>
                <w:szCs w:val="18"/>
              </w:rPr>
              <w:t>视合同履行情况 而定</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105"/>
              <w:jc w:val="left"/>
              <w:rPr>
                <w:rFonts w:ascii="宋体" w:hAnsi="宋体" w:cs="宋体" w:eastAsia="宋体" w:hint="default"/>
                <w:sz w:val="18"/>
                <w:szCs w:val="18"/>
              </w:rPr>
            </w:pPr>
            <w:r>
              <w:rPr>
                <w:rFonts w:ascii="宋体" w:hAnsi="宋体" w:cs="宋体" w:eastAsia="宋体" w:hint="default"/>
                <w:sz w:val="18"/>
                <w:szCs w:val="18"/>
              </w:rPr>
              <w:t>对本公司财务 没有重大影响</w:t>
            </w:r>
          </w:p>
        </w:tc>
      </w:tr>
      <w:tr>
        <w:trPr>
          <w:trHeight w:val="490"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6"/>
              <w:jc w:val="left"/>
              <w:rPr>
                <w:rFonts w:ascii="宋体" w:hAnsi="宋体" w:cs="宋体" w:eastAsia="宋体" w:hint="default"/>
                <w:sz w:val="18"/>
                <w:szCs w:val="18"/>
              </w:rPr>
            </w:pPr>
            <w:r>
              <w:rPr>
                <w:rFonts w:ascii="宋体" w:hAnsi="宋体" w:cs="宋体" w:eastAsia="宋体" w:hint="default"/>
                <w:spacing w:val="4"/>
                <w:sz w:val="18"/>
                <w:szCs w:val="18"/>
              </w:rPr>
              <w:t>中国工商银行股份有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限公司广州天河支行</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8,590,000.00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2006.12.12-2011.12.5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115"/>
              <w:jc w:val="left"/>
              <w:rPr>
                <w:rFonts w:ascii="宋体" w:hAnsi="宋体" w:cs="宋体" w:eastAsia="宋体" w:hint="default"/>
                <w:sz w:val="18"/>
                <w:szCs w:val="18"/>
              </w:rPr>
            </w:pPr>
            <w:r>
              <w:rPr>
                <w:rFonts w:ascii="宋体" w:hAnsi="宋体" w:cs="宋体" w:eastAsia="宋体" w:hint="default"/>
                <w:sz w:val="18"/>
                <w:szCs w:val="18"/>
              </w:rPr>
              <w:t>合同履 约保函</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6" w:right="106" w:hanging="450"/>
              <w:jc w:val="left"/>
              <w:rPr>
                <w:rFonts w:ascii="宋体" w:hAnsi="宋体" w:cs="宋体" w:eastAsia="宋体" w:hint="default"/>
                <w:sz w:val="18"/>
                <w:szCs w:val="18"/>
              </w:rPr>
            </w:pPr>
            <w:r>
              <w:rPr>
                <w:rFonts w:ascii="宋体" w:hAnsi="宋体" w:cs="宋体" w:eastAsia="宋体" w:hint="default"/>
                <w:sz w:val="18"/>
                <w:szCs w:val="18"/>
              </w:rPr>
              <w:t>视合同履行情况 而定</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106"/>
              <w:jc w:val="left"/>
              <w:rPr>
                <w:rFonts w:ascii="宋体" w:hAnsi="宋体" w:cs="宋体" w:eastAsia="宋体" w:hint="default"/>
                <w:sz w:val="18"/>
                <w:szCs w:val="18"/>
              </w:rPr>
            </w:pPr>
            <w:r>
              <w:rPr>
                <w:rFonts w:ascii="宋体" w:hAnsi="宋体" w:cs="宋体" w:eastAsia="宋体" w:hint="default"/>
                <w:sz w:val="18"/>
                <w:szCs w:val="18"/>
              </w:rPr>
              <w:t>对本公司财务 没有重大影响</w:t>
            </w:r>
          </w:p>
        </w:tc>
      </w:tr>
      <w:tr>
        <w:trPr>
          <w:trHeight w:val="490"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中信银行广州分行</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500,000.00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48" w:right="104" w:hanging="743"/>
              <w:jc w:val="left"/>
              <w:rPr>
                <w:rFonts w:ascii="宋体" w:hAnsi="宋体" w:cs="宋体" w:eastAsia="宋体" w:hint="default"/>
                <w:sz w:val="18"/>
                <w:szCs w:val="18"/>
              </w:rPr>
            </w:pPr>
            <w:r>
              <w:rPr>
                <w:rFonts w:ascii="Times New Roman" w:hAnsi="Times New Roman" w:cs="Times New Roman" w:eastAsia="Times New Roman" w:hint="default"/>
                <w:sz w:val="18"/>
                <w:szCs w:val="18"/>
              </w:rPr>
              <w:t>2006.12.1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签发并于货物安装到位且 验收合格时到期</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115"/>
              <w:jc w:val="left"/>
              <w:rPr>
                <w:rFonts w:ascii="宋体" w:hAnsi="宋体" w:cs="宋体" w:eastAsia="宋体" w:hint="default"/>
                <w:sz w:val="18"/>
                <w:szCs w:val="18"/>
              </w:rPr>
            </w:pPr>
            <w:r>
              <w:rPr>
                <w:rFonts w:ascii="宋体" w:hAnsi="宋体" w:cs="宋体" w:eastAsia="宋体" w:hint="default"/>
                <w:sz w:val="18"/>
                <w:szCs w:val="18"/>
              </w:rPr>
              <w:t>合同履 约保函</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6" w:right="106" w:hanging="450"/>
              <w:jc w:val="left"/>
              <w:rPr>
                <w:rFonts w:ascii="宋体" w:hAnsi="宋体" w:cs="宋体" w:eastAsia="宋体" w:hint="default"/>
                <w:sz w:val="18"/>
                <w:szCs w:val="18"/>
              </w:rPr>
            </w:pPr>
            <w:r>
              <w:rPr>
                <w:rFonts w:ascii="宋体" w:hAnsi="宋体" w:cs="宋体" w:eastAsia="宋体" w:hint="default"/>
                <w:sz w:val="18"/>
                <w:szCs w:val="18"/>
              </w:rPr>
              <w:t>视合同履行情况 而定</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106"/>
              <w:jc w:val="left"/>
              <w:rPr>
                <w:rFonts w:ascii="宋体" w:hAnsi="宋体" w:cs="宋体" w:eastAsia="宋体" w:hint="default"/>
                <w:sz w:val="18"/>
                <w:szCs w:val="18"/>
              </w:rPr>
            </w:pPr>
            <w:r>
              <w:rPr>
                <w:rFonts w:ascii="宋体" w:hAnsi="宋体" w:cs="宋体" w:eastAsia="宋体" w:hint="default"/>
                <w:sz w:val="18"/>
                <w:szCs w:val="18"/>
              </w:rPr>
              <w:t>对本公司财务 没有重大影响</w:t>
            </w:r>
          </w:p>
        </w:tc>
      </w:tr>
      <w:tr>
        <w:trPr>
          <w:trHeight w:val="491"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6"/>
              <w:jc w:val="left"/>
              <w:rPr>
                <w:rFonts w:ascii="宋体" w:hAnsi="宋体" w:cs="宋体" w:eastAsia="宋体" w:hint="default"/>
                <w:sz w:val="18"/>
                <w:szCs w:val="18"/>
              </w:rPr>
            </w:pPr>
            <w:r>
              <w:rPr>
                <w:rFonts w:ascii="宋体" w:hAnsi="宋体" w:cs="宋体" w:eastAsia="宋体" w:hint="default"/>
                <w:spacing w:val="4"/>
                <w:sz w:val="18"/>
                <w:szCs w:val="18"/>
              </w:rPr>
              <w:t>中国工商银行股份有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限公司广州天河支行</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6,849,590.30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2007.12.10-2009.12.31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115"/>
              <w:jc w:val="left"/>
              <w:rPr>
                <w:rFonts w:ascii="宋体" w:hAnsi="宋体" w:cs="宋体" w:eastAsia="宋体" w:hint="default"/>
                <w:sz w:val="18"/>
                <w:szCs w:val="18"/>
              </w:rPr>
            </w:pPr>
            <w:r>
              <w:rPr>
                <w:rFonts w:ascii="宋体" w:hAnsi="宋体" w:cs="宋体" w:eastAsia="宋体" w:hint="default"/>
                <w:sz w:val="18"/>
                <w:szCs w:val="18"/>
              </w:rPr>
              <w:t>合同履 约保函</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6" w:right="106" w:hanging="450"/>
              <w:jc w:val="left"/>
              <w:rPr>
                <w:rFonts w:ascii="宋体" w:hAnsi="宋体" w:cs="宋体" w:eastAsia="宋体" w:hint="default"/>
                <w:sz w:val="18"/>
                <w:szCs w:val="18"/>
              </w:rPr>
            </w:pPr>
            <w:r>
              <w:rPr>
                <w:rFonts w:ascii="宋体" w:hAnsi="宋体" w:cs="宋体" w:eastAsia="宋体" w:hint="default"/>
                <w:sz w:val="18"/>
                <w:szCs w:val="18"/>
              </w:rPr>
              <w:t>视合同履行情况 而定</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106"/>
              <w:jc w:val="left"/>
              <w:rPr>
                <w:rFonts w:ascii="宋体" w:hAnsi="宋体" w:cs="宋体" w:eastAsia="宋体" w:hint="default"/>
                <w:sz w:val="18"/>
                <w:szCs w:val="18"/>
              </w:rPr>
            </w:pPr>
            <w:r>
              <w:rPr>
                <w:rFonts w:ascii="宋体" w:hAnsi="宋体" w:cs="宋体" w:eastAsia="宋体" w:hint="default"/>
                <w:sz w:val="18"/>
                <w:szCs w:val="18"/>
              </w:rPr>
              <w:t>对本公司财务 没有重大影响</w:t>
            </w:r>
          </w:p>
        </w:tc>
      </w:tr>
      <w:tr>
        <w:trPr>
          <w:trHeight w:val="490"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6"/>
              <w:jc w:val="left"/>
              <w:rPr>
                <w:rFonts w:ascii="宋体" w:hAnsi="宋体" w:cs="宋体" w:eastAsia="宋体" w:hint="default"/>
                <w:sz w:val="18"/>
                <w:szCs w:val="18"/>
              </w:rPr>
            </w:pPr>
            <w:r>
              <w:rPr>
                <w:rFonts w:ascii="宋体" w:hAnsi="宋体" w:cs="宋体" w:eastAsia="宋体" w:hint="default"/>
                <w:spacing w:val="4"/>
                <w:sz w:val="18"/>
                <w:szCs w:val="18"/>
              </w:rPr>
              <w:t>中国工商银行股份有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限公司广州天河支行</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18"/>
                <w:szCs w:val="18"/>
              </w:rPr>
            </w:pPr>
            <w:r>
              <w:rPr>
                <w:rFonts w:ascii="Times New Roman"/>
                <w:spacing w:val="-1"/>
                <w:sz w:val="18"/>
              </w:rPr>
              <w:t>10,463,385.4</w:t>
            </w:r>
          </w:p>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预付款支付日至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2009.4.30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115"/>
              <w:jc w:val="left"/>
              <w:rPr>
                <w:rFonts w:ascii="宋体" w:hAnsi="宋体" w:cs="宋体" w:eastAsia="宋体" w:hint="default"/>
                <w:sz w:val="18"/>
                <w:szCs w:val="18"/>
              </w:rPr>
            </w:pPr>
            <w:r>
              <w:rPr>
                <w:rFonts w:ascii="宋体" w:hAnsi="宋体" w:cs="宋体" w:eastAsia="宋体" w:hint="default"/>
                <w:sz w:val="18"/>
                <w:szCs w:val="18"/>
              </w:rPr>
              <w:t>合同履 约保函</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6" w:right="105" w:hanging="450"/>
              <w:jc w:val="left"/>
              <w:rPr>
                <w:rFonts w:ascii="宋体" w:hAnsi="宋体" w:cs="宋体" w:eastAsia="宋体" w:hint="default"/>
                <w:sz w:val="18"/>
                <w:szCs w:val="18"/>
              </w:rPr>
            </w:pPr>
            <w:r>
              <w:rPr>
                <w:rFonts w:ascii="宋体" w:hAnsi="宋体" w:cs="宋体" w:eastAsia="宋体" w:hint="default"/>
                <w:sz w:val="18"/>
                <w:szCs w:val="18"/>
              </w:rPr>
              <w:t>视合同履行情况 而定</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105"/>
              <w:jc w:val="left"/>
              <w:rPr>
                <w:rFonts w:ascii="宋体" w:hAnsi="宋体" w:cs="宋体" w:eastAsia="宋体" w:hint="default"/>
                <w:sz w:val="18"/>
                <w:szCs w:val="18"/>
              </w:rPr>
            </w:pPr>
            <w:r>
              <w:rPr>
                <w:rFonts w:ascii="宋体" w:hAnsi="宋体" w:cs="宋体" w:eastAsia="宋体" w:hint="default"/>
                <w:sz w:val="18"/>
                <w:szCs w:val="18"/>
              </w:rPr>
              <w:t>对本公司财务 没有重大影响</w:t>
            </w:r>
          </w:p>
        </w:tc>
      </w:tr>
      <w:tr>
        <w:trPr>
          <w:trHeight w:val="490"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6"/>
              <w:jc w:val="left"/>
              <w:rPr>
                <w:rFonts w:ascii="宋体" w:hAnsi="宋体" w:cs="宋体" w:eastAsia="宋体" w:hint="default"/>
                <w:sz w:val="18"/>
                <w:szCs w:val="18"/>
              </w:rPr>
            </w:pPr>
            <w:r>
              <w:rPr>
                <w:rFonts w:ascii="宋体" w:hAnsi="宋体" w:cs="宋体" w:eastAsia="宋体" w:hint="default"/>
                <w:spacing w:val="4"/>
                <w:sz w:val="18"/>
                <w:szCs w:val="18"/>
              </w:rPr>
              <w:t>交通银行股份有限公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司广州天河支行</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2"/>
                <w:sz w:val="18"/>
              </w:rPr>
              <w:t>1,111,830.40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10" w:firstLine="2"/>
              <w:jc w:val="left"/>
              <w:rPr>
                <w:rFonts w:ascii="宋体" w:hAnsi="宋体" w:cs="宋体" w:eastAsia="宋体" w:hint="default"/>
                <w:sz w:val="18"/>
                <w:szCs w:val="18"/>
              </w:rPr>
            </w:pPr>
            <w:r>
              <w:rPr>
                <w:rFonts w:ascii="Times New Roman" w:hAnsi="Times New Roman" w:cs="Times New Roman" w:eastAsia="Times New Roman" w:hint="default"/>
                <w:sz w:val="18"/>
                <w:szCs w:val="18"/>
              </w:rPr>
              <w:t>2008.9.18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签发并于货物安装到位且 </w:t>
            </w:r>
            <w:r>
              <w:rPr>
                <w:rFonts w:ascii="宋体" w:hAnsi="宋体" w:cs="宋体" w:eastAsia="宋体" w:hint="default"/>
                <w:spacing w:val="-2"/>
                <w:sz w:val="18"/>
                <w:szCs w:val="18"/>
              </w:rPr>
              <w:t>验收合格通地后一个月（</w:t>
            </w:r>
            <w:r>
              <w:rPr>
                <w:rFonts w:ascii="Times New Roman" w:hAnsi="Times New Roman" w:cs="Times New Roman" w:eastAsia="Times New Roman" w:hint="default"/>
                <w:spacing w:val="-2"/>
                <w:sz w:val="18"/>
                <w:szCs w:val="18"/>
              </w:rPr>
              <w:t>2010.6.30</w:t>
            </w:r>
            <w:r>
              <w:rPr>
                <w:rFonts w:ascii="宋体" w:hAnsi="宋体" w:cs="宋体" w:eastAsia="宋体" w:hint="default"/>
                <w:spacing w:val="-2"/>
                <w:sz w:val="18"/>
                <w:szCs w:val="18"/>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115"/>
              <w:jc w:val="left"/>
              <w:rPr>
                <w:rFonts w:ascii="宋体" w:hAnsi="宋体" w:cs="宋体" w:eastAsia="宋体" w:hint="default"/>
                <w:sz w:val="18"/>
                <w:szCs w:val="18"/>
              </w:rPr>
            </w:pPr>
            <w:r>
              <w:rPr>
                <w:rFonts w:ascii="宋体" w:hAnsi="宋体" w:cs="宋体" w:eastAsia="宋体" w:hint="default"/>
                <w:sz w:val="18"/>
                <w:szCs w:val="18"/>
              </w:rPr>
              <w:t>合同履 约保函</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6" w:right="106" w:hanging="450"/>
              <w:jc w:val="left"/>
              <w:rPr>
                <w:rFonts w:ascii="宋体" w:hAnsi="宋体" w:cs="宋体" w:eastAsia="宋体" w:hint="default"/>
                <w:sz w:val="18"/>
                <w:szCs w:val="18"/>
              </w:rPr>
            </w:pPr>
            <w:r>
              <w:rPr>
                <w:rFonts w:ascii="宋体" w:hAnsi="宋体" w:cs="宋体" w:eastAsia="宋体" w:hint="default"/>
                <w:sz w:val="18"/>
                <w:szCs w:val="18"/>
              </w:rPr>
              <w:t>视合同履行情况 而定</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106"/>
              <w:jc w:val="left"/>
              <w:rPr>
                <w:rFonts w:ascii="宋体" w:hAnsi="宋体" w:cs="宋体" w:eastAsia="宋体" w:hint="default"/>
                <w:sz w:val="18"/>
                <w:szCs w:val="18"/>
              </w:rPr>
            </w:pPr>
            <w:r>
              <w:rPr>
                <w:rFonts w:ascii="宋体" w:hAnsi="宋体" w:cs="宋体" w:eastAsia="宋体" w:hint="default"/>
                <w:sz w:val="18"/>
                <w:szCs w:val="18"/>
              </w:rPr>
              <w:t>对本公司财务 没有重大影响</w:t>
            </w:r>
          </w:p>
        </w:tc>
      </w:tr>
      <w:tr>
        <w:trPr>
          <w:trHeight w:val="491"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6"/>
              <w:jc w:val="left"/>
              <w:rPr>
                <w:rFonts w:ascii="宋体" w:hAnsi="宋体" w:cs="宋体" w:eastAsia="宋体" w:hint="default"/>
                <w:sz w:val="18"/>
                <w:szCs w:val="18"/>
              </w:rPr>
            </w:pPr>
            <w:r>
              <w:rPr>
                <w:rFonts w:ascii="宋体" w:hAnsi="宋体" w:cs="宋体" w:eastAsia="宋体" w:hint="default"/>
                <w:spacing w:val="4"/>
                <w:sz w:val="18"/>
                <w:szCs w:val="18"/>
              </w:rPr>
              <w:t>中国工商银行股份有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限公司广州天河支行</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1,537,200.00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2008.9.17-2009.6.30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115"/>
              <w:jc w:val="left"/>
              <w:rPr>
                <w:rFonts w:ascii="宋体" w:hAnsi="宋体" w:cs="宋体" w:eastAsia="宋体" w:hint="default"/>
                <w:sz w:val="18"/>
                <w:szCs w:val="18"/>
              </w:rPr>
            </w:pPr>
            <w:r>
              <w:rPr>
                <w:rFonts w:ascii="宋体" w:hAnsi="宋体" w:cs="宋体" w:eastAsia="宋体" w:hint="default"/>
                <w:sz w:val="18"/>
                <w:szCs w:val="18"/>
              </w:rPr>
              <w:t>合同履 约保函</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6" w:right="106" w:hanging="450"/>
              <w:jc w:val="left"/>
              <w:rPr>
                <w:rFonts w:ascii="宋体" w:hAnsi="宋体" w:cs="宋体" w:eastAsia="宋体" w:hint="default"/>
                <w:sz w:val="18"/>
                <w:szCs w:val="18"/>
              </w:rPr>
            </w:pPr>
            <w:r>
              <w:rPr>
                <w:rFonts w:ascii="宋体" w:hAnsi="宋体" w:cs="宋体" w:eastAsia="宋体" w:hint="default"/>
                <w:sz w:val="18"/>
                <w:szCs w:val="18"/>
              </w:rPr>
              <w:t>视合同履行情况 而定</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106"/>
              <w:jc w:val="left"/>
              <w:rPr>
                <w:rFonts w:ascii="宋体" w:hAnsi="宋体" w:cs="宋体" w:eastAsia="宋体" w:hint="default"/>
                <w:sz w:val="18"/>
                <w:szCs w:val="18"/>
              </w:rPr>
            </w:pPr>
            <w:r>
              <w:rPr>
                <w:rFonts w:ascii="宋体" w:hAnsi="宋体" w:cs="宋体" w:eastAsia="宋体" w:hint="default"/>
                <w:sz w:val="18"/>
                <w:szCs w:val="18"/>
              </w:rPr>
              <w:t>对本公司财务 没有重大影响</w:t>
            </w:r>
          </w:p>
        </w:tc>
      </w:tr>
      <w:tr>
        <w:trPr>
          <w:trHeight w:val="490"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6"/>
              <w:jc w:val="left"/>
              <w:rPr>
                <w:rFonts w:ascii="宋体" w:hAnsi="宋体" w:cs="宋体" w:eastAsia="宋体" w:hint="default"/>
                <w:sz w:val="18"/>
                <w:szCs w:val="18"/>
              </w:rPr>
            </w:pPr>
            <w:r>
              <w:rPr>
                <w:rFonts w:ascii="宋体" w:hAnsi="宋体" w:cs="宋体" w:eastAsia="宋体" w:hint="default"/>
                <w:spacing w:val="4"/>
                <w:sz w:val="18"/>
                <w:szCs w:val="18"/>
              </w:rPr>
              <w:t>中国工商银行股份有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限公司广州天河支行</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373,600.00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2008.9.17-2009.6.30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115"/>
              <w:jc w:val="left"/>
              <w:rPr>
                <w:rFonts w:ascii="宋体" w:hAnsi="宋体" w:cs="宋体" w:eastAsia="宋体" w:hint="default"/>
                <w:sz w:val="18"/>
                <w:szCs w:val="18"/>
              </w:rPr>
            </w:pPr>
            <w:r>
              <w:rPr>
                <w:rFonts w:ascii="宋体" w:hAnsi="宋体" w:cs="宋体" w:eastAsia="宋体" w:hint="default"/>
                <w:sz w:val="18"/>
                <w:szCs w:val="18"/>
              </w:rPr>
              <w:t>合同履 约保函</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6" w:right="105" w:hanging="450"/>
              <w:jc w:val="left"/>
              <w:rPr>
                <w:rFonts w:ascii="宋体" w:hAnsi="宋体" w:cs="宋体" w:eastAsia="宋体" w:hint="default"/>
                <w:sz w:val="18"/>
                <w:szCs w:val="18"/>
              </w:rPr>
            </w:pPr>
            <w:r>
              <w:rPr>
                <w:rFonts w:ascii="宋体" w:hAnsi="宋体" w:cs="宋体" w:eastAsia="宋体" w:hint="default"/>
                <w:sz w:val="18"/>
                <w:szCs w:val="18"/>
              </w:rPr>
              <w:t>视合同履行情况 而定</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105"/>
              <w:jc w:val="left"/>
              <w:rPr>
                <w:rFonts w:ascii="宋体" w:hAnsi="宋体" w:cs="宋体" w:eastAsia="宋体" w:hint="default"/>
                <w:sz w:val="18"/>
                <w:szCs w:val="18"/>
              </w:rPr>
            </w:pPr>
            <w:r>
              <w:rPr>
                <w:rFonts w:ascii="宋体" w:hAnsi="宋体" w:cs="宋体" w:eastAsia="宋体" w:hint="default"/>
                <w:sz w:val="18"/>
                <w:szCs w:val="18"/>
              </w:rPr>
              <w:t>对本公司财务 没有重大影响</w:t>
            </w:r>
          </w:p>
        </w:tc>
      </w:tr>
      <w:tr>
        <w:trPr>
          <w:trHeight w:val="490"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6"/>
              <w:jc w:val="left"/>
              <w:rPr>
                <w:rFonts w:ascii="宋体" w:hAnsi="宋体" w:cs="宋体" w:eastAsia="宋体" w:hint="default"/>
                <w:sz w:val="18"/>
                <w:szCs w:val="18"/>
              </w:rPr>
            </w:pPr>
            <w:r>
              <w:rPr>
                <w:rFonts w:ascii="宋体" w:hAnsi="宋体" w:cs="宋体" w:eastAsia="宋体" w:hint="default"/>
                <w:spacing w:val="4"/>
                <w:sz w:val="18"/>
                <w:szCs w:val="18"/>
              </w:rPr>
              <w:t>中国工商银行股份有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限公司广州天河支行</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1,391,350.00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2008.9.17-2009.5.30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115"/>
              <w:jc w:val="left"/>
              <w:rPr>
                <w:rFonts w:ascii="宋体" w:hAnsi="宋体" w:cs="宋体" w:eastAsia="宋体" w:hint="default"/>
                <w:sz w:val="18"/>
                <w:szCs w:val="18"/>
              </w:rPr>
            </w:pPr>
            <w:r>
              <w:rPr>
                <w:rFonts w:ascii="宋体" w:hAnsi="宋体" w:cs="宋体" w:eastAsia="宋体" w:hint="default"/>
                <w:sz w:val="18"/>
                <w:szCs w:val="18"/>
              </w:rPr>
              <w:t>合同履 约保函</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6" w:right="106" w:hanging="450"/>
              <w:jc w:val="left"/>
              <w:rPr>
                <w:rFonts w:ascii="宋体" w:hAnsi="宋体" w:cs="宋体" w:eastAsia="宋体" w:hint="default"/>
                <w:sz w:val="18"/>
                <w:szCs w:val="18"/>
              </w:rPr>
            </w:pPr>
            <w:r>
              <w:rPr>
                <w:rFonts w:ascii="宋体" w:hAnsi="宋体" w:cs="宋体" w:eastAsia="宋体" w:hint="default"/>
                <w:sz w:val="18"/>
                <w:szCs w:val="18"/>
              </w:rPr>
              <w:t>视合同履行情况 而定</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106"/>
              <w:jc w:val="left"/>
              <w:rPr>
                <w:rFonts w:ascii="宋体" w:hAnsi="宋体" w:cs="宋体" w:eastAsia="宋体" w:hint="default"/>
                <w:sz w:val="18"/>
                <w:szCs w:val="18"/>
              </w:rPr>
            </w:pPr>
            <w:r>
              <w:rPr>
                <w:rFonts w:ascii="宋体" w:hAnsi="宋体" w:cs="宋体" w:eastAsia="宋体" w:hint="default"/>
                <w:sz w:val="18"/>
                <w:szCs w:val="18"/>
              </w:rPr>
              <w:t>对本公司财务 没有重大影响</w:t>
            </w:r>
          </w:p>
        </w:tc>
      </w:tr>
      <w:tr>
        <w:trPr>
          <w:trHeight w:val="491"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6"/>
              <w:jc w:val="left"/>
              <w:rPr>
                <w:rFonts w:ascii="宋体" w:hAnsi="宋体" w:cs="宋体" w:eastAsia="宋体" w:hint="default"/>
                <w:sz w:val="18"/>
                <w:szCs w:val="18"/>
              </w:rPr>
            </w:pPr>
            <w:r>
              <w:rPr>
                <w:rFonts w:ascii="宋体" w:hAnsi="宋体" w:cs="宋体" w:eastAsia="宋体" w:hint="default"/>
                <w:spacing w:val="4"/>
                <w:sz w:val="18"/>
                <w:szCs w:val="18"/>
              </w:rPr>
              <w:t>中国工商银行股份有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限公司广州天河支行</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67,425.00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2008.12.25-2009.11.30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115"/>
              <w:jc w:val="left"/>
              <w:rPr>
                <w:rFonts w:ascii="宋体" w:hAnsi="宋体" w:cs="宋体" w:eastAsia="宋体" w:hint="default"/>
                <w:sz w:val="18"/>
                <w:szCs w:val="18"/>
              </w:rPr>
            </w:pPr>
            <w:r>
              <w:rPr>
                <w:rFonts w:ascii="宋体" w:hAnsi="宋体" w:cs="宋体" w:eastAsia="宋体" w:hint="default"/>
                <w:sz w:val="18"/>
                <w:szCs w:val="18"/>
              </w:rPr>
              <w:t>合同履 约保函</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6" w:right="105" w:hanging="450"/>
              <w:jc w:val="left"/>
              <w:rPr>
                <w:rFonts w:ascii="宋体" w:hAnsi="宋体" w:cs="宋体" w:eastAsia="宋体" w:hint="default"/>
                <w:sz w:val="18"/>
                <w:szCs w:val="18"/>
              </w:rPr>
            </w:pPr>
            <w:r>
              <w:rPr>
                <w:rFonts w:ascii="宋体" w:hAnsi="宋体" w:cs="宋体" w:eastAsia="宋体" w:hint="default"/>
                <w:sz w:val="18"/>
                <w:szCs w:val="18"/>
              </w:rPr>
              <w:t>视合同履行情况 而定</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105"/>
              <w:jc w:val="left"/>
              <w:rPr>
                <w:rFonts w:ascii="宋体" w:hAnsi="宋体" w:cs="宋体" w:eastAsia="宋体" w:hint="default"/>
                <w:sz w:val="18"/>
                <w:szCs w:val="18"/>
              </w:rPr>
            </w:pPr>
            <w:r>
              <w:rPr>
                <w:rFonts w:ascii="宋体" w:hAnsi="宋体" w:cs="宋体" w:eastAsia="宋体" w:hint="default"/>
                <w:sz w:val="18"/>
                <w:szCs w:val="18"/>
              </w:rPr>
              <w:t>对本公司财务 没有重大影响</w:t>
            </w:r>
          </w:p>
        </w:tc>
      </w:tr>
      <w:tr>
        <w:trPr>
          <w:trHeight w:val="490"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6"/>
              <w:jc w:val="left"/>
              <w:rPr>
                <w:rFonts w:ascii="宋体" w:hAnsi="宋体" w:cs="宋体" w:eastAsia="宋体" w:hint="default"/>
                <w:sz w:val="18"/>
                <w:szCs w:val="18"/>
              </w:rPr>
            </w:pPr>
            <w:r>
              <w:rPr>
                <w:rFonts w:ascii="宋体" w:hAnsi="宋体" w:cs="宋体" w:eastAsia="宋体" w:hint="default"/>
                <w:spacing w:val="4"/>
                <w:sz w:val="18"/>
                <w:szCs w:val="18"/>
              </w:rPr>
              <w:t>中国工商银行股份有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限公司广州天河支行</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1,351,875.00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2008.12.25-2009.11.30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115"/>
              <w:jc w:val="left"/>
              <w:rPr>
                <w:rFonts w:ascii="宋体" w:hAnsi="宋体" w:cs="宋体" w:eastAsia="宋体" w:hint="default"/>
                <w:sz w:val="18"/>
                <w:szCs w:val="18"/>
              </w:rPr>
            </w:pPr>
            <w:r>
              <w:rPr>
                <w:rFonts w:ascii="宋体" w:hAnsi="宋体" w:cs="宋体" w:eastAsia="宋体" w:hint="default"/>
                <w:sz w:val="18"/>
                <w:szCs w:val="18"/>
              </w:rPr>
              <w:t>合同履 约保函</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6" w:right="106" w:hanging="450"/>
              <w:jc w:val="left"/>
              <w:rPr>
                <w:rFonts w:ascii="宋体" w:hAnsi="宋体" w:cs="宋体" w:eastAsia="宋体" w:hint="default"/>
                <w:sz w:val="18"/>
                <w:szCs w:val="18"/>
              </w:rPr>
            </w:pPr>
            <w:r>
              <w:rPr>
                <w:rFonts w:ascii="宋体" w:hAnsi="宋体" w:cs="宋体" w:eastAsia="宋体" w:hint="default"/>
                <w:sz w:val="18"/>
                <w:szCs w:val="18"/>
              </w:rPr>
              <w:t>视合同履行情况 而定</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106"/>
              <w:jc w:val="left"/>
              <w:rPr>
                <w:rFonts w:ascii="宋体" w:hAnsi="宋体" w:cs="宋体" w:eastAsia="宋体" w:hint="default"/>
                <w:sz w:val="18"/>
                <w:szCs w:val="18"/>
              </w:rPr>
            </w:pPr>
            <w:r>
              <w:rPr>
                <w:rFonts w:ascii="宋体" w:hAnsi="宋体" w:cs="宋体" w:eastAsia="宋体" w:hint="default"/>
                <w:sz w:val="18"/>
                <w:szCs w:val="18"/>
              </w:rPr>
              <w:t>对本公司财务 没有重大影响</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4"/>
        <w:spacing w:line="240" w:lineRule="auto" w:before="35"/>
        <w:ind w:left="1200" w:right="5060"/>
        <w:jc w:val="left"/>
        <w:rPr>
          <w:b w:val="0"/>
          <w:bCs w:val="0"/>
        </w:rPr>
      </w:pPr>
      <w:r>
        <w:rPr/>
        <w:t>十、承诺事项</w:t>
      </w:r>
      <w:r>
        <w:rPr>
          <w:b w:val="0"/>
          <w:bCs w:val="0"/>
        </w:rPr>
      </w:r>
    </w:p>
    <w:p>
      <w:pPr>
        <w:pStyle w:val="Heading4"/>
        <w:spacing w:line="240" w:lineRule="auto" w:before="125"/>
        <w:ind w:left="1200" w:right="546"/>
        <w:jc w:val="left"/>
        <w:rPr>
          <w:b w:val="0"/>
          <w:bCs w:val="0"/>
        </w:rPr>
      </w:pPr>
      <w:r>
        <w:rPr/>
        <w:t>（一）已签订的尚未履行或尚未完全履行的对外投资合同及有关财务支出</w:t>
      </w:r>
      <w:r>
        <w:rPr>
          <w:b w:val="0"/>
          <w:bCs w:val="0"/>
        </w:rPr>
      </w:r>
    </w:p>
    <w:p>
      <w:pPr>
        <w:pStyle w:val="BodyText"/>
        <w:spacing w:line="240" w:lineRule="auto" w:before="125"/>
        <w:ind w:left="1200" w:right="546"/>
        <w:jc w:val="left"/>
      </w:pPr>
      <w:r>
        <w:rPr/>
        <w:t>2007</w:t>
      </w:r>
      <w:r>
        <w:rPr>
          <w:spacing w:val="7"/>
        </w:rPr>
        <w:t> </w:t>
      </w:r>
      <w:r>
        <w:rPr/>
        <w:t>年，位于广州高新技术产业开发区科学城科林路以北的广电运通生产基地工程开</w:t>
      </w:r>
    </w:p>
    <w:p>
      <w:pPr>
        <w:pStyle w:val="BodyText"/>
        <w:spacing w:line="240" w:lineRule="auto" w:before="126"/>
        <w:ind w:left="780" w:right="546"/>
        <w:jc w:val="left"/>
      </w:pPr>
      <w:r>
        <w:rPr/>
        <w:t>工建设，项目固定资产投资或建设资金预算投资</w:t>
      </w:r>
      <w:r>
        <w:rPr>
          <w:spacing w:val="-54"/>
        </w:rPr>
        <w:t> </w:t>
      </w:r>
      <w:r>
        <w:rPr>
          <w:rFonts w:ascii="Times New Roman" w:hAnsi="Times New Roman" w:cs="Times New Roman" w:eastAsia="Times New Roman" w:hint="default"/>
        </w:rPr>
        <w:t>20,024.49</w:t>
      </w:r>
      <w:r>
        <w:rPr>
          <w:rFonts w:ascii="Times New Roman" w:hAnsi="Times New Roman" w:cs="Times New Roman" w:eastAsia="Times New Roman" w:hint="default"/>
          <w:spacing w:val="-2"/>
        </w:rPr>
        <w:t> </w:t>
      </w:r>
      <w:r>
        <w:rPr/>
        <w:t>万元，截止</w:t>
      </w:r>
      <w:r>
        <w:rPr>
          <w:spacing w:val="-54"/>
        </w:rPr>
        <w:t> </w:t>
      </w:r>
      <w:r>
        <w:rPr/>
        <w:t>2008</w:t>
      </w:r>
      <w:r>
        <w:rPr>
          <w:spacing w:val="-53"/>
        </w:rPr>
        <w:t> </w:t>
      </w:r>
      <w:r>
        <w:rPr/>
        <w:t>年</w:t>
      </w:r>
      <w:r>
        <w:rPr>
          <w:spacing w:val="-55"/>
        </w:rPr>
        <w:t> </w:t>
      </w:r>
      <w:r>
        <w:rPr/>
        <w:t>12</w:t>
      </w:r>
      <w:r>
        <w:rPr>
          <w:spacing w:val="-54"/>
        </w:rPr>
        <w:t> </w:t>
      </w:r>
      <w:r>
        <w:rPr/>
        <w:t>月</w:t>
      </w:r>
      <w:r>
        <w:rPr>
          <w:spacing w:val="-55"/>
        </w:rPr>
        <w:t> </w:t>
      </w:r>
      <w:r>
        <w:rPr/>
        <w:t>31</w:t>
      </w:r>
      <w:r>
        <w:rPr>
          <w:spacing w:val="-53"/>
        </w:rPr>
        <w:t> </w:t>
      </w:r>
      <w:r>
        <w:rPr/>
        <w:t>日，</w:t>
      </w:r>
    </w:p>
    <w:p>
      <w:pPr>
        <w:spacing w:after="0" w:line="240" w:lineRule="auto"/>
        <w:jc w:val="left"/>
        <w:sectPr>
          <w:pgSz w:w="11910" w:h="16840"/>
          <w:pgMar w:header="400" w:footer="982" w:top="1100" w:bottom="1180" w:left="1020" w:right="1020"/>
        </w:sectPr>
      </w:pPr>
    </w:p>
    <w:p>
      <w:pPr>
        <w:spacing w:line="240" w:lineRule="auto" w:before="12"/>
        <w:rPr>
          <w:rFonts w:ascii="宋体" w:hAnsi="宋体" w:cs="宋体" w:eastAsia="宋体" w:hint="default"/>
          <w:sz w:val="28"/>
          <w:szCs w:val="28"/>
        </w:rPr>
      </w:pPr>
    </w:p>
    <w:p>
      <w:pPr>
        <w:pStyle w:val="BodyText"/>
        <w:spacing w:line="240" w:lineRule="auto" w:before="35"/>
        <w:ind w:right="0"/>
        <w:jc w:val="both"/>
      </w:pPr>
      <w:r>
        <w:rPr/>
        <w:t>已签订项目相关的合同总额为</w:t>
      </w:r>
      <w:r>
        <w:rPr>
          <w:spacing w:val="-55"/>
        </w:rPr>
        <w:t> </w:t>
      </w:r>
      <w:r>
        <w:rPr>
          <w:rFonts w:ascii="Times New Roman" w:hAnsi="Times New Roman" w:cs="Times New Roman" w:eastAsia="Times New Roman" w:hint="default"/>
        </w:rPr>
        <w:t>12,303.17</w:t>
      </w:r>
      <w:r>
        <w:rPr>
          <w:rFonts w:ascii="Times New Roman" w:hAnsi="Times New Roman" w:cs="Times New Roman" w:eastAsia="Times New Roman" w:hint="default"/>
          <w:spacing w:val="-2"/>
        </w:rPr>
        <w:t> </w:t>
      </w:r>
      <w:r>
        <w:rPr>
          <w:spacing w:val="-5"/>
        </w:rPr>
        <w:t>万元，已支付相关款项</w:t>
      </w:r>
      <w:r>
        <w:rPr>
          <w:spacing w:val="-55"/>
        </w:rPr>
        <w:t> </w:t>
      </w:r>
      <w:r>
        <w:rPr>
          <w:rFonts w:ascii="Times New Roman" w:hAnsi="Times New Roman" w:cs="Times New Roman" w:eastAsia="Times New Roman" w:hint="default"/>
        </w:rPr>
        <w:t>10,042.06</w:t>
      </w:r>
      <w:r>
        <w:rPr>
          <w:rFonts w:ascii="Times New Roman" w:hAnsi="Times New Roman" w:cs="Times New Roman" w:eastAsia="Times New Roman" w:hint="default"/>
          <w:spacing w:val="-3"/>
        </w:rPr>
        <w:t> </w:t>
      </w:r>
      <w:r>
        <w:rPr>
          <w:spacing w:val="-6"/>
        </w:rPr>
        <w:t>万元，以后年度将</w:t>
      </w:r>
    </w:p>
    <w:p>
      <w:pPr>
        <w:pStyle w:val="BodyText"/>
        <w:spacing w:line="240" w:lineRule="auto" w:before="109"/>
        <w:ind w:right="0"/>
        <w:jc w:val="both"/>
      </w:pPr>
      <w:r>
        <w:rPr/>
        <w:t>要支出的合同金额为</w:t>
      </w:r>
      <w:r>
        <w:rPr>
          <w:spacing w:val="-59"/>
        </w:rPr>
        <w:t> </w:t>
      </w:r>
      <w:r>
        <w:rPr>
          <w:rFonts w:ascii="Times New Roman" w:hAnsi="Times New Roman" w:cs="Times New Roman" w:eastAsia="Times New Roman" w:hint="default"/>
        </w:rPr>
        <w:t>2,261.11</w:t>
      </w:r>
      <w:r>
        <w:rPr>
          <w:rFonts w:ascii="Times New Roman" w:hAnsi="Times New Roman" w:cs="Times New Roman" w:eastAsia="Times New Roman" w:hint="default"/>
          <w:spacing w:val="-6"/>
        </w:rPr>
        <w:t> </w:t>
      </w:r>
      <w:r>
        <w:rPr/>
        <w:t>万元。</w:t>
      </w:r>
    </w:p>
    <w:p>
      <w:pPr>
        <w:spacing w:line="348" w:lineRule="auto" w:before="110"/>
        <w:ind w:left="559" w:right="1090" w:firstLine="0"/>
        <w:jc w:val="left"/>
        <w:rPr>
          <w:rFonts w:ascii="宋体" w:hAnsi="宋体" w:cs="宋体" w:eastAsia="宋体" w:hint="default"/>
          <w:sz w:val="21"/>
          <w:szCs w:val="21"/>
        </w:rPr>
      </w:pPr>
      <w:r>
        <w:rPr>
          <w:rFonts w:ascii="宋体" w:hAnsi="宋体" w:cs="宋体" w:eastAsia="宋体" w:hint="default"/>
          <w:b/>
          <w:bCs/>
          <w:w w:val="95"/>
          <w:sz w:val="21"/>
          <w:szCs w:val="21"/>
        </w:rPr>
        <w:t>（二）已签订的正在或准备履行的大额发包合同及财务影响。</w:t>
      </w:r>
      <w:r>
        <w:rPr>
          <w:rFonts w:ascii="宋体" w:hAnsi="宋体" w:cs="宋体" w:eastAsia="宋体" w:hint="default"/>
          <w:b/>
          <w:bCs/>
          <w:spacing w:val="68"/>
          <w:w w:val="95"/>
          <w:sz w:val="21"/>
          <w:szCs w:val="21"/>
        </w:rPr>
        <w:t> </w:t>
      </w:r>
      <w:r>
        <w:rPr>
          <w:rFonts w:ascii="宋体" w:hAnsi="宋体" w:cs="宋体" w:eastAsia="宋体" w:hint="default"/>
          <w:b/>
          <w:bCs/>
          <w:spacing w:val="68"/>
          <w:w w:val="95"/>
          <w:sz w:val="21"/>
          <w:szCs w:val="21"/>
        </w:rPr>
      </w:r>
      <w:r>
        <w:rPr>
          <w:rFonts w:ascii="宋体" w:hAnsi="宋体" w:cs="宋体" w:eastAsia="宋体" w:hint="default"/>
          <w:sz w:val="21"/>
          <w:szCs w:val="21"/>
        </w:rPr>
        <w:t>本年度本公司未发生此事项。</w:t>
      </w:r>
    </w:p>
    <w:p>
      <w:pPr>
        <w:spacing w:line="350" w:lineRule="auto" w:before="30"/>
        <w:ind w:left="559" w:right="1090" w:firstLine="0"/>
        <w:jc w:val="left"/>
        <w:rPr>
          <w:rFonts w:ascii="宋体" w:hAnsi="宋体" w:cs="宋体" w:eastAsia="宋体" w:hint="default"/>
          <w:sz w:val="21"/>
          <w:szCs w:val="21"/>
        </w:rPr>
      </w:pPr>
      <w:r>
        <w:rPr>
          <w:rFonts w:ascii="宋体" w:hAnsi="宋体" w:cs="宋体" w:eastAsia="宋体" w:hint="default"/>
          <w:b/>
          <w:bCs/>
          <w:w w:val="95"/>
          <w:sz w:val="21"/>
          <w:szCs w:val="21"/>
        </w:rPr>
        <w:t>（三）已签订的正在或准备履行的租赁合同及财务影响。</w:t>
      </w:r>
      <w:r>
        <w:rPr>
          <w:rFonts w:ascii="宋体" w:hAnsi="宋体" w:cs="宋体" w:eastAsia="宋体" w:hint="default"/>
          <w:b/>
          <w:bCs/>
          <w:spacing w:val="47"/>
          <w:w w:val="95"/>
          <w:sz w:val="21"/>
          <w:szCs w:val="21"/>
        </w:rPr>
        <w:t> </w:t>
      </w:r>
      <w:r>
        <w:rPr>
          <w:rFonts w:ascii="宋体" w:hAnsi="宋体" w:cs="宋体" w:eastAsia="宋体" w:hint="default"/>
          <w:b/>
          <w:bCs/>
          <w:spacing w:val="47"/>
          <w:w w:val="95"/>
          <w:sz w:val="21"/>
          <w:szCs w:val="21"/>
        </w:rPr>
      </w:r>
      <w:r>
        <w:rPr>
          <w:rFonts w:ascii="宋体" w:hAnsi="宋体" w:cs="宋体" w:eastAsia="宋体" w:hint="default"/>
          <w:sz w:val="21"/>
          <w:szCs w:val="21"/>
        </w:rPr>
        <w:t>本年度本公司未发生此事项。</w:t>
      </w:r>
    </w:p>
    <w:p>
      <w:pPr>
        <w:spacing w:line="348" w:lineRule="auto" w:before="28"/>
        <w:ind w:left="559" w:right="3999" w:firstLine="0"/>
        <w:jc w:val="left"/>
        <w:rPr>
          <w:rFonts w:ascii="宋体" w:hAnsi="宋体" w:cs="宋体" w:eastAsia="宋体" w:hint="default"/>
          <w:sz w:val="21"/>
          <w:szCs w:val="21"/>
        </w:rPr>
      </w:pPr>
      <w:r>
        <w:rPr>
          <w:rFonts w:ascii="宋体" w:hAnsi="宋体" w:cs="宋体" w:eastAsia="宋体" w:hint="default"/>
          <w:b/>
          <w:bCs/>
          <w:sz w:val="21"/>
          <w:szCs w:val="21"/>
        </w:rPr>
        <w:t>（四）已签订的正在或准备履行的并购协议</w:t>
      </w:r>
      <w:r>
        <w:rPr>
          <w:rFonts w:ascii="宋体" w:hAnsi="宋体" w:cs="宋体" w:eastAsia="宋体" w:hint="default"/>
          <w:b/>
          <w:bCs/>
          <w:spacing w:val="1"/>
          <w:w w:val="99"/>
          <w:sz w:val="21"/>
          <w:szCs w:val="21"/>
        </w:rPr>
        <w:t> </w:t>
      </w:r>
      <w:r>
        <w:rPr>
          <w:rFonts w:ascii="宋体" w:hAnsi="宋体" w:cs="宋体" w:eastAsia="宋体" w:hint="default"/>
          <w:sz w:val="21"/>
          <w:szCs w:val="21"/>
        </w:rPr>
        <w:t>本年度本公司未发生此事项。</w:t>
      </w:r>
    </w:p>
    <w:p>
      <w:pPr>
        <w:spacing w:line="348" w:lineRule="auto" w:before="31"/>
        <w:ind w:left="559" w:right="3999" w:firstLine="0"/>
        <w:jc w:val="left"/>
        <w:rPr>
          <w:rFonts w:ascii="宋体" w:hAnsi="宋体" w:cs="宋体" w:eastAsia="宋体" w:hint="default"/>
          <w:sz w:val="21"/>
          <w:szCs w:val="21"/>
        </w:rPr>
      </w:pPr>
      <w:r>
        <w:rPr>
          <w:rFonts w:ascii="宋体" w:hAnsi="宋体" w:cs="宋体" w:eastAsia="宋体" w:hint="default"/>
          <w:b/>
          <w:bCs/>
          <w:sz w:val="21"/>
          <w:szCs w:val="21"/>
        </w:rPr>
        <w:t>（五）已签订的正在或准备履行的重组计划</w:t>
      </w:r>
      <w:r>
        <w:rPr>
          <w:rFonts w:ascii="宋体" w:hAnsi="宋体" w:cs="宋体" w:eastAsia="宋体" w:hint="default"/>
          <w:b/>
          <w:bCs/>
          <w:spacing w:val="1"/>
          <w:w w:val="99"/>
          <w:sz w:val="21"/>
          <w:szCs w:val="21"/>
        </w:rPr>
        <w:t> </w:t>
      </w:r>
      <w:r>
        <w:rPr>
          <w:rFonts w:ascii="宋体" w:hAnsi="宋体" w:cs="宋体" w:eastAsia="宋体" w:hint="default"/>
          <w:sz w:val="21"/>
          <w:szCs w:val="21"/>
        </w:rPr>
        <w:t>本年度本公司未发生此事项。</w:t>
      </w:r>
    </w:p>
    <w:p>
      <w:pPr>
        <w:spacing w:line="350" w:lineRule="auto" w:before="30"/>
        <w:ind w:left="559" w:right="5264" w:firstLine="0"/>
        <w:jc w:val="left"/>
        <w:rPr>
          <w:rFonts w:ascii="宋体" w:hAnsi="宋体" w:cs="宋体" w:eastAsia="宋体" w:hint="default"/>
          <w:sz w:val="21"/>
          <w:szCs w:val="21"/>
        </w:rPr>
      </w:pPr>
      <w:r>
        <w:rPr>
          <w:rFonts w:ascii="宋体" w:hAnsi="宋体" w:cs="宋体" w:eastAsia="宋体" w:hint="default"/>
          <w:b/>
          <w:bCs/>
          <w:sz w:val="21"/>
          <w:szCs w:val="21"/>
        </w:rPr>
        <w:t>（六）其他重大财务承诺事项</w:t>
      </w:r>
      <w:r>
        <w:rPr>
          <w:rFonts w:ascii="宋体" w:hAnsi="宋体" w:cs="宋体" w:eastAsia="宋体" w:hint="default"/>
          <w:b/>
          <w:bCs/>
          <w:spacing w:val="1"/>
          <w:w w:val="99"/>
          <w:sz w:val="21"/>
          <w:szCs w:val="21"/>
        </w:rPr>
        <w:t> </w:t>
      </w:r>
      <w:r>
        <w:rPr>
          <w:rFonts w:ascii="宋体" w:hAnsi="宋体" w:cs="宋体" w:eastAsia="宋体" w:hint="default"/>
          <w:sz w:val="21"/>
          <w:szCs w:val="21"/>
        </w:rPr>
        <w:t>本年度本公司未发生此事项。</w:t>
      </w:r>
    </w:p>
    <w:p>
      <w:pPr>
        <w:spacing w:line="348" w:lineRule="auto" w:before="28"/>
        <w:ind w:left="559" w:right="5275" w:firstLine="0"/>
        <w:jc w:val="left"/>
        <w:rPr>
          <w:rFonts w:ascii="宋体" w:hAnsi="宋体" w:cs="宋体" w:eastAsia="宋体" w:hint="default"/>
          <w:sz w:val="21"/>
          <w:szCs w:val="21"/>
        </w:rPr>
      </w:pPr>
      <w:r>
        <w:rPr>
          <w:rFonts w:ascii="宋体" w:hAnsi="宋体" w:cs="宋体" w:eastAsia="宋体" w:hint="default"/>
          <w:b/>
          <w:bCs/>
          <w:sz w:val="21"/>
          <w:szCs w:val="21"/>
        </w:rPr>
        <w:t>（七）前期承诺的履行情况</w:t>
      </w:r>
      <w:r>
        <w:rPr>
          <w:rFonts w:ascii="宋体" w:hAnsi="宋体" w:cs="宋体" w:eastAsia="宋体" w:hint="default"/>
          <w:b/>
          <w:bCs/>
          <w:spacing w:val="1"/>
          <w:w w:val="99"/>
          <w:sz w:val="21"/>
          <w:szCs w:val="21"/>
        </w:rPr>
        <w:t> </w:t>
      </w:r>
      <w:r>
        <w:rPr>
          <w:rFonts w:ascii="宋体" w:hAnsi="宋体" w:cs="宋体" w:eastAsia="宋体" w:hint="default"/>
          <w:sz w:val="21"/>
          <w:szCs w:val="21"/>
        </w:rPr>
        <w:t>本年度本公司未发生此事项。</w:t>
      </w:r>
    </w:p>
    <w:p>
      <w:pPr>
        <w:spacing w:line="240" w:lineRule="auto" w:before="0"/>
        <w:rPr>
          <w:rFonts w:ascii="宋体" w:hAnsi="宋体" w:cs="宋体" w:eastAsia="宋体" w:hint="default"/>
          <w:sz w:val="20"/>
          <w:szCs w:val="20"/>
        </w:rPr>
      </w:pPr>
    </w:p>
    <w:p>
      <w:pPr>
        <w:pStyle w:val="Heading4"/>
        <w:spacing w:line="240" w:lineRule="auto" w:before="169"/>
        <w:ind w:left="559" w:right="1090"/>
        <w:jc w:val="left"/>
        <w:rPr>
          <w:b w:val="0"/>
          <w:bCs w:val="0"/>
        </w:rPr>
      </w:pPr>
      <w:r>
        <w:rPr/>
        <w:t>十一、资产负债表日后事项</w:t>
      </w:r>
      <w:r>
        <w:rPr>
          <w:b w:val="0"/>
          <w:bCs w:val="0"/>
        </w:rPr>
      </w:r>
    </w:p>
    <w:p>
      <w:pPr>
        <w:spacing w:line="350" w:lineRule="auto" w:before="125"/>
        <w:ind w:left="559" w:right="135" w:firstLine="0"/>
        <w:jc w:val="left"/>
        <w:rPr>
          <w:rFonts w:ascii="宋体" w:hAnsi="宋体" w:cs="宋体" w:eastAsia="宋体" w:hint="default"/>
          <w:sz w:val="21"/>
          <w:szCs w:val="21"/>
        </w:rPr>
      </w:pPr>
      <w:r>
        <w:rPr>
          <w:rFonts w:ascii="宋体" w:hAnsi="宋体" w:cs="宋体" w:eastAsia="宋体" w:hint="default"/>
          <w:b/>
          <w:bCs/>
          <w:sz w:val="21"/>
          <w:szCs w:val="21"/>
        </w:rPr>
        <w:t>（一）资产负债表日后公司利润分配方案</w:t>
      </w:r>
      <w:r>
        <w:rPr>
          <w:rFonts w:ascii="宋体" w:hAnsi="宋体" w:cs="宋体" w:eastAsia="宋体" w:hint="default"/>
          <w:b/>
          <w:bCs/>
          <w:spacing w:val="1"/>
          <w:w w:val="99"/>
          <w:sz w:val="21"/>
          <w:szCs w:val="21"/>
        </w:rPr>
        <w:t> </w:t>
      </w:r>
      <w:r>
        <w:rPr>
          <w:rFonts w:ascii="宋体" w:hAnsi="宋体" w:cs="宋体" w:eastAsia="宋体" w:hint="default"/>
          <w:sz w:val="21"/>
          <w:szCs w:val="21"/>
        </w:rPr>
        <w:t>根据公司第二届董事会第二次会议决议，2008</w:t>
      </w:r>
      <w:r>
        <w:rPr>
          <w:rFonts w:ascii="宋体" w:hAnsi="宋体" w:cs="宋体" w:eastAsia="宋体" w:hint="default"/>
          <w:spacing w:val="-65"/>
          <w:sz w:val="21"/>
          <w:szCs w:val="21"/>
        </w:rPr>
        <w:t> </w:t>
      </w:r>
      <w:r>
        <w:rPr>
          <w:rFonts w:ascii="宋体" w:hAnsi="宋体" w:cs="宋体" w:eastAsia="宋体" w:hint="default"/>
          <w:spacing w:val="-3"/>
          <w:sz w:val="21"/>
          <w:szCs w:val="21"/>
        </w:rPr>
        <w:t>年度利润分配预案为：公司拟按</w:t>
      </w:r>
      <w:r>
        <w:rPr>
          <w:rFonts w:ascii="宋体" w:hAnsi="宋体" w:cs="宋体" w:eastAsia="宋体" w:hint="default"/>
          <w:spacing w:val="-65"/>
          <w:sz w:val="21"/>
          <w:szCs w:val="21"/>
        </w:rPr>
        <w:t> </w:t>
      </w:r>
      <w:r>
        <w:rPr>
          <w:rFonts w:ascii="宋体" w:hAnsi="宋体" w:cs="宋体" w:eastAsia="宋体" w:hint="default"/>
          <w:sz w:val="21"/>
          <w:szCs w:val="21"/>
        </w:rPr>
        <w:t>2008</w:t>
      </w:r>
      <w:r>
        <w:rPr>
          <w:rFonts w:ascii="宋体" w:hAnsi="宋体" w:cs="宋体" w:eastAsia="宋体" w:hint="default"/>
          <w:spacing w:val="-64"/>
          <w:sz w:val="21"/>
          <w:szCs w:val="21"/>
        </w:rPr>
        <w:t> </w:t>
      </w:r>
      <w:r>
        <w:rPr>
          <w:rFonts w:ascii="宋体" w:hAnsi="宋体" w:cs="宋体" w:eastAsia="宋体" w:hint="default"/>
          <w:sz w:val="21"/>
          <w:szCs w:val="21"/>
        </w:rPr>
        <w:t>年</w:t>
      </w:r>
    </w:p>
    <w:p>
      <w:pPr>
        <w:pStyle w:val="BodyText"/>
        <w:spacing w:line="350" w:lineRule="auto" w:before="28"/>
        <w:ind w:left="139" w:right="134"/>
        <w:jc w:val="both"/>
      </w:pPr>
      <w:r>
        <w:rPr/>
        <w:t>度实现净利润的</w:t>
      </w:r>
      <w:r>
        <w:rPr>
          <w:spacing w:val="-34"/>
        </w:rPr>
        <w:t> </w:t>
      </w:r>
      <w:r>
        <w:rPr/>
        <w:t>10%提取盈余公积，以</w:t>
      </w:r>
      <w:r>
        <w:rPr>
          <w:spacing w:val="-34"/>
        </w:rPr>
        <w:t> </w:t>
      </w:r>
      <w:r>
        <w:rPr/>
        <w:t>2008</w:t>
      </w:r>
      <w:r>
        <w:rPr>
          <w:spacing w:val="-34"/>
        </w:rPr>
        <w:t> </w:t>
      </w:r>
      <w:r>
        <w:rPr/>
        <w:t>年末总股本为基数，以资本公积向全体股东每</w:t>
      </w:r>
      <w:r>
        <w:rPr/>
        <w:t> 10</w:t>
      </w:r>
      <w:r>
        <w:rPr>
          <w:spacing w:val="-53"/>
        </w:rPr>
        <w:t> </w:t>
      </w:r>
      <w:r>
        <w:rPr/>
        <w:t>股转增</w:t>
      </w:r>
      <w:r>
        <w:rPr>
          <w:spacing w:val="-54"/>
        </w:rPr>
        <w:t> </w:t>
      </w:r>
      <w:r>
        <w:rPr/>
        <w:t>2</w:t>
      </w:r>
      <w:r>
        <w:rPr>
          <w:spacing w:val="-54"/>
        </w:rPr>
        <w:t> </w:t>
      </w:r>
      <w:r>
        <w:rPr/>
        <w:t>股股本，同时向全体股东每</w:t>
      </w:r>
      <w:r>
        <w:rPr>
          <w:spacing w:val="-54"/>
        </w:rPr>
        <w:t> </w:t>
      </w:r>
      <w:r>
        <w:rPr/>
        <w:t>10</w:t>
      </w:r>
      <w:r>
        <w:rPr>
          <w:spacing w:val="-53"/>
        </w:rPr>
        <w:t> </w:t>
      </w:r>
      <w:r>
        <w:rPr/>
        <w:t>股派发现金</w:t>
      </w:r>
      <w:r>
        <w:rPr>
          <w:spacing w:val="-54"/>
        </w:rPr>
        <w:t> </w:t>
      </w:r>
      <w:r>
        <w:rPr/>
        <w:t>2</w:t>
      </w:r>
      <w:r>
        <w:rPr>
          <w:spacing w:val="-53"/>
        </w:rPr>
        <w:t> </w:t>
      </w:r>
      <w:r>
        <w:rPr>
          <w:spacing w:val="-3"/>
        </w:rPr>
        <w:t>元（含税）的现金股利，上述预案</w:t>
      </w:r>
      <w:r>
        <w:rPr/>
        <w:t> 尚需经股东大会批准。</w:t>
      </w:r>
    </w:p>
    <w:p>
      <w:pPr>
        <w:spacing w:line="348" w:lineRule="auto" w:before="28"/>
        <w:ind w:left="559" w:right="3367" w:firstLine="0"/>
        <w:jc w:val="left"/>
        <w:rPr>
          <w:rFonts w:ascii="宋体" w:hAnsi="宋体" w:cs="宋体" w:eastAsia="宋体" w:hint="default"/>
          <w:sz w:val="21"/>
          <w:szCs w:val="21"/>
        </w:rPr>
      </w:pPr>
      <w:r>
        <w:rPr>
          <w:rFonts w:ascii="宋体" w:hAnsi="宋体" w:cs="宋体" w:eastAsia="宋体" w:hint="default"/>
          <w:b/>
          <w:bCs/>
          <w:sz w:val="21"/>
          <w:szCs w:val="21"/>
        </w:rPr>
        <w:t>（二）资产负债表日后发生重大诉讼、仲裁、承诺</w:t>
      </w:r>
      <w:r>
        <w:rPr>
          <w:rFonts w:ascii="宋体" w:hAnsi="宋体" w:cs="宋体" w:eastAsia="宋体" w:hint="default"/>
          <w:b/>
          <w:bCs/>
          <w:spacing w:val="1"/>
          <w:w w:val="99"/>
          <w:sz w:val="21"/>
          <w:szCs w:val="21"/>
        </w:rPr>
        <w:t> </w:t>
      </w:r>
      <w:r>
        <w:rPr>
          <w:rFonts w:ascii="宋体" w:hAnsi="宋体" w:cs="宋体" w:eastAsia="宋体" w:hint="default"/>
          <w:sz w:val="21"/>
          <w:szCs w:val="21"/>
        </w:rPr>
        <w:t>本年度本公司未发生此事项。</w:t>
      </w:r>
    </w:p>
    <w:p>
      <w:pPr>
        <w:spacing w:line="348" w:lineRule="auto" w:before="31"/>
        <w:ind w:left="559" w:right="1090" w:firstLine="0"/>
        <w:jc w:val="left"/>
        <w:rPr>
          <w:rFonts w:ascii="宋体" w:hAnsi="宋体" w:cs="宋体" w:eastAsia="宋体" w:hint="default"/>
          <w:sz w:val="21"/>
          <w:szCs w:val="21"/>
        </w:rPr>
      </w:pPr>
      <w:r>
        <w:rPr>
          <w:rFonts w:ascii="宋体" w:hAnsi="宋体" w:cs="宋体" w:eastAsia="宋体" w:hint="default"/>
          <w:b/>
          <w:bCs/>
          <w:w w:val="95"/>
          <w:sz w:val="21"/>
          <w:szCs w:val="21"/>
        </w:rPr>
        <w:t>（三）资产负债表日后资产价格、税收政策、外汇汇率的重大变化</w:t>
      </w:r>
      <w:r>
        <w:rPr>
          <w:rFonts w:ascii="宋体" w:hAnsi="宋体" w:cs="宋体" w:eastAsia="宋体" w:hint="default"/>
          <w:b/>
          <w:bCs/>
          <w:spacing w:val="89"/>
          <w:w w:val="95"/>
          <w:sz w:val="21"/>
          <w:szCs w:val="21"/>
        </w:rPr>
        <w:t> </w:t>
      </w:r>
      <w:r>
        <w:rPr>
          <w:rFonts w:ascii="宋体" w:hAnsi="宋体" w:cs="宋体" w:eastAsia="宋体" w:hint="default"/>
          <w:b/>
          <w:bCs/>
          <w:spacing w:val="89"/>
          <w:w w:val="95"/>
          <w:sz w:val="21"/>
          <w:szCs w:val="21"/>
        </w:rPr>
      </w:r>
      <w:r>
        <w:rPr>
          <w:rFonts w:ascii="宋体" w:hAnsi="宋体" w:cs="宋体" w:eastAsia="宋体" w:hint="default"/>
          <w:sz w:val="21"/>
          <w:szCs w:val="21"/>
        </w:rPr>
        <w:t>本年度本公司未发生此事项。</w:t>
      </w:r>
    </w:p>
    <w:p>
      <w:pPr>
        <w:spacing w:line="350" w:lineRule="auto" w:before="30"/>
        <w:ind w:left="559" w:right="1090" w:firstLine="0"/>
        <w:jc w:val="left"/>
        <w:rPr>
          <w:rFonts w:ascii="宋体" w:hAnsi="宋体" w:cs="宋体" w:eastAsia="宋体" w:hint="default"/>
          <w:sz w:val="21"/>
          <w:szCs w:val="21"/>
        </w:rPr>
      </w:pPr>
      <w:r>
        <w:rPr>
          <w:rFonts w:ascii="宋体" w:hAnsi="宋体" w:cs="宋体" w:eastAsia="宋体" w:hint="default"/>
          <w:b/>
          <w:bCs/>
          <w:w w:val="95"/>
          <w:sz w:val="21"/>
          <w:szCs w:val="21"/>
        </w:rPr>
        <w:t>（四）资产负债表日后因自然灾害导致资产发生重大损失</w:t>
      </w:r>
      <w:r>
        <w:rPr>
          <w:rFonts w:ascii="宋体" w:hAnsi="宋体" w:cs="宋体" w:eastAsia="宋体" w:hint="default"/>
          <w:b/>
          <w:bCs/>
          <w:spacing w:val="47"/>
          <w:w w:val="95"/>
          <w:sz w:val="21"/>
          <w:szCs w:val="21"/>
        </w:rPr>
        <w:t> </w:t>
      </w:r>
      <w:r>
        <w:rPr>
          <w:rFonts w:ascii="宋体" w:hAnsi="宋体" w:cs="宋体" w:eastAsia="宋体" w:hint="default"/>
          <w:b/>
          <w:bCs/>
          <w:spacing w:val="47"/>
          <w:w w:val="95"/>
          <w:sz w:val="21"/>
          <w:szCs w:val="21"/>
        </w:rPr>
      </w:r>
      <w:r>
        <w:rPr>
          <w:rFonts w:ascii="宋体" w:hAnsi="宋体" w:cs="宋体" w:eastAsia="宋体" w:hint="default"/>
          <w:sz w:val="21"/>
          <w:szCs w:val="21"/>
        </w:rPr>
        <w:t>本年度本公司未发生此事项。</w:t>
      </w:r>
    </w:p>
    <w:p>
      <w:pPr>
        <w:spacing w:line="348" w:lineRule="auto" w:before="28"/>
        <w:ind w:left="559" w:right="1090" w:firstLine="0"/>
        <w:jc w:val="left"/>
        <w:rPr>
          <w:rFonts w:ascii="宋体" w:hAnsi="宋体" w:cs="宋体" w:eastAsia="宋体" w:hint="default"/>
          <w:sz w:val="21"/>
          <w:szCs w:val="21"/>
        </w:rPr>
      </w:pPr>
      <w:r>
        <w:rPr>
          <w:rFonts w:ascii="宋体" w:hAnsi="宋体" w:cs="宋体" w:eastAsia="宋体" w:hint="default"/>
          <w:b/>
          <w:bCs/>
          <w:w w:val="95"/>
          <w:sz w:val="21"/>
          <w:szCs w:val="21"/>
        </w:rPr>
        <w:t>（五）资产负债表日后发行股票和债券以及其他巨额举债</w:t>
      </w:r>
      <w:r>
        <w:rPr>
          <w:rFonts w:ascii="宋体" w:hAnsi="宋体" w:cs="宋体" w:eastAsia="宋体" w:hint="default"/>
          <w:b/>
          <w:bCs/>
          <w:spacing w:val="47"/>
          <w:w w:val="95"/>
          <w:sz w:val="21"/>
          <w:szCs w:val="21"/>
        </w:rPr>
        <w:t> </w:t>
      </w:r>
      <w:r>
        <w:rPr>
          <w:rFonts w:ascii="宋体" w:hAnsi="宋体" w:cs="宋体" w:eastAsia="宋体" w:hint="default"/>
          <w:b/>
          <w:bCs/>
          <w:spacing w:val="47"/>
          <w:w w:val="95"/>
          <w:sz w:val="21"/>
          <w:szCs w:val="21"/>
        </w:rPr>
      </w:r>
      <w:r>
        <w:rPr>
          <w:rFonts w:ascii="宋体" w:hAnsi="宋体" w:cs="宋体" w:eastAsia="宋体" w:hint="default"/>
          <w:sz w:val="21"/>
          <w:szCs w:val="21"/>
        </w:rPr>
        <w:t>本年度本公司未发生此事项。</w:t>
      </w:r>
    </w:p>
    <w:p>
      <w:pPr>
        <w:spacing w:line="348" w:lineRule="auto" w:before="31"/>
        <w:ind w:left="559" w:right="4210" w:firstLine="0"/>
        <w:jc w:val="left"/>
        <w:rPr>
          <w:rFonts w:ascii="宋体" w:hAnsi="宋体" w:cs="宋体" w:eastAsia="宋体" w:hint="default"/>
          <w:sz w:val="21"/>
          <w:szCs w:val="21"/>
        </w:rPr>
      </w:pPr>
      <w:r>
        <w:rPr>
          <w:rFonts w:ascii="宋体" w:hAnsi="宋体" w:cs="宋体" w:eastAsia="宋体" w:hint="default"/>
          <w:b/>
          <w:bCs/>
          <w:sz w:val="21"/>
          <w:szCs w:val="21"/>
        </w:rPr>
        <w:t>（六）资产负债表日后资本公积转增资本</w:t>
      </w:r>
      <w:r>
        <w:rPr>
          <w:rFonts w:ascii="宋体" w:hAnsi="宋体" w:cs="宋体" w:eastAsia="宋体" w:hint="default"/>
          <w:b/>
          <w:bCs/>
          <w:spacing w:val="1"/>
          <w:w w:val="99"/>
          <w:sz w:val="21"/>
          <w:szCs w:val="21"/>
        </w:rPr>
        <w:t> </w:t>
      </w:r>
      <w:r>
        <w:rPr>
          <w:rFonts w:ascii="宋体" w:hAnsi="宋体" w:cs="宋体" w:eastAsia="宋体" w:hint="default"/>
          <w:sz w:val="21"/>
          <w:szCs w:val="21"/>
        </w:rPr>
        <w:t>本年度本公司未发生此事项。</w:t>
      </w:r>
    </w:p>
    <w:p>
      <w:pPr>
        <w:spacing w:line="350" w:lineRule="auto" w:before="30"/>
        <w:ind w:left="559" w:right="4632" w:firstLine="0"/>
        <w:jc w:val="left"/>
        <w:rPr>
          <w:rFonts w:ascii="宋体" w:hAnsi="宋体" w:cs="宋体" w:eastAsia="宋体" w:hint="default"/>
          <w:sz w:val="21"/>
          <w:szCs w:val="21"/>
        </w:rPr>
      </w:pPr>
      <w:r>
        <w:rPr>
          <w:rFonts w:ascii="宋体" w:hAnsi="宋体" w:cs="宋体" w:eastAsia="宋体" w:hint="default"/>
          <w:b/>
          <w:bCs/>
          <w:sz w:val="21"/>
          <w:szCs w:val="21"/>
        </w:rPr>
        <w:t>（七）资产负债表日后发生巨额亏损</w:t>
      </w:r>
      <w:r>
        <w:rPr>
          <w:rFonts w:ascii="宋体" w:hAnsi="宋体" w:cs="宋体" w:eastAsia="宋体" w:hint="default"/>
          <w:b/>
          <w:bCs/>
          <w:w w:val="99"/>
          <w:sz w:val="21"/>
          <w:szCs w:val="21"/>
        </w:rPr>
        <w:t> </w:t>
      </w:r>
      <w:r>
        <w:rPr>
          <w:rFonts w:ascii="宋体" w:hAnsi="宋体" w:cs="宋体" w:eastAsia="宋体" w:hint="default"/>
          <w:sz w:val="21"/>
          <w:szCs w:val="21"/>
        </w:rPr>
        <w:t>本年度本公司未发生此事项。</w:t>
      </w:r>
    </w:p>
    <w:p>
      <w:pPr>
        <w:pStyle w:val="Heading4"/>
        <w:spacing w:line="240" w:lineRule="auto" w:before="28"/>
        <w:ind w:left="559" w:right="1090"/>
        <w:jc w:val="left"/>
        <w:rPr>
          <w:b w:val="0"/>
          <w:bCs w:val="0"/>
        </w:rPr>
      </w:pPr>
      <w:r>
        <w:rPr/>
        <w:t>（八）资产负债表日后发生企业合并或处置子公司</w:t>
      </w:r>
      <w:r>
        <w:rPr>
          <w:b w:val="0"/>
          <w:bCs w:val="0"/>
        </w:rPr>
      </w:r>
    </w:p>
    <w:p>
      <w:pPr>
        <w:spacing w:after="0" w:line="240" w:lineRule="auto"/>
        <w:jc w:val="left"/>
        <w:sectPr>
          <w:pgSz w:w="11910" w:h="16840"/>
          <w:pgMar w:header="400" w:footer="982" w:top="1100" w:bottom="1180" w:left="1660" w:right="1660"/>
        </w:sectPr>
      </w:pPr>
    </w:p>
    <w:p>
      <w:pPr>
        <w:spacing w:line="240" w:lineRule="auto" w:before="12"/>
        <w:rPr>
          <w:rFonts w:ascii="宋体" w:hAnsi="宋体" w:cs="宋体" w:eastAsia="宋体" w:hint="default"/>
          <w:b/>
          <w:bCs/>
          <w:sz w:val="28"/>
          <w:szCs w:val="28"/>
        </w:rPr>
      </w:pPr>
    </w:p>
    <w:p>
      <w:pPr>
        <w:pStyle w:val="BodyText"/>
        <w:spacing w:line="240" w:lineRule="auto" w:before="35"/>
        <w:ind w:left="560" w:right="102"/>
        <w:jc w:val="left"/>
      </w:pPr>
      <w:r>
        <w:rPr/>
        <w:t>本年度本公司未发生此事项。</w:t>
      </w:r>
    </w:p>
    <w:p>
      <w:pPr>
        <w:spacing w:line="350" w:lineRule="auto" w:before="125"/>
        <w:ind w:left="560" w:right="3024" w:firstLine="0"/>
        <w:jc w:val="left"/>
        <w:rPr>
          <w:rFonts w:ascii="宋体" w:hAnsi="宋体" w:cs="宋体" w:eastAsia="宋体" w:hint="default"/>
          <w:sz w:val="21"/>
          <w:szCs w:val="21"/>
        </w:rPr>
      </w:pPr>
      <w:r>
        <w:rPr>
          <w:rFonts w:ascii="宋体" w:hAnsi="宋体" w:cs="宋体" w:eastAsia="宋体" w:hint="default"/>
          <w:b/>
          <w:bCs/>
          <w:sz w:val="21"/>
          <w:szCs w:val="21"/>
        </w:rPr>
        <w:t>（九）资产负债表日后一年内实施的重大经营战略调整</w:t>
      </w:r>
      <w:r>
        <w:rPr>
          <w:rFonts w:ascii="宋体" w:hAnsi="宋体" w:cs="宋体" w:eastAsia="宋体" w:hint="default"/>
          <w:b/>
          <w:bCs/>
          <w:spacing w:val="1"/>
          <w:w w:val="99"/>
          <w:sz w:val="21"/>
          <w:szCs w:val="21"/>
        </w:rPr>
        <w:t> </w:t>
      </w:r>
      <w:r>
        <w:rPr>
          <w:rFonts w:ascii="宋体" w:hAnsi="宋体" w:cs="宋体" w:eastAsia="宋体" w:hint="default"/>
          <w:sz w:val="21"/>
          <w:szCs w:val="21"/>
        </w:rPr>
        <w:t>本年度本公司未发生此事项。</w:t>
      </w:r>
    </w:p>
    <w:p>
      <w:pPr>
        <w:spacing w:line="348" w:lineRule="auto" w:before="28"/>
        <w:ind w:left="560" w:right="387" w:firstLine="0"/>
        <w:jc w:val="left"/>
        <w:rPr>
          <w:rFonts w:ascii="宋体" w:hAnsi="宋体" w:cs="宋体" w:eastAsia="宋体" w:hint="default"/>
          <w:sz w:val="21"/>
          <w:szCs w:val="21"/>
        </w:rPr>
      </w:pPr>
      <w:r>
        <w:rPr>
          <w:rFonts w:ascii="宋体" w:hAnsi="宋体" w:cs="宋体" w:eastAsia="宋体" w:hint="default"/>
          <w:b/>
          <w:bCs/>
          <w:w w:val="95"/>
          <w:sz w:val="21"/>
          <w:szCs w:val="21"/>
        </w:rPr>
        <w:t>（十）资产负债表日后一年内实施的金额重大的债务重组</w:t>
      </w:r>
      <w:r>
        <w:rPr>
          <w:rFonts w:ascii="宋体" w:hAnsi="宋体" w:cs="宋体" w:eastAsia="宋体" w:hint="default"/>
          <w:b/>
          <w:bCs/>
          <w:spacing w:val="47"/>
          <w:w w:val="95"/>
          <w:sz w:val="21"/>
          <w:szCs w:val="21"/>
        </w:rPr>
        <w:t> </w:t>
      </w:r>
      <w:r>
        <w:rPr>
          <w:rFonts w:ascii="宋体" w:hAnsi="宋体" w:cs="宋体" w:eastAsia="宋体" w:hint="default"/>
          <w:b/>
          <w:bCs/>
          <w:spacing w:val="47"/>
          <w:w w:val="95"/>
          <w:sz w:val="21"/>
          <w:szCs w:val="21"/>
        </w:rPr>
      </w:r>
      <w:r>
        <w:rPr>
          <w:rFonts w:ascii="宋体" w:hAnsi="宋体" w:cs="宋体" w:eastAsia="宋体" w:hint="default"/>
          <w:sz w:val="21"/>
          <w:szCs w:val="21"/>
        </w:rPr>
        <w:t>本年度本公司未发生此事项。</w:t>
      </w:r>
    </w:p>
    <w:p>
      <w:pPr>
        <w:spacing w:line="240" w:lineRule="auto" w:before="0"/>
        <w:rPr>
          <w:rFonts w:ascii="宋体" w:hAnsi="宋体" w:cs="宋体" w:eastAsia="宋体" w:hint="default"/>
          <w:sz w:val="20"/>
          <w:szCs w:val="20"/>
        </w:rPr>
      </w:pPr>
    </w:p>
    <w:p>
      <w:pPr>
        <w:pStyle w:val="Heading4"/>
        <w:spacing w:line="240" w:lineRule="auto" w:before="169"/>
        <w:ind w:right="102"/>
        <w:jc w:val="left"/>
        <w:rPr>
          <w:b w:val="0"/>
          <w:bCs w:val="0"/>
        </w:rPr>
      </w:pPr>
      <w:r>
        <w:rPr/>
        <w:t>十二、净资产收益率与每股收益</w:t>
      </w:r>
      <w:r>
        <w:rPr>
          <w:b w:val="0"/>
          <w:bCs w:val="0"/>
        </w:rPr>
      </w:r>
    </w:p>
    <w:p>
      <w:pPr>
        <w:spacing w:line="240" w:lineRule="auto" w:before="4"/>
        <w:rPr>
          <w:rFonts w:ascii="宋体" w:hAnsi="宋体" w:cs="宋体" w:eastAsia="宋体" w:hint="default"/>
          <w:b/>
          <w:bCs/>
          <w:sz w:val="14"/>
          <w:szCs w:val="14"/>
        </w:rPr>
      </w:pPr>
    </w:p>
    <w:tbl>
      <w:tblPr>
        <w:tblW w:w="0" w:type="auto"/>
        <w:jc w:val="left"/>
        <w:tblInd w:w="112" w:type="dxa"/>
        <w:tblLayout w:type="fixed"/>
        <w:tblCellMar>
          <w:top w:w="0" w:type="dxa"/>
          <w:left w:w="0" w:type="dxa"/>
          <w:bottom w:w="0" w:type="dxa"/>
          <w:right w:w="0" w:type="dxa"/>
        </w:tblCellMar>
        <w:tblLook w:val="01E0"/>
      </w:tblPr>
      <w:tblGrid>
        <w:gridCol w:w="2834"/>
        <w:gridCol w:w="1366"/>
        <w:gridCol w:w="1260"/>
        <w:gridCol w:w="1451"/>
        <w:gridCol w:w="1440"/>
      </w:tblGrid>
      <w:tr>
        <w:trPr>
          <w:trHeight w:val="433" w:hRule="exact"/>
        </w:trPr>
        <w:tc>
          <w:tcPr>
            <w:tcW w:w="283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报告期利润</w:t>
            </w:r>
            <w:r>
              <w:rPr>
                <w:rFonts w:ascii="宋体" w:hAnsi="宋体" w:cs="宋体" w:eastAsia="宋体" w:hint="default"/>
                <w:sz w:val="18"/>
                <w:szCs w:val="18"/>
              </w:rPr>
            </w:r>
          </w:p>
        </w:tc>
        <w:tc>
          <w:tcPr>
            <w:tcW w:w="26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765" w:right="0"/>
              <w:jc w:val="left"/>
              <w:rPr>
                <w:rFonts w:ascii="宋体" w:hAnsi="宋体" w:cs="宋体" w:eastAsia="宋体" w:hint="default"/>
                <w:sz w:val="18"/>
                <w:szCs w:val="18"/>
              </w:rPr>
            </w:pPr>
            <w:r>
              <w:rPr>
                <w:rFonts w:ascii="宋体" w:hAnsi="宋体" w:cs="宋体" w:eastAsia="宋体" w:hint="default"/>
                <w:b/>
                <w:bCs/>
                <w:sz w:val="18"/>
                <w:szCs w:val="18"/>
              </w:rPr>
              <w:t>净资产收益率</w:t>
            </w:r>
            <w:r>
              <w:rPr>
                <w:rFonts w:ascii="宋体" w:hAnsi="宋体" w:cs="宋体" w:eastAsia="宋体" w:hint="default"/>
                <w:sz w:val="18"/>
                <w:szCs w:val="18"/>
              </w:rPr>
            </w:r>
          </w:p>
        </w:tc>
        <w:tc>
          <w:tcPr>
            <w:tcW w:w="28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宋体" w:hAnsi="宋体" w:cs="宋体" w:eastAsia="宋体" w:hint="default"/>
                <w:sz w:val="18"/>
                <w:szCs w:val="18"/>
              </w:rPr>
            </w:pPr>
            <w:r>
              <w:rPr>
                <w:rFonts w:ascii="宋体" w:hAnsi="宋体" w:cs="宋体" w:eastAsia="宋体" w:hint="default"/>
                <w:b/>
                <w:bCs/>
                <w:sz w:val="18"/>
                <w:szCs w:val="18"/>
              </w:rPr>
              <w:t>每股收益</w:t>
            </w:r>
            <w:r>
              <w:rPr>
                <w:rFonts w:ascii="宋体" w:hAnsi="宋体" w:cs="宋体" w:eastAsia="宋体" w:hint="default"/>
                <w:sz w:val="18"/>
                <w:szCs w:val="18"/>
              </w:rPr>
            </w:r>
          </w:p>
        </w:tc>
      </w:tr>
      <w:tr>
        <w:trPr>
          <w:trHeight w:val="460" w:hRule="exact"/>
        </w:trPr>
        <w:tc>
          <w:tcPr>
            <w:tcW w:w="2834"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b/>
                <w:bCs/>
                <w:sz w:val="18"/>
                <w:szCs w:val="18"/>
              </w:rPr>
              <w:t>全面摊薄</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b/>
                <w:bCs/>
                <w:sz w:val="18"/>
                <w:szCs w:val="18"/>
              </w:rPr>
              <w:t>加权平均</w:t>
            </w:r>
            <w:r>
              <w:rPr>
                <w:rFonts w:ascii="宋体" w:hAnsi="宋体" w:cs="宋体" w:eastAsia="宋体" w:hint="default"/>
                <w:sz w:val="18"/>
                <w:szCs w:val="18"/>
              </w:rPr>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b/>
                <w:bCs/>
                <w:sz w:val="18"/>
                <w:szCs w:val="18"/>
              </w:rPr>
              <w:t>基本每股收益</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b/>
                <w:bCs/>
                <w:sz w:val="18"/>
                <w:szCs w:val="18"/>
              </w:rPr>
              <w:t>稀释每股收益</w:t>
            </w:r>
            <w:r>
              <w:rPr>
                <w:rFonts w:ascii="宋体" w:hAnsi="宋体" w:cs="宋体" w:eastAsia="宋体" w:hint="default"/>
                <w:sz w:val="18"/>
                <w:szCs w:val="18"/>
              </w:rPr>
            </w:r>
          </w:p>
        </w:tc>
      </w:tr>
      <w:tr>
        <w:trPr>
          <w:trHeight w:val="491"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24.93%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28.19%</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1.16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1.16</w:t>
            </w:r>
          </w:p>
        </w:tc>
      </w:tr>
      <w:tr>
        <w:trPr>
          <w:trHeight w:val="490"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3"/>
              <w:jc w:val="left"/>
              <w:rPr>
                <w:rFonts w:ascii="宋体" w:hAnsi="宋体" w:cs="宋体" w:eastAsia="宋体" w:hint="default"/>
                <w:sz w:val="18"/>
                <w:szCs w:val="18"/>
              </w:rPr>
            </w:pPr>
            <w:r>
              <w:rPr>
                <w:rFonts w:ascii="宋体" w:hAnsi="宋体" w:cs="宋体" w:eastAsia="宋体" w:hint="default"/>
                <w:spacing w:val="7"/>
                <w:sz w:val="18"/>
                <w:szCs w:val="18"/>
              </w:rPr>
              <w:t>扣除非经常性损益后归属于公司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普通股股东的净利润</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24.06%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27.20%</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1.12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1.12</w:t>
            </w:r>
          </w:p>
        </w:tc>
      </w:tr>
    </w:tbl>
    <w:p>
      <w:pPr>
        <w:spacing w:line="240" w:lineRule="auto" w:before="5"/>
        <w:rPr>
          <w:rFonts w:ascii="宋体" w:hAnsi="宋体" w:cs="宋体" w:eastAsia="宋体" w:hint="default"/>
          <w:b/>
          <w:bCs/>
          <w:sz w:val="16"/>
          <w:szCs w:val="16"/>
        </w:rPr>
      </w:pPr>
    </w:p>
    <w:p>
      <w:pPr>
        <w:spacing w:line="350" w:lineRule="auto" w:before="35"/>
        <w:ind w:left="560" w:right="4514" w:firstLine="0"/>
        <w:jc w:val="left"/>
        <w:rPr>
          <w:rFonts w:ascii="宋体" w:hAnsi="宋体" w:cs="宋体" w:eastAsia="宋体" w:hint="default"/>
          <w:sz w:val="21"/>
          <w:szCs w:val="21"/>
        </w:rPr>
      </w:pPr>
      <w:r>
        <w:rPr>
          <w:rFonts w:ascii="宋体" w:hAnsi="宋体" w:cs="宋体" w:eastAsia="宋体" w:hint="default"/>
          <w:b/>
          <w:bCs/>
          <w:sz w:val="21"/>
          <w:szCs w:val="21"/>
        </w:rPr>
        <w:t>（一）计算过程</w:t>
      </w:r>
      <w:r>
        <w:rPr>
          <w:rFonts w:ascii="宋体" w:hAnsi="宋体" w:cs="宋体" w:eastAsia="宋体" w:hint="default"/>
          <w:b/>
          <w:bCs/>
          <w:spacing w:val="1"/>
          <w:w w:val="99"/>
          <w:sz w:val="21"/>
          <w:szCs w:val="21"/>
        </w:rPr>
        <w:t> </w:t>
      </w:r>
      <w:r>
        <w:rPr>
          <w:rFonts w:ascii="宋体" w:hAnsi="宋体" w:cs="宋体" w:eastAsia="宋体" w:hint="default"/>
          <w:sz w:val="21"/>
          <w:szCs w:val="21"/>
        </w:rPr>
        <w:t>上述数据采用以下计算公式计算而得： </w:t>
      </w:r>
      <w:r>
        <w:rPr>
          <w:rFonts w:ascii="宋体" w:hAnsi="宋体" w:cs="宋体" w:eastAsia="宋体" w:hint="default"/>
          <w:b/>
          <w:bCs/>
          <w:sz w:val="21"/>
          <w:szCs w:val="21"/>
        </w:rPr>
        <w:t>全面摊薄净资产收益率</w:t>
      </w:r>
      <w:r>
        <w:rPr>
          <w:rFonts w:ascii="宋体" w:hAnsi="宋体" w:cs="宋体" w:eastAsia="宋体" w:hint="default"/>
          <w:b/>
          <w:bCs/>
          <w:w w:val="99"/>
          <w:sz w:val="21"/>
          <w:szCs w:val="21"/>
        </w:rPr>
        <w:t> </w:t>
      </w:r>
      <w:r>
        <w:rPr>
          <w:rFonts w:ascii="宋体" w:hAnsi="宋体" w:cs="宋体" w:eastAsia="宋体" w:hint="default"/>
          <w:sz w:val="21"/>
          <w:szCs w:val="21"/>
        </w:rPr>
        <w:t>全面摊薄净资产收益率=P÷E</w:t>
      </w:r>
    </w:p>
    <w:p>
      <w:pPr>
        <w:pStyle w:val="BodyText"/>
        <w:spacing w:line="350" w:lineRule="auto" w:before="28"/>
        <w:ind w:left="139" w:right="99" w:firstLine="420"/>
        <w:jc w:val="left"/>
      </w:pPr>
      <w:r>
        <w:rPr>
          <w:spacing w:val="-11"/>
        </w:rPr>
        <w:t>其中，P</w:t>
      </w:r>
      <w:r>
        <w:rPr>
          <w:spacing w:val="-52"/>
        </w:rPr>
        <w:t> </w:t>
      </w:r>
      <w:r>
        <w:rPr/>
        <w:t>为归属于公司普通股股东的净利润或扣除非经常性损益后归属于公司普通股股</w:t>
      </w:r>
      <w:r>
        <w:rPr/>
        <w:t> </w:t>
      </w:r>
      <w:r>
        <w:rPr>
          <w:spacing w:val="-3"/>
        </w:rPr>
        <w:t>东的净利润；E</w:t>
      </w:r>
      <w:r>
        <w:rPr>
          <w:spacing w:val="-47"/>
        </w:rPr>
        <w:t> </w:t>
      </w:r>
      <w:r>
        <w:rPr>
          <w:spacing w:val="-4"/>
        </w:rPr>
        <w:t>为归属于公司普通股股东的年末净资产。“归属于公司普通股股东的净利润”</w:t>
      </w:r>
      <w:r>
        <w:rPr/>
        <w:t> </w:t>
      </w:r>
      <w:r>
        <w:rPr>
          <w:spacing w:val="-3"/>
        </w:rPr>
        <w:t>不包括少数股东损益金额；“扣除非经常性损益后归属于公司普通股股东的净利润”以扣除</w:t>
      </w:r>
      <w:r>
        <w:rPr>
          <w:spacing w:val="-84"/>
        </w:rPr>
        <w:t> </w:t>
      </w:r>
      <w:r>
        <w:rPr>
          <w:spacing w:val="-84"/>
        </w:rPr>
      </w:r>
      <w:r>
        <w:rPr>
          <w:spacing w:val="-3"/>
        </w:rPr>
        <w:t>少数股东损益后的合并净利润为基础，扣除母公司非经常性损益（考虑所得税影响）、各子</w:t>
      </w:r>
      <w:r>
        <w:rPr>
          <w:spacing w:val="-83"/>
        </w:rPr>
        <w:t> </w:t>
      </w:r>
      <w:r>
        <w:rPr>
          <w:spacing w:val="-83"/>
        </w:rPr>
      </w:r>
      <w:r>
        <w:rPr>
          <w:spacing w:val="-3"/>
        </w:rPr>
        <w:t>公司非经常性损益（考虑所得税影响）中母公司普通股股东所占份额；“归属于公司普通股</w:t>
      </w:r>
      <w:r>
        <w:rPr>
          <w:spacing w:val="-83"/>
        </w:rPr>
        <w:t> </w:t>
      </w:r>
      <w:r>
        <w:rPr>
          <w:spacing w:val="-83"/>
        </w:rPr>
      </w:r>
      <w:r>
        <w:rPr/>
        <w:t>股东的年末净资产”不包括少数股东权益金额。</w:t>
      </w:r>
    </w:p>
    <w:p>
      <w:pPr>
        <w:pStyle w:val="BodyText"/>
        <w:spacing w:line="350" w:lineRule="auto" w:before="28"/>
        <w:ind w:left="560" w:right="200"/>
        <w:jc w:val="left"/>
      </w:pPr>
      <w:r>
        <w:rPr>
          <w:rFonts w:ascii="宋体" w:hAnsi="宋体" w:cs="宋体" w:eastAsia="宋体" w:hint="default"/>
          <w:b/>
          <w:bCs/>
        </w:rPr>
        <w:t>加权平均净资产收益率</w:t>
      </w:r>
      <w:r>
        <w:rPr>
          <w:rFonts w:ascii="宋体" w:hAnsi="宋体" w:cs="宋体" w:eastAsia="宋体" w:hint="default"/>
          <w:b/>
          <w:bCs/>
          <w:w w:val="99"/>
        </w:rPr>
        <w:t> </w:t>
      </w:r>
      <w:r>
        <w:rPr/>
        <w:t>加权平均净资产收益率=P/（E0＋NP÷2＋Ei×Mi÷M0－Ej×Mj÷M0±Ek×Mk÷M0） </w:t>
      </w:r>
      <w:r>
        <w:rPr>
          <w:spacing w:val="-6"/>
        </w:rPr>
        <w:t>其中：P</w:t>
      </w:r>
      <w:r>
        <w:rPr>
          <w:spacing w:val="-72"/>
        </w:rPr>
        <w:t> </w:t>
      </w:r>
      <w:r>
        <w:rPr/>
        <w:t>分别对应于归属于公司普通股股东的净利润、扣除非经常性损益后归属于公司</w:t>
      </w:r>
    </w:p>
    <w:p>
      <w:pPr>
        <w:pStyle w:val="BodyText"/>
        <w:spacing w:line="350" w:lineRule="auto" w:before="28"/>
        <w:ind w:right="102"/>
        <w:jc w:val="left"/>
      </w:pPr>
      <w:r>
        <w:rPr/>
        <w:t>普通股股东的净利润；NP</w:t>
      </w:r>
      <w:r>
        <w:rPr>
          <w:spacing w:val="-48"/>
        </w:rPr>
        <w:t> </w:t>
      </w:r>
      <w:r>
        <w:rPr/>
        <w:t>为归属于公司普通股股东的净利润；E0</w:t>
      </w:r>
      <w:r>
        <w:rPr>
          <w:spacing w:val="-48"/>
        </w:rPr>
        <w:t> </w:t>
      </w:r>
      <w:r>
        <w:rPr/>
        <w:t>为归属于公司普通股股东</w:t>
      </w:r>
      <w:r>
        <w:rPr/>
        <w:t> </w:t>
      </w:r>
      <w:r>
        <w:rPr>
          <w:spacing w:val="-4"/>
        </w:rPr>
        <w:t>的年初净资产；Ei</w:t>
      </w:r>
      <w:r>
        <w:rPr>
          <w:spacing w:val="-76"/>
        </w:rPr>
        <w:t> </w:t>
      </w:r>
      <w:r>
        <w:rPr/>
        <w:t>为报告期发行新股或债转股等新增的、归属于公司普通股股东的净资产；</w:t>
      </w:r>
      <w:r>
        <w:rPr>
          <w:spacing w:val="-1"/>
        </w:rPr>
        <w:t> </w:t>
      </w:r>
      <w:r>
        <w:rPr/>
        <w:t>Ej</w:t>
      </w:r>
      <w:r>
        <w:rPr>
          <w:spacing w:val="-48"/>
        </w:rPr>
        <w:t> </w:t>
      </w:r>
      <w:r>
        <w:rPr/>
        <w:t>为报告期回购或现金分红等减少的、归属于公司普通股股东的净资产；M0</w:t>
      </w:r>
      <w:r>
        <w:rPr>
          <w:spacing w:val="-48"/>
        </w:rPr>
        <w:t> </w:t>
      </w:r>
      <w:r>
        <w:rPr/>
        <w:t>为报告期月份</w:t>
      </w:r>
      <w:r>
        <w:rPr/>
        <w:t> 数；Mi</w:t>
      </w:r>
      <w:r>
        <w:rPr>
          <w:spacing w:val="-48"/>
        </w:rPr>
        <w:t> </w:t>
      </w:r>
      <w:r>
        <w:rPr/>
        <w:t>为新增净资产下一月份起至报告期年末的月份数；Mj</w:t>
      </w:r>
      <w:r>
        <w:rPr>
          <w:spacing w:val="-48"/>
        </w:rPr>
        <w:t> </w:t>
      </w:r>
      <w:r>
        <w:rPr/>
        <w:t>为减少净资产下一月份起至报</w:t>
      </w:r>
      <w:r>
        <w:rPr/>
        <w:t> 告期年末的月份数；Ek</w:t>
      </w:r>
      <w:r>
        <w:rPr>
          <w:spacing w:val="-49"/>
        </w:rPr>
        <w:t> </w:t>
      </w:r>
      <w:r>
        <w:rPr/>
        <w:t>为因其他交易或事项引起的净资产增减变动；Mk</w:t>
      </w:r>
      <w:r>
        <w:rPr>
          <w:spacing w:val="-47"/>
        </w:rPr>
        <w:t> </w:t>
      </w:r>
      <w:r>
        <w:rPr/>
        <w:t>为发生其他净资产</w:t>
      </w:r>
      <w:r>
        <w:rPr/>
        <w:t> 增减变动下一月份起至报告期年末的月份数。</w:t>
      </w:r>
    </w:p>
    <w:p>
      <w:pPr>
        <w:spacing w:line="348" w:lineRule="auto" w:before="28"/>
        <w:ind w:left="560" w:right="6299" w:firstLine="0"/>
        <w:jc w:val="left"/>
        <w:rPr>
          <w:rFonts w:ascii="宋体" w:hAnsi="宋体" w:cs="宋体" w:eastAsia="宋体" w:hint="default"/>
          <w:sz w:val="21"/>
          <w:szCs w:val="21"/>
        </w:rPr>
      </w:pPr>
      <w:r>
        <w:rPr>
          <w:rFonts w:ascii="宋体" w:hAnsi="宋体" w:cs="宋体" w:eastAsia="宋体" w:hint="default"/>
          <w:b/>
          <w:bCs/>
          <w:sz w:val="21"/>
          <w:szCs w:val="21"/>
        </w:rPr>
        <w:t>基本每股收益</w:t>
      </w:r>
      <w:r>
        <w:rPr>
          <w:rFonts w:ascii="宋体" w:hAnsi="宋体" w:cs="宋体" w:eastAsia="宋体" w:hint="default"/>
          <w:b/>
          <w:bCs/>
          <w:w w:val="99"/>
          <w:sz w:val="21"/>
          <w:szCs w:val="21"/>
        </w:rPr>
        <w:t> </w:t>
      </w:r>
      <w:r>
        <w:rPr>
          <w:rFonts w:ascii="宋体" w:hAnsi="宋体" w:cs="宋体" w:eastAsia="宋体" w:hint="default"/>
          <w:sz w:val="21"/>
          <w:szCs w:val="21"/>
        </w:rPr>
        <w:t>基本每股收益=P÷S</w:t>
      </w:r>
    </w:p>
    <w:p>
      <w:pPr>
        <w:pStyle w:val="BodyText"/>
        <w:spacing w:line="240" w:lineRule="auto" w:before="31"/>
        <w:ind w:left="560" w:right="102"/>
        <w:jc w:val="left"/>
      </w:pPr>
      <w:r>
        <w:rPr/>
        <w:t>S=S0＋S1＋Si×Mi÷M0－Sj×Mj÷M0－Sk</w:t>
      </w:r>
    </w:p>
    <w:p>
      <w:pPr>
        <w:spacing w:after="0" w:line="240" w:lineRule="auto"/>
        <w:jc w:val="left"/>
        <w:sectPr>
          <w:pgSz w:w="11910" w:h="16840"/>
          <w:pgMar w:header="400" w:footer="982" w:top="1100" w:bottom="1180" w:left="1660" w:right="1580"/>
        </w:sectPr>
      </w:pPr>
    </w:p>
    <w:p>
      <w:pPr>
        <w:spacing w:line="240" w:lineRule="auto" w:before="12"/>
        <w:rPr>
          <w:rFonts w:ascii="宋体" w:hAnsi="宋体" w:cs="宋体" w:eastAsia="宋体" w:hint="default"/>
          <w:sz w:val="28"/>
          <w:szCs w:val="28"/>
        </w:rPr>
      </w:pPr>
    </w:p>
    <w:p>
      <w:pPr>
        <w:pStyle w:val="BodyText"/>
        <w:spacing w:line="350" w:lineRule="auto" w:before="35"/>
        <w:ind w:left="340" w:right="336" w:firstLine="420"/>
        <w:jc w:val="both"/>
      </w:pPr>
      <w:r>
        <w:rPr>
          <w:spacing w:val="-11"/>
        </w:rPr>
        <w:t>其中：P</w:t>
      </w:r>
      <w:r>
        <w:rPr>
          <w:spacing w:val="-51"/>
        </w:rPr>
        <w:t> </w:t>
      </w:r>
      <w:r>
        <w:rPr/>
        <w:t>为归属于公司普通股股东的净利润或扣除非经常性损益后归属于普通股股东的</w:t>
      </w:r>
      <w:r>
        <w:rPr/>
        <w:t> 净利润；S</w:t>
      </w:r>
      <w:r>
        <w:rPr>
          <w:spacing w:val="-32"/>
        </w:rPr>
        <w:t> </w:t>
      </w:r>
      <w:r>
        <w:rPr/>
        <w:t>为发行在外的普通股加权平均数；S0</w:t>
      </w:r>
      <w:r>
        <w:rPr>
          <w:spacing w:val="-32"/>
        </w:rPr>
        <w:t> </w:t>
      </w:r>
      <w:r>
        <w:rPr/>
        <w:t>为年初股份总数；S1</w:t>
      </w:r>
      <w:r>
        <w:rPr>
          <w:spacing w:val="-33"/>
        </w:rPr>
        <w:t> </w:t>
      </w:r>
      <w:r>
        <w:rPr/>
        <w:t>为报告期因公积金转</w:t>
      </w:r>
      <w:r>
        <w:rPr/>
        <w:t> 增股本或股票股利分配等增加股份数；Si</w:t>
      </w:r>
      <w:r>
        <w:rPr>
          <w:spacing w:val="6"/>
        </w:rPr>
        <w:t> </w:t>
      </w:r>
      <w:r>
        <w:rPr/>
        <w:t>为报告期因发行新股或债转股等增加股份数；Sj</w:t>
      </w:r>
      <w:r>
        <w:rPr/>
        <w:t> 为报告期因回购等减少股份数；Sk</w:t>
      </w:r>
      <w:r>
        <w:rPr>
          <w:spacing w:val="-68"/>
        </w:rPr>
        <w:t> </w:t>
      </w:r>
      <w:r>
        <w:rPr/>
        <w:t>为报告期缩股数；M0</w:t>
      </w:r>
      <w:r>
        <w:rPr>
          <w:spacing w:val="-67"/>
        </w:rPr>
        <w:t> </w:t>
      </w:r>
      <w:r>
        <w:rPr/>
        <w:t>报告期月份数；Mi</w:t>
      </w:r>
      <w:r>
        <w:rPr>
          <w:spacing w:val="-67"/>
        </w:rPr>
        <w:t> </w:t>
      </w:r>
      <w:r>
        <w:rPr/>
        <w:t>为增加股份下一</w:t>
      </w:r>
      <w:r>
        <w:rPr/>
        <w:t> 月份起至报告期年末的月份数；Mj</w:t>
      </w:r>
      <w:r>
        <w:rPr>
          <w:spacing w:val="-53"/>
        </w:rPr>
        <w:t> </w:t>
      </w:r>
      <w:r>
        <w:rPr/>
        <w:t>为减少股份下一月份起至报告期年末的月份数。</w:t>
      </w:r>
    </w:p>
    <w:p>
      <w:pPr>
        <w:pStyle w:val="BodyText"/>
        <w:spacing w:line="348" w:lineRule="auto" w:before="29"/>
        <w:ind w:left="760" w:right="335"/>
        <w:jc w:val="left"/>
      </w:pPr>
      <w:r>
        <w:rPr>
          <w:rFonts w:ascii="宋体" w:hAnsi="宋体" w:cs="宋体" w:eastAsia="宋体" w:hint="default"/>
          <w:b/>
          <w:bCs/>
        </w:rPr>
        <w:t>稀释每股收益</w:t>
      </w:r>
      <w:r>
        <w:rPr>
          <w:rFonts w:ascii="宋体" w:hAnsi="宋体" w:cs="宋体" w:eastAsia="宋体" w:hint="default"/>
          <w:b/>
          <w:bCs/>
          <w:w w:val="99"/>
        </w:rPr>
        <w:t> </w:t>
      </w:r>
      <w:r>
        <w:rPr>
          <w:spacing w:val="-3"/>
        </w:rPr>
        <w:t>稀释每股收益=[P+（已确认为费用的稀释性潜在普通股利息－转换费用）×（1-所得税</w:t>
      </w:r>
    </w:p>
    <w:p>
      <w:pPr>
        <w:pStyle w:val="BodyText"/>
        <w:spacing w:line="350" w:lineRule="auto" w:before="30"/>
        <w:ind w:left="340" w:right="329"/>
        <w:jc w:val="left"/>
      </w:pPr>
      <w:r>
        <w:rPr/>
        <w:t>率）]/（S0＋S1＋Si×Mi÷M0－Sj×Mj÷M0—Sk+认股权证、股份期权、可转换债券等增加 的普通股加权平均数）</w:t>
      </w:r>
    </w:p>
    <w:p>
      <w:pPr>
        <w:pStyle w:val="BodyText"/>
        <w:spacing w:line="350" w:lineRule="auto" w:before="28"/>
        <w:ind w:left="340" w:right="336" w:firstLine="420"/>
        <w:jc w:val="both"/>
      </w:pPr>
      <w:r>
        <w:rPr>
          <w:spacing w:val="-11"/>
        </w:rPr>
        <w:t>其中，P</w:t>
      </w:r>
      <w:r>
        <w:rPr>
          <w:spacing w:val="-51"/>
        </w:rPr>
        <w:t> </w:t>
      </w:r>
      <w:r>
        <w:rPr/>
        <w:t>为归属于公司普通股股东的净利润或扣除非经常性损益后归属于公司普通股股</w:t>
      </w:r>
      <w:r>
        <w:rPr/>
        <w:t> </w:t>
      </w:r>
      <w:r>
        <w:rPr>
          <w:spacing w:val="-3"/>
        </w:rPr>
        <w:t>东的净利润。公司在计算稀释每股收益时，已考虑所有稀释性潜在普通股的影响，直至稀释</w:t>
      </w:r>
      <w:r>
        <w:rPr>
          <w:spacing w:val="-81"/>
        </w:rPr>
        <w:t> </w:t>
      </w:r>
      <w:r>
        <w:rPr>
          <w:spacing w:val="-81"/>
        </w:rPr>
      </w:r>
      <w:r>
        <w:rPr/>
        <w:t>每股收益达到最小。</w:t>
      </w:r>
    </w:p>
    <w:p>
      <w:pPr>
        <w:spacing w:line="348" w:lineRule="auto" w:before="28"/>
        <w:ind w:left="760" w:right="136" w:firstLine="0"/>
        <w:jc w:val="left"/>
        <w:rPr>
          <w:rFonts w:ascii="宋体" w:hAnsi="宋体" w:cs="宋体" w:eastAsia="宋体" w:hint="default"/>
          <w:sz w:val="21"/>
          <w:szCs w:val="21"/>
        </w:rPr>
      </w:pPr>
      <w:r>
        <w:rPr>
          <w:rFonts w:ascii="宋体" w:hAnsi="宋体" w:cs="宋体" w:eastAsia="宋体" w:hint="default"/>
          <w:b/>
          <w:bCs/>
          <w:w w:val="95"/>
          <w:sz w:val="21"/>
          <w:szCs w:val="21"/>
        </w:rPr>
        <w:t>（二）本年不具有稀释性但以后期间很可能具有稀释性的潜在普通股</w:t>
      </w:r>
      <w:r>
        <w:rPr>
          <w:rFonts w:ascii="宋体" w:hAnsi="宋体" w:cs="宋体" w:eastAsia="宋体" w:hint="default"/>
          <w:b/>
          <w:bCs/>
          <w:spacing w:val="97"/>
          <w:w w:val="95"/>
          <w:sz w:val="21"/>
          <w:szCs w:val="21"/>
        </w:rPr>
        <w:t> </w:t>
      </w:r>
      <w:r>
        <w:rPr>
          <w:rFonts w:ascii="宋体" w:hAnsi="宋体" w:cs="宋体" w:eastAsia="宋体" w:hint="default"/>
          <w:b/>
          <w:bCs/>
          <w:spacing w:val="97"/>
          <w:w w:val="95"/>
          <w:sz w:val="21"/>
          <w:szCs w:val="21"/>
        </w:rPr>
      </w:r>
      <w:r>
        <w:rPr>
          <w:rFonts w:ascii="宋体" w:hAnsi="宋体" w:cs="宋体" w:eastAsia="宋体" w:hint="default"/>
          <w:sz w:val="21"/>
          <w:szCs w:val="21"/>
        </w:rPr>
        <w:t>本公司未发生此事项。</w:t>
      </w:r>
    </w:p>
    <w:p>
      <w:pPr>
        <w:pStyle w:val="Heading4"/>
        <w:spacing w:line="348" w:lineRule="auto" w:before="31"/>
        <w:ind w:left="340" w:right="338" w:firstLine="420"/>
        <w:jc w:val="both"/>
        <w:rPr>
          <w:b w:val="0"/>
          <w:bCs w:val="0"/>
        </w:rPr>
      </w:pPr>
      <w:r>
        <w:rPr>
          <w:spacing w:val="2"/>
        </w:rPr>
        <w:t>（三）资产负债表日至财务报告批准报出日之间，公司发行在外普通股或潜在普通股</w:t>
      </w:r>
      <w:r>
        <w:rPr>
          <w:w w:val="99"/>
        </w:rPr>
        <w:t> </w:t>
      </w:r>
      <w:r>
        <w:rPr/>
        <w:t>股数发生的重大变化</w:t>
      </w:r>
      <w:r>
        <w:rPr>
          <w:b w:val="0"/>
          <w:bCs w:val="0"/>
        </w:rPr>
      </w:r>
    </w:p>
    <w:p>
      <w:pPr>
        <w:pStyle w:val="BodyText"/>
        <w:spacing w:line="240" w:lineRule="auto" w:before="30"/>
        <w:ind w:left="760" w:right="136"/>
        <w:jc w:val="left"/>
      </w:pPr>
      <w:r>
        <w:rPr/>
        <w:t>本公司未发生此事项。</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4"/>
        <w:spacing w:line="240" w:lineRule="auto"/>
        <w:ind w:left="760" w:right="136"/>
        <w:jc w:val="left"/>
        <w:rPr>
          <w:b w:val="0"/>
          <w:bCs w:val="0"/>
        </w:rPr>
      </w:pPr>
      <w:r>
        <w:rPr/>
        <w:t>十三、补充资料</w:t>
      </w:r>
      <w:r>
        <w:rPr>
          <w:b w:val="0"/>
          <w:bCs w:val="0"/>
        </w:rPr>
      </w:r>
    </w:p>
    <w:p>
      <w:pPr>
        <w:pStyle w:val="Heading4"/>
        <w:spacing w:line="240" w:lineRule="auto" w:before="125"/>
        <w:ind w:left="760" w:right="136"/>
        <w:jc w:val="left"/>
        <w:rPr>
          <w:b w:val="0"/>
          <w:bCs w:val="0"/>
        </w:rPr>
      </w:pPr>
      <w:r>
        <w:rPr>
          <w:spacing w:val="1"/>
          <w:w w:val="99"/>
        </w:rPr>
        <w:t>（一</w:t>
      </w:r>
      <w:r>
        <w:rPr>
          <w:spacing w:val="-105"/>
          <w:w w:val="99"/>
        </w:rPr>
        <w:t>）</w:t>
      </w:r>
      <w:r>
        <w:rPr>
          <w:spacing w:val="1"/>
          <w:w w:val="99"/>
        </w:rPr>
        <w:t>、</w:t>
      </w:r>
      <w:r>
        <w:rPr>
          <w:spacing w:val="-1"/>
          <w:w w:val="99"/>
        </w:rPr>
        <w:t>非经</w:t>
      </w:r>
      <w:r>
        <w:rPr>
          <w:spacing w:val="1"/>
          <w:w w:val="99"/>
        </w:rPr>
        <w:t>常性损益</w:t>
      </w:r>
      <w:r>
        <w:rPr>
          <w:b w:val="0"/>
          <w:bCs w:val="0"/>
        </w:rPr>
      </w:r>
    </w:p>
    <w:p>
      <w:pPr>
        <w:spacing w:line="240" w:lineRule="auto" w:before="5"/>
        <w:rPr>
          <w:rFonts w:ascii="宋体" w:hAnsi="宋体" w:cs="宋体" w:eastAsia="宋体" w:hint="default"/>
          <w:b/>
          <w:bCs/>
          <w:sz w:val="14"/>
          <w:szCs w:val="14"/>
        </w:rPr>
      </w:pPr>
    </w:p>
    <w:tbl>
      <w:tblPr>
        <w:tblW w:w="0" w:type="auto"/>
        <w:jc w:val="left"/>
        <w:tblInd w:w="116" w:type="dxa"/>
        <w:tblLayout w:type="fixed"/>
        <w:tblCellMar>
          <w:top w:w="0" w:type="dxa"/>
          <w:left w:w="0" w:type="dxa"/>
          <w:bottom w:w="0" w:type="dxa"/>
          <w:right w:w="0" w:type="dxa"/>
        </w:tblCellMar>
        <w:tblLook w:val="01E0"/>
      </w:tblPr>
      <w:tblGrid>
        <w:gridCol w:w="5580"/>
        <w:gridCol w:w="1582"/>
        <w:gridCol w:w="1580"/>
      </w:tblGrid>
      <w:tr>
        <w:trPr>
          <w:trHeight w:val="322"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非经常性损益项目包括：</w:t>
            </w:r>
            <w:r>
              <w:rPr>
                <w:rFonts w:ascii="宋体" w:hAnsi="宋体" w:cs="宋体" w:eastAsia="宋体" w:hint="default"/>
                <w:sz w:val="21"/>
                <w:szCs w:val="21"/>
              </w:rPr>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69" w:right="0"/>
              <w:jc w:val="left"/>
              <w:rPr>
                <w:rFonts w:ascii="宋体" w:hAnsi="宋体" w:cs="宋体" w:eastAsia="宋体" w:hint="default"/>
                <w:sz w:val="21"/>
                <w:szCs w:val="21"/>
              </w:rPr>
            </w:pPr>
            <w:r>
              <w:rPr>
                <w:rFonts w:ascii="宋体" w:hAnsi="宋体" w:cs="宋体" w:eastAsia="宋体" w:hint="default"/>
                <w:b/>
                <w:bCs/>
                <w:sz w:val="21"/>
                <w:szCs w:val="21"/>
              </w:rPr>
              <w:t>本年数</w:t>
            </w:r>
            <w:r>
              <w:rPr>
                <w:rFonts w:ascii="宋体" w:hAnsi="宋体" w:cs="宋体" w:eastAsia="宋体" w:hint="default"/>
                <w:sz w:val="21"/>
                <w:szCs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69" w:right="0"/>
              <w:jc w:val="left"/>
              <w:rPr>
                <w:rFonts w:ascii="宋体" w:hAnsi="宋体" w:cs="宋体" w:eastAsia="宋体" w:hint="default"/>
                <w:sz w:val="21"/>
                <w:szCs w:val="21"/>
              </w:rPr>
            </w:pPr>
            <w:r>
              <w:rPr>
                <w:rFonts w:ascii="宋体" w:hAnsi="宋体" w:cs="宋体" w:eastAsia="宋体" w:hint="default"/>
                <w:b/>
                <w:bCs/>
                <w:sz w:val="21"/>
                <w:szCs w:val="21"/>
              </w:rPr>
              <w:t>上年数</w:t>
            </w:r>
            <w:r>
              <w:rPr>
                <w:rFonts w:ascii="宋体" w:hAnsi="宋体" w:cs="宋体" w:eastAsia="宋体" w:hint="default"/>
                <w:sz w:val="21"/>
                <w:szCs w:val="21"/>
              </w:rPr>
            </w:r>
          </w:p>
        </w:tc>
      </w:tr>
      <w:tr>
        <w:trPr>
          <w:trHeight w:val="635"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（一）非流动性资产处置损益，包括已计提资产减值准备的</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冲销部分；</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-326,234.85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-78,129.03</w:t>
            </w:r>
          </w:p>
        </w:tc>
      </w:tr>
      <w:tr>
        <w:trPr>
          <w:trHeight w:val="946"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（二）计入当期损益的政府补助，但与公司正常经营业务密</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pacing w:val="-4"/>
                <w:sz w:val="21"/>
                <w:szCs w:val="21"/>
              </w:rPr>
              <w:t>切相关，符合国家政策规定、按照一定标准定额或定量持续</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享受的政府补助除外；</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12,109,270.73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15,718,820.95</w:t>
            </w:r>
          </w:p>
        </w:tc>
      </w:tr>
      <w:tr>
        <w:trPr>
          <w:trHeight w:val="322"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（三）除上述各项之外的其他营业外收入和支出；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1,063,355.70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3,689,345.63</w:t>
            </w:r>
          </w:p>
        </w:tc>
      </w:tr>
      <w:tr>
        <w:trPr>
          <w:trHeight w:val="323"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（四）少数股东损益的影响数；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（五）所得税的影响数；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-1,258,534.28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-2,152,681.68</w:t>
            </w:r>
          </w:p>
        </w:tc>
      </w:tr>
      <w:tr>
        <w:trPr>
          <w:trHeight w:val="323" w:hRule="exact"/>
        </w:trPr>
        <w:tc>
          <w:tcPr>
            <w:tcW w:w="5580"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11,587,857.30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17,177,355.87</w:t>
            </w:r>
          </w:p>
        </w:tc>
      </w:tr>
    </w:tbl>
    <w:p>
      <w:pPr>
        <w:spacing w:line="240" w:lineRule="auto" w:before="5"/>
        <w:rPr>
          <w:rFonts w:ascii="宋体" w:hAnsi="宋体" w:cs="宋体" w:eastAsia="宋体" w:hint="default"/>
          <w:b/>
          <w:bCs/>
          <w:sz w:val="16"/>
          <w:szCs w:val="16"/>
        </w:rPr>
      </w:pPr>
    </w:p>
    <w:p>
      <w:pPr>
        <w:pStyle w:val="Heading4"/>
        <w:spacing w:line="240" w:lineRule="auto" w:before="35"/>
        <w:ind w:left="760" w:right="136"/>
        <w:jc w:val="left"/>
        <w:rPr>
          <w:b w:val="0"/>
          <w:bCs w:val="0"/>
        </w:rPr>
      </w:pPr>
      <w:r>
        <w:rPr>
          <w:spacing w:val="1"/>
          <w:w w:val="99"/>
        </w:rPr>
        <w:t>（二</w:t>
      </w:r>
      <w:r>
        <w:rPr>
          <w:spacing w:val="-105"/>
          <w:w w:val="99"/>
        </w:rPr>
        <w:t>）</w:t>
      </w:r>
      <w:r>
        <w:rPr>
          <w:spacing w:val="1"/>
          <w:w w:val="99"/>
        </w:rPr>
        <w:t>、</w:t>
      </w:r>
      <w:r>
        <w:rPr>
          <w:spacing w:val="-1"/>
          <w:w w:val="99"/>
        </w:rPr>
        <w:t>财务</w:t>
      </w:r>
      <w:r>
        <w:rPr>
          <w:spacing w:val="1"/>
          <w:w w:val="99"/>
        </w:rPr>
        <w:t>报表的</w:t>
      </w:r>
      <w:r>
        <w:rPr>
          <w:spacing w:val="-1"/>
          <w:w w:val="99"/>
        </w:rPr>
        <w:t>批准</w:t>
      </w:r>
      <w:r>
        <w:rPr>
          <w:spacing w:val="1"/>
          <w:w w:val="99"/>
        </w:rPr>
        <w:t>报出</w:t>
      </w:r>
      <w:r>
        <w:rPr>
          <w:b w:val="0"/>
          <w:bCs w:val="0"/>
        </w:rPr>
      </w:r>
    </w:p>
    <w:p>
      <w:pPr>
        <w:pStyle w:val="BodyText"/>
        <w:spacing w:line="240" w:lineRule="auto" w:before="125"/>
        <w:ind w:left="759" w:right="136"/>
        <w:jc w:val="left"/>
      </w:pPr>
      <w:r>
        <w:rPr/>
        <w:t>本财务报表业经公司全体董事于</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t>日批准报出。</w:t>
      </w:r>
    </w:p>
    <w:p>
      <w:pPr>
        <w:spacing w:after="0" w:line="240" w:lineRule="auto"/>
        <w:jc w:val="left"/>
        <w:sectPr>
          <w:pgSz w:w="11910" w:h="16840"/>
          <w:pgMar w:header="400" w:footer="982" w:top="1100" w:bottom="1180" w:left="1460" w:right="1460"/>
        </w:sectPr>
      </w:pPr>
    </w:p>
    <w:p>
      <w:pPr>
        <w:spacing w:line="240" w:lineRule="auto" w:before="5"/>
        <w:rPr>
          <w:rFonts w:ascii="宋体" w:hAnsi="宋体" w:cs="宋体" w:eastAsia="宋体" w:hint="default"/>
          <w:sz w:val="28"/>
          <w:szCs w:val="28"/>
        </w:rPr>
      </w:pPr>
    </w:p>
    <w:p>
      <w:pPr>
        <w:pStyle w:val="Heading1"/>
        <w:spacing w:line="240" w:lineRule="auto"/>
        <w:ind w:left="2606" w:right="1090"/>
        <w:jc w:val="left"/>
        <w:rPr>
          <w:b w:val="0"/>
          <w:bCs w:val="0"/>
        </w:rPr>
      </w:pPr>
      <w:bookmarkStart w:name="_bookmark10" w:id="11"/>
      <w:bookmarkEnd w:id="11"/>
      <w:r>
        <w:rPr>
          <w:b w:val="0"/>
          <w:bCs w:val="0"/>
        </w:rPr>
      </w:r>
      <w:r>
        <w:rPr/>
        <w:t>第十一节</w:t>
      </w:r>
      <w:r>
        <w:rPr>
          <w:spacing w:val="-9"/>
        </w:rPr>
        <w:t> </w:t>
      </w:r>
      <w:r>
        <w:rPr/>
        <w:t>备查文件目录</w:t>
      </w:r>
      <w:r>
        <w:rPr>
          <w:b w:val="0"/>
          <w:bCs w:val="0"/>
        </w:rPr>
      </w:r>
    </w:p>
    <w:p>
      <w:pPr>
        <w:spacing w:line="240" w:lineRule="auto" w:before="0"/>
        <w:rPr>
          <w:rFonts w:ascii="宋体" w:hAnsi="宋体" w:cs="宋体" w:eastAsia="宋体" w:hint="default"/>
          <w:b/>
          <w:bCs/>
          <w:sz w:val="32"/>
          <w:szCs w:val="32"/>
        </w:rPr>
      </w:pPr>
    </w:p>
    <w:p>
      <w:pPr>
        <w:pStyle w:val="BodyText"/>
        <w:spacing w:line="331" w:lineRule="auto" w:before="259"/>
        <w:ind w:left="139" w:right="135"/>
        <w:jc w:val="left"/>
      </w:pPr>
      <w:r>
        <w:rPr/>
        <w:t>一、载有董事长签名的</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年年度报告全文； 二、载有法定代表人、主管会计工作负责人、会计机构负责人签名并盖章的财务报表； 三、载有会计师事务所盖章、注册会计师签名并盖章的审计报告原件； 四、报告期内，公司在《证券时报》和巨潮资讯网（</w:t>
      </w:r>
      <w:hyperlink r:id="rId10">
        <w:r>
          <w:rPr>
            <w:rFonts w:ascii="Times New Roman" w:hAnsi="Times New Roman" w:cs="Times New Roman" w:eastAsia="Times New Roman" w:hint="default"/>
          </w:rPr>
          <w:t>www.cninfo.com.cn</w:t>
        </w:r>
      </w:hyperlink>
      <w:r>
        <w:rPr/>
        <w:t>）上公开披露过的</w:t>
      </w:r>
      <w:r>
        <w:rPr>
          <w:spacing w:val="-38"/>
        </w:rPr>
        <w:t> </w:t>
      </w:r>
      <w:r>
        <w:rPr>
          <w:spacing w:val="-38"/>
        </w:rPr>
      </w:r>
      <w:r>
        <w:rPr/>
        <w:t>所有公司文件的正本及公告的原稿。</w:t>
      </w:r>
    </w:p>
    <w:p>
      <w:pPr>
        <w:pStyle w:val="BodyText"/>
        <w:spacing w:line="240" w:lineRule="auto" w:before="35"/>
        <w:ind w:left="559" w:right="1090"/>
        <w:jc w:val="left"/>
      </w:pPr>
      <w:r>
        <w:rPr/>
        <w:t>上述文件备置于公司证券部备查。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before="0"/>
        <w:ind w:left="5086" w:right="0"/>
        <w:jc w:val="left"/>
      </w:pPr>
      <w:r>
        <w:rPr/>
        <w:t>广州广电运通金融电子股份有限公司</w:t>
      </w:r>
    </w:p>
    <w:p>
      <w:pPr>
        <w:spacing w:line="240" w:lineRule="auto" w:before="10"/>
        <w:rPr>
          <w:rFonts w:ascii="宋体" w:hAnsi="宋体" w:cs="宋体" w:eastAsia="宋体" w:hint="default"/>
          <w:sz w:val="14"/>
          <w:szCs w:val="14"/>
        </w:rPr>
      </w:pPr>
    </w:p>
    <w:p>
      <w:pPr>
        <w:pStyle w:val="BodyText"/>
        <w:spacing w:line="240" w:lineRule="auto" w:before="0"/>
        <w:ind w:left="0" w:right="870"/>
        <w:jc w:val="right"/>
      </w:pPr>
      <w:r>
        <w:rPr/>
        <w:t>董事长：赵友永</w:t>
      </w:r>
    </w:p>
    <w:p>
      <w:pPr>
        <w:spacing w:line="240" w:lineRule="auto" w:before="10"/>
        <w:rPr>
          <w:rFonts w:ascii="宋体" w:hAnsi="宋体" w:cs="宋体" w:eastAsia="宋体" w:hint="default"/>
          <w:sz w:val="14"/>
          <w:szCs w:val="14"/>
        </w:rPr>
      </w:pPr>
    </w:p>
    <w:p>
      <w:pPr>
        <w:pStyle w:val="BodyText"/>
        <w:spacing w:line="240" w:lineRule="auto" w:before="0"/>
        <w:ind w:left="0" w:right="452"/>
        <w:jc w:val="right"/>
      </w:pPr>
      <w:r>
        <w:rPr/>
        <w:t>二</w:t>
      </w:r>
      <w:r>
        <w:rPr>
          <w:spacing w:val="-54"/>
        </w:rPr>
        <w:t> </w:t>
      </w:r>
      <w:r>
        <w:rPr>
          <w:rFonts w:ascii="Times New Roman" w:hAnsi="Times New Roman" w:cs="Times New Roman" w:eastAsia="Times New Roman" w:hint="default"/>
        </w:rPr>
        <w:t>OO</w:t>
      </w:r>
      <w:r>
        <w:rPr>
          <w:rFonts w:ascii="Times New Roman" w:hAnsi="Times New Roman" w:cs="Times New Roman" w:eastAsia="Times New Roman" w:hint="default"/>
          <w:spacing w:val="-2"/>
        </w:rPr>
        <w:t> </w:t>
      </w:r>
      <w:r>
        <w:rPr/>
        <w:t>九年三月二十六日</w:t>
      </w:r>
    </w:p>
    <w:sectPr>
      <w:pgSz w:w="11910" w:h="16840"/>
      <w:pgMar w:header="400" w:footer="982" w:top="1100" w:bottom="1180" w:left="166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6433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90501pt;margin-top:504.025513pt;width:83pt;height:11pt;mso-position-horizontal-relative:page;mso-position-vertical-relative:page;z-index:-6430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法定代表人：赵友永</w:t>
                </w:r>
              </w:p>
            </w:txbxContent>
          </v:textbox>
          <w10:wrap type="none"/>
        </v:shape>
      </w:pict>
    </w:r>
    <w:r>
      <w:rPr/>
      <w:pict>
        <v:shape style="position:absolute;margin-left:381.490509pt;margin-top:504.025513pt;width:119pt;height:11pt;mso-position-horizontal-relative:page;mso-position-vertical-relative:page;z-index:-6430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主管会计工作负责人：蒋春晨</w:t>
                </w:r>
              </w:p>
            </w:txbxContent>
          </v:textbox>
          <w10:wrap type="none"/>
        </v:shape>
      </w:pict>
    </w:r>
    <w:r>
      <w:rPr/>
      <w:pict>
        <v:shape style="position:absolute;margin-left:651.49054pt;margin-top:504.025513pt;width:101pt;height:11pt;mso-position-horizontal-relative:page;mso-position-vertical-relative:page;z-index:-6430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会计机构负责人：符  昀</w:t>
                </w:r>
              </w:p>
            </w:txbxContent>
          </v:textbox>
          <w10:wrap type="none"/>
        </v:shape>
      </w:pict>
    </w:r>
    <w:r>
      <w:rPr/>
      <w:pict>
        <v:shape style="position:absolute;margin-left:414.44751pt;margin-top:535.297913pt;width:13pt;height:11pt;mso-position-horizontal-relative:page;mso-position-vertical-relative:page;z-index:-6430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66</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5.44751pt;margin-top:535.297913pt;width:11pt;height:11pt;mso-position-horizontal-relative:page;mso-position-vertical-relative:page;z-index:-64297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68</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6428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69</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80005pt;margin-top:781.897522pt;width:15.5pt;height:11pt;mso-position-horizontal-relative:page;mso-position-vertical-relative:page;z-index:-64285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897522pt;width:17.5pt;height:11pt;mso-position-horizontal-relative:page;mso-position-vertical-relative:page;z-index:-6428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6433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643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643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43</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643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56</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002998pt;margin-top:754.945313pt;width:83pt;height:11pt;mso-position-horizontal-relative:page;mso-position-vertical-relative:page;z-index:-6432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法定代表人：赵友永</w:t>
                </w:r>
              </w:p>
            </w:txbxContent>
          </v:textbox>
          <w10:wrap type="none"/>
        </v:shape>
      </w:pict>
    </w:r>
    <w:r>
      <w:rPr/>
      <w:pict>
        <v:shape style="position:absolute;margin-left:224.003006pt;margin-top:754.945313pt;width:119pt;height:11pt;mso-position-horizontal-relative:page;mso-position-vertical-relative:page;z-index:-6432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主管会计工作负责人：蒋春晨</w:t>
                </w:r>
              </w:p>
            </w:txbxContent>
          </v:textbox>
          <w10:wrap type="none"/>
        </v:shape>
      </w:pict>
    </w:r>
    <w:r>
      <w:rPr/>
      <w:pict>
        <v:shape style="position:absolute;margin-left:395.003021pt;margin-top:754.945313pt;width:101pt;height:11pt;mso-position-horizontal-relative:page;mso-position-vertical-relative:page;z-index:-6432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会计机构负责人：符  昀</w:t>
                </w:r>
              </w:p>
            </w:txbxContent>
          </v:textbox>
          <w10:wrap type="none"/>
        </v:shape>
      </w:pict>
    </w:r>
    <w:r>
      <w:rPr/>
      <w:pict>
        <v:shape style="position:absolute;margin-left:291.159698pt;margin-top:781.897522pt;width:13pt;height:11pt;mso-position-horizontal-relative:page;mso-position-vertical-relative:page;z-index:-6431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63</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59698pt;margin-top:781.897522pt;width:11pt;height:11pt;mso-position-horizontal-relative:page;mso-position-vertical-relative:page;z-index:-6431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65</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459991pt;margin-top:19.97966pt;width:80.622543pt;height:31.979996pt;mso-position-horizontal-relative:page;mso-position-vertical-relative:page;z-index:-643456" type="#_x0000_t75" stroked="false">
          <v:imagedata r:id="rId1" o:title=""/>
        </v:shape>
      </w:pict>
    </w:r>
    <w:r>
      <w:rPr/>
      <w:pict>
        <v:group style="position:absolute;margin-left:88.5pt;margin-top:55.619999pt;width:418.35pt;height:.1pt;mso-position-horizontal-relative:page;mso-position-vertical-relative:page;z-index:-643432" coordorigin="1770,1112" coordsize="8367,2">
          <v:shape style="position:absolute;left:1770;top:1112;width:8367;height:2" coordorigin="1770,1112" coordsize="8367,0" path="m1770,1112l10136,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92.820007pt;margin-top:42.865326pt;width:213.5pt;height:11.5pt;mso-position-horizontal-relative:page;mso-position-vertical-relative:page;z-index:-6434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450546pt;margin-top:19.979996pt;width:80.403091pt;height:31.979996pt;mso-position-horizontal-relative:page;mso-position-vertical-relative:page;z-index:-643144" type="#_x0000_t75" stroked="false">
          <v:imagedata r:id="rId1" o:title=""/>
        </v:shape>
      </w:pict>
    </w:r>
    <w:r>
      <w:rPr/>
      <w:pict>
        <v:group style="position:absolute;margin-left:88.490997pt;margin-top:55.619999pt;width:664.95pt;height:.1pt;mso-position-horizontal-relative:page;mso-position-vertical-relative:page;z-index:-643120" coordorigin="1770,1112" coordsize="13299,2">
          <v:shape style="position:absolute;left:1770;top:1112;width:13299;height:2" coordorigin="1770,1112" coordsize="13299,0" path="m1770,1112l15068,1112e" filled="false" stroked="true" strokeweight=".72pt" strokecolor="#000000">
            <v:path arrowok="t"/>
          </v:shape>
          <w10:wrap type="none"/>
        </v:group>
      </w:pict>
    </w:r>
    <w:r>
      <w:rPr/>
      <w:pict>
        <v:shape style="position:absolute;margin-left:539.410522pt;margin-top:42.865623pt;width:213.5pt;height:11.5pt;mso-position-horizontal-relative:page;mso-position-vertical-relative:page;z-index:-6430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459991pt;margin-top:19.97966pt;width:80.622543pt;height:31.979996pt;mso-position-horizontal-relative:page;mso-position-vertical-relative:page;z-index:-642952" type="#_x0000_t75" stroked="false">
          <v:imagedata r:id="rId1" o:title=""/>
        </v:shape>
      </w:pict>
    </w:r>
    <w:r>
      <w:rPr/>
      <w:pict>
        <v:group style="position:absolute;margin-left:88.5pt;margin-top:55.619999pt;width:418.35pt;height:.1pt;mso-position-horizontal-relative:page;mso-position-vertical-relative:page;z-index:-642928" coordorigin="1770,1112" coordsize="8367,2">
          <v:shape style="position:absolute;left:1770;top:1112;width:8367;height:2" coordorigin="1770,1112" coordsize="8367,0" path="m1770,1112l10136,1112e" filled="false" stroked="true" strokeweight=".72pt" strokecolor="#000000">
            <v:path arrowok="t"/>
          </v:shape>
          <w10:wrap type="none"/>
        </v:group>
      </w:pict>
    </w:r>
    <w:r>
      <w:rPr/>
      <w:pict>
        <v:shape style="position:absolute;margin-left:292.820007pt;margin-top:42.865326pt;width:213.5pt;height:11.5pt;mso-position-horizontal-relative:page;mso-position-vertical-relative:page;z-index:-6429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80"/>
      <w:ind w:left="140"/>
    </w:pPr>
    <w:rPr>
      <w:rFonts w:ascii="宋体" w:hAnsi="宋体" w:eastAsia="宋体"/>
      <w:sz w:val="32"/>
      <w:szCs w:val="32"/>
    </w:rPr>
  </w:style>
  <w:style w:styleId="BodyText" w:type="paragraph">
    <w:name w:val="Body Text"/>
    <w:basedOn w:val="Normal"/>
    <w:uiPriority w:val="1"/>
    <w:qFormat/>
    <w:pPr>
      <w:spacing w:before="50"/>
      <w:ind w:left="140"/>
    </w:pPr>
    <w:rPr>
      <w:rFonts w:ascii="宋体" w:hAnsi="宋体" w:eastAsia="宋体"/>
      <w:sz w:val="21"/>
      <w:szCs w:val="21"/>
    </w:rPr>
  </w:style>
  <w:style w:styleId="Heading1" w:type="paragraph">
    <w:name w:val="Heading 1"/>
    <w:basedOn w:val="Normal"/>
    <w:uiPriority w:val="1"/>
    <w:qFormat/>
    <w:pPr>
      <w:spacing w:before="1"/>
      <w:ind w:left="2445"/>
      <w:outlineLvl w:val="1"/>
    </w:pPr>
    <w:rPr>
      <w:rFonts w:ascii="宋体" w:hAnsi="宋体" w:eastAsia="宋体"/>
      <w:b/>
      <w:bCs/>
      <w:sz w:val="32"/>
      <w:szCs w:val="32"/>
    </w:rPr>
  </w:style>
  <w:style w:styleId="Heading2" w:type="paragraph">
    <w:name w:val="Heading 2"/>
    <w:basedOn w:val="Normal"/>
    <w:uiPriority w:val="1"/>
    <w:qFormat/>
    <w:pPr>
      <w:ind w:left="140"/>
      <w:outlineLvl w:val="2"/>
    </w:pPr>
    <w:rPr>
      <w:rFonts w:ascii="宋体" w:hAnsi="宋体" w:eastAsia="宋体"/>
      <w:b/>
      <w:bCs/>
      <w:sz w:val="28"/>
      <w:szCs w:val="28"/>
    </w:rPr>
  </w:style>
  <w:style w:styleId="Heading3" w:type="paragraph">
    <w:name w:val="Heading 3"/>
    <w:basedOn w:val="Normal"/>
    <w:uiPriority w:val="1"/>
    <w:qFormat/>
    <w:pPr>
      <w:spacing w:before="26"/>
      <w:outlineLvl w:val="3"/>
    </w:pPr>
    <w:rPr>
      <w:rFonts w:ascii="宋体" w:hAnsi="宋体" w:eastAsia="宋体"/>
      <w:b/>
      <w:bCs/>
      <w:sz w:val="24"/>
      <w:szCs w:val="24"/>
    </w:rPr>
  </w:style>
  <w:style w:styleId="Heading4" w:type="paragraph">
    <w:name w:val="Heading 4"/>
    <w:basedOn w:val="Normal"/>
    <w:uiPriority w:val="1"/>
    <w:qFormat/>
    <w:pPr>
      <w:ind w:left="560"/>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securities@grgbanking.com" TargetMode="External"/><Relationship Id="rId9" Type="http://schemas.openxmlformats.org/officeDocument/2006/relationships/hyperlink" Target="http://www.grgbanking.com/" TargetMode="External"/><Relationship Id="rId10" Type="http://schemas.openxmlformats.org/officeDocument/2006/relationships/hyperlink" Target="http://www.cninfo.com.cn/" TargetMode="External"/><Relationship Id="rId11" Type="http://schemas.openxmlformats.org/officeDocument/2006/relationships/image" Target="media/image3.png"/><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eader" Target="header2.xml"/><Relationship Id="rId15" Type="http://schemas.openxmlformats.org/officeDocument/2006/relationships/footer" Target="footer4.xml"/><Relationship Id="rId16" Type="http://schemas.openxmlformats.org/officeDocument/2006/relationships/image" Target="media/image4.jpeg"/><Relationship Id="rId17" Type="http://schemas.openxmlformats.org/officeDocument/2006/relationships/footer" Target="footer5.xml"/><Relationship Id="rId18" Type="http://schemas.openxmlformats.org/officeDocument/2006/relationships/header" Target="header3.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header" Target="header4.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header" Target="header5.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footer" Target="footer1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黎敏原</dc:creator>
  <dc:title>广州广电运通金融电子股份有限公司</dc:title>
  <dcterms:created xsi:type="dcterms:W3CDTF">2020-04-01T23:41:25Z</dcterms:created>
  <dcterms:modified xsi:type="dcterms:W3CDTF">2020-04-01T23:41:25Z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2009-03-26T00:00:00Z</vt:filetime>
  </property>
  <property fmtid="{D5CDD505-2E9C-101B-9397-08002B2CF9AE}" pid="3" name="Creator">
    <vt:lpwstr>Acrobat PDFMaker 7.0 for Word</vt:lpwstr>
  </property>
  <property fmtid="{D5CDD505-2E9C-101B-9397-08002B2CF9AE}" pid="4" name="LastSaved">
    <vt:filetime>2020-04-01T00:00:00Z</vt:filetime>
  </property>
</Properties>
</file>