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3"/>
        <w:ind w:left="417" w:right="417" w:firstLine="0"/>
        <w:jc w:val="center"/>
        <w:rPr>
          <w:rFonts w:ascii="宋体" w:hAnsi="宋体" w:cs="宋体" w:eastAsia="宋体" w:hint="default"/>
          <w:sz w:val="48"/>
          <w:szCs w:val="48"/>
        </w:rPr>
      </w:pPr>
      <w:r>
        <w:rPr>
          <w:rFonts w:ascii="宋体" w:hAnsi="宋体" w:cs="宋体" w:eastAsia="宋体" w:hint="default"/>
          <w:b/>
          <w:bCs/>
          <w:sz w:val="48"/>
          <w:szCs w:val="48"/>
        </w:rPr>
        <w:t>广州广电运通金融电子股份有限公司</w:t>
      </w:r>
      <w:r>
        <w:rPr>
          <w:rFonts w:ascii="宋体" w:hAnsi="宋体" w:cs="宋体" w:eastAsia="宋体" w:hint="default"/>
          <w:sz w:val="48"/>
          <w:szCs w:val="48"/>
        </w:rPr>
      </w:r>
    </w:p>
    <w:p>
      <w:pPr>
        <w:spacing w:line="240" w:lineRule="auto" w:before="7"/>
        <w:rPr>
          <w:rFonts w:ascii="宋体" w:hAnsi="宋体" w:cs="宋体" w:eastAsia="宋体" w:hint="default"/>
          <w:b/>
          <w:bCs/>
          <w:sz w:val="47"/>
          <w:szCs w:val="47"/>
        </w:rPr>
      </w:pPr>
    </w:p>
    <w:p>
      <w:pPr>
        <w:spacing w:before="0"/>
        <w:ind w:left="417" w:right="417" w:firstLine="0"/>
        <w:jc w:val="center"/>
        <w:rPr>
          <w:rFonts w:ascii="Times New Roman" w:hAnsi="Times New Roman" w:cs="Times New Roman" w:eastAsia="Times New Roman" w:hint="default"/>
          <w:sz w:val="48"/>
          <w:szCs w:val="48"/>
        </w:rPr>
      </w:pPr>
      <w:r>
        <w:rPr>
          <w:rFonts w:ascii="Times New Roman"/>
          <w:b/>
          <w:sz w:val="48"/>
        </w:rPr>
        <w:t>GRG Banking Equipment Co.,</w:t>
      </w:r>
      <w:r>
        <w:rPr>
          <w:rFonts w:ascii="Times New Roman"/>
          <w:b/>
          <w:spacing w:val="-42"/>
          <w:sz w:val="48"/>
        </w:rPr>
        <w:t> </w:t>
      </w:r>
      <w:r>
        <w:rPr>
          <w:rFonts w:ascii="Times New Roman"/>
          <w:b/>
          <w:sz w:val="48"/>
        </w:rPr>
        <w:t>Ltd.</w:t>
      </w:r>
      <w:r>
        <w:rPr>
          <w:rFonts w:ascii="Times New Roman"/>
          <w:sz w:val="48"/>
        </w:rPr>
      </w:r>
    </w:p>
    <w:p>
      <w:pPr>
        <w:spacing w:line="240" w:lineRule="auto" w:before="4"/>
        <w:rPr>
          <w:rFonts w:ascii="Times New Roman" w:hAnsi="Times New Roman" w:cs="Times New Roman" w:eastAsia="Times New Roman" w:hint="default"/>
          <w:b/>
          <w:bCs/>
          <w:sz w:val="41"/>
          <w:szCs w:val="41"/>
        </w:rPr>
      </w:pPr>
    </w:p>
    <w:p>
      <w:pPr>
        <w:spacing w:before="0"/>
        <w:ind w:left="417" w:right="416" w:firstLine="0"/>
        <w:jc w:val="center"/>
        <w:rPr>
          <w:rFonts w:ascii="宋体" w:hAnsi="宋体" w:cs="宋体" w:eastAsia="宋体" w:hint="default"/>
          <w:sz w:val="48"/>
          <w:szCs w:val="48"/>
        </w:rPr>
      </w:pPr>
      <w:r>
        <w:rPr>
          <w:rFonts w:ascii="Times New Roman" w:hAnsi="Times New Roman" w:cs="Times New Roman" w:eastAsia="Times New Roman" w:hint="default"/>
          <w:b/>
          <w:bCs/>
          <w:sz w:val="48"/>
          <w:szCs w:val="48"/>
        </w:rPr>
        <w:t>2010</w:t>
      </w:r>
      <w:r>
        <w:rPr>
          <w:rFonts w:ascii="Times New Roman" w:hAnsi="Times New Roman" w:cs="Times New Roman" w:eastAsia="Times New Roman" w:hint="default"/>
          <w:b/>
          <w:bCs/>
          <w:spacing w:val="-5"/>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line="1266" w:lineRule="exact"/>
        <w:ind w:left="2712"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996596" cy="8041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996596" cy="804100"/>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436" w:lineRule="auto" w:before="152"/>
        <w:ind w:left="4461" w:right="128"/>
        <w:jc w:val="left"/>
        <w:rPr>
          <w:b w:val="0"/>
          <w:bCs w:val="0"/>
        </w:rPr>
      </w:pPr>
      <w:r>
        <w:rPr/>
        <w:t>证券代码：</w:t>
      </w:r>
      <w:r>
        <w:rPr>
          <w:rFonts w:ascii="Times New Roman" w:hAnsi="Times New Roman" w:cs="Times New Roman" w:eastAsia="Times New Roman" w:hint="default"/>
        </w:rPr>
        <w:t>002152</w:t>
      </w:r>
      <w:r>
        <w:rPr>
          <w:rFonts w:ascii="Times New Roman" w:hAnsi="Times New Roman" w:cs="Times New Roman" w:eastAsia="Times New Roman" w:hint="default"/>
          <w:spacing w:val="-1"/>
          <w:w w:val="100"/>
        </w:rPr>
        <w:t> </w:t>
      </w:r>
      <w:r>
        <w:rPr/>
        <w:t>证券简称：广电运通</w:t>
      </w:r>
      <w:r>
        <w:rPr>
          <w:w w:val="99"/>
        </w:rPr>
        <w:t> </w:t>
      </w:r>
      <w:r>
        <w:rPr>
          <w:spacing w:val="-12"/>
        </w:rPr>
        <w:t>披露日期：</w:t>
      </w:r>
      <w:r>
        <w:rPr>
          <w:rFonts w:ascii="Times New Roman" w:hAnsi="Times New Roman" w:cs="Times New Roman" w:eastAsia="Times New Roman" w:hint="default"/>
          <w:spacing w:val="-12"/>
        </w:rPr>
        <w:t>2011</w:t>
      </w:r>
      <w:r>
        <w:rPr>
          <w:rFonts w:ascii="Times New Roman" w:hAnsi="Times New Roman" w:cs="Times New Roman" w:eastAsia="Times New Roman" w:hint="default"/>
          <w:spacing w:val="-1"/>
        </w:rPr>
        <w:t> </w:t>
      </w:r>
      <w:r>
        <w:rPr/>
        <w:t>年</w:t>
      </w:r>
      <w:r>
        <w:rPr>
          <w:spacing w:val="-8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82"/>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r>
        <w:rPr>
          <w:b w:val="0"/>
          <w:bCs w:val="0"/>
        </w:rPr>
      </w:r>
    </w:p>
    <w:p>
      <w:pPr>
        <w:spacing w:after="0" w:line="436" w:lineRule="auto"/>
        <w:jc w:val="left"/>
        <w:sectPr>
          <w:headerReference w:type="default" r:id="rId5"/>
          <w:type w:val="continuous"/>
          <w:pgSz w:w="11910" w:h="16840"/>
          <w:pgMar w:header="400" w:top="1100" w:bottom="280" w:left="1660" w:right="16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5"/>
        <w:ind w:left="417" w:right="417"/>
        <w:jc w:val="center"/>
        <w:rPr>
          <w:b w:val="0"/>
          <w:bCs w:val="0"/>
        </w:rPr>
      </w:pPr>
      <w:r>
        <w:rPr/>
        <w:t>重要提示</w:t>
      </w:r>
      <w:r>
        <w:rPr>
          <w:b w:val="0"/>
          <w:bCs w:val="0"/>
        </w:rPr>
      </w:r>
    </w:p>
    <w:p>
      <w:pPr>
        <w:spacing w:line="240" w:lineRule="auto" w:before="13"/>
        <w:rPr>
          <w:rFonts w:ascii="宋体" w:hAnsi="宋体" w:cs="宋体" w:eastAsia="宋体" w:hint="default"/>
          <w:b/>
          <w:bCs/>
          <w:sz w:val="42"/>
          <w:szCs w:val="42"/>
        </w:rPr>
      </w:pPr>
    </w:p>
    <w:p>
      <w:pPr>
        <w:spacing w:line="297" w:lineRule="auto" w:before="0"/>
        <w:ind w:left="140" w:right="137" w:firstLine="480"/>
        <w:jc w:val="both"/>
        <w:rPr>
          <w:rFonts w:ascii="宋体" w:hAnsi="宋体" w:cs="宋体" w:eastAsia="宋体" w:hint="default"/>
          <w:sz w:val="24"/>
          <w:szCs w:val="24"/>
        </w:rPr>
      </w:pPr>
      <w:r>
        <w:rPr>
          <w:rFonts w:ascii="宋体" w:hAnsi="宋体" w:cs="宋体" w:eastAsia="宋体" w:hint="default"/>
          <w:spacing w:val="-3"/>
          <w:sz w:val="24"/>
          <w:szCs w:val="24"/>
        </w:rPr>
        <w:t>公司董事会、监事会及董事、监事、高级管理人员保证本报告所载资料不存</w:t>
      </w:r>
      <w:r>
        <w:rPr>
          <w:rFonts w:ascii="宋体" w:hAnsi="宋体" w:cs="宋体" w:eastAsia="宋体" w:hint="default"/>
          <w:sz w:val="24"/>
          <w:szCs w:val="24"/>
        </w:rPr>
        <w:t> </w:t>
      </w:r>
      <w:r>
        <w:rPr>
          <w:rFonts w:ascii="宋体" w:hAnsi="宋体" w:cs="宋体" w:eastAsia="宋体" w:hint="default"/>
          <w:spacing w:val="-3"/>
          <w:sz w:val="24"/>
          <w:szCs w:val="24"/>
        </w:rPr>
        <w:t>在任何虚假记载、误导性陈述或者重大遗漏，并对其内容的真实性、准确性和完</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整性承担个别及连带责任。</w:t>
      </w:r>
    </w:p>
    <w:p>
      <w:pPr>
        <w:spacing w:line="240" w:lineRule="auto" w:before="12"/>
        <w:rPr>
          <w:rFonts w:ascii="宋体" w:hAnsi="宋体" w:cs="宋体" w:eastAsia="宋体" w:hint="default"/>
          <w:sz w:val="28"/>
          <w:szCs w:val="28"/>
        </w:rPr>
      </w:pPr>
    </w:p>
    <w:p>
      <w:pPr>
        <w:spacing w:line="297" w:lineRule="auto" w:before="0"/>
        <w:ind w:left="140" w:right="137" w:firstLine="480"/>
        <w:jc w:val="both"/>
        <w:rPr>
          <w:rFonts w:ascii="宋体" w:hAnsi="宋体" w:cs="宋体" w:eastAsia="宋体" w:hint="default"/>
          <w:sz w:val="24"/>
          <w:szCs w:val="24"/>
        </w:rPr>
      </w:pPr>
      <w:r>
        <w:rPr>
          <w:rFonts w:ascii="宋体" w:hAnsi="宋体" w:cs="宋体" w:eastAsia="宋体" w:hint="default"/>
          <w:spacing w:val="-3"/>
          <w:sz w:val="24"/>
          <w:szCs w:val="24"/>
        </w:rPr>
        <w:t>没有董事、监事、高级管理人员声明对年度报告内容的真实性、准确性和完</w:t>
      </w:r>
      <w:r>
        <w:rPr>
          <w:rFonts w:ascii="宋体" w:hAnsi="宋体" w:cs="宋体" w:eastAsia="宋体" w:hint="default"/>
          <w:sz w:val="24"/>
          <w:szCs w:val="24"/>
        </w:rPr>
        <w:t> 整性无法保证或存在异议。</w:t>
      </w:r>
    </w:p>
    <w:p>
      <w:pPr>
        <w:spacing w:line="748" w:lineRule="exact" w:before="59"/>
        <w:ind w:left="620" w:right="118" w:firstLine="0"/>
        <w:jc w:val="left"/>
        <w:rPr>
          <w:rFonts w:ascii="宋体" w:hAnsi="宋体" w:cs="宋体" w:eastAsia="宋体" w:hint="default"/>
          <w:sz w:val="24"/>
          <w:szCs w:val="24"/>
        </w:rPr>
      </w:pPr>
      <w:r>
        <w:rPr>
          <w:rFonts w:ascii="宋体" w:hAnsi="宋体" w:cs="宋体" w:eastAsia="宋体" w:hint="default"/>
          <w:sz w:val="24"/>
          <w:szCs w:val="24"/>
        </w:rPr>
        <w:t>公司全体董事亲自出席了本次审议年度报告的董事会。 立信羊城会计师事务所有限公司为公司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34"/>
          <w:sz w:val="24"/>
          <w:szCs w:val="24"/>
        </w:rPr>
        <w:t> </w:t>
      </w:r>
      <w:r>
        <w:rPr>
          <w:rFonts w:ascii="宋体" w:hAnsi="宋体" w:cs="宋体" w:eastAsia="宋体" w:hint="default"/>
          <w:sz w:val="24"/>
          <w:szCs w:val="24"/>
        </w:rPr>
        <w:t>年度财务报告出具了标准无保</w:t>
      </w:r>
    </w:p>
    <w:p>
      <w:pPr>
        <w:spacing w:line="273" w:lineRule="exact" w:before="0"/>
        <w:ind w:left="140" w:right="128" w:firstLine="0"/>
        <w:jc w:val="left"/>
        <w:rPr>
          <w:rFonts w:ascii="宋体" w:hAnsi="宋体" w:cs="宋体" w:eastAsia="宋体" w:hint="default"/>
          <w:sz w:val="24"/>
          <w:szCs w:val="24"/>
        </w:rPr>
      </w:pPr>
      <w:r>
        <w:rPr>
          <w:rFonts w:ascii="宋体" w:hAnsi="宋体" w:cs="宋体" w:eastAsia="宋体" w:hint="default"/>
          <w:sz w:val="24"/>
          <w:szCs w:val="24"/>
        </w:rPr>
        <w:t>留意见的审计报告。</w:t>
      </w:r>
    </w:p>
    <w:p>
      <w:pPr>
        <w:spacing w:line="240" w:lineRule="auto" w:before="4"/>
        <w:rPr>
          <w:rFonts w:ascii="宋体" w:hAnsi="宋体" w:cs="宋体" w:eastAsia="宋体" w:hint="default"/>
          <w:sz w:val="33"/>
          <w:szCs w:val="33"/>
        </w:rPr>
      </w:pPr>
    </w:p>
    <w:p>
      <w:pPr>
        <w:spacing w:line="297" w:lineRule="auto" w:before="0"/>
        <w:ind w:left="140" w:right="137" w:firstLine="480"/>
        <w:jc w:val="both"/>
        <w:rPr>
          <w:rFonts w:ascii="宋体" w:hAnsi="宋体" w:cs="宋体" w:eastAsia="宋体" w:hint="default"/>
          <w:sz w:val="24"/>
          <w:szCs w:val="24"/>
        </w:rPr>
      </w:pPr>
      <w:r>
        <w:rPr>
          <w:rFonts w:ascii="宋体" w:hAnsi="宋体" w:cs="宋体" w:eastAsia="宋体" w:hint="default"/>
          <w:spacing w:val="-3"/>
          <w:sz w:val="24"/>
          <w:szCs w:val="24"/>
        </w:rPr>
        <w:t>公司董事长赵友永先生、财务负责人蒋春晨先生及会计机构负责人（会计主</w:t>
      </w:r>
      <w:r>
        <w:rPr>
          <w:rFonts w:ascii="宋体" w:hAnsi="宋体" w:cs="宋体" w:eastAsia="宋体" w:hint="default"/>
          <w:sz w:val="24"/>
          <w:szCs w:val="24"/>
        </w:rPr>
        <w:t> 管人员）符昀先生声明：保证本年度报告中财务报告的真实、完整。</w:t>
      </w:r>
    </w:p>
    <w:p>
      <w:pPr>
        <w:spacing w:after="0" w:line="297" w:lineRule="auto"/>
        <w:jc w:val="both"/>
        <w:rPr>
          <w:rFonts w:ascii="宋体" w:hAnsi="宋体" w:cs="宋体" w:eastAsia="宋体" w:hint="default"/>
          <w:sz w:val="24"/>
          <w:szCs w:val="24"/>
        </w:rPr>
        <w:sectPr>
          <w:footerReference w:type="default" r:id="rId7"/>
          <w:pgSz w:w="11910" w:h="16840"/>
          <w:pgMar w:footer="982" w:header="400" w:top="1100" w:bottom="1180" w:left="1660" w:right="166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643" w:val="left" w:leader="none"/>
        </w:tabs>
        <w:spacing w:line="240" w:lineRule="auto"/>
        <w:ind w:right="377"/>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8860" w:val="right" w:leader="dot"/>
            </w:tabs>
            <w:spacing w:line="240" w:lineRule="auto" w:before="821"/>
            <w:ind w:right="0"/>
            <w:jc w:val="left"/>
            <w:rPr>
              <w:rFonts w:ascii="Times New Roman" w:hAnsi="Times New Roman" w:cs="Times New Roman" w:eastAsia="Times New Roman" w:hint="default"/>
              <w:sz w:val="24"/>
              <w:szCs w:val="24"/>
            </w:rPr>
          </w:pPr>
          <w:hyperlink w:history="true" w:anchor="_TOC_250010">
            <w:r>
              <w:rPr/>
              <w:t>第一节</w:t>
            </w:r>
            <w:r>
              <w:rPr>
                <w:spacing w:val="-1"/>
              </w:rPr>
              <w:t> </w:t>
            </w:r>
            <w:r>
              <w:rPr/>
              <w:t>公司基本情况简介</w:t>
            </w:r>
            <w:r>
              <w:rPr>
                <w:rFonts w:ascii="Times New Roman" w:hAnsi="Times New Roman" w:cs="Times New Roman" w:eastAsia="Times New Roman" w:hint="default"/>
                <w:sz w:val="24"/>
                <w:szCs w:val="24"/>
              </w:rPr>
              <w:tab/>
              <w:t>3</w:t>
            </w:r>
          </w:hyperlink>
        </w:p>
        <w:p>
          <w:pPr>
            <w:pStyle w:val="TOC1"/>
            <w:tabs>
              <w:tab w:pos="8860" w:val="right" w:leader="dot"/>
            </w:tabs>
            <w:spacing w:line="240" w:lineRule="auto"/>
            <w:ind w:right="0"/>
            <w:jc w:val="left"/>
            <w:rPr>
              <w:rFonts w:ascii="Times New Roman" w:hAnsi="Times New Roman" w:cs="Times New Roman" w:eastAsia="Times New Roman" w:hint="default"/>
              <w:sz w:val="24"/>
              <w:szCs w:val="24"/>
            </w:rPr>
          </w:pPr>
          <w:hyperlink w:history="true" w:anchor="_TOC_250009">
            <w:r>
              <w:rPr/>
              <w:t>第二节</w:t>
            </w:r>
            <w:r>
              <w:rPr>
                <w:spacing w:val="-1"/>
              </w:rPr>
              <w:t> </w:t>
            </w:r>
            <w:r>
              <w:rPr/>
              <w:t>会计数据和业务数据摘要</w:t>
            </w:r>
            <w:r>
              <w:rPr>
                <w:rFonts w:ascii="Times New Roman" w:hAnsi="Times New Roman" w:cs="Times New Roman" w:eastAsia="Times New Roman" w:hint="default"/>
                <w:sz w:val="24"/>
                <w:szCs w:val="24"/>
              </w:rPr>
              <w:tab/>
              <w:t>4</w:t>
            </w:r>
          </w:hyperlink>
        </w:p>
        <w:p>
          <w:pPr>
            <w:pStyle w:val="TOC1"/>
            <w:tabs>
              <w:tab w:pos="8860" w:val="right" w:leader="dot"/>
            </w:tabs>
            <w:spacing w:line="240" w:lineRule="auto" w:before="264"/>
            <w:ind w:right="0"/>
            <w:jc w:val="left"/>
            <w:rPr>
              <w:rFonts w:ascii="Times New Roman" w:hAnsi="Times New Roman" w:cs="Times New Roman" w:eastAsia="Times New Roman" w:hint="default"/>
              <w:sz w:val="24"/>
              <w:szCs w:val="24"/>
            </w:rPr>
          </w:pPr>
          <w:hyperlink w:history="true" w:anchor="_TOC_250008">
            <w:r>
              <w:rPr/>
              <w:t>第三节</w:t>
            </w:r>
            <w:r>
              <w:rPr>
                <w:spacing w:val="-1"/>
              </w:rPr>
              <w:t> </w:t>
            </w:r>
            <w:r>
              <w:rPr/>
              <w:t>股本变动及股东情况</w:t>
            </w:r>
            <w:r>
              <w:rPr>
                <w:rFonts w:ascii="Times New Roman" w:hAnsi="Times New Roman" w:cs="Times New Roman" w:eastAsia="Times New Roman" w:hint="default"/>
                <w:sz w:val="24"/>
                <w:szCs w:val="24"/>
              </w:rPr>
              <w:tab/>
              <w:t>6</w:t>
            </w:r>
          </w:hyperlink>
        </w:p>
        <w:p>
          <w:pPr>
            <w:pStyle w:val="TOC1"/>
            <w:tabs>
              <w:tab w:pos="8860" w:val="right" w:leader="dot"/>
            </w:tabs>
            <w:spacing w:line="240" w:lineRule="auto"/>
            <w:ind w:right="0"/>
            <w:jc w:val="left"/>
            <w:rPr>
              <w:rFonts w:ascii="Times New Roman" w:hAnsi="Times New Roman" w:cs="Times New Roman" w:eastAsia="Times New Roman" w:hint="default"/>
              <w:sz w:val="24"/>
              <w:szCs w:val="24"/>
            </w:rPr>
          </w:pPr>
          <w:hyperlink w:history="true" w:anchor="_TOC_250007">
            <w:r>
              <w:rPr/>
              <w:t>第四节</w:t>
            </w:r>
            <w:r>
              <w:rPr>
                <w:spacing w:val="-1"/>
              </w:rPr>
              <w:t> </w:t>
            </w:r>
            <w:r>
              <w:rPr/>
              <w:t>董事、监事、高级管理人员和员工情况</w:t>
            </w:r>
            <w:r>
              <w:rPr>
                <w:rFonts w:ascii="Times New Roman" w:hAnsi="Times New Roman" w:cs="Times New Roman" w:eastAsia="Times New Roman" w:hint="default"/>
                <w:sz w:val="24"/>
                <w:szCs w:val="24"/>
              </w:rPr>
              <w:tab/>
              <w:t>10</w:t>
            </w:r>
          </w:hyperlink>
        </w:p>
        <w:p>
          <w:pPr>
            <w:pStyle w:val="TOC2"/>
            <w:tabs>
              <w:tab w:pos="886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6">
            <w:r>
              <w:rPr>
                <w:b w:val="0"/>
                <w:bCs w:val="0"/>
                <w:i w:val="0"/>
                <w:sz w:val="21"/>
                <w:szCs w:val="21"/>
              </w:rPr>
              <w:t>第五节</w:t>
            </w:r>
            <w:r>
              <w:rPr>
                <w:b w:val="0"/>
                <w:bCs w:val="0"/>
                <w:i w:val="0"/>
                <w:spacing w:val="-1"/>
                <w:sz w:val="21"/>
                <w:szCs w:val="21"/>
              </w:rPr>
              <w:t> </w:t>
            </w:r>
            <w:r>
              <w:rPr>
                <w:b w:val="0"/>
                <w:bCs w:val="0"/>
                <w:i w:val="0"/>
                <w:sz w:val="21"/>
                <w:szCs w:val="21"/>
              </w:rPr>
              <w:t>公司治理结构</w:t>
            </w:r>
            <w:r>
              <w:rPr>
                <w:rFonts w:ascii="Times New Roman" w:hAnsi="Times New Roman" w:cs="Times New Roman" w:eastAsia="Times New Roman" w:hint="default"/>
                <w:b w:val="0"/>
                <w:bCs w:val="0"/>
                <w:i w:val="0"/>
                <w:sz w:val="24"/>
                <w:szCs w:val="24"/>
              </w:rPr>
              <w:tab/>
              <w:t>15</w:t>
            </w:r>
          </w:hyperlink>
        </w:p>
        <w:p>
          <w:pPr>
            <w:pStyle w:val="TOC1"/>
            <w:tabs>
              <w:tab w:pos="8860" w:val="right" w:leader="dot"/>
            </w:tabs>
            <w:spacing w:line="240" w:lineRule="auto"/>
            <w:ind w:right="0"/>
            <w:jc w:val="left"/>
            <w:rPr>
              <w:rFonts w:ascii="Times New Roman" w:hAnsi="Times New Roman" w:cs="Times New Roman" w:eastAsia="Times New Roman" w:hint="default"/>
              <w:sz w:val="24"/>
              <w:szCs w:val="24"/>
            </w:rPr>
          </w:pPr>
          <w:hyperlink w:history="true" w:anchor="_TOC_250005">
            <w:r>
              <w:rPr/>
              <w:t>第六节</w:t>
            </w:r>
            <w:r>
              <w:rPr>
                <w:spacing w:val="-1"/>
              </w:rPr>
              <w:t> </w:t>
            </w:r>
            <w:r>
              <w:rPr/>
              <w:t>股东大会情况简介</w:t>
            </w:r>
            <w:r>
              <w:rPr>
                <w:rFonts w:ascii="Times New Roman" w:hAnsi="Times New Roman" w:cs="Times New Roman" w:eastAsia="Times New Roman" w:hint="default"/>
                <w:sz w:val="24"/>
                <w:szCs w:val="24"/>
              </w:rPr>
              <w:tab/>
              <w:t>20</w:t>
            </w:r>
          </w:hyperlink>
        </w:p>
        <w:p>
          <w:pPr>
            <w:pStyle w:val="TOC2"/>
            <w:tabs>
              <w:tab w:pos="8860" w:val="right" w:leader="dot"/>
            </w:tabs>
            <w:spacing w:line="240" w:lineRule="auto" w:before="264"/>
            <w:ind w:right="0"/>
            <w:jc w:val="left"/>
            <w:rPr>
              <w:rFonts w:ascii="Times New Roman" w:hAnsi="Times New Roman" w:cs="Times New Roman" w:eastAsia="Times New Roman" w:hint="default"/>
              <w:b w:val="0"/>
              <w:bCs w:val="0"/>
              <w:i w:val="0"/>
              <w:sz w:val="24"/>
              <w:szCs w:val="24"/>
            </w:rPr>
          </w:pPr>
          <w:hyperlink w:history="true" w:anchor="_TOC_250004">
            <w:r>
              <w:rPr>
                <w:b w:val="0"/>
                <w:bCs w:val="0"/>
                <w:i w:val="0"/>
                <w:sz w:val="21"/>
                <w:szCs w:val="21"/>
              </w:rPr>
              <w:t>第七节</w:t>
            </w:r>
            <w:r>
              <w:rPr>
                <w:b w:val="0"/>
                <w:bCs w:val="0"/>
                <w:i w:val="0"/>
                <w:spacing w:val="-1"/>
                <w:sz w:val="21"/>
                <w:szCs w:val="21"/>
              </w:rPr>
              <w:t> </w:t>
            </w:r>
            <w:r>
              <w:rPr>
                <w:b w:val="0"/>
                <w:bCs w:val="0"/>
                <w:i w:val="0"/>
                <w:sz w:val="21"/>
                <w:szCs w:val="21"/>
              </w:rPr>
              <w:t>董事会报告</w:t>
            </w:r>
            <w:r>
              <w:rPr>
                <w:rFonts w:ascii="Times New Roman" w:hAnsi="Times New Roman" w:cs="Times New Roman" w:eastAsia="Times New Roman" w:hint="default"/>
                <w:b w:val="0"/>
                <w:bCs w:val="0"/>
                <w:i w:val="0"/>
                <w:sz w:val="24"/>
                <w:szCs w:val="24"/>
              </w:rPr>
              <w:tab/>
              <w:t>20</w:t>
            </w:r>
          </w:hyperlink>
        </w:p>
        <w:p>
          <w:pPr>
            <w:pStyle w:val="TOC2"/>
            <w:tabs>
              <w:tab w:pos="886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3">
            <w:r>
              <w:rPr>
                <w:b w:val="0"/>
                <w:bCs w:val="0"/>
                <w:i w:val="0"/>
                <w:sz w:val="21"/>
                <w:szCs w:val="21"/>
              </w:rPr>
              <w:t>第八节</w:t>
            </w:r>
            <w:r>
              <w:rPr>
                <w:b w:val="0"/>
                <w:bCs w:val="0"/>
                <w:i w:val="0"/>
                <w:spacing w:val="-1"/>
                <w:sz w:val="21"/>
                <w:szCs w:val="21"/>
              </w:rPr>
              <w:t> </w:t>
            </w:r>
            <w:r>
              <w:rPr>
                <w:b w:val="0"/>
                <w:bCs w:val="0"/>
                <w:i w:val="0"/>
                <w:sz w:val="21"/>
                <w:szCs w:val="21"/>
              </w:rPr>
              <w:t>监事会报告</w:t>
            </w:r>
            <w:r>
              <w:rPr>
                <w:rFonts w:ascii="Times New Roman" w:hAnsi="Times New Roman" w:cs="Times New Roman" w:eastAsia="Times New Roman" w:hint="default"/>
                <w:b w:val="0"/>
                <w:bCs w:val="0"/>
                <w:i w:val="0"/>
                <w:sz w:val="24"/>
                <w:szCs w:val="24"/>
              </w:rPr>
              <w:tab/>
              <w:t>44</w:t>
            </w:r>
          </w:hyperlink>
        </w:p>
        <w:p>
          <w:pPr>
            <w:pStyle w:val="TOC2"/>
            <w:tabs>
              <w:tab w:pos="886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2">
            <w:r>
              <w:rPr>
                <w:b w:val="0"/>
                <w:bCs w:val="0"/>
                <w:i w:val="0"/>
                <w:sz w:val="21"/>
                <w:szCs w:val="21"/>
              </w:rPr>
              <w:t>第九节</w:t>
            </w:r>
            <w:r>
              <w:rPr>
                <w:b w:val="0"/>
                <w:bCs w:val="0"/>
                <w:i w:val="0"/>
                <w:spacing w:val="-1"/>
                <w:sz w:val="21"/>
                <w:szCs w:val="21"/>
              </w:rPr>
              <w:t> </w:t>
            </w:r>
            <w:r>
              <w:rPr>
                <w:b w:val="0"/>
                <w:bCs w:val="0"/>
                <w:i w:val="0"/>
                <w:sz w:val="21"/>
                <w:szCs w:val="21"/>
              </w:rPr>
              <w:t>重要事项</w:t>
            </w:r>
            <w:r>
              <w:rPr>
                <w:rFonts w:ascii="Times New Roman" w:hAnsi="Times New Roman" w:cs="Times New Roman" w:eastAsia="Times New Roman" w:hint="default"/>
                <w:b w:val="0"/>
                <w:bCs w:val="0"/>
                <w:i w:val="0"/>
                <w:sz w:val="24"/>
                <w:szCs w:val="24"/>
              </w:rPr>
              <w:tab/>
              <w:t>46</w:t>
            </w:r>
          </w:hyperlink>
        </w:p>
        <w:p>
          <w:pPr>
            <w:pStyle w:val="TOC2"/>
            <w:tabs>
              <w:tab w:pos="8860" w:val="right" w:leader="dot"/>
            </w:tabs>
            <w:spacing w:line="240" w:lineRule="auto" w:before="264"/>
            <w:ind w:right="0"/>
            <w:jc w:val="left"/>
            <w:rPr>
              <w:rFonts w:ascii="Times New Roman" w:hAnsi="Times New Roman" w:cs="Times New Roman" w:eastAsia="Times New Roman" w:hint="default"/>
              <w:b w:val="0"/>
              <w:bCs w:val="0"/>
              <w:i w:val="0"/>
              <w:sz w:val="24"/>
              <w:szCs w:val="24"/>
            </w:rPr>
          </w:pPr>
          <w:hyperlink w:history="true" w:anchor="_TOC_250001">
            <w:r>
              <w:rPr>
                <w:b w:val="0"/>
                <w:bCs w:val="0"/>
                <w:i w:val="0"/>
                <w:sz w:val="21"/>
                <w:szCs w:val="21"/>
              </w:rPr>
              <w:t>第十节</w:t>
            </w:r>
            <w:r>
              <w:rPr>
                <w:b w:val="0"/>
                <w:bCs w:val="0"/>
                <w:i w:val="0"/>
                <w:spacing w:val="-1"/>
                <w:sz w:val="21"/>
                <w:szCs w:val="21"/>
              </w:rPr>
              <w:t> </w:t>
            </w:r>
            <w:r>
              <w:rPr>
                <w:b w:val="0"/>
                <w:bCs w:val="0"/>
                <w:i w:val="0"/>
                <w:sz w:val="21"/>
                <w:szCs w:val="21"/>
              </w:rPr>
              <w:t>财务报告</w:t>
            </w:r>
            <w:r>
              <w:rPr>
                <w:rFonts w:ascii="Times New Roman" w:hAnsi="Times New Roman" w:cs="Times New Roman" w:eastAsia="Times New Roman" w:hint="default"/>
                <w:b w:val="0"/>
                <w:bCs w:val="0"/>
                <w:i w:val="0"/>
                <w:sz w:val="24"/>
                <w:szCs w:val="24"/>
              </w:rPr>
              <w:tab/>
              <w:t>54</w:t>
            </w:r>
          </w:hyperlink>
        </w:p>
        <w:p>
          <w:pPr>
            <w:pStyle w:val="TOC2"/>
            <w:tabs>
              <w:tab w:pos="886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b w:val="0"/>
                <w:bCs w:val="0"/>
                <w:i w:val="0"/>
                <w:sz w:val="21"/>
                <w:szCs w:val="21"/>
              </w:rPr>
              <w:t>第十一节</w:t>
            </w:r>
            <w:r>
              <w:rPr>
                <w:b w:val="0"/>
                <w:bCs w:val="0"/>
                <w:i w:val="0"/>
                <w:spacing w:val="-1"/>
                <w:sz w:val="21"/>
                <w:szCs w:val="21"/>
              </w:rPr>
              <w:t> </w:t>
            </w:r>
            <w:r>
              <w:rPr>
                <w:b w:val="0"/>
                <w:bCs w:val="0"/>
                <w:i w:val="0"/>
                <w:sz w:val="21"/>
                <w:szCs w:val="21"/>
              </w:rPr>
              <w:t>备查文件目录</w:t>
            </w:r>
            <w:r>
              <w:rPr>
                <w:rFonts w:ascii="Times New Roman" w:hAnsi="Times New Roman" w:cs="Times New Roman" w:eastAsia="Times New Roman" w:hint="default"/>
                <w:b w:val="0"/>
                <w:bCs w:val="0"/>
                <w:i w:val="0"/>
                <w:sz w:val="24"/>
                <w:szCs w:val="24"/>
              </w:rPr>
              <w:tab/>
              <w:t>131</w:t>
            </w:r>
          </w:hyperlink>
        </w:p>
      </w:sdtContent>
    </w:sdt>
    <w:p>
      <w:pPr>
        <w:spacing w:after="0" w:line="240" w:lineRule="auto"/>
        <w:jc w:val="left"/>
        <w:rPr>
          <w:rFonts w:ascii="Times New Roman" w:hAnsi="Times New Roman" w:cs="Times New Roman" w:eastAsia="Times New Roman" w:hint="default"/>
          <w:sz w:val="24"/>
          <w:szCs w:val="24"/>
        </w:rPr>
        <w:sectPr>
          <w:pgSz w:w="11910" w:h="16840"/>
          <w:pgMar w:header="400" w:footer="982" w:top="1100" w:bottom="1180" w:left="1660" w:right="1280"/>
        </w:sectPr>
      </w:pPr>
    </w:p>
    <w:p>
      <w:pPr>
        <w:spacing w:line="240" w:lineRule="auto" w:before="10"/>
        <w:rPr>
          <w:rFonts w:ascii="Times New Roman" w:hAnsi="Times New Roman" w:cs="Times New Roman" w:eastAsia="Times New Roman" w:hint="default"/>
          <w:sz w:val="23"/>
          <w:szCs w:val="23"/>
        </w:rPr>
      </w:pPr>
    </w:p>
    <w:p>
      <w:pPr>
        <w:pStyle w:val="Heading2"/>
        <w:spacing w:line="240" w:lineRule="auto" w:before="0"/>
        <w:ind w:left="2676" w:right="128"/>
        <w:jc w:val="left"/>
        <w:rPr>
          <w:b w:val="0"/>
          <w:bCs w:val="0"/>
        </w:rPr>
      </w:pPr>
      <w:bookmarkStart w:name="_TOC_250010" w:id="1"/>
      <w:r>
        <w:rPr/>
        <w:t>第一节</w:t>
      </w:r>
      <w:r>
        <w:rPr>
          <w:spacing w:val="-6"/>
        </w:rPr>
        <w:t> </w:t>
      </w:r>
      <w:r>
        <w:rPr/>
        <w:t>公司基本情况简介</w:t>
      </w:r>
      <w:bookmarkEnd w:id="1"/>
      <w:r>
        <w:rPr>
          <w:b w:val="0"/>
          <w:bCs w:val="0"/>
        </w:rPr>
      </w:r>
    </w:p>
    <w:p>
      <w:pPr>
        <w:spacing w:line="240" w:lineRule="auto" w:before="10"/>
        <w:rPr>
          <w:rFonts w:ascii="宋体" w:hAnsi="宋体" w:cs="宋体" w:eastAsia="宋体" w:hint="default"/>
          <w:b/>
          <w:bCs/>
          <w:sz w:val="38"/>
          <w:szCs w:val="38"/>
        </w:rPr>
      </w:pPr>
    </w:p>
    <w:p>
      <w:pPr>
        <w:pStyle w:val="BodyText"/>
        <w:spacing w:line="297" w:lineRule="auto"/>
        <w:ind w:left="560" w:right="3174" w:hanging="420"/>
        <w:jc w:val="left"/>
      </w:pPr>
      <w:r>
        <w:rPr/>
        <w:t>一、公司中文名称：广州广电运通金融电子股份有限公司 公司中文简称：广电运通</w:t>
      </w:r>
    </w:p>
    <w:p>
      <w:pPr>
        <w:pStyle w:val="BodyText"/>
        <w:spacing w:line="240" w:lineRule="auto" w:before="15"/>
        <w:ind w:left="560" w:right="128"/>
        <w:jc w:val="left"/>
        <w:rPr>
          <w:rFonts w:ascii="Times New Roman" w:hAnsi="Times New Roman" w:cs="Times New Roman" w:eastAsia="Times New Roman" w:hint="default"/>
        </w:rPr>
      </w:pPr>
      <w:r>
        <w:rPr/>
        <w:t>公司英文名称：</w:t>
      </w:r>
      <w:r>
        <w:rPr>
          <w:rFonts w:ascii="Times New Roman" w:hAnsi="Times New Roman" w:cs="Times New Roman" w:eastAsia="Times New Roman" w:hint="default"/>
        </w:rPr>
        <w:t>GRG Banking Equipment 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p>
    <w:p>
      <w:pPr>
        <w:pStyle w:val="BodyText"/>
        <w:spacing w:line="544" w:lineRule="auto" w:before="49"/>
        <w:ind w:right="5329" w:firstLine="420"/>
        <w:jc w:val="left"/>
      </w:pPr>
      <w:r>
        <w:rPr/>
        <w:pict>
          <v:shape style="position:absolute;margin-left:102.839996pt;margin-top:85.514534pt;width:389.85pt;height:85.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3763"/>
                    <w:gridCol w:w="2471"/>
                  </w:tblGrid>
                  <w:tr>
                    <w:trPr>
                      <w:trHeight w:val="282"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董事会秘书兼投资者关系管理负责人</w:t>
                        </w:r>
                      </w:p>
                    </w:tc>
                    <w:tc>
                      <w:tcPr>
                        <w:tcW w:w="2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63"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w:t>
                          <w:tab/>
                          <w:t>斌</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陈春田</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640" w:right="0"/>
                          <w:jc w:val="left"/>
                          <w:rPr>
                            <w:rFonts w:ascii="宋体" w:hAnsi="宋体" w:cs="宋体" w:eastAsia="宋体" w:hint="default"/>
                            <w:sz w:val="21"/>
                            <w:szCs w:val="21"/>
                          </w:rPr>
                        </w:pPr>
                        <w:r>
                          <w:rPr>
                            <w:rFonts w:ascii="宋体" w:hAnsi="宋体" w:cs="宋体" w:eastAsia="宋体" w:hint="default"/>
                            <w:sz w:val="21"/>
                            <w:szCs w:val="21"/>
                          </w:rPr>
                          <w:t>广州市萝岗区科学城科林路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号</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8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020-82188517</w:t>
                        </w:r>
                        <w:r>
                          <w:rPr>
                            <w:rFonts w:ascii="宋体" w:hAnsi="宋体" w:cs="宋体" w:eastAsia="宋体" w:hint="default"/>
                            <w:sz w:val="21"/>
                            <w:szCs w:val="21"/>
                          </w:rPr>
                          <w:t>；</w:t>
                        </w:r>
                        <w:r>
                          <w:rPr>
                            <w:rFonts w:ascii="Times New Roman" w:hAnsi="Times New Roman" w:cs="Times New Roman" w:eastAsia="Times New Roman" w:hint="default"/>
                            <w:sz w:val="21"/>
                            <w:szCs w:val="21"/>
                          </w:rPr>
                          <w:t>020-82188900</w:t>
                        </w:r>
                      </w:p>
                    </w:tc>
                  </w:tr>
                  <w:tr>
                    <w:trPr>
                      <w:trHeight w:val="282"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020-82188517</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4" w:right="0"/>
                          <w:jc w:val="left"/>
                          <w:rPr>
                            <w:rFonts w:ascii="Times New Roman" w:hAnsi="Times New Roman" w:cs="Times New Roman" w:eastAsia="Times New Roman" w:hint="default"/>
                            <w:sz w:val="21"/>
                            <w:szCs w:val="21"/>
                          </w:rPr>
                        </w:pPr>
                        <w:hyperlink r:id="rId8">
                          <w:r>
                            <w:rPr>
                              <w:rFonts w:ascii="Times New Roman"/>
                              <w:sz w:val="21"/>
                            </w:rPr>
                            <w:t>securities@grgbanking.com</w:t>
                          </w:r>
                        </w:hyperlink>
                      </w:p>
                    </w:tc>
                  </w:tr>
                </w:tbl>
                <w:p>
                  <w:pPr/>
                </w:p>
              </w:txbxContent>
            </v:textbox>
            <w10:wrap type="none"/>
          </v:shape>
        </w:pict>
      </w:r>
      <w:r>
        <w:rPr/>
        <w:t>公司英文简称：</w:t>
      </w:r>
      <w:r>
        <w:rPr>
          <w:rFonts w:ascii="Times New Roman" w:hAnsi="Times New Roman" w:cs="Times New Roman" w:eastAsia="Times New Roman" w:hint="default"/>
        </w:rPr>
        <w:t>GRG</w:t>
      </w:r>
      <w:r>
        <w:rPr>
          <w:rFonts w:ascii="Times New Roman" w:hAnsi="Times New Roman" w:cs="Times New Roman" w:eastAsia="Times New Roman" w:hint="default"/>
          <w:spacing w:val="-3"/>
        </w:rPr>
        <w:t> </w:t>
      </w:r>
      <w:r>
        <w:rPr>
          <w:rFonts w:ascii="Times New Roman" w:hAnsi="Times New Roman" w:cs="Times New Roman" w:eastAsia="Times New Roman" w:hint="default"/>
        </w:rPr>
        <w:t>Banking</w:t>
      </w:r>
      <w:r>
        <w:rPr>
          <w:rFonts w:ascii="Times New Roman" w:hAnsi="Times New Roman" w:cs="Times New Roman" w:eastAsia="Times New Roman" w:hint="default"/>
        </w:rPr>
        <w:t> </w:t>
      </w:r>
      <w:r>
        <w:rPr/>
        <w:t>二、公司法定代表人：赵友永 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128"/>
        <w:jc w:val="left"/>
      </w:pPr>
      <w:r>
        <w:rPr/>
        <w:t>四、公司注册地址：广州市萝岗区科学城科林路</w:t>
      </w:r>
      <w:r>
        <w:rPr>
          <w:spacing w:val="-53"/>
        </w:rPr>
        <w:t> </w:t>
      </w:r>
      <w:r>
        <w:rPr>
          <w:rFonts w:ascii="Times New Roman" w:hAnsi="Times New Roman" w:cs="Times New Roman" w:eastAsia="Times New Roman" w:hint="default"/>
        </w:rPr>
        <w:t>9 </w:t>
      </w:r>
      <w:r>
        <w:rPr/>
        <w:t>号</w:t>
      </w:r>
    </w:p>
    <w:p>
      <w:pPr>
        <w:pStyle w:val="BodyText"/>
        <w:spacing w:line="280" w:lineRule="auto" w:before="49"/>
        <w:ind w:left="559" w:right="3596"/>
        <w:jc w:val="left"/>
        <w:rPr>
          <w:rFonts w:ascii="Times New Roman" w:hAnsi="Times New Roman" w:cs="Times New Roman" w:eastAsia="Times New Roman" w:hint="default"/>
        </w:rPr>
      </w:pPr>
      <w:r>
        <w:rPr/>
        <w:t>公司办公地址：广州市萝岗区科学城科林路</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 邮政编码：</w:t>
      </w:r>
      <w:r>
        <w:rPr>
          <w:rFonts w:ascii="Times New Roman" w:hAnsi="Times New Roman" w:cs="Times New Roman" w:eastAsia="Times New Roman" w:hint="default"/>
        </w:rPr>
        <w:t>510663</w:t>
      </w:r>
      <w:r>
        <w:rPr>
          <w:rFonts w:ascii="Times New Roman" w:hAnsi="Times New Roman" w:cs="Times New Roman" w:eastAsia="Times New Roman" w:hint="default"/>
          <w:spacing w:val="-1"/>
        </w:rPr>
        <w:t> </w:t>
      </w:r>
      <w:r>
        <w:rPr/>
        <w:t>公司网址：</w:t>
      </w:r>
      <w:hyperlink r:id="rId9">
        <w:r>
          <w:rPr>
            <w:rFonts w:ascii="Times New Roman" w:hAnsi="Times New Roman" w:cs="Times New Roman" w:eastAsia="Times New Roman" w:hint="default"/>
          </w:rPr>
          <w:t>www.grgbanking.com</w:t>
        </w:r>
      </w:hyperlink>
      <w:r>
        <w:rPr>
          <w:rFonts w:ascii="Times New Roman" w:hAnsi="Times New Roman" w:cs="Times New Roman" w:eastAsia="Times New Roman" w:hint="default"/>
        </w:rPr>
        <w:t> </w:t>
      </w:r>
      <w:r>
        <w:rPr/>
        <w:t>电子信箱：</w:t>
      </w:r>
      <w:hyperlink r:id="rId8">
        <w:r>
          <w:rPr>
            <w:rFonts w:ascii="Times New Roman" w:hAnsi="Times New Roman" w:cs="Times New Roman" w:eastAsia="Times New Roman" w:hint="default"/>
          </w:rPr>
          <w:t>securities@grgbanking.com</w:t>
        </w:r>
      </w:hyperlink>
    </w:p>
    <w:p>
      <w:pPr>
        <w:spacing w:line="240" w:lineRule="auto" w:before="1"/>
        <w:rPr>
          <w:rFonts w:ascii="Times New Roman" w:hAnsi="Times New Roman" w:cs="Times New Roman" w:eastAsia="Times New Roman" w:hint="default"/>
          <w:sz w:val="27"/>
          <w:szCs w:val="27"/>
        </w:rPr>
      </w:pPr>
    </w:p>
    <w:p>
      <w:pPr>
        <w:pStyle w:val="BodyText"/>
        <w:spacing w:line="288" w:lineRule="auto"/>
        <w:ind w:left="560" w:right="128" w:hanging="421"/>
        <w:jc w:val="left"/>
      </w:pPr>
      <w:r>
        <w:rPr>
          <w:spacing w:val="-6"/>
        </w:rPr>
        <w:t>五、公司选定的信息披露报纸：《证券时报》</w:t>
      </w:r>
      <w:r>
        <w:rPr>
          <w:spacing w:val="-92"/>
        </w:rPr>
        <w:t> </w:t>
      </w:r>
      <w:r>
        <w:rPr>
          <w:spacing w:val="-92"/>
        </w:rPr>
      </w:r>
      <w:r>
        <w:rPr>
          <w:spacing w:val="-1"/>
        </w:rPr>
        <w:t>登载公司年度报告的网站网址：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rPr>
        <w:t> </w:t>
      </w:r>
      <w:r>
        <w:rPr/>
        <w:t>公司年度报告备置地点：公司证券部</w:t>
      </w:r>
    </w:p>
    <w:p>
      <w:pPr>
        <w:spacing w:line="240" w:lineRule="auto" w:before="11"/>
        <w:rPr>
          <w:rFonts w:ascii="宋体" w:hAnsi="宋体" w:cs="宋体" w:eastAsia="宋体" w:hint="default"/>
          <w:sz w:val="24"/>
          <w:szCs w:val="24"/>
        </w:rPr>
      </w:pPr>
    </w:p>
    <w:p>
      <w:pPr>
        <w:pStyle w:val="BodyText"/>
        <w:spacing w:line="297" w:lineRule="auto"/>
        <w:ind w:left="560" w:right="4434" w:hanging="420"/>
        <w:jc w:val="left"/>
      </w:pPr>
      <w:r>
        <w:rPr/>
        <w:t>六、公司股票上市交易所：深圳证券交易所 股票简称：广电运通</w:t>
      </w:r>
    </w:p>
    <w:p>
      <w:pPr>
        <w:pStyle w:val="BodyText"/>
        <w:spacing w:line="240" w:lineRule="auto" w:before="15"/>
        <w:ind w:left="560" w:right="128"/>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002152</w:t>
      </w:r>
    </w:p>
    <w:p>
      <w:pPr>
        <w:spacing w:line="240" w:lineRule="auto" w:before="6"/>
        <w:rPr>
          <w:rFonts w:ascii="Times New Roman" w:hAnsi="Times New Roman" w:cs="Times New Roman" w:eastAsia="Times New Roman" w:hint="default"/>
          <w:sz w:val="30"/>
          <w:szCs w:val="30"/>
        </w:rPr>
      </w:pPr>
    </w:p>
    <w:p>
      <w:pPr>
        <w:pStyle w:val="BodyText"/>
        <w:spacing w:line="297" w:lineRule="auto"/>
        <w:ind w:left="560" w:right="3969" w:hanging="420"/>
        <w:jc w:val="left"/>
      </w:pPr>
      <w:r>
        <w:rPr/>
        <w:t>七、其他有关资料： 公司首次注册登记日期：</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w:t>
      </w:r>
    </w:p>
    <w:p>
      <w:pPr>
        <w:pStyle w:val="BodyText"/>
        <w:spacing w:line="285" w:lineRule="auto"/>
        <w:ind w:left="560" w:right="3768"/>
        <w:jc w:val="left"/>
        <w:rPr>
          <w:rFonts w:ascii="Times New Roman" w:hAnsi="Times New Roman" w:cs="Times New Roman" w:eastAsia="Times New Roman" w:hint="default"/>
        </w:rPr>
      </w:pPr>
      <w:r>
        <w:rPr/>
        <w:t>公司最近一次变更登记日期：</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 公司注册登记地点：广州市工商行政管理局 企业法人营业执照注册号：</w:t>
      </w:r>
      <w:r>
        <w:rPr>
          <w:rFonts w:ascii="Times New Roman" w:hAnsi="Times New Roman" w:cs="Times New Roman" w:eastAsia="Times New Roman" w:hint="default"/>
        </w:rPr>
        <w:t>440101000000880 </w:t>
      </w:r>
      <w:r>
        <w:rPr/>
        <w:t>公司税务登记号码：</w:t>
      </w:r>
      <w:r>
        <w:rPr>
          <w:rFonts w:ascii="Times New Roman" w:hAnsi="Times New Roman" w:cs="Times New Roman" w:eastAsia="Times New Roman" w:hint="default"/>
        </w:rPr>
        <w:t>440106716340473</w:t>
      </w:r>
      <w:r>
        <w:rPr>
          <w:rFonts w:ascii="Times New Roman" w:hAnsi="Times New Roman" w:cs="Times New Roman" w:eastAsia="Times New Roman" w:hint="default"/>
          <w:spacing w:val="-1"/>
        </w:rPr>
        <w:t> </w:t>
      </w:r>
      <w:r>
        <w:rPr/>
        <w:t>组织机构代码：</w:t>
      </w:r>
      <w:r>
        <w:rPr>
          <w:rFonts w:ascii="Times New Roman" w:hAnsi="Times New Roman" w:cs="Times New Roman" w:eastAsia="Times New Roman" w:hint="default"/>
        </w:rPr>
        <w:t>71634047-3</w:t>
      </w:r>
    </w:p>
    <w:p>
      <w:pPr>
        <w:pStyle w:val="BodyText"/>
        <w:spacing w:line="297" w:lineRule="auto" w:before="6"/>
        <w:ind w:left="560" w:right="1371"/>
        <w:jc w:val="left"/>
      </w:pPr>
      <w:r>
        <w:rPr/>
        <w:t>公司聘请的会计师事务所名称：立信羊城会计师事务所有限公司 会计师事务所办公地址：广州市天河区林和西路</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号耀中广场</w:t>
      </w:r>
      <w:r>
        <w:rPr>
          <w:spacing w:val="-54"/>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座</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楼</w:t>
      </w:r>
    </w:p>
    <w:p>
      <w:pPr>
        <w:spacing w:after="0" w:line="297"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19"/>
          <w:szCs w:val="19"/>
        </w:rPr>
      </w:pPr>
    </w:p>
    <w:p>
      <w:pPr>
        <w:pStyle w:val="Heading2"/>
        <w:spacing w:line="240" w:lineRule="auto"/>
        <w:ind w:left="2275" w:right="122"/>
        <w:jc w:val="left"/>
        <w:rPr>
          <w:b w:val="0"/>
          <w:bCs w:val="0"/>
        </w:rPr>
      </w:pPr>
      <w:bookmarkStart w:name="_TOC_250009" w:id="2"/>
      <w:r>
        <w:rPr/>
        <w:t>第二节</w:t>
      </w:r>
      <w:r>
        <w:rPr>
          <w:spacing w:val="-7"/>
        </w:rPr>
        <w:t> </w:t>
      </w:r>
      <w:r>
        <w:rPr/>
        <w:t>会计数据和业务数据摘要</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400" w:footer="982" w:top="1100" w:bottom="1180" w:left="1640" w:right="1640"/>
        </w:sectPr>
      </w:pPr>
    </w:p>
    <w:p>
      <w:pPr>
        <w:pStyle w:val="Heading3"/>
        <w:spacing w:line="240" w:lineRule="auto" w:before="26"/>
        <w:ind w:left="160" w:right="-20"/>
        <w:jc w:val="left"/>
        <w:rPr>
          <w:b w:val="0"/>
          <w:bCs w:val="0"/>
        </w:rPr>
      </w:pPr>
      <w:r>
        <w:rPr/>
        <w:t>一、报告期公司主要会计数据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pStyle w:val="BodyText"/>
        <w:spacing w:line="240" w:lineRule="auto"/>
        <w:ind w:left="160" w:right="0"/>
        <w:jc w:val="left"/>
      </w:pPr>
      <w:r>
        <w:rPr/>
        <w:t>单位：元</w:t>
      </w:r>
    </w:p>
    <w:p>
      <w:pPr>
        <w:spacing w:after="0" w:line="240" w:lineRule="auto"/>
        <w:jc w:val="left"/>
        <w:sectPr>
          <w:type w:val="continuous"/>
          <w:pgSz w:w="11910" w:h="16840"/>
          <w:pgMar w:top="1100" w:bottom="280" w:left="1640" w:right="1640"/>
          <w:cols w:num="2" w:equalWidth="0">
            <w:col w:w="3294" w:space="3846"/>
            <w:col w:w="1490"/>
          </w:cols>
        </w:sectPr>
      </w:pPr>
    </w:p>
    <w:p>
      <w:pPr>
        <w:spacing w:line="240" w:lineRule="auto" w:before="7"/>
        <w:rPr>
          <w:rFonts w:ascii="宋体" w:hAnsi="宋体" w:cs="宋体" w:eastAsia="宋体" w:hint="default"/>
          <w:sz w:val="2"/>
          <w:szCs w:val="2"/>
        </w:rPr>
      </w:pPr>
    </w:p>
    <w:tbl>
      <w:tblPr>
        <w:tblW w:w="0" w:type="auto"/>
        <w:jc w:val="left"/>
        <w:tblInd w:w="372" w:type="dxa"/>
        <w:tblLayout w:type="fixed"/>
        <w:tblCellMar>
          <w:top w:w="0" w:type="dxa"/>
          <w:left w:w="0" w:type="dxa"/>
          <w:bottom w:w="0" w:type="dxa"/>
          <w:right w:w="0" w:type="dxa"/>
        </w:tblCellMar>
        <w:tblLook w:val="01E0"/>
      </w:tblPr>
      <w:tblGrid>
        <w:gridCol w:w="5328"/>
        <w:gridCol w:w="2543"/>
      </w:tblGrid>
      <w:tr>
        <w:trPr>
          <w:trHeight w:val="301" w:hRule="exact"/>
        </w:trPr>
        <w:tc>
          <w:tcPr>
            <w:tcW w:w="5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25"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39" w:hRule="exact"/>
        </w:trPr>
        <w:tc>
          <w:tcPr>
            <w:tcW w:w="5328" w:type="dxa"/>
            <w:tcBorders>
              <w:top w:val="single" w:sz="18" w:space="0" w:color="D9D9D9"/>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543" w:type="dxa"/>
            <w:tcBorders>
              <w:top w:val="single" w:sz="18" w:space="0" w:color="D9D9D9"/>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453,825,919.42</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525,560,484.35</w:t>
            </w:r>
          </w:p>
        </w:tc>
      </w:tr>
      <w:tr>
        <w:trPr>
          <w:trHeight w:val="319"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475,131,689.63</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463,874,200.56</w:t>
            </w:r>
          </w:p>
        </w:tc>
      </w:tr>
      <w:tr>
        <w:trPr>
          <w:trHeight w:val="320" w:hRule="exact"/>
        </w:trPr>
        <w:tc>
          <w:tcPr>
            <w:tcW w:w="5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118,922,359.04</w:t>
            </w:r>
          </w:p>
        </w:tc>
      </w:tr>
    </w:tbl>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00" w:bottom="280" w:left="1640" w:right="1640"/>
        </w:sectPr>
      </w:pPr>
    </w:p>
    <w:p>
      <w:pPr>
        <w:pStyle w:val="Heading3"/>
        <w:spacing w:line="240" w:lineRule="auto" w:before="26"/>
        <w:ind w:left="160" w:right="-19"/>
        <w:jc w:val="left"/>
        <w:rPr>
          <w:b w:val="0"/>
          <w:bCs w:val="0"/>
        </w:rPr>
      </w:pPr>
      <w:r>
        <w:rPr/>
        <w:t>二、报告期内扣除非经常性损益的项目及涉及的金额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pStyle w:val="BodyText"/>
        <w:spacing w:line="240" w:lineRule="auto"/>
        <w:ind w:left="160" w:right="0"/>
        <w:jc w:val="left"/>
      </w:pPr>
      <w:r>
        <w:rPr/>
        <w:t>单位：元</w:t>
      </w:r>
    </w:p>
    <w:p>
      <w:pPr>
        <w:spacing w:after="0" w:line="240" w:lineRule="auto"/>
        <w:jc w:val="left"/>
        <w:sectPr>
          <w:type w:val="continuous"/>
          <w:pgSz w:w="11910" w:h="16840"/>
          <w:pgMar w:top="1100" w:bottom="280" w:left="1640" w:right="1640"/>
          <w:cols w:num="2" w:equalWidth="0">
            <w:col w:w="5703" w:space="597"/>
            <w:col w:w="2330"/>
          </w:cols>
        </w:sectPr>
      </w:pPr>
    </w:p>
    <w:p>
      <w:pPr>
        <w:spacing w:line="240" w:lineRule="auto" w:before="7"/>
        <w:rPr>
          <w:rFonts w:ascii="宋体" w:hAnsi="宋体" w:cs="宋体" w:eastAsia="宋体" w:hint="default"/>
          <w:sz w:val="2"/>
          <w:szCs w:val="2"/>
        </w:rPr>
      </w:pPr>
    </w:p>
    <w:tbl>
      <w:tblPr>
        <w:tblW w:w="0" w:type="auto"/>
        <w:jc w:val="left"/>
        <w:tblInd w:w="276" w:type="dxa"/>
        <w:tblLayout w:type="fixed"/>
        <w:tblCellMar>
          <w:top w:w="0" w:type="dxa"/>
          <w:left w:w="0" w:type="dxa"/>
          <w:bottom w:w="0" w:type="dxa"/>
          <w:right w:w="0" w:type="dxa"/>
        </w:tblCellMar>
        <w:tblLook w:val="01E0"/>
      </w:tblPr>
      <w:tblGrid>
        <w:gridCol w:w="6542"/>
        <w:gridCol w:w="1522"/>
      </w:tblGrid>
      <w:tr>
        <w:trPr>
          <w:trHeight w:val="282"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861" w:val="left" w:leader="none"/>
              </w:tabs>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83"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（一）非流动资产处置损益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1,442,842.10</w:t>
            </w:r>
          </w:p>
        </w:tc>
      </w:tr>
      <w:tr>
        <w:trPr>
          <w:trHeight w:val="554"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（二）计入当期损益的政府补助（与企业业务密切相关，按照国家统一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11,095,535.06</w:t>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540,781.18</w:t>
            </w:r>
            <w:r>
              <w:rPr>
                <w:rFonts w:ascii="Times New Roman"/>
                <w:sz w:val="21"/>
              </w:rPr>
            </w:r>
          </w:p>
        </w:tc>
      </w:tr>
      <w:tr>
        <w:trPr>
          <w:trHeight w:val="282"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-1,817,257.36</w:t>
            </w:r>
          </w:p>
        </w:tc>
      </w:tr>
      <w:tr>
        <w:trPr>
          <w:trHeight w:val="288" w:hRule="exact"/>
        </w:trPr>
        <w:tc>
          <w:tcPr>
            <w:tcW w:w="6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-4,411.91</w:t>
            </w:r>
            <w:r>
              <w:rPr>
                <w:rFonts w:ascii="Times New Roman"/>
                <w:sz w:val="21"/>
              </w:rPr>
            </w:r>
          </w:p>
        </w:tc>
      </w:tr>
      <w:tr>
        <w:trPr>
          <w:trHeight w:val="291" w:hRule="exact"/>
        </w:trPr>
        <w:tc>
          <w:tcPr>
            <w:tcW w:w="6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11,257,489.07</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00" w:bottom="280" w:left="1640" w:right="1640"/>
        </w:sectPr>
      </w:pPr>
    </w:p>
    <w:p>
      <w:pPr>
        <w:pStyle w:val="Heading3"/>
        <w:spacing w:line="240" w:lineRule="auto" w:before="26"/>
        <w:ind w:left="160" w:right="-19"/>
        <w:jc w:val="left"/>
        <w:rPr>
          <w:b w:val="0"/>
          <w:bCs w:val="0"/>
        </w:rPr>
      </w:pPr>
      <w:r>
        <w:rPr/>
        <w:t>三、报告期末公司前三年主要会计数据和财务指标</w:t>
      </w:r>
      <w:r>
        <w:rPr>
          <w:b w:val="0"/>
          <w:bCs w:val="0"/>
        </w:rPr>
      </w:r>
    </w:p>
    <w:p>
      <w:pPr>
        <w:pStyle w:val="BodyText"/>
        <w:spacing w:line="240" w:lineRule="auto" w:before="120"/>
        <w:ind w:left="160" w:right="-19"/>
        <w:jc w:val="left"/>
      </w:pPr>
      <w:r>
        <w:rPr/>
        <w:t>（一）主要会计数据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160" w:right="0"/>
        <w:jc w:val="left"/>
      </w:pPr>
      <w:r>
        <w:rPr/>
        <w:t>单位</w:t>
      </w:r>
      <w:r>
        <w:rPr>
          <w:spacing w:val="-94"/>
        </w:rPr>
        <w:t>：</w:t>
      </w:r>
      <w:r>
        <w:rPr/>
        <w:t>元</w:t>
      </w:r>
    </w:p>
    <w:p>
      <w:pPr>
        <w:spacing w:after="0" w:line="240" w:lineRule="auto"/>
        <w:jc w:val="left"/>
        <w:sectPr>
          <w:type w:val="continuous"/>
          <w:pgSz w:w="11910" w:h="16840"/>
          <w:pgMar w:top="1100" w:bottom="280" w:left="1640" w:right="1640"/>
          <w:cols w:num="2" w:equalWidth="0">
            <w:col w:w="5462" w:space="2098"/>
            <w:col w:w="1070"/>
          </w:cols>
        </w:sectPr>
      </w:pP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47"/>
        <w:gridCol w:w="1673"/>
        <w:gridCol w:w="1440"/>
        <w:gridCol w:w="1440"/>
        <w:gridCol w:w="1686"/>
      </w:tblGrid>
      <w:tr>
        <w:trPr>
          <w:trHeight w:val="120"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673"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6" w:type="dxa"/>
            <w:vMerge w:val="restart"/>
            <w:tcBorders>
              <w:top w:val="single" w:sz="4" w:space="0" w:color="000000"/>
              <w:left w:val="single" w:sz="4" w:space="0" w:color="000000"/>
              <w:right w:val="single" w:sz="4" w:space="0" w:color="000000"/>
            </w:tcBorders>
            <w:shd w:val="clear" w:color="auto" w:fill="DCDCDC"/>
          </w:tcPr>
          <w:p>
            <w:pPr/>
          </w:p>
        </w:tc>
      </w:tr>
      <w:tr>
        <w:trPr>
          <w:trHeight w:val="124"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673"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263"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1686"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147" w:type="dxa"/>
            <w:tcBorders>
              <w:top w:val="nil" w:sz="6" w:space="0" w:color="auto"/>
              <w:left w:val="single" w:sz="4" w:space="0" w:color="000000"/>
              <w:bottom w:val="nil" w:sz="6" w:space="0" w:color="auto"/>
              <w:right w:val="single" w:sz="4" w:space="0" w:color="000000"/>
            </w:tcBorders>
            <w:shd w:val="clear" w:color="auto" w:fill="DCDCDC"/>
          </w:tcPr>
          <w:p>
            <w:pPr/>
          </w:p>
        </w:tc>
        <w:tc>
          <w:tcPr>
            <w:tcW w:w="167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5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0" w:type="dxa"/>
            <w:vMerge/>
            <w:tcBorders>
              <w:left w:val="single" w:sz="4" w:space="0" w:color="000000"/>
              <w:right w:val="single" w:sz="4" w:space="0" w:color="000000"/>
            </w:tcBorders>
            <w:shd w:val="clear" w:color="auto" w:fill="DCDCDC"/>
          </w:tcPr>
          <w:p>
            <w:pPr/>
          </w:p>
        </w:tc>
        <w:tc>
          <w:tcPr>
            <w:tcW w:w="16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44" w:hRule="exact"/>
        </w:trPr>
        <w:tc>
          <w:tcPr>
            <w:tcW w:w="2147" w:type="dxa"/>
            <w:tcBorders>
              <w:top w:val="nil" w:sz="6" w:space="0" w:color="auto"/>
              <w:left w:val="single" w:sz="4" w:space="0" w:color="000000"/>
              <w:bottom w:val="single" w:sz="4" w:space="0" w:color="FFFFFF"/>
              <w:right w:val="single" w:sz="4" w:space="0" w:color="000000"/>
            </w:tcBorders>
            <w:shd w:val="clear" w:color="auto" w:fill="DCDCDC"/>
          </w:tcPr>
          <w:p>
            <w:pPr/>
          </w:p>
        </w:tc>
        <w:tc>
          <w:tcPr>
            <w:tcW w:w="1673" w:type="dxa"/>
            <w:tcBorders>
              <w:top w:val="nil" w:sz="6" w:space="0" w:color="auto"/>
              <w:left w:val="single" w:sz="4" w:space="0" w:color="000000"/>
              <w:bottom w:val="single" w:sz="4" w:space="0" w:color="FFFFFF"/>
              <w:right w:val="single" w:sz="4" w:space="0" w:color="000000"/>
            </w:tcBorders>
            <w:shd w:val="clear" w:color="auto" w:fill="DCDCDC"/>
          </w:tcPr>
          <w:p>
            <w:pPr/>
          </w:p>
        </w:tc>
        <w:tc>
          <w:tcPr>
            <w:tcW w:w="1440" w:type="dxa"/>
            <w:tcBorders>
              <w:top w:val="nil" w:sz="6" w:space="0" w:color="auto"/>
              <w:left w:val="single" w:sz="4" w:space="0" w:color="000000"/>
              <w:bottom w:val="single" w:sz="4" w:space="0" w:color="FFFFFF"/>
              <w:right w:val="single" w:sz="4" w:space="0" w:color="000000"/>
            </w:tcBorders>
            <w:shd w:val="clear" w:color="auto" w:fill="DCDCDC"/>
          </w:tcPr>
          <w:p>
            <w:pPr/>
          </w:p>
        </w:tc>
        <w:tc>
          <w:tcPr>
            <w:tcW w:w="1440" w:type="dxa"/>
            <w:vMerge/>
            <w:tcBorders>
              <w:left w:val="single" w:sz="4" w:space="0" w:color="000000"/>
              <w:bottom w:val="single" w:sz="4" w:space="0" w:color="FFFFFF"/>
              <w:right w:val="single" w:sz="4" w:space="0" w:color="000000"/>
            </w:tcBorders>
            <w:shd w:val="clear" w:color="auto" w:fill="DCDCDC"/>
          </w:tcPr>
          <w:p>
            <w:pPr/>
          </w:p>
        </w:tc>
        <w:tc>
          <w:tcPr>
            <w:tcW w:w="1686" w:type="dxa"/>
            <w:tcBorders>
              <w:top w:val="nil" w:sz="6" w:space="0" w:color="auto"/>
              <w:left w:val="single" w:sz="4" w:space="0" w:color="000000"/>
              <w:bottom w:val="single" w:sz="4" w:space="0" w:color="FFFFFF"/>
              <w:right w:val="single" w:sz="4" w:space="0" w:color="000000"/>
            </w:tcBorders>
            <w:shd w:val="clear" w:color="auto" w:fill="DCDCDC"/>
          </w:tcPr>
          <w:p>
            <w:pPr/>
          </w:p>
        </w:tc>
      </w:tr>
      <w:tr>
        <w:trPr>
          <w:trHeight w:val="350" w:hRule="exact"/>
        </w:trPr>
        <w:tc>
          <w:tcPr>
            <w:tcW w:w="2147"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73"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1,724,211,269.52</w:t>
            </w:r>
          </w:p>
        </w:tc>
        <w:tc>
          <w:tcPr>
            <w:tcW w:w="14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1,488,739,930.16</w:t>
            </w:r>
          </w:p>
        </w:tc>
        <w:tc>
          <w:tcPr>
            <w:tcW w:w="144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15.82%</w:t>
            </w:r>
            <w:r>
              <w:rPr>
                <w:rFonts w:ascii="Times New Roman"/>
                <w:sz w:val="18"/>
              </w:rPr>
            </w:r>
          </w:p>
        </w:tc>
        <w:tc>
          <w:tcPr>
            <w:tcW w:w="16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1,199,979,552.72</w:t>
            </w:r>
          </w:p>
        </w:tc>
      </w:tr>
      <w:tr>
        <w:trPr>
          <w:trHeight w:val="349"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73"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525,560,484.35</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422,994,854.23</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w w:val="95"/>
                <w:sz w:val="18"/>
              </w:rPr>
              <w:t>24.25%</w:t>
            </w:r>
            <w:r>
              <w:rPr>
                <w:rFonts w:ascii="Times New Roman"/>
                <w:sz w:val="18"/>
              </w:rPr>
            </w:r>
          </w:p>
        </w:tc>
        <w:tc>
          <w:tcPr>
            <w:tcW w:w="16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363,093,273.69</w:t>
            </w:r>
          </w:p>
        </w:tc>
      </w:tr>
      <w:tr>
        <w:trPr>
          <w:trHeight w:val="478"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归属于上市公司股东的净</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475,131,689.63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387,933,928.14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22.48%</w:t>
            </w:r>
            <w:r>
              <w:rPr>
                <w:rFonts w:ascii="Times New Roman"/>
                <w:sz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331,548,801.34</w:t>
            </w:r>
          </w:p>
        </w:tc>
      </w:tr>
      <w:tr>
        <w:trPr>
          <w:trHeight w:val="476"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除非经常性损益的净利润</w:t>
            </w:r>
          </w:p>
        </w:tc>
        <w:tc>
          <w:tcPr>
            <w:tcW w:w="16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463,874,200.56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366,456,975.15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26.58%</w:t>
            </w:r>
            <w:r>
              <w:rPr>
                <w:rFonts w:ascii="Times New Roman"/>
                <w:sz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319,960,944.04</w:t>
            </w:r>
          </w:p>
        </w:tc>
      </w:tr>
      <w:tr>
        <w:trPr>
          <w:trHeight w:val="477" w:hRule="exact"/>
        </w:trPr>
        <w:tc>
          <w:tcPr>
            <w:tcW w:w="21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经营活动产生的现金流量</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6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118,922,359.04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254,750,792.86</w:t>
            </w:r>
          </w:p>
        </w:tc>
        <w:tc>
          <w:tcPr>
            <w:tcW w:w="1440" w:type="dxa"/>
            <w:tcBorders>
              <w:top w:val="single" w:sz="4" w:space="0" w:color="000000"/>
              <w:left w:val="single" w:sz="4" w:space="0" w:color="000000"/>
              <w:bottom w:val="single" w:sz="51"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-53.32%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306,588,088.45</w:t>
            </w:r>
          </w:p>
        </w:tc>
      </w:tr>
      <w:tr>
        <w:trPr>
          <w:trHeight w:val="121" w:hRule="exact"/>
        </w:trPr>
        <w:tc>
          <w:tcPr>
            <w:tcW w:w="2147" w:type="dxa"/>
            <w:vMerge w:val="restart"/>
            <w:tcBorders>
              <w:top w:val="single" w:sz="4" w:space="0" w:color="000000"/>
              <w:left w:val="single" w:sz="4" w:space="0" w:color="000000"/>
              <w:right w:val="single" w:sz="4" w:space="0" w:color="000000"/>
            </w:tcBorders>
            <w:shd w:val="clear" w:color="auto" w:fill="DCDCDC"/>
          </w:tcPr>
          <w:p>
            <w:pPr/>
          </w:p>
        </w:tc>
        <w:tc>
          <w:tcPr>
            <w:tcW w:w="1673"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6" w:type="dxa"/>
            <w:vMerge w:val="restart"/>
            <w:tcBorders>
              <w:top w:val="single" w:sz="4" w:space="0" w:color="000000"/>
              <w:left w:val="single" w:sz="4" w:space="0" w:color="000000"/>
              <w:right w:val="single" w:sz="4" w:space="0" w:color="000000"/>
            </w:tcBorders>
            <w:shd w:val="clear" w:color="auto" w:fill="DCDCDC"/>
          </w:tcPr>
          <w:p>
            <w:pPr/>
          </w:p>
        </w:tc>
      </w:tr>
      <w:tr>
        <w:trPr>
          <w:trHeight w:val="124" w:hRule="exact"/>
        </w:trPr>
        <w:tc>
          <w:tcPr>
            <w:tcW w:w="2147" w:type="dxa"/>
            <w:vMerge/>
            <w:tcBorders>
              <w:left w:val="single" w:sz="4" w:space="0" w:color="000000"/>
              <w:bottom w:val="nil" w:sz="6" w:space="0" w:color="auto"/>
              <w:right w:val="single" w:sz="4" w:space="0" w:color="000000"/>
            </w:tcBorders>
            <w:shd w:val="clear" w:color="auto" w:fill="DCDCDC"/>
          </w:tcPr>
          <w:p>
            <w:pPr/>
          </w:p>
        </w:tc>
        <w:tc>
          <w:tcPr>
            <w:tcW w:w="1673"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增减（％）</w:t>
            </w:r>
          </w:p>
        </w:tc>
        <w:tc>
          <w:tcPr>
            <w:tcW w:w="1686"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147" w:type="dxa"/>
            <w:tcBorders>
              <w:top w:val="nil" w:sz="6" w:space="0" w:color="auto"/>
              <w:left w:val="single" w:sz="4" w:space="0" w:color="000000"/>
              <w:bottom w:val="nil" w:sz="6" w:space="0" w:color="auto"/>
              <w:right w:val="single" w:sz="4" w:space="0" w:color="000000"/>
            </w:tcBorders>
            <w:shd w:val="clear" w:color="auto" w:fill="DCDCDC"/>
          </w:tcPr>
          <w:p>
            <w:pPr/>
          </w:p>
        </w:tc>
        <w:tc>
          <w:tcPr>
            <w:tcW w:w="167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40" w:type="dxa"/>
            <w:vMerge/>
            <w:tcBorders>
              <w:left w:val="single" w:sz="4" w:space="0" w:color="000000"/>
              <w:right w:val="single" w:sz="4" w:space="0" w:color="000000"/>
            </w:tcBorders>
            <w:shd w:val="clear" w:color="auto" w:fill="DCDCDC"/>
          </w:tcPr>
          <w:p>
            <w:pPr/>
          </w:p>
        </w:tc>
        <w:tc>
          <w:tcPr>
            <w:tcW w:w="16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4" w:hRule="exact"/>
        </w:trPr>
        <w:tc>
          <w:tcPr>
            <w:tcW w:w="2147" w:type="dxa"/>
            <w:tcBorders>
              <w:top w:val="nil" w:sz="6" w:space="0" w:color="auto"/>
              <w:left w:val="single" w:sz="4" w:space="0" w:color="000000"/>
              <w:bottom w:val="single" w:sz="4" w:space="0" w:color="FFFFFF"/>
              <w:right w:val="single" w:sz="4" w:space="0" w:color="000000"/>
            </w:tcBorders>
            <w:shd w:val="clear" w:color="auto" w:fill="DCDCDC"/>
          </w:tcPr>
          <w:p>
            <w:pPr/>
          </w:p>
        </w:tc>
        <w:tc>
          <w:tcPr>
            <w:tcW w:w="1673" w:type="dxa"/>
            <w:tcBorders>
              <w:top w:val="nil" w:sz="6" w:space="0" w:color="auto"/>
              <w:left w:val="single" w:sz="4" w:space="0" w:color="000000"/>
              <w:bottom w:val="single" w:sz="4" w:space="0" w:color="FFFFFF"/>
              <w:right w:val="single" w:sz="4" w:space="0" w:color="000000"/>
            </w:tcBorders>
            <w:shd w:val="clear" w:color="auto" w:fill="DCDCDC"/>
          </w:tcPr>
          <w:p>
            <w:pPr/>
          </w:p>
        </w:tc>
        <w:tc>
          <w:tcPr>
            <w:tcW w:w="1440" w:type="dxa"/>
            <w:tcBorders>
              <w:top w:val="nil" w:sz="6" w:space="0" w:color="auto"/>
              <w:left w:val="single" w:sz="4" w:space="0" w:color="000000"/>
              <w:bottom w:val="single" w:sz="4" w:space="0" w:color="FFFFFF"/>
              <w:right w:val="single" w:sz="4" w:space="0" w:color="000000"/>
            </w:tcBorders>
            <w:shd w:val="clear" w:color="auto" w:fill="DCDCDC"/>
          </w:tcPr>
          <w:p>
            <w:pPr/>
          </w:p>
        </w:tc>
        <w:tc>
          <w:tcPr>
            <w:tcW w:w="1440" w:type="dxa"/>
            <w:vMerge/>
            <w:tcBorders>
              <w:left w:val="single" w:sz="4" w:space="0" w:color="000000"/>
              <w:bottom w:val="single" w:sz="4" w:space="0" w:color="FFFFFF"/>
              <w:right w:val="single" w:sz="4" w:space="0" w:color="000000"/>
            </w:tcBorders>
            <w:shd w:val="clear" w:color="auto" w:fill="DCDCDC"/>
          </w:tcPr>
          <w:p>
            <w:pPr/>
          </w:p>
        </w:tc>
        <w:tc>
          <w:tcPr>
            <w:tcW w:w="1686" w:type="dxa"/>
            <w:tcBorders>
              <w:top w:val="nil" w:sz="6" w:space="0" w:color="auto"/>
              <w:left w:val="single" w:sz="4" w:space="0" w:color="000000"/>
              <w:bottom w:val="single" w:sz="4" w:space="0" w:color="FFFFFF"/>
              <w:right w:val="single" w:sz="4" w:space="0" w:color="000000"/>
            </w:tcBorders>
            <w:shd w:val="clear" w:color="auto" w:fill="DCDCDC"/>
          </w:tcPr>
          <w:p>
            <w:pP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73"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2,773,932,857.92</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2,218,405,326.16</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w w:val="95"/>
                <w:sz w:val="18"/>
              </w:rPr>
              <w:t>25.04%</w:t>
            </w:r>
            <w:r>
              <w:rPr>
                <w:rFonts w:ascii="Times New Roman"/>
                <w:sz w:val="18"/>
              </w:rPr>
            </w:r>
          </w:p>
        </w:tc>
        <w:tc>
          <w:tcPr>
            <w:tcW w:w="16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2,077,976,790.83</w:t>
            </w:r>
          </w:p>
        </w:tc>
      </w:tr>
      <w:tr>
        <w:trPr>
          <w:trHeight w:val="476" w:hRule="exact"/>
        </w:trPr>
        <w:tc>
          <w:tcPr>
            <w:tcW w:w="2147"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归属于上市公司股东的所</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有者权益（或股东权益）</w:t>
            </w:r>
          </w:p>
        </w:tc>
        <w:tc>
          <w:tcPr>
            <w:tcW w:w="1673"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2,007,851,358.88</w:t>
            </w:r>
          </w:p>
        </w:tc>
        <w:tc>
          <w:tcPr>
            <w:tcW w:w="144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1,660,866,819.90</w:t>
            </w:r>
          </w:p>
        </w:tc>
        <w:tc>
          <w:tcPr>
            <w:tcW w:w="144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20.89%</w:t>
            </w:r>
            <w:r>
              <w:rPr>
                <w:rFonts w:ascii="Times New Roman"/>
                <w:sz w:val="18"/>
              </w:rPr>
            </w:r>
          </w:p>
        </w:tc>
        <w:tc>
          <w:tcPr>
            <w:tcW w:w="168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1,330,005,376.24</w:t>
            </w:r>
          </w:p>
        </w:tc>
      </w:tr>
      <w:tr>
        <w:trPr>
          <w:trHeight w:val="350" w:hRule="exact"/>
        </w:trPr>
        <w:tc>
          <w:tcPr>
            <w:tcW w:w="214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73"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342,141,624.00</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342,141,624.00</w:t>
            </w:r>
          </w:p>
        </w:tc>
        <w:tc>
          <w:tcPr>
            <w:tcW w:w="14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0.00%</w:t>
            </w:r>
          </w:p>
        </w:tc>
        <w:tc>
          <w:tcPr>
            <w:tcW w:w="16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285,118,020.00</w:t>
            </w:r>
          </w:p>
        </w:tc>
      </w:tr>
    </w:tbl>
    <w:p>
      <w:pPr>
        <w:spacing w:line="240" w:lineRule="auto" w:before="6"/>
        <w:rPr>
          <w:rFonts w:ascii="宋体" w:hAnsi="宋体" w:cs="宋体" w:eastAsia="宋体" w:hint="default"/>
          <w:sz w:val="18"/>
          <w:szCs w:val="18"/>
        </w:rPr>
      </w:pPr>
    </w:p>
    <w:p>
      <w:pPr>
        <w:pStyle w:val="BodyText"/>
        <w:spacing w:line="273" w:lineRule="exact" w:before="35"/>
        <w:ind w:left="160" w:right="122"/>
        <w:jc w:val="left"/>
      </w:pPr>
      <w:r>
        <w:rPr/>
        <w:t>（二）主要财务指标</w:t>
      </w:r>
    </w:p>
    <w:p>
      <w:pPr>
        <w:pStyle w:val="BodyText"/>
        <w:spacing w:line="273" w:lineRule="exact"/>
        <w:ind w:left="0" w:right="261"/>
        <w:jc w:val="right"/>
      </w:pPr>
      <w:r>
        <w:rPr/>
        <w:t>单位：元</w:t>
      </w:r>
    </w:p>
    <w:p>
      <w:pPr>
        <w:spacing w:after="0" w:line="273" w:lineRule="exact"/>
        <w:jc w:val="right"/>
        <w:sectPr>
          <w:type w:val="continuous"/>
          <w:pgSz w:w="11910" w:h="16840"/>
          <w:pgMar w:top="1100" w:bottom="280" w:left="1640" w:right="1640"/>
        </w:sectPr>
      </w:pPr>
    </w:p>
    <w:p>
      <w:pPr>
        <w:spacing w:line="240" w:lineRule="auto" w:before="3"/>
        <w:rPr>
          <w:rFonts w:ascii="宋体" w:hAnsi="宋体" w:cs="宋体" w:eastAsia="宋体" w:hint="default"/>
          <w:sz w:val="27"/>
          <w:szCs w:val="27"/>
        </w:rPr>
      </w:pPr>
    </w:p>
    <w:tbl>
      <w:tblPr>
        <w:tblW w:w="0" w:type="auto"/>
        <w:jc w:val="left"/>
        <w:tblInd w:w="496" w:type="dxa"/>
        <w:tblLayout w:type="fixed"/>
        <w:tblCellMar>
          <w:top w:w="0" w:type="dxa"/>
          <w:left w:w="0" w:type="dxa"/>
          <w:bottom w:w="0" w:type="dxa"/>
          <w:right w:w="0" w:type="dxa"/>
        </w:tblCellMar>
        <w:tblLook w:val="01E0"/>
      </w:tblPr>
      <w:tblGrid>
        <w:gridCol w:w="2570"/>
        <w:gridCol w:w="1132"/>
        <w:gridCol w:w="1080"/>
        <w:gridCol w:w="2160"/>
        <w:gridCol w:w="1080"/>
      </w:tblGrid>
      <w:tr>
        <w:trPr>
          <w:trHeight w:val="317"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6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17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4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47"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32" w:type="dxa"/>
            <w:tcBorders>
              <w:top w:val="single" w:sz="30" w:space="0" w:color="DCDCDC"/>
              <w:left w:val="single" w:sz="13" w:space="0" w:color="DCDCDC"/>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1.39</w:t>
            </w:r>
          </w:p>
        </w:tc>
        <w:tc>
          <w:tcPr>
            <w:tcW w:w="1080" w:type="dxa"/>
            <w:tcBorders>
              <w:top w:val="single" w:sz="30" w:space="0" w:color="DCDCDC"/>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1.13</w:t>
            </w:r>
          </w:p>
        </w:tc>
        <w:tc>
          <w:tcPr>
            <w:tcW w:w="2160" w:type="dxa"/>
            <w:tcBorders>
              <w:top w:val="single" w:sz="30" w:space="0" w:color="DCDCDC"/>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w w:val="95"/>
                <w:sz w:val="18"/>
              </w:rPr>
              <w:t>23.01%</w:t>
            </w:r>
            <w:r>
              <w:rPr>
                <w:rFonts w:ascii="Times New Roman"/>
                <w:sz w:val="18"/>
              </w:rPr>
            </w:r>
          </w:p>
        </w:tc>
        <w:tc>
          <w:tcPr>
            <w:tcW w:w="1080" w:type="dxa"/>
            <w:tcBorders>
              <w:top w:val="single" w:sz="30" w:space="0" w:color="DCDCDC"/>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0.97</w:t>
            </w:r>
          </w:p>
        </w:tc>
      </w:tr>
      <w:tr>
        <w:trPr>
          <w:trHeight w:val="314"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1.13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w w:val="95"/>
                <w:sz w:val="18"/>
              </w:rPr>
              <w:t>23.01%</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0.97</w:t>
            </w:r>
          </w:p>
        </w:tc>
      </w:tr>
      <w:tr>
        <w:trPr>
          <w:trHeight w:val="476" w:hRule="exact"/>
        </w:trPr>
        <w:tc>
          <w:tcPr>
            <w:tcW w:w="2570"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股收益（元/股）</w:t>
            </w:r>
          </w:p>
        </w:tc>
        <w:tc>
          <w:tcPr>
            <w:tcW w:w="1132"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1.36</w:t>
            </w:r>
          </w:p>
        </w:tc>
        <w:tc>
          <w:tcPr>
            <w:tcW w:w="10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1.07</w:t>
            </w:r>
          </w:p>
        </w:tc>
        <w:tc>
          <w:tcPr>
            <w:tcW w:w="21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w w:val="95"/>
                <w:sz w:val="18"/>
              </w:rPr>
              <w:t>27.10%</w:t>
            </w:r>
            <w:r>
              <w:rPr>
                <w:rFonts w:ascii="Times New Roman"/>
                <w:sz w:val="18"/>
              </w:rPr>
            </w:r>
          </w:p>
        </w:tc>
        <w:tc>
          <w:tcPr>
            <w:tcW w:w="10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0.94</w:t>
            </w:r>
          </w:p>
        </w:tc>
      </w:tr>
      <w:tr>
        <w:trPr>
          <w:trHeight w:val="336" w:hRule="exact"/>
        </w:trPr>
        <w:tc>
          <w:tcPr>
            <w:tcW w:w="2570"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32"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26.13%</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26.02%</w:t>
            </w:r>
          </w:p>
        </w:tc>
        <w:tc>
          <w:tcPr>
            <w:tcW w:w="21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hAnsi="宋体" w:cs="宋体" w:eastAsia="宋体" w:hint="default"/>
                <w:spacing w:val="-1"/>
                <w:sz w:val="18"/>
                <w:szCs w:val="18"/>
              </w:rPr>
              <w:t>同比上升</w:t>
            </w:r>
            <w:r>
              <w:rPr>
                <w:rFonts w:ascii="Times New Roman" w:hAnsi="Times New Roman" w:cs="Times New Roman" w:eastAsia="Times New Roman" w:hint="default"/>
                <w:spacing w:val="-1"/>
                <w:position w:val="1"/>
                <w:sz w:val="18"/>
                <w:szCs w:val="18"/>
              </w:rPr>
              <w:t>0.11</w:t>
            </w:r>
            <w:r>
              <w:rPr>
                <w:rFonts w:ascii="宋体" w:hAnsi="宋体" w:cs="宋体" w:eastAsia="宋体" w:hint="default"/>
                <w:spacing w:val="-1"/>
                <w:sz w:val="18"/>
                <w:szCs w:val="18"/>
              </w:rPr>
              <w:t>个百分点</w:t>
            </w:r>
          </w:p>
        </w:tc>
        <w:tc>
          <w:tcPr>
            <w:tcW w:w="10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z w:val="18"/>
              </w:rPr>
              <w:t>28.19%</w:t>
            </w:r>
          </w:p>
        </w:tc>
      </w:tr>
      <w:tr>
        <w:trPr>
          <w:trHeight w:val="476"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均净资产收益率（%）</w:t>
            </w:r>
          </w:p>
        </w:tc>
        <w:tc>
          <w:tcPr>
            <w:tcW w:w="11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25.51%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24.58%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hAnsi="宋体" w:cs="宋体" w:eastAsia="宋体" w:hint="default"/>
                <w:spacing w:val="-1"/>
                <w:sz w:val="18"/>
                <w:szCs w:val="18"/>
              </w:rPr>
              <w:t>同比上升</w:t>
            </w:r>
            <w:r>
              <w:rPr>
                <w:rFonts w:ascii="Times New Roman" w:hAnsi="Times New Roman" w:cs="Times New Roman" w:eastAsia="Times New Roman" w:hint="default"/>
                <w:spacing w:val="-1"/>
                <w:position w:val="1"/>
                <w:sz w:val="18"/>
                <w:szCs w:val="18"/>
              </w:rPr>
              <w:t>0.93</w:t>
            </w:r>
            <w:r>
              <w:rPr>
                <w:rFonts w:ascii="宋体" w:hAnsi="宋体" w:cs="宋体" w:eastAsia="宋体" w:hint="default"/>
                <w:spacing w:val="-1"/>
                <w:sz w:val="18"/>
                <w:szCs w:val="18"/>
              </w:rPr>
              <w:t>个百分点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27.20%</w:t>
            </w:r>
          </w:p>
        </w:tc>
      </w:tr>
      <w:tr>
        <w:trPr>
          <w:trHeight w:val="520"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净额（元/股）</w:t>
            </w:r>
          </w:p>
        </w:tc>
        <w:tc>
          <w:tcPr>
            <w:tcW w:w="1132" w:type="dxa"/>
            <w:tcBorders>
              <w:top w:val="single" w:sz="4" w:space="0" w:color="000000"/>
              <w:left w:val="single" w:sz="13" w:space="0" w:color="DCDCDC"/>
              <w:bottom w:val="single" w:sz="39" w:space="0" w:color="DCDCDC"/>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0.35</w:t>
            </w:r>
          </w:p>
        </w:tc>
        <w:tc>
          <w:tcPr>
            <w:tcW w:w="1080" w:type="dxa"/>
            <w:tcBorders>
              <w:top w:val="single" w:sz="4" w:space="0" w:color="000000"/>
              <w:left w:val="single" w:sz="4" w:space="0" w:color="000000"/>
              <w:bottom w:val="single" w:sz="39"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0.74</w:t>
            </w:r>
          </w:p>
        </w:tc>
        <w:tc>
          <w:tcPr>
            <w:tcW w:w="2160" w:type="dxa"/>
            <w:tcBorders>
              <w:top w:val="single" w:sz="4" w:space="0" w:color="000000"/>
              <w:left w:val="single" w:sz="4" w:space="0" w:color="000000"/>
              <w:bottom w:val="single" w:sz="39"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-52.70%</w:t>
            </w:r>
            <w:r>
              <w:rPr>
                <w:rFonts w:ascii="Times New Roman"/>
                <w:sz w:val="18"/>
              </w:rPr>
            </w:r>
          </w:p>
        </w:tc>
        <w:tc>
          <w:tcPr>
            <w:tcW w:w="1080" w:type="dxa"/>
            <w:tcBorders>
              <w:top w:val="single" w:sz="4" w:space="0" w:color="000000"/>
              <w:left w:val="single" w:sz="4" w:space="0" w:color="000000"/>
              <w:bottom w:val="single" w:sz="39"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1.08</w:t>
            </w:r>
          </w:p>
        </w:tc>
      </w:tr>
      <w:tr>
        <w:trPr>
          <w:trHeight w:val="331"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7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5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left="15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520" w:hRule="exact"/>
        </w:trPr>
        <w:tc>
          <w:tcPr>
            <w:tcW w:w="25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8"/>
              <w:ind w:left="22" w:right="197"/>
              <w:jc w:val="left"/>
              <w:rPr>
                <w:rFonts w:ascii="宋体" w:hAnsi="宋体" w:cs="宋体" w:eastAsia="宋体" w:hint="default"/>
                <w:sz w:val="18"/>
                <w:szCs w:val="18"/>
              </w:rPr>
            </w:pPr>
            <w:r>
              <w:rPr>
                <w:rFonts w:ascii="宋体" w:hAnsi="宋体" w:cs="宋体" w:eastAsia="宋体" w:hint="default"/>
                <w:sz w:val="18"/>
                <w:szCs w:val="18"/>
              </w:rPr>
              <w:t>归属于上市公司股东的每股净 资产（元/股）</w:t>
            </w:r>
          </w:p>
        </w:tc>
        <w:tc>
          <w:tcPr>
            <w:tcW w:w="1132" w:type="dxa"/>
            <w:tcBorders>
              <w:top w:val="single" w:sz="35" w:space="0" w:color="DCDCDC"/>
              <w:left w:val="single" w:sz="13" w:space="0" w:color="DCDCDC"/>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5.87</w:t>
            </w:r>
          </w:p>
        </w:tc>
        <w:tc>
          <w:tcPr>
            <w:tcW w:w="108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4.85</w:t>
            </w:r>
          </w:p>
        </w:tc>
        <w:tc>
          <w:tcPr>
            <w:tcW w:w="216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w w:val="95"/>
                <w:sz w:val="18"/>
              </w:rPr>
              <w:t>21.03%</w:t>
            </w:r>
            <w:r>
              <w:rPr>
                <w:rFonts w:ascii="Times New Roman"/>
                <w:sz w:val="18"/>
              </w:rPr>
            </w:r>
          </w:p>
        </w:tc>
        <w:tc>
          <w:tcPr>
            <w:tcW w:w="1080" w:type="dxa"/>
            <w:tcBorders>
              <w:top w:val="single" w:sz="35" w:space="0" w:color="DCDCDC"/>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4.66</w:t>
            </w:r>
          </w:p>
        </w:tc>
      </w:tr>
    </w:tbl>
    <w:p>
      <w:pPr>
        <w:spacing w:line="240" w:lineRule="auto" w:before="0"/>
        <w:rPr>
          <w:rFonts w:ascii="宋体" w:hAnsi="宋体" w:cs="宋体" w:eastAsia="宋体" w:hint="default"/>
          <w:sz w:val="20"/>
          <w:szCs w:val="20"/>
        </w:rPr>
      </w:pPr>
    </w:p>
    <w:p>
      <w:pPr>
        <w:pStyle w:val="Heading3"/>
        <w:spacing w:line="316" w:lineRule="auto" w:before="172"/>
        <w:ind w:left="359" w:right="0"/>
        <w:jc w:val="left"/>
        <w:rPr>
          <w:b w:val="0"/>
          <w:bCs w:val="0"/>
        </w:rPr>
      </w:pPr>
      <w:r>
        <w:rPr/>
        <w:t>四、根据中国证监会《公开发行证券公司信息披露编报规则第九号</w:t>
      </w:r>
      <w:r>
        <w:rPr>
          <w:rFonts w:ascii="Times New Roman" w:hAnsi="Times New Roman" w:cs="Times New Roman" w:eastAsia="Times New Roman" w:hint="default"/>
        </w:rPr>
        <w:t>-</w:t>
      </w:r>
      <w:r>
        <w:rPr/>
        <w:t>净资产收率</w:t>
      </w:r>
      <w:r>
        <w:rPr>
          <w:spacing w:val="-101"/>
        </w:rPr>
        <w:t> </w:t>
      </w:r>
      <w:r>
        <w:rPr/>
        <w:t>和每股收益的计算及披露》要求，净资产收益率及每股收益计算如下：</w:t>
      </w:r>
      <w:r>
        <w:rPr>
          <w:b w:val="0"/>
          <w:bCs w:val="0"/>
        </w:rPr>
      </w:r>
    </w:p>
    <w:p>
      <w:pPr>
        <w:spacing w:line="240" w:lineRule="auto" w:before="13"/>
        <w:rPr>
          <w:rFonts w:ascii="宋体" w:hAnsi="宋体" w:cs="宋体" w:eastAsia="宋体" w:hint="default"/>
          <w:b/>
          <w:bCs/>
          <w:sz w:val="7"/>
          <w:szCs w:val="7"/>
        </w:rPr>
      </w:pPr>
    </w:p>
    <w:tbl>
      <w:tblPr>
        <w:tblW w:w="0" w:type="auto"/>
        <w:jc w:val="left"/>
        <w:tblInd w:w="104" w:type="dxa"/>
        <w:tblLayout w:type="fixed"/>
        <w:tblCellMar>
          <w:top w:w="0" w:type="dxa"/>
          <w:left w:w="0" w:type="dxa"/>
          <w:bottom w:w="0" w:type="dxa"/>
          <w:right w:w="0" w:type="dxa"/>
        </w:tblCellMar>
        <w:tblLook w:val="01E0"/>
      </w:tblPr>
      <w:tblGrid>
        <w:gridCol w:w="3168"/>
        <w:gridCol w:w="2363"/>
        <w:gridCol w:w="1620"/>
        <w:gridCol w:w="1656"/>
      </w:tblGrid>
      <w:tr>
        <w:trPr>
          <w:trHeight w:val="288" w:hRule="exact"/>
        </w:trPr>
        <w:tc>
          <w:tcPr>
            <w:tcW w:w="316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106"/>
              <w:ind w:left="423"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w:t>
            </w:r>
          </w:p>
        </w:tc>
        <w:tc>
          <w:tcPr>
            <w:tcW w:w="2363" w:type="dxa"/>
            <w:vMerge w:val="restart"/>
            <w:tcBorders>
              <w:top w:val="single" w:sz="4" w:space="0" w:color="000000"/>
              <w:left w:val="single" w:sz="4" w:space="0" w:color="000000"/>
              <w:right w:val="single" w:sz="4" w:space="0" w:color="000000"/>
            </w:tcBorders>
            <w:shd w:val="clear" w:color="auto" w:fill="E0E0E0"/>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27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294" w:hRule="exact"/>
        </w:trPr>
        <w:tc>
          <w:tcPr>
            <w:tcW w:w="3168" w:type="dxa"/>
            <w:vMerge/>
            <w:tcBorders>
              <w:left w:val="single" w:sz="4" w:space="0" w:color="000000"/>
              <w:bottom w:val="single" w:sz="4" w:space="0" w:color="000000"/>
              <w:right w:val="single" w:sz="4" w:space="0" w:color="000000"/>
            </w:tcBorders>
            <w:shd w:val="clear" w:color="auto" w:fill="E0E0E0"/>
          </w:tcPr>
          <w:p>
            <w:pPr/>
          </w:p>
        </w:tc>
        <w:tc>
          <w:tcPr>
            <w:tcW w:w="2363" w:type="dxa"/>
            <w:vMerge/>
            <w:tcBorders>
              <w:left w:val="single" w:sz="4" w:space="0" w:color="000000"/>
              <w:bottom w:val="single" w:sz="4" w:space="0" w:color="000000"/>
              <w:right w:val="single" w:sz="4" w:space="0" w:color="000000"/>
            </w:tcBorders>
            <w:shd w:val="clear" w:color="auto" w:fill="E0E0E0"/>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65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4"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363" w:type="dxa"/>
            <w:tcBorders>
              <w:top w:val="single" w:sz="9" w:space="0" w:color="E0E0E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1"/>
                <w:szCs w:val="21"/>
              </w:rPr>
            </w:pPr>
            <w:r>
              <w:rPr>
                <w:rFonts w:ascii="Times New Roman"/>
                <w:sz w:val="21"/>
              </w:rPr>
              <w:t>26.13%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1.39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1.39</w:t>
            </w:r>
          </w:p>
        </w:tc>
      </w:tr>
      <w:tr>
        <w:trPr>
          <w:trHeight w:val="556" w:hRule="exact"/>
        </w:trPr>
        <w:tc>
          <w:tcPr>
            <w:tcW w:w="316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常性损益的净利润</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25.51%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1.36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1.36</w:t>
            </w:r>
          </w:p>
        </w:tc>
      </w:tr>
    </w:tbl>
    <w:p>
      <w:pPr>
        <w:spacing w:line="240" w:lineRule="auto" w:before="12"/>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400" w:footer="982" w:top="1100" w:bottom="1180" w:left="1440" w:right="1420"/>
        </w:sectPr>
      </w:pPr>
    </w:p>
    <w:p>
      <w:pPr>
        <w:spacing w:before="26"/>
        <w:ind w:left="360" w:right="-19" w:firstLine="0"/>
        <w:jc w:val="left"/>
        <w:rPr>
          <w:rFonts w:ascii="宋体" w:hAnsi="宋体" w:cs="宋体" w:eastAsia="宋体" w:hint="default"/>
          <w:sz w:val="24"/>
          <w:szCs w:val="24"/>
        </w:rPr>
      </w:pPr>
      <w:r>
        <w:rPr>
          <w:rFonts w:ascii="宋体" w:hAnsi="宋体" w:cs="宋体" w:eastAsia="宋体" w:hint="default"/>
          <w:b/>
          <w:bCs/>
          <w:sz w:val="24"/>
          <w:szCs w:val="24"/>
        </w:rPr>
        <w:t>五、报告期内股东权益变动情况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pStyle w:val="BodyText"/>
        <w:spacing w:line="240" w:lineRule="auto"/>
        <w:ind w:left="360" w:right="0"/>
        <w:jc w:val="left"/>
      </w:pPr>
      <w:r>
        <w:rPr/>
        <w:t>单位：元</w:t>
      </w:r>
    </w:p>
    <w:p>
      <w:pPr>
        <w:spacing w:after="0" w:line="240" w:lineRule="auto"/>
        <w:jc w:val="left"/>
        <w:sectPr>
          <w:type w:val="continuous"/>
          <w:pgSz w:w="11910" w:h="16840"/>
          <w:pgMar w:top="1100" w:bottom="280" w:left="1440" w:right="1420"/>
          <w:cols w:num="2" w:equalWidth="0">
            <w:col w:w="3735" w:space="3731"/>
            <w:col w:w="1584"/>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7"/>
        <w:gridCol w:w="1686"/>
        <w:gridCol w:w="1529"/>
        <w:gridCol w:w="1530"/>
        <w:gridCol w:w="1703"/>
      </w:tblGrid>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342,141,624.00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342,141,624.00</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358,611,843.56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9,207,304.43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367,819,147.99</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103,987,649.57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48,107,600.67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18"/>
                <w:szCs w:val="18"/>
              </w:rPr>
            </w:pPr>
            <w:r>
              <w:rPr>
                <w:rFonts w:ascii="Times New Roman"/>
                <w:spacing w:val="-1"/>
                <w:sz w:val="18"/>
              </w:rPr>
              <w:t>152,095,250.24</w:t>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856,254,785.41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427,024,088.96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0" w:right="0"/>
              <w:jc w:val="left"/>
              <w:rPr>
                <w:rFonts w:ascii="Times New Roman" w:hAnsi="Times New Roman" w:cs="Times New Roman" w:eastAsia="Times New Roman" w:hint="default"/>
                <w:sz w:val="18"/>
                <w:szCs w:val="18"/>
              </w:rPr>
            </w:pPr>
            <w:r>
              <w:rPr>
                <w:rFonts w:ascii="Times New Roman"/>
                <w:sz w:val="18"/>
              </w:rPr>
              <w:t>136,856,649.60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1,146,422,224.77</w:t>
            </w:r>
          </w:p>
        </w:tc>
      </w:tr>
      <w:tr>
        <w:trPr>
          <w:trHeight w:val="282"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外币折算差额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w w:val="95"/>
                <w:sz w:val="18"/>
              </w:rPr>
              <w:t>-129,082.64</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w w:val="95"/>
                <w:sz w:val="18"/>
              </w:rPr>
              <w:t>-497,805.48</w:t>
            </w:r>
            <w:r>
              <w:rPr>
                <w:rFonts w:ascii="Times New Roman"/>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w w:val="95"/>
                <w:sz w:val="18"/>
              </w:rPr>
              <w:t>-626,888.12</w:t>
            </w:r>
            <w:r>
              <w:rPr>
                <w:rFonts w:ascii="Times New Roman"/>
                <w:sz w:val="18"/>
              </w:rPr>
            </w:r>
          </w:p>
        </w:tc>
      </w:tr>
      <w:tr>
        <w:trPr>
          <w:trHeight w:val="283" w:hRule="exact"/>
        </w:trPr>
        <w:tc>
          <w:tcPr>
            <w:tcW w:w="232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1,660,866,819.90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483,841,188.58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90" w:right="0"/>
              <w:jc w:val="left"/>
              <w:rPr>
                <w:rFonts w:ascii="Times New Roman" w:hAnsi="Times New Roman" w:cs="Times New Roman" w:eastAsia="Times New Roman" w:hint="default"/>
                <w:sz w:val="18"/>
                <w:szCs w:val="18"/>
              </w:rPr>
            </w:pPr>
            <w:r>
              <w:rPr>
                <w:rFonts w:ascii="Times New Roman"/>
                <w:sz w:val="18"/>
              </w:rPr>
              <w:t>136,856,649.60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2,007,851,358.88</w:t>
            </w:r>
          </w:p>
        </w:tc>
      </w:tr>
    </w:tbl>
    <w:p>
      <w:pPr>
        <w:pStyle w:val="BodyText"/>
        <w:spacing w:line="240" w:lineRule="auto" w:before="84"/>
        <w:ind w:left="780" w:right="0"/>
        <w:jc w:val="left"/>
      </w:pPr>
      <w:r>
        <w:rPr/>
        <w:t>变动原因：</w:t>
      </w:r>
    </w:p>
    <w:p>
      <w:pPr>
        <w:pStyle w:val="BodyText"/>
        <w:spacing w:line="280" w:lineRule="auto" w:before="64"/>
        <w:ind w:left="359" w:right="374"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4"/>
        </w:rPr>
        <w:t>1</w:t>
      </w:r>
      <w:r>
        <w:rPr>
          <w:spacing w:val="-14"/>
        </w:rPr>
        <w:t>、资本公积增加</w:t>
      </w:r>
      <w:r>
        <w:rPr>
          <w:spacing w:val="-71"/>
        </w:rPr>
        <w:t> </w:t>
      </w:r>
      <w:r>
        <w:rPr>
          <w:rFonts w:ascii="Times New Roman" w:hAnsi="Times New Roman" w:cs="Times New Roman" w:eastAsia="Times New Roman" w:hint="default"/>
          <w:spacing w:val="-1"/>
        </w:rPr>
        <w:t>9,207,304.43</w:t>
      </w:r>
      <w:r>
        <w:rPr>
          <w:rFonts w:ascii="Times New Roman" w:hAnsi="Times New Roman" w:cs="Times New Roman" w:eastAsia="Times New Roman" w:hint="default"/>
          <w:spacing w:val="-18"/>
        </w:rPr>
        <w:t> </w:t>
      </w:r>
      <w:r>
        <w:rPr>
          <w:spacing w:val="-18"/>
        </w:rPr>
        <w:t>元，系子公司</w:t>
      </w:r>
      <w:r>
        <w:rPr>
          <w:spacing w:val="-71"/>
        </w:rPr>
        <w:t> </w:t>
      </w:r>
      <w:r>
        <w:rPr>
          <w:rFonts w:ascii="Times New Roman" w:hAnsi="Times New Roman" w:cs="Times New Roman" w:eastAsia="Times New Roman" w:hint="default"/>
          <w:w w:val="99"/>
        </w:rPr>
        <w:t>GRG</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rPr>
        <w:t>Banking</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rPr>
        <w:t>Equipment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w w:val="99"/>
        </w:rPr>
        <w:t>(HK)</w:t>
      </w:r>
      <w:r>
        <w:rPr>
          <w:rFonts w:ascii="Times New Roman" w:hAnsi="Times New Roman" w:cs="Times New Roman" w:eastAsia="Times New Roman" w:hint="default"/>
          <w:spacing w:val="4"/>
          <w:w w:val="99"/>
        </w:rPr>
        <w:t> </w:t>
      </w:r>
      <w:r>
        <w:rPr>
          <w:rFonts w:ascii="Times New Roman" w:hAnsi="Times New Roman" w:cs="Times New Roman" w:eastAsia="Times New Roman" w:hint="default"/>
          <w:spacing w:val="-1"/>
          <w:w w:val="99"/>
        </w:rPr>
        <w:t>Co.,Limited</w:t>
      </w:r>
      <w:r>
        <w:rPr>
          <w:rFonts w:ascii="Times New Roman" w:hAnsi="Times New Roman" w:cs="Times New Roman" w:eastAsia="Times New Roman" w:hint="default"/>
          <w:spacing w:val="5"/>
          <w:w w:val="99"/>
        </w:rPr>
        <w:t> </w:t>
      </w:r>
      <w:r>
        <w:rPr>
          <w:w w:val="99"/>
        </w:rPr>
        <w:t>持 有 </w:t>
      </w:r>
      <w:r>
        <w:rPr>
          <w:rFonts w:ascii="Times New Roman" w:hAnsi="Times New Roman" w:cs="Times New Roman" w:eastAsia="Times New Roman" w:hint="default"/>
          <w:spacing w:val="-1"/>
          <w:w w:val="99"/>
        </w:rPr>
        <w:t>GRG</w:t>
      </w:r>
      <w:r>
        <w:rPr>
          <w:rFonts w:ascii="Times New Roman" w:hAnsi="Times New Roman" w:cs="Times New Roman" w:eastAsia="Times New Roman" w:hint="default"/>
          <w:w w:val="99"/>
        </w:rPr>
        <w:t> </w:t>
      </w:r>
      <w:r>
        <w:rPr>
          <w:rFonts w:ascii="Times New Roman" w:hAnsi="Times New Roman" w:cs="Times New Roman" w:eastAsia="Times New Roman" w:hint="default"/>
          <w:spacing w:val="-3"/>
          <w:w w:val="99"/>
        </w:rPr>
        <w:t>INTERNATIONAL</w:t>
      </w:r>
      <w:r>
        <w:rPr>
          <w:rFonts w:ascii="Times New Roman" w:hAnsi="Times New Roman" w:cs="Times New Roman" w:eastAsia="Times New Roman" w:hint="default"/>
          <w:w w:val="99"/>
        </w:rPr>
        <w:t> </w:t>
      </w:r>
      <w:r>
        <w:rPr>
          <w:rFonts w:ascii="Times New Roman" w:hAnsi="Times New Roman" w:cs="Times New Roman" w:eastAsia="Times New Roman" w:hint="default"/>
          <w:spacing w:val="-8"/>
          <w:w w:val="99"/>
        </w:rPr>
        <w:t>LTD</w:t>
      </w:r>
      <w:r>
        <w:rPr>
          <w:spacing w:val="-8"/>
          <w:w w:val="99"/>
        </w:rPr>
        <w:t>（以下简称“</w:t>
      </w:r>
      <w:r>
        <w:rPr>
          <w:rFonts w:ascii="Times New Roman" w:hAnsi="Times New Roman" w:cs="Times New Roman" w:eastAsia="Times New Roman" w:hint="default"/>
          <w:spacing w:val="-8"/>
          <w:w w:val="99"/>
        </w:rPr>
        <w:t>GRGI</w:t>
      </w:r>
      <w:r>
        <w:rPr>
          <w:spacing w:val="-8"/>
          <w:w w:val="99"/>
        </w:rPr>
        <w:t>”）股份</w:t>
      </w:r>
      <w:r>
        <w:rPr>
          <w:w w:val="99"/>
        </w:rPr>
        <w:t> </w:t>
      </w:r>
      <w:r>
        <w:rPr>
          <w:rFonts w:ascii="Times New Roman" w:hAnsi="Times New Roman" w:cs="Times New Roman" w:eastAsia="Times New Roman" w:hint="default"/>
          <w:spacing w:val="-1"/>
        </w:rPr>
        <w:t>8,897,282</w:t>
      </w:r>
      <w:r>
        <w:rPr>
          <w:rFonts w:ascii="Times New Roman" w:hAnsi="Times New Roman" w:cs="Times New Roman" w:eastAsia="Times New Roman" w:hint="default"/>
        </w:rPr>
        <w:t> </w:t>
      </w:r>
      <w:r>
        <w:rPr>
          <w:spacing w:val="-1"/>
        </w:rPr>
        <w:t>股，持有成本为人民</w:t>
      </w:r>
      <w:r>
        <w:rPr>
          <w:spacing w:val="-102"/>
        </w:rPr>
        <w:t> </w:t>
      </w:r>
      <w:r>
        <w:rPr>
          <w:spacing w:val="-102"/>
        </w:rPr>
      </w:r>
      <w:r>
        <w:rPr/>
        <w:t>币</w:t>
      </w:r>
      <w:r>
        <w:rPr>
          <w:spacing w:val="-49"/>
        </w:rPr>
        <w:t> </w:t>
      </w:r>
      <w:r>
        <w:rPr>
          <w:rFonts w:ascii="Times New Roman" w:hAnsi="Times New Roman" w:cs="Times New Roman" w:eastAsia="Times New Roman" w:hint="default"/>
        </w:rPr>
        <w:t>6,616,010.69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日该公司股票收市价为每股</w:t>
      </w:r>
      <w:r>
        <w:rPr>
          <w:spacing w:val="-49"/>
        </w:rPr>
        <w:t> </w:t>
      </w:r>
      <w:r>
        <w:rPr>
          <w:rFonts w:ascii="Times New Roman" w:hAnsi="Times New Roman" w:cs="Times New Roman" w:eastAsia="Times New Roman" w:hint="default"/>
        </w:rPr>
        <w:t>0.265</w:t>
      </w:r>
      <w:r>
        <w:rPr>
          <w:rFonts w:ascii="Times New Roman" w:hAnsi="Times New Roman" w:cs="Times New Roman" w:eastAsia="Times New Roman" w:hint="default"/>
          <w:spacing w:val="4"/>
        </w:rPr>
        <w:t> </w:t>
      </w:r>
      <w:r>
        <w:rPr/>
        <w:t>澳元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按</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12</w:t>
      </w:r>
    </w:p>
    <w:p>
      <w:pPr>
        <w:pStyle w:val="BodyText"/>
        <w:spacing w:line="240" w:lineRule="auto" w:before="9"/>
        <w:ind w:left="360" w:right="0"/>
        <w:jc w:val="left"/>
      </w:pPr>
      <w:r>
        <w:rPr/>
        <w:t>月 </w:t>
      </w:r>
      <w:r>
        <w:rPr>
          <w:rFonts w:ascii="Times New Roman" w:hAnsi="Times New Roman" w:cs="Times New Roman" w:eastAsia="Times New Roman" w:hint="default"/>
        </w:rPr>
        <w:t>31  </w:t>
      </w:r>
      <w:r>
        <w:rPr>
          <w:spacing w:val="4"/>
        </w:rPr>
        <w:t>日汇率折算人民币期末公允价值为人民币 </w:t>
      </w:r>
      <w:r>
        <w:rPr>
          <w:rFonts w:ascii="Times New Roman" w:hAnsi="Times New Roman" w:cs="Times New Roman" w:eastAsia="Times New Roman" w:hint="default"/>
        </w:rPr>
        <w:t>15,823,315.12 </w:t>
      </w:r>
      <w:r>
        <w:rPr>
          <w:rFonts w:ascii="Times New Roman" w:hAnsi="Times New Roman" w:cs="Times New Roman" w:eastAsia="Times New Roman" w:hint="default"/>
          <w:spacing w:val="28"/>
        </w:rPr>
        <w:t> </w:t>
      </w:r>
      <w:r>
        <w:rPr>
          <w:spacing w:val="5"/>
        </w:rPr>
        <w:t>元，公允价值增加人民币</w:t>
      </w:r>
      <w:r>
        <w:rPr/>
      </w:r>
    </w:p>
    <w:p>
      <w:pPr>
        <w:pStyle w:val="BodyText"/>
        <w:spacing w:line="240" w:lineRule="auto" w:before="50"/>
        <w:ind w:left="359" w:right="0"/>
        <w:jc w:val="left"/>
      </w:pPr>
      <w:r>
        <w:rPr>
          <w:rFonts w:ascii="Times New Roman" w:hAnsi="Times New Roman" w:cs="Times New Roman" w:eastAsia="Times New Roman" w:hint="default"/>
        </w:rPr>
        <w:t>9,207,304.43</w:t>
      </w:r>
      <w:r>
        <w:rPr>
          <w:rFonts w:ascii="Times New Roman" w:hAnsi="Times New Roman" w:cs="Times New Roman" w:eastAsia="Times New Roman" w:hint="default"/>
          <w:spacing w:val="-7"/>
        </w:rPr>
        <w:t> </w:t>
      </w:r>
      <w:r>
        <w:rPr/>
        <w:t>元转入资本公积。</w:t>
      </w:r>
    </w:p>
    <w:p>
      <w:pPr>
        <w:pStyle w:val="BodyText"/>
        <w:spacing w:line="240" w:lineRule="auto" w:before="50"/>
        <w:ind w:left="779" w:right="0"/>
        <w:jc w:val="left"/>
      </w:pPr>
      <w:r>
        <w:rPr>
          <w:rFonts w:ascii="Times New Roman" w:hAnsi="Times New Roman" w:cs="Times New Roman" w:eastAsia="Times New Roman" w:hint="default"/>
        </w:rPr>
        <w:t>2</w:t>
      </w:r>
      <w:r>
        <w:rPr/>
        <w:t>、盈余公积本期增加</w:t>
      </w:r>
      <w:r>
        <w:rPr>
          <w:spacing w:val="-57"/>
        </w:rPr>
        <w:t> </w:t>
      </w:r>
      <w:r>
        <w:rPr>
          <w:rFonts w:ascii="Times New Roman" w:hAnsi="Times New Roman" w:cs="Times New Roman" w:eastAsia="Times New Roman" w:hint="default"/>
        </w:rPr>
        <w:t>48,107,600.67</w:t>
      </w:r>
      <w:r>
        <w:rPr>
          <w:rFonts w:ascii="Times New Roman" w:hAnsi="Times New Roman" w:cs="Times New Roman" w:eastAsia="Times New Roman" w:hint="default"/>
          <w:spacing w:val="-3"/>
        </w:rPr>
        <w:t> </w:t>
      </w:r>
      <w:r>
        <w:rPr/>
        <w:t>元，系按照报告期内公司实现净利润的</w:t>
      </w:r>
      <w:r>
        <w:rPr>
          <w:spacing w:val="-57"/>
        </w:rPr>
        <w:t> </w:t>
      </w:r>
      <w:r>
        <w:rPr>
          <w:rFonts w:ascii="Times New Roman" w:hAnsi="Times New Roman" w:cs="Times New Roman" w:eastAsia="Times New Roman" w:hint="default"/>
        </w:rPr>
        <w:t>10%</w:t>
      </w:r>
      <w:r>
        <w:rPr/>
        <w:t>提取。</w:t>
      </w:r>
    </w:p>
    <w:p>
      <w:pPr>
        <w:pStyle w:val="BodyText"/>
        <w:spacing w:line="240" w:lineRule="auto" w:before="49"/>
        <w:ind w:left="779" w:right="0"/>
        <w:jc w:val="left"/>
      </w:pPr>
      <w:r>
        <w:rPr>
          <w:rFonts w:ascii="Times New Roman" w:hAnsi="Times New Roman" w:cs="Times New Roman" w:eastAsia="Times New Roman" w:hint="default"/>
        </w:rPr>
        <w:t>3</w:t>
      </w:r>
      <w:r>
        <w:rPr/>
        <w:t>、未分配利润变动为实现净利润增加及利润分配减少所致。</w:t>
      </w:r>
    </w:p>
    <w:p>
      <w:pPr>
        <w:spacing w:after="0" w:line="240" w:lineRule="auto"/>
        <w:jc w:val="left"/>
        <w:sectPr>
          <w:type w:val="continuous"/>
          <w:pgSz w:w="11910" w:h="16840"/>
          <w:pgMar w:top="1100" w:bottom="280" w:left="1440" w:right="1420"/>
        </w:sectPr>
      </w:pPr>
    </w:p>
    <w:p>
      <w:pPr>
        <w:spacing w:line="240" w:lineRule="auto" w:before="12"/>
        <w:rPr>
          <w:rFonts w:ascii="宋体" w:hAnsi="宋体" w:cs="宋体" w:eastAsia="宋体" w:hint="default"/>
          <w:sz w:val="19"/>
          <w:szCs w:val="19"/>
        </w:rPr>
      </w:pPr>
    </w:p>
    <w:p>
      <w:pPr>
        <w:pStyle w:val="Heading2"/>
        <w:spacing w:line="240" w:lineRule="auto"/>
        <w:ind w:left="2896" w:right="0"/>
        <w:jc w:val="left"/>
        <w:rPr>
          <w:b w:val="0"/>
          <w:bCs w:val="0"/>
        </w:rPr>
      </w:pPr>
      <w:bookmarkStart w:name="_TOC_250008" w:id="3"/>
      <w:r>
        <w:rPr/>
        <w:t>第三节</w:t>
      </w:r>
      <w:r>
        <w:rPr>
          <w:spacing w:val="-6"/>
        </w:rPr>
        <w:t> </w:t>
      </w:r>
      <w:r>
        <w:rPr/>
        <w:t>股本变动及股东情况</w:t>
      </w:r>
      <w:bookmarkEnd w:id="3"/>
      <w:r>
        <w:rPr>
          <w:b w:val="0"/>
          <w:bCs w:val="0"/>
        </w:rPr>
      </w:r>
    </w:p>
    <w:p>
      <w:pPr>
        <w:spacing w:line="240" w:lineRule="auto" w:before="6"/>
        <w:rPr>
          <w:rFonts w:ascii="宋体" w:hAnsi="宋体" w:cs="宋体" w:eastAsia="宋体" w:hint="default"/>
          <w:b/>
          <w:bCs/>
          <w:sz w:val="38"/>
          <w:szCs w:val="38"/>
        </w:rPr>
      </w:pPr>
    </w:p>
    <w:p>
      <w:pPr>
        <w:pStyle w:val="Heading3"/>
        <w:spacing w:line="240" w:lineRule="auto"/>
        <w:ind w:left="500" w:right="0"/>
        <w:jc w:val="both"/>
        <w:rPr>
          <w:b w:val="0"/>
          <w:bCs w:val="0"/>
        </w:rPr>
      </w:pPr>
      <w:r>
        <w:rPr/>
        <w:t>一、股本变动情况</w:t>
      </w:r>
      <w:r>
        <w:rPr>
          <w:b w:val="0"/>
          <w:bCs w:val="0"/>
        </w:rPr>
      </w:r>
    </w:p>
    <w:p>
      <w:pPr>
        <w:pStyle w:val="BodyText"/>
        <w:spacing w:line="343" w:lineRule="auto" w:before="121"/>
        <w:ind w:left="920" w:right="5024" w:hanging="420"/>
        <w:jc w:val="left"/>
      </w:pPr>
      <w:r>
        <w:rPr/>
        <w:t>（一）股份变动情况表 报告期内，公司股本总数没有变化。</w:t>
      </w:r>
    </w:p>
    <w:p>
      <w:pPr>
        <w:pStyle w:val="BodyText"/>
        <w:spacing w:line="240" w:lineRule="auto" w:before="27"/>
        <w:ind w:left="920" w:right="0"/>
        <w:jc w:val="left"/>
      </w:pPr>
      <w:r>
        <w:rPr>
          <w:spacing w:val="6"/>
        </w:rPr>
        <w:t>公司前董事张招兴因工作调动于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10 </w:t>
      </w:r>
      <w:r>
        <w:rPr>
          <w:rFonts w:ascii="Times New Roman" w:hAnsi="Times New Roman" w:cs="Times New Roman" w:eastAsia="Times New Roman" w:hint="default"/>
          <w:spacing w:val="45"/>
        </w:rPr>
        <w:t> </w:t>
      </w:r>
      <w:r>
        <w:rPr>
          <w:spacing w:val="6"/>
        </w:rPr>
        <w:t>日辞去公司董事职务，其冻结的</w:t>
      </w:r>
      <w:r>
        <w:rPr/>
      </w:r>
    </w:p>
    <w:p>
      <w:pPr>
        <w:pStyle w:val="BodyText"/>
        <w:spacing w:line="280" w:lineRule="auto" w:before="49"/>
        <w:ind w:left="499" w:right="516"/>
        <w:jc w:val="both"/>
      </w:pPr>
      <w:r>
        <w:rPr>
          <w:rFonts w:ascii="Times New Roman" w:hAnsi="Times New Roman" w:cs="Times New Roman" w:eastAsia="Times New Roman" w:hint="default"/>
        </w:rPr>
        <w:t>1,135,620</w:t>
      </w:r>
      <w:r>
        <w:rPr>
          <w:rFonts w:ascii="Times New Roman" w:hAnsi="Times New Roman" w:cs="Times New Roman" w:eastAsia="Times New Roman" w:hint="default"/>
          <w:spacing w:val="8"/>
        </w:rPr>
        <w:t> </w:t>
      </w:r>
      <w:r>
        <w:rPr/>
        <w:t>股股份于报告期内解除锁定；另外，公司于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日召开的第二届董事 会第七次会议聘任康丰先生为公司副总经理，其所持公司股票的 </w:t>
      </w:r>
      <w:r>
        <w:rPr>
          <w:rFonts w:ascii="Times New Roman" w:hAnsi="Times New Roman" w:cs="Times New Roman" w:eastAsia="Times New Roman" w:hint="default"/>
        </w:rPr>
        <w:t>75%</w:t>
      </w:r>
      <w:r>
        <w:rPr/>
        <w:t>（</w:t>
      </w:r>
      <w:r>
        <w:rPr>
          <w:rFonts w:ascii="Times New Roman" w:hAnsi="Times New Roman" w:cs="Times New Roman" w:eastAsia="Times New Roman" w:hint="default"/>
        </w:rPr>
        <w:t>21,750</w:t>
      </w:r>
      <w:r>
        <w:rPr>
          <w:rFonts w:ascii="Times New Roman" w:hAnsi="Times New Roman" w:cs="Times New Roman" w:eastAsia="Times New Roman" w:hint="default"/>
          <w:spacing w:val="41"/>
        </w:rPr>
        <w:t> </w:t>
      </w:r>
      <w:r>
        <w:rPr/>
        <w:t>股）在报告 期内按有关规定予以锁定。</w:t>
      </w:r>
    </w:p>
    <w:p>
      <w:pPr>
        <w:pStyle w:val="BodyText"/>
        <w:spacing w:line="240" w:lineRule="auto" w:before="29"/>
        <w:ind w:left="919" w:right="0"/>
        <w:jc w:val="left"/>
      </w:pPr>
      <w:r>
        <w:rPr/>
        <w:t>广州无线电集团有限公司在公司上市时承诺：自公司上市之日起</w:t>
      </w:r>
      <w:r>
        <w:rPr>
          <w:spacing w:val="-48"/>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个月内不转让或委</w:t>
      </w:r>
    </w:p>
    <w:p>
      <w:pPr>
        <w:pStyle w:val="BodyText"/>
        <w:spacing w:line="280" w:lineRule="auto" w:before="50"/>
        <w:ind w:left="499" w:right="517"/>
        <w:jc w:val="both"/>
      </w:pPr>
      <w:r>
        <w:rPr/>
        <w:t>托他人管理其持有股票。</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日，广州无线电集团有限公司持有公司股份的限售 期届满，该部分股份全部解禁。</w:t>
      </w:r>
    </w:p>
    <w:p>
      <w:pPr>
        <w:pStyle w:val="BodyText"/>
        <w:spacing w:line="240" w:lineRule="auto" w:before="29"/>
        <w:ind w:left="919" w:right="0"/>
        <w:jc w:val="left"/>
      </w:pPr>
      <w:r>
        <w:rPr/>
        <w:t>报告期内股份变动情况如下：</w:t>
      </w:r>
    </w:p>
    <w:p>
      <w:pPr>
        <w:pStyle w:val="BodyText"/>
        <w:spacing w:line="240" w:lineRule="auto" w:before="66"/>
        <w:ind w:left="0" w:right="786"/>
        <w:jc w:val="right"/>
      </w:pPr>
      <w:r>
        <w:rPr/>
        <w:t>单位：股</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8"/>
        <w:gridCol w:w="994"/>
        <w:gridCol w:w="860"/>
        <w:gridCol w:w="401"/>
        <w:gridCol w:w="289"/>
        <w:gridCol w:w="506"/>
        <w:gridCol w:w="1066"/>
        <w:gridCol w:w="1034"/>
        <w:gridCol w:w="1008"/>
        <w:gridCol w:w="766"/>
      </w:tblGrid>
      <w:tr>
        <w:trPr>
          <w:trHeight w:val="244" w:hRule="exact"/>
        </w:trPr>
        <w:tc>
          <w:tcPr>
            <w:tcW w:w="2178" w:type="dxa"/>
            <w:vMerge w:val="restart"/>
            <w:tcBorders>
              <w:top w:val="single" w:sz="4" w:space="0" w:color="000000"/>
              <w:left w:val="single" w:sz="4" w:space="0" w:color="000000"/>
              <w:right w:val="single" w:sz="4" w:space="0" w:color="000000"/>
            </w:tcBorders>
            <w:shd w:val="clear" w:color="auto" w:fill="DCDCDC"/>
          </w:tcPr>
          <w:p>
            <w:pPr/>
          </w:p>
        </w:tc>
        <w:tc>
          <w:tcPr>
            <w:tcW w:w="185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29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75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7" w:hRule="exact"/>
        </w:trPr>
        <w:tc>
          <w:tcPr>
            <w:tcW w:w="2178" w:type="dxa"/>
            <w:vMerge/>
            <w:tcBorders>
              <w:left w:val="single" w:sz="4" w:space="0" w:color="000000"/>
              <w:right w:val="single" w:sz="4" w:space="0" w:color="000000"/>
            </w:tcBorders>
            <w:shd w:val="clear" w:color="auto" w:fill="DCDCDC"/>
          </w:tcPr>
          <w:p>
            <w:pPr/>
          </w:p>
        </w:tc>
        <w:tc>
          <w:tcPr>
            <w:tcW w:w="994" w:type="dxa"/>
            <w:vMerge w:val="restart"/>
            <w:tcBorders>
              <w:top w:val="single" w:sz="4" w:space="0" w:color="000000"/>
              <w:left w:val="single" w:sz="4" w:space="0" w:color="000000"/>
              <w:right w:val="single" w:sz="4" w:space="0" w:color="000000"/>
            </w:tcBorders>
            <w:shd w:val="clear" w:color="auto" w:fill="DCDCDC"/>
          </w:tcPr>
          <w:p>
            <w:pPr/>
          </w:p>
        </w:tc>
        <w:tc>
          <w:tcPr>
            <w:tcW w:w="860" w:type="dxa"/>
            <w:vMerge w:val="restart"/>
            <w:tcBorders>
              <w:top w:val="single" w:sz="4" w:space="0" w:color="000000"/>
              <w:left w:val="single" w:sz="4" w:space="0" w:color="000000"/>
              <w:right w:val="single" w:sz="4" w:space="0" w:color="000000"/>
            </w:tcBorders>
            <w:shd w:val="clear" w:color="auto" w:fill="DCDCDC"/>
          </w:tcPr>
          <w:p>
            <w:pPr/>
          </w:p>
        </w:tc>
        <w:tc>
          <w:tcPr>
            <w:tcW w:w="401" w:type="dxa"/>
            <w:tcBorders>
              <w:top w:val="single" w:sz="4" w:space="0" w:color="000000"/>
              <w:left w:val="single" w:sz="4" w:space="0" w:color="000000"/>
              <w:bottom w:val="nil" w:sz="6" w:space="0" w:color="auto"/>
              <w:right w:val="single" w:sz="4" w:space="0" w:color="000000"/>
            </w:tcBorders>
            <w:shd w:val="clear" w:color="auto" w:fill="DCDCDC"/>
          </w:tcPr>
          <w:p>
            <w:pPr/>
          </w:p>
        </w:tc>
        <w:tc>
          <w:tcPr>
            <w:tcW w:w="289" w:type="dxa"/>
            <w:vMerge w:val="restart"/>
            <w:tcBorders>
              <w:top w:val="single" w:sz="4" w:space="0" w:color="000000"/>
              <w:left w:val="single" w:sz="4" w:space="0" w:color="000000"/>
              <w:right w:val="single" w:sz="4" w:space="0" w:color="000000"/>
            </w:tcBorders>
            <w:shd w:val="clear" w:color="auto" w:fill="DCDCDC"/>
          </w:tcPr>
          <w:p>
            <w:pPr/>
          </w:p>
        </w:tc>
        <w:tc>
          <w:tcPr>
            <w:tcW w:w="506" w:type="dxa"/>
            <w:vMerge w:val="restart"/>
            <w:tcBorders>
              <w:top w:val="single" w:sz="4" w:space="0" w:color="000000"/>
              <w:left w:val="single" w:sz="4" w:space="0" w:color="000000"/>
              <w:right w:val="single" w:sz="4" w:space="0" w:color="000000"/>
            </w:tcBorders>
            <w:shd w:val="clear" w:color="auto" w:fill="DCDCDC"/>
          </w:tcPr>
          <w:p>
            <w:pPr/>
          </w:p>
        </w:tc>
        <w:tc>
          <w:tcPr>
            <w:tcW w:w="1066" w:type="dxa"/>
            <w:vMerge w:val="restart"/>
            <w:tcBorders>
              <w:top w:val="single" w:sz="4" w:space="0" w:color="000000"/>
              <w:left w:val="single" w:sz="4" w:space="0" w:color="000000"/>
              <w:right w:val="single" w:sz="4" w:space="0" w:color="000000"/>
            </w:tcBorders>
            <w:shd w:val="clear" w:color="auto" w:fill="DCDCDC"/>
          </w:tcPr>
          <w:p>
            <w:pPr/>
          </w:p>
        </w:tc>
        <w:tc>
          <w:tcPr>
            <w:tcW w:w="1034" w:type="dxa"/>
            <w:vMerge w:val="restart"/>
            <w:tcBorders>
              <w:top w:val="single" w:sz="4" w:space="0" w:color="000000"/>
              <w:left w:val="single" w:sz="4" w:space="0" w:color="000000"/>
              <w:right w:val="single" w:sz="4" w:space="0" w:color="000000"/>
            </w:tcBorders>
            <w:shd w:val="clear" w:color="auto" w:fill="DCDCDC"/>
          </w:tcPr>
          <w:p>
            <w:pPr/>
          </w:p>
        </w:tc>
        <w:tc>
          <w:tcPr>
            <w:tcW w:w="1008" w:type="dxa"/>
            <w:vMerge w:val="restart"/>
            <w:tcBorders>
              <w:top w:val="single" w:sz="4" w:space="0" w:color="000000"/>
              <w:left w:val="single" w:sz="4" w:space="0" w:color="000000"/>
              <w:right w:val="single" w:sz="4" w:space="0" w:color="000000"/>
            </w:tcBorders>
            <w:shd w:val="clear" w:color="auto" w:fill="DCDCDC"/>
          </w:tcPr>
          <w:p>
            <w:pPr/>
          </w:p>
        </w:tc>
        <w:tc>
          <w:tcPr>
            <w:tcW w:w="766" w:type="dxa"/>
            <w:vMerge w:val="restart"/>
            <w:tcBorders>
              <w:top w:val="single" w:sz="4" w:space="0" w:color="000000"/>
              <w:left w:val="single" w:sz="4" w:space="0" w:color="000000"/>
              <w:right w:val="single" w:sz="4" w:space="0" w:color="000000"/>
            </w:tcBorders>
            <w:shd w:val="clear" w:color="auto" w:fill="DCDCDC"/>
          </w:tcPr>
          <w:p>
            <w:pPr/>
          </w:p>
        </w:tc>
      </w:tr>
      <w:tr>
        <w:trPr>
          <w:trHeight w:val="116" w:hRule="exact"/>
        </w:trPr>
        <w:tc>
          <w:tcPr>
            <w:tcW w:w="2178"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860" w:type="dxa"/>
            <w:vMerge/>
            <w:tcBorders>
              <w:left w:val="single" w:sz="4" w:space="0" w:color="000000"/>
              <w:right w:val="single" w:sz="4" w:space="0" w:color="000000"/>
            </w:tcBorders>
            <w:shd w:val="clear" w:color="auto" w:fill="DCDCDC"/>
          </w:tcPr>
          <w:p>
            <w:pPr/>
          </w:p>
        </w:tc>
        <w:tc>
          <w:tcPr>
            <w:tcW w:w="401"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105"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行 新 股</w:t>
            </w:r>
          </w:p>
        </w:tc>
        <w:tc>
          <w:tcPr>
            <w:tcW w:w="289" w:type="dxa"/>
            <w:vMerge/>
            <w:tcBorders>
              <w:left w:val="single" w:sz="4" w:space="0" w:color="000000"/>
              <w:right w:val="single" w:sz="4" w:space="0" w:color="000000"/>
            </w:tcBorders>
            <w:shd w:val="clear" w:color="auto" w:fill="DCDCDC"/>
          </w:tcPr>
          <w:p>
            <w:pPr/>
          </w:p>
        </w:tc>
        <w:tc>
          <w:tcPr>
            <w:tcW w:w="506" w:type="dxa"/>
            <w:vMerge/>
            <w:tcBorders>
              <w:left w:val="single" w:sz="4" w:space="0" w:color="000000"/>
              <w:bottom w:val="nil" w:sz="6" w:space="0" w:color="auto"/>
              <w:right w:val="single" w:sz="4" w:space="0" w:color="000000"/>
            </w:tcBorders>
            <w:shd w:val="clear" w:color="auto" w:fill="DCDCDC"/>
          </w:tcPr>
          <w:p>
            <w:pPr/>
          </w:p>
        </w:tc>
        <w:tc>
          <w:tcPr>
            <w:tcW w:w="1066" w:type="dxa"/>
            <w:vMerge/>
            <w:tcBorders>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766" w:type="dxa"/>
            <w:vMerge/>
            <w:tcBorders>
              <w:left w:val="single" w:sz="4" w:space="0" w:color="000000"/>
              <w:right w:val="single" w:sz="4" w:space="0" w:color="000000"/>
            </w:tcBorders>
            <w:shd w:val="clear" w:color="auto" w:fill="DCDCDC"/>
          </w:tcPr>
          <w:p>
            <w:pPr/>
          </w:p>
        </w:tc>
      </w:tr>
      <w:tr>
        <w:trPr>
          <w:trHeight w:val="119" w:hRule="exact"/>
        </w:trPr>
        <w:tc>
          <w:tcPr>
            <w:tcW w:w="2178"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860" w:type="dxa"/>
            <w:vMerge/>
            <w:tcBorders>
              <w:left w:val="single" w:sz="4" w:space="0" w:color="000000"/>
              <w:right w:val="single" w:sz="4" w:space="0" w:color="000000"/>
            </w:tcBorders>
            <w:shd w:val="clear" w:color="auto" w:fill="DCDCDC"/>
          </w:tcPr>
          <w:p>
            <w:pPr/>
          </w:p>
        </w:tc>
        <w:tc>
          <w:tcPr>
            <w:tcW w:w="401" w:type="dxa"/>
            <w:vMerge/>
            <w:tcBorders>
              <w:left w:val="single" w:sz="4" w:space="0" w:color="000000"/>
              <w:right w:val="single" w:sz="4" w:space="0" w:color="000000"/>
            </w:tcBorders>
            <w:shd w:val="clear" w:color="auto" w:fill="DCDCDC"/>
          </w:tcPr>
          <w:p>
            <w:pPr/>
          </w:p>
        </w:tc>
        <w:tc>
          <w:tcPr>
            <w:tcW w:w="289" w:type="dxa"/>
            <w:vMerge/>
            <w:tcBorders>
              <w:left w:val="single" w:sz="4" w:space="0" w:color="000000"/>
              <w:bottom w:val="nil" w:sz="6" w:space="0" w:color="auto"/>
              <w:right w:val="single" w:sz="4" w:space="0" w:color="000000"/>
            </w:tcBorders>
            <w:shd w:val="clear" w:color="auto" w:fill="DCDCDC"/>
          </w:tcPr>
          <w:p>
            <w:pPr/>
          </w:p>
        </w:tc>
        <w:tc>
          <w:tcPr>
            <w:tcW w:w="506"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left="68"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40"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金转 股</w:t>
            </w:r>
          </w:p>
        </w:tc>
        <w:tc>
          <w:tcPr>
            <w:tcW w:w="1066" w:type="dxa"/>
            <w:vMerge/>
            <w:tcBorders>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766" w:type="dxa"/>
            <w:vMerge/>
            <w:tcBorders>
              <w:left w:val="single" w:sz="4" w:space="0" w:color="000000"/>
              <w:right w:val="single" w:sz="4" w:space="0" w:color="000000"/>
            </w:tcBorders>
            <w:shd w:val="clear" w:color="auto" w:fill="DCDCDC"/>
          </w:tcPr>
          <w:p>
            <w:pPr/>
          </w:p>
        </w:tc>
      </w:tr>
      <w:tr>
        <w:trPr>
          <w:trHeight w:val="115" w:hRule="exact"/>
        </w:trPr>
        <w:tc>
          <w:tcPr>
            <w:tcW w:w="2178" w:type="dxa"/>
            <w:vMerge w:val="restart"/>
            <w:tcBorders>
              <w:top w:val="nil" w:sz="6" w:space="0" w:color="auto"/>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860" w:type="dxa"/>
            <w:vMerge/>
            <w:tcBorders>
              <w:left w:val="single" w:sz="4" w:space="0" w:color="000000"/>
              <w:bottom w:val="nil" w:sz="6" w:space="0" w:color="auto"/>
              <w:right w:val="single" w:sz="4" w:space="0" w:color="000000"/>
            </w:tcBorders>
            <w:shd w:val="clear" w:color="auto" w:fill="DCDCDC"/>
          </w:tcPr>
          <w:p>
            <w:pPr/>
          </w:p>
        </w:tc>
        <w:tc>
          <w:tcPr>
            <w:tcW w:w="401" w:type="dxa"/>
            <w:vMerge/>
            <w:tcBorders>
              <w:left w:val="single" w:sz="4" w:space="0" w:color="000000"/>
              <w:right w:val="single" w:sz="4" w:space="0" w:color="000000"/>
            </w:tcBorders>
            <w:shd w:val="clear" w:color="auto" w:fill="DCDCDC"/>
          </w:tcPr>
          <w:p>
            <w:pPr/>
          </w:p>
        </w:tc>
        <w:tc>
          <w:tcPr>
            <w:tcW w:w="289" w:type="dxa"/>
            <w:vMerge w:val="restart"/>
            <w:tcBorders>
              <w:top w:val="nil" w:sz="6" w:space="0" w:color="auto"/>
              <w:left w:val="single" w:sz="4" w:space="0" w:color="000000"/>
              <w:right w:val="single" w:sz="4" w:space="0" w:color="000000"/>
            </w:tcBorders>
            <w:shd w:val="clear" w:color="auto" w:fill="DCDCDC"/>
          </w:tcPr>
          <w:p>
            <w:pPr>
              <w:pStyle w:val="TableParagraph"/>
              <w:spacing w:line="203" w:lineRule="exact"/>
              <w:ind w:left="49"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4" w:lineRule="exact"/>
              <w:ind w:left="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06" w:type="dxa"/>
            <w:vMerge/>
            <w:tcBorders>
              <w:left w:val="single" w:sz="4" w:space="0" w:color="000000"/>
              <w:right w:val="single" w:sz="4" w:space="0" w:color="000000"/>
            </w:tcBorders>
            <w:shd w:val="clear" w:color="auto" w:fill="DCDCDC"/>
          </w:tcPr>
          <w:p>
            <w:pPr/>
          </w:p>
        </w:tc>
        <w:tc>
          <w:tcPr>
            <w:tcW w:w="106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bottom w:val="nil" w:sz="6" w:space="0" w:color="auto"/>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c>
          <w:tcPr>
            <w:tcW w:w="766" w:type="dxa"/>
            <w:vMerge/>
            <w:tcBorders>
              <w:left w:val="single" w:sz="4" w:space="0" w:color="000000"/>
              <w:bottom w:val="nil" w:sz="6" w:space="0" w:color="auto"/>
              <w:right w:val="single" w:sz="4" w:space="0" w:color="000000"/>
            </w:tcBorders>
            <w:shd w:val="clear" w:color="auto" w:fill="DCDCDC"/>
          </w:tcPr>
          <w:p>
            <w:pPr/>
          </w:p>
        </w:tc>
      </w:tr>
      <w:tr>
        <w:trPr>
          <w:trHeight w:val="94" w:hRule="exact"/>
        </w:trPr>
        <w:tc>
          <w:tcPr>
            <w:tcW w:w="2178" w:type="dxa"/>
            <w:vMerge/>
            <w:tcBorders>
              <w:left w:val="single" w:sz="4" w:space="0" w:color="000000"/>
              <w:bottom w:val="nil" w:sz="6" w:space="0" w:color="auto"/>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01" w:type="dxa"/>
            <w:vMerge/>
            <w:tcBorders>
              <w:left w:val="single" w:sz="4" w:space="0" w:color="000000"/>
              <w:right w:val="single" w:sz="4" w:space="0" w:color="000000"/>
            </w:tcBorders>
            <w:shd w:val="clear" w:color="auto" w:fill="DCDCDC"/>
          </w:tcPr>
          <w:p>
            <w:pPr/>
          </w:p>
        </w:tc>
        <w:tc>
          <w:tcPr>
            <w:tcW w:w="289" w:type="dxa"/>
            <w:vMerge/>
            <w:tcBorders>
              <w:left w:val="single" w:sz="4" w:space="0" w:color="000000"/>
              <w:right w:val="single" w:sz="4" w:space="0" w:color="000000"/>
            </w:tcBorders>
            <w:shd w:val="clear" w:color="auto" w:fill="DCDCDC"/>
          </w:tcPr>
          <w:p>
            <w:pPr/>
          </w:p>
        </w:tc>
        <w:tc>
          <w:tcPr>
            <w:tcW w:w="506" w:type="dxa"/>
            <w:vMerge/>
            <w:tcBorders>
              <w:left w:val="single" w:sz="4" w:space="0" w:color="000000"/>
              <w:right w:val="single" w:sz="4" w:space="0" w:color="000000"/>
            </w:tcBorders>
            <w:shd w:val="clear" w:color="auto" w:fill="DCDCDC"/>
          </w:tcPr>
          <w:p>
            <w:pPr/>
          </w:p>
        </w:tc>
        <w:tc>
          <w:tcPr>
            <w:tcW w:w="106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3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8"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38" w:hRule="exact"/>
        </w:trPr>
        <w:tc>
          <w:tcPr>
            <w:tcW w:w="2178" w:type="dxa"/>
            <w:vMerge w:val="restart"/>
            <w:tcBorders>
              <w:top w:val="nil" w:sz="6" w:space="0" w:color="auto"/>
              <w:left w:val="single" w:sz="4" w:space="0" w:color="000000"/>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860" w:type="dxa"/>
            <w:vMerge/>
            <w:tcBorders>
              <w:left w:val="single" w:sz="4" w:space="0" w:color="000000"/>
              <w:bottom w:val="nil" w:sz="6" w:space="0" w:color="auto"/>
              <w:right w:val="single" w:sz="4" w:space="0" w:color="000000"/>
            </w:tcBorders>
            <w:shd w:val="clear" w:color="auto" w:fill="DCDCDC"/>
          </w:tcPr>
          <w:p>
            <w:pPr/>
          </w:p>
        </w:tc>
        <w:tc>
          <w:tcPr>
            <w:tcW w:w="401" w:type="dxa"/>
            <w:vMerge/>
            <w:tcBorders>
              <w:left w:val="single" w:sz="4" w:space="0" w:color="000000"/>
              <w:right w:val="single" w:sz="4" w:space="0" w:color="000000"/>
            </w:tcBorders>
            <w:shd w:val="clear" w:color="auto" w:fill="DCDCDC"/>
          </w:tcPr>
          <w:p>
            <w:pPr/>
          </w:p>
        </w:tc>
        <w:tc>
          <w:tcPr>
            <w:tcW w:w="289" w:type="dxa"/>
            <w:vMerge/>
            <w:tcBorders>
              <w:left w:val="single" w:sz="4" w:space="0" w:color="000000"/>
              <w:right w:val="single" w:sz="4" w:space="0" w:color="000000"/>
            </w:tcBorders>
            <w:shd w:val="clear" w:color="auto" w:fill="DCDCDC"/>
          </w:tcPr>
          <w:p>
            <w:pPr/>
          </w:p>
        </w:tc>
        <w:tc>
          <w:tcPr>
            <w:tcW w:w="506" w:type="dxa"/>
            <w:vMerge/>
            <w:tcBorders>
              <w:left w:val="single" w:sz="4" w:space="0" w:color="000000"/>
              <w:right w:val="single" w:sz="4" w:space="0" w:color="000000"/>
            </w:tcBorders>
            <w:shd w:val="clear" w:color="auto" w:fill="DCDCDC"/>
          </w:tcPr>
          <w:p>
            <w:pPr/>
          </w:p>
        </w:tc>
        <w:tc>
          <w:tcPr>
            <w:tcW w:w="106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bottom w:val="nil" w:sz="6" w:space="0" w:color="auto"/>
              <w:right w:val="single" w:sz="4" w:space="0" w:color="000000"/>
            </w:tcBorders>
            <w:shd w:val="clear" w:color="auto" w:fill="DCDCDC"/>
          </w:tcPr>
          <w:p>
            <w:pPr/>
          </w:p>
        </w:tc>
        <w:tc>
          <w:tcPr>
            <w:tcW w:w="1008" w:type="dxa"/>
            <w:vMerge/>
            <w:tcBorders>
              <w:left w:val="single" w:sz="4" w:space="0" w:color="000000"/>
              <w:bottom w:val="nil" w:sz="6" w:space="0" w:color="auto"/>
              <w:right w:val="single" w:sz="4" w:space="0" w:color="000000"/>
            </w:tcBorders>
            <w:shd w:val="clear" w:color="auto" w:fill="DCDCDC"/>
          </w:tcPr>
          <w:p>
            <w:pPr/>
          </w:p>
        </w:tc>
        <w:tc>
          <w:tcPr>
            <w:tcW w:w="766" w:type="dxa"/>
            <w:vMerge/>
            <w:tcBorders>
              <w:left w:val="single" w:sz="4" w:space="0" w:color="000000"/>
              <w:bottom w:val="nil" w:sz="6" w:space="0" w:color="auto"/>
              <w:right w:val="single" w:sz="4" w:space="0" w:color="000000"/>
            </w:tcBorders>
            <w:shd w:val="clear" w:color="auto" w:fill="DCDCDC"/>
          </w:tcPr>
          <w:p>
            <w:pPr/>
          </w:p>
        </w:tc>
      </w:tr>
      <w:tr>
        <w:trPr>
          <w:trHeight w:val="118" w:hRule="exact"/>
        </w:trPr>
        <w:tc>
          <w:tcPr>
            <w:tcW w:w="2178" w:type="dxa"/>
            <w:vMerge/>
            <w:tcBorders>
              <w:left w:val="single" w:sz="4" w:space="0" w:color="000000"/>
              <w:right w:val="single" w:sz="4" w:space="0" w:color="000000"/>
            </w:tcBorders>
            <w:shd w:val="clear" w:color="auto" w:fill="DCDCDC"/>
          </w:tcPr>
          <w:p>
            <w:pPr/>
          </w:p>
        </w:tc>
        <w:tc>
          <w:tcPr>
            <w:tcW w:w="994" w:type="dxa"/>
            <w:vMerge w:val="restart"/>
            <w:tcBorders>
              <w:top w:val="nil" w:sz="6" w:space="0" w:color="auto"/>
              <w:left w:val="single" w:sz="4" w:space="0" w:color="000000"/>
              <w:right w:val="single" w:sz="4" w:space="0" w:color="000000"/>
            </w:tcBorders>
            <w:shd w:val="clear" w:color="auto" w:fill="DCDCDC"/>
          </w:tcPr>
          <w:p>
            <w:pPr/>
          </w:p>
        </w:tc>
        <w:tc>
          <w:tcPr>
            <w:tcW w:w="860" w:type="dxa"/>
            <w:vMerge w:val="restart"/>
            <w:tcBorders>
              <w:top w:val="nil" w:sz="6" w:space="0" w:color="auto"/>
              <w:left w:val="single" w:sz="4" w:space="0" w:color="000000"/>
              <w:right w:val="single" w:sz="4" w:space="0" w:color="000000"/>
            </w:tcBorders>
            <w:shd w:val="clear" w:color="auto" w:fill="DCDCDC"/>
          </w:tcPr>
          <w:p>
            <w:pPr/>
          </w:p>
        </w:tc>
        <w:tc>
          <w:tcPr>
            <w:tcW w:w="401" w:type="dxa"/>
            <w:vMerge/>
            <w:tcBorders>
              <w:left w:val="single" w:sz="4" w:space="0" w:color="000000"/>
              <w:right w:val="single" w:sz="4" w:space="0" w:color="000000"/>
            </w:tcBorders>
            <w:shd w:val="clear" w:color="auto" w:fill="DCDCDC"/>
          </w:tcPr>
          <w:p>
            <w:pPr/>
          </w:p>
        </w:tc>
        <w:tc>
          <w:tcPr>
            <w:tcW w:w="289" w:type="dxa"/>
            <w:vMerge/>
            <w:tcBorders>
              <w:left w:val="single" w:sz="4" w:space="0" w:color="000000"/>
              <w:bottom w:val="nil" w:sz="6" w:space="0" w:color="auto"/>
              <w:right w:val="single" w:sz="4" w:space="0" w:color="000000"/>
            </w:tcBorders>
            <w:shd w:val="clear" w:color="auto" w:fill="DCDCDC"/>
          </w:tcPr>
          <w:p>
            <w:pPr/>
          </w:p>
        </w:tc>
        <w:tc>
          <w:tcPr>
            <w:tcW w:w="506" w:type="dxa"/>
            <w:vMerge/>
            <w:tcBorders>
              <w:left w:val="single" w:sz="4" w:space="0" w:color="000000"/>
              <w:right w:val="single" w:sz="4" w:space="0" w:color="000000"/>
            </w:tcBorders>
            <w:shd w:val="clear" w:color="auto" w:fill="DCDCDC"/>
          </w:tcPr>
          <w:p>
            <w:pPr/>
          </w:p>
        </w:tc>
        <w:tc>
          <w:tcPr>
            <w:tcW w:w="1066" w:type="dxa"/>
            <w:vMerge w:val="restart"/>
            <w:tcBorders>
              <w:top w:val="nil" w:sz="6" w:space="0" w:color="auto"/>
              <w:left w:val="single" w:sz="4" w:space="0" w:color="000000"/>
              <w:right w:val="single" w:sz="4" w:space="0" w:color="000000"/>
            </w:tcBorders>
            <w:shd w:val="clear" w:color="auto" w:fill="DCDCDC"/>
          </w:tcPr>
          <w:p>
            <w:pPr/>
          </w:p>
        </w:tc>
        <w:tc>
          <w:tcPr>
            <w:tcW w:w="1034" w:type="dxa"/>
            <w:vMerge w:val="restart"/>
            <w:tcBorders>
              <w:top w:val="nil" w:sz="6" w:space="0" w:color="auto"/>
              <w:left w:val="single" w:sz="4" w:space="0" w:color="000000"/>
              <w:right w:val="single" w:sz="4" w:space="0" w:color="000000"/>
            </w:tcBorders>
            <w:shd w:val="clear" w:color="auto" w:fill="DCDCDC"/>
          </w:tcPr>
          <w:p>
            <w:pPr/>
          </w:p>
        </w:tc>
        <w:tc>
          <w:tcPr>
            <w:tcW w:w="1008" w:type="dxa"/>
            <w:vMerge w:val="restart"/>
            <w:tcBorders>
              <w:top w:val="nil" w:sz="6" w:space="0" w:color="auto"/>
              <w:left w:val="single" w:sz="4" w:space="0" w:color="000000"/>
              <w:right w:val="single" w:sz="4" w:space="0" w:color="000000"/>
            </w:tcBorders>
            <w:shd w:val="clear" w:color="auto" w:fill="DCDCDC"/>
          </w:tcPr>
          <w:p>
            <w:pPr/>
          </w:p>
        </w:tc>
        <w:tc>
          <w:tcPr>
            <w:tcW w:w="766" w:type="dxa"/>
            <w:vMerge w:val="restart"/>
            <w:tcBorders>
              <w:top w:val="nil" w:sz="6" w:space="0" w:color="auto"/>
              <w:left w:val="single" w:sz="4" w:space="0" w:color="000000"/>
              <w:right w:val="single" w:sz="4" w:space="0" w:color="000000"/>
            </w:tcBorders>
            <w:shd w:val="clear" w:color="auto" w:fill="DCDCDC"/>
          </w:tcPr>
          <w:p>
            <w:pPr/>
          </w:p>
        </w:tc>
      </w:tr>
      <w:tr>
        <w:trPr>
          <w:trHeight w:val="116" w:hRule="exact"/>
        </w:trPr>
        <w:tc>
          <w:tcPr>
            <w:tcW w:w="2178"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860" w:type="dxa"/>
            <w:vMerge/>
            <w:tcBorders>
              <w:left w:val="single" w:sz="4" w:space="0" w:color="000000"/>
              <w:right w:val="single" w:sz="4" w:space="0" w:color="000000"/>
            </w:tcBorders>
            <w:shd w:val="clear" w:color="auto" w:fill="DCDCDC"/>
          </w:tcPr>
          <w:p>
            <w:pPr/>
          </w:p>
        </w:tc>
        <w:tc>
          <w:tcPr>
            <w:tcW w:w="401" w:type="dxa"/>
            <w:vMerge/>
            <w:tcBorders>
              <w:left w:val="single" w:sz="4" w:space="0" w:color="000000"/>
              <w:right w:val="single" w:sz="4" w:space="0" w:color="000000"/>
            </w:tcBorders>
            <w:shd w:val="clear" w:color="auto" w:fill="DCDCDC"/>
          </w:tcPr>
          <w:p>
            <w:pPr/>
          </w:p>
        </w:tc>
        <w:tc>
          <w:tcPr>
            <w:tcW w:w="289" w:type="dxa"/>
            <w:vMerge w:val="restart"/>
            <w:tcBorders>
              <w:top w:val="nil" w:sz="6" w:space="0" w:color="auto"/>
              <w:left w:val="single" w:sz="4" w:space="0" w:color="000000"/>
              <w:right w:val="single" w:sz="4" w:space="0" w:color="000000"/>
            </w:tcBorders>
            <w:shd w:val="clear" w:color="auto" w:fill="DCDCDC"/>
          </w:tcPr>
          <w:p>
            <w:pPr/>
          </w:p>
        </w:tc>
        <w:tc>
          <w:tcPr>
            <w:tcW w:w="506" w:type="dxa"/>
            <w:vMerge/>
            <w:tcBorders>
              <w:left w:val="single" w:sz="4" w:space="0" w:color="000000"/>
              <w:bottom w:val="nil" w:sz="6" w:space="0" w:color="auto"/>
              <w:right w:val="single" w:sz="4" w:space="0" w:color="000000"/>
            </w:tcBorders>
            <w:shd w:val="clear" w:color="auto" w:fill="DCDCDC"/>
          </w:tcPr>
          <w:p>
            <w:pPr/>
          </w:p>
        </w:tc>
        <w:tc>
          <w:tcPr>
            <w:tcW w:w="1066" w:type="dxa"/>
            <w:vMerge/>
            <w:tcBorders>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766" w:type="dxa"/>
            <w:vMerge/>
            <w:tcBorders>
              <w:left w:val="single" w:sz="4" w:space="0" w:color="000000"/>
              <w:right w:val="single" w:sz="4" w:space="0" w:color="000000"/>
            </w:tcBorders>
            <w:shd w:val="clear" w:color="auto" w:fill="DCDCDC"/>
          </w:tcPr>
          <w:p>
            <w:pPr/>
          </w:p>
        </w:tc>
      </w:tr>
      <w:tr>
        <w:trPr>
          <w:trHeight w:val="118" w:hRule="exact"/>
        </w:trPr>
        <w:tc>
          <w:tcPr>
            <w:tcW w:w="2178"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860" w:type="dxa"/>
            <w:vMerge/>
            <w:tcBorders>
              <w:left w:val="single" w:sz="4" w:space="0" w:color="000000"/>
              <w:right w:val="single" w:sz="4" w:space="0" w:color="000000"/>
            </w:tcBorders>
            <w:shd w:val="clear" w:color="auto" w:fill="DCDCDC"/>
          </w:tcPr>
          <w:p>
            <w:pPr/>
          </w:p>
        </w:tc>
        <w:tc>
          <w:tcPr>
            <w:tcW w:w="401" w:type="dxa"/>
            <w:vMerge/>
            <w:tcBorders>
              <w:left w:val="single" w:sz="4" w:space="0" w:color="000000"/>
              <w:bottom w:val="nil" w:sz="6" w:space="0" w:color="auto"/>
              <w:right w:val="single" w:sz="4" w:space="0" w:color="000000"/>
            </w:tcBorders>
            <w:shd w:val="clear" w:color="auto" w:fill="DCDCDC"/>
          </w:tcPr>
          <w:p>
            <w:pPr/>
          </w:p>
        </w:tc>
        <w:tc>
          <w:tcPr>
            <w:tcW w:w="289" w:type="dxa"/>
            <w:vMerge/>
            <w:tcBorders>
              <w:left w:val="single" w:sz="4" w:space="0" w:color="000000"/>
              <w:right w:val="single" w:sz="4" w:space="0" w:color="000000"/>
            </w:tcBorders>
            <w:shd w:val="clear" w:color="auto" w:fill="DCDCDC"/>
          </w:tcPr>
          <w:p>
            <w:pPr/>
          </w:p>
        </w:tc>
        <w:tc>
          <w:tcPr>
            <w:tcW w:w="506" w:type="dxa"/>
            <w:vMerge w:val="restart"/>
            <w:tcBorders>
              <w:top w:val="nil" w:sz="6" w:space="0" w:color="auto"/>
              <w:left w:val="single" w:sz="4" w:space="0" w:color="000000"/>
              <w:right w:val="single" w:sz="4" w:space="0" w:color="000000"/>
            </w:tcBorders>
            <w:shd w:val="clear" w:color="auto" w:fill="DCDCDC"/>
          </w:tcPr>
          <w:p>
            <w:pPr/>
          </w:p>
        </w:tc>
        <w:tc>
          <w:tcPr>
            <w:tcW w:w="1066" w:type="dxa"/>
            <w:vMerge/>
            <w:tcBorders>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c>
          <w:tcPr>
            <w:tcW w:w="766" w:type="dxa"/>
            <w:vMerge/>
            <w:tcBorders>
              <w:left w:val="single" w:sz="4" w:space="0" w:color="000000"/>
              <w:right w:val="single" w:sz="4" w:space="0" w:color="000000"/>
            </w:tcBorders>
            <w:shd w:val="clear" w:color="auto" w:fill="DCDCDC"/>
          </w:tcPr>
          <w:p>
            <w:pPr/>
          </w:p>
        </w:tc>
      </w:tr>
      <w:tr>
        <w:trPr>
          <w:trHeight w:val="206" w:hRule="exact"/>
        </w:trPr>
        <w:tc>
          <w:tcPr>
            <w:tcW w:w="2178" w:type="dxa"/>
            <w:vMerge/>
            <w:tcBorders>
              <w:left w:val="single" w:sz="4" w:space="0" w:color="000000"/>
              <w:bottom w:val="single" w:sz="4" w:space="0" w:color="000000"/>
              <w:right w:val="single" w:sz="4" w:space="0" w:color="000000"/>
            </w:tcBorders>
            <w:shd w:val="clear" w:color="auto" w:fill="DCDCDC"/>
          </w:tcPr>
          <w:p>
            <w:pPr/>
          </w:p>
        </w:tc>
        <w:tc>
          <w:tcPr>
            <w:tcW w:w="994" w:type="dxa"/>
            <w:vMerge/>
            <w:tcBorders>
              <w:left w:val="single" w:sz="4" w:space="0" w:color="000000"/>
              <w:bottom w:val="single" w:sz="4" w:space="0" w:color="000000"/>
              <w:right w:val="single" w:sz="4" w:space="0" w:color="000000"/>
            </w:tcBorders>
            <w:shd w:val="clear" w:color="auto" w:fill="DCDCDC"/>
          </w:tcPr>
          <w:p>
            <w:pPr/>
          </w:p>
        </w:tc>
        <w:tc>
          <w:tcPr>
            <w:tcW w:w="860" w:type="dxa"/>
            <w:vMerge/>
            <w:tcBorders>
              <w:left w:val="single" w:sz="4" w:space="0" w:color="000000"/>
              <w:bottom w:val="single" w:sz="4" w:space="0" w:color="000000"/>
              <w:right w:val="single" w:sz="4" w:space="0" w:color="000000"/>
            </w:tcBorders>
            <w:shd w:val="clear" w:color="auto" w:fill="DCDCDC"/>
          </w:tcPr>
          <w:p>
            <w:pPr/>
          </w:p>
        </w:tc>
        <w:tc>
          <w:tcPr>
            <w:tcW w:w="401" w:type="dxa"/>
            <w:tcBorders>
              <w:top w:val="nil" w:sz="6" w:space="0" w:color="auto"/>
              <w:left w:val="single" w:sz="4" w:space="0" w:color="000000"/>
              <w:bottom w:val="single" w:sz="4" w:space="0" w:color="000000"/>
              <w:right w:val="single" w:sz="4" w:space="0" w:color="000000"/>
            </w:tcBorders>
            <w:shd w:val="clear" w:color="auto" w:fill="DCDCDC"/>
          </w:tcPr>
          <w:p>
            <w:pPr/>
          </w:p>
        </w:tc>
        <w:tc>
          <w:tcPr>
            <w:tcW w:w="289" w:type="dxa"/>
            <w:vMerge/>
            <w:tcBorders>
              <w:left w:val="single" w:sz="4" w:space="0" w:color="000000"/>
              <w:bottom w:val="single" w:sz="4" w:space="0" w:color="000000"/>
              <w:right w:val="single" w:sz="4" w:space="0" w:color="000000"/>
            </w:tcBorders>
            <w:shd w:val="clear" w:color="auto" w:fill="DCDCDC"/>
          </w:tcPr>
          <w:p>
            <w:pPr/>
          </w:p>
        </w:tc>
        <w:tc>
          <w:tcPr>
            <w:tcW w:w="506" w:type="dxa"/>
            <w:vMerge/>
            <w:tcBorders>
              <w:left w:val="single" w:sz="4" w:space="0" w:color="000000"/>
              <w:bottom w:val="single" w:sz="4" w:space="0" w:color="000000"/>
              <w:right w:val="single" w:sz="4" w:space="0" w:color="000000"/>
            </w:tcBorders>
            <w:shd w:val="clear" w:color="auto" w:fill="DCDCDC"/>
          </w:tcPr>
          <w:p>
            <w:pPr/>
          </w:p>
        </w:tc>
        <w:tc>
          <w:tcPr>
            <w:tcW w:w="1066" w:type="dxa"/>
            <w:vMerge/>
            <w:tcBorders>
              <w:left w:val="single" w:sz="4" w:space="0" w:color="000000"/>
              <w:bottom w:val="single" w:sz="4" w:space="0" w:color="000000"/>
              <w:right w:val="single" w:sz="4" w:space="0" w:color="000000"/>
            </w:tcBorders>
            <w:shd w:val="clear" w:color="auto" w:fill="DCDCDC"/>
          </w:tcPr>
          <w:p>
            <w:pPr/>
          </w:p>
        </w:tc>
        <w:tc>
          <w:tcPr>
            <w:tcW w:w="1034" w:type="dxa"/>
            <w:vMerge/>
            <w:tcBorders>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c>
          <w:tcPr>
            <w:tcW w:w="766"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191,529,779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55.98%</w:t>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-176,399,468</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w w:val="95"/>
                <w:sz w:val="18"/>
              </w:rPr>
              <w:t>-176,399,468</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15,130,311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4.42%</w:t>
            </w:r>
            <w:r>
              <w:rPr>
                <w:rFonts w:ascii="Times New Roman"/>
                <w:sz w:val="18"/>
              </w:rPr>
            </w: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171,841,680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50.23%</w:t>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-171,841,680</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-171,841,680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2"/>
                <w:sz w:val="18"/>
                <w:szCs w:val="18"/>
              </w:rPr>
              <w:t>其中：境内非国有法人持股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19,688,099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-4,557,788</w:t>
            </w:r>
            <w:r>
              <w:rPr>
                <w:rFonts w:ascii="Times New Roman"/>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-4,557,788</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15,130,311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4.42%</w:t>
            </w:r>
            <w:r>
              <w:rPr>
                <w:rFonts w:ascii="Times New Roman"/>
                <w:sz w:val="18"/>
              </w:rPr>
            </w: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150,611,845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44.02%</w:t>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176,399,468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176,399,468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327,011,313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95.58%</w:t>
            </w: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150,611,845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44.02%</w:t>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176,399,468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176,399,468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327,011,313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95.58%</w:t>
            </w: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13" w:space="0" w:color="DCDCDC"/>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342,141,624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401"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342,141,624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4" w:lineRule="exact"/>
        <w:ind w:left="500" w:right="0"/>
        <w:jc w:val="left"/>
      </w:pPr>
      <w:r>
        <w:rPr/>
        <w:t>（二）限售股份变动情况表</w:t>
      </w:r>
    </w:p>
    <w:p>
      <w:pPr>
        <w:pStyle w:val="BodyText"/>
        <w:spacing w:line="274" w:lineRule="exact"/>
        <w:ind w:left="0" w:right="831"/>
        <w:jc w:val="right"/>
      </w:pPr>
      <w:r>
        <w:rPr/>
        <w:t>单位：股</w:t>
      </w:r>
    </w:p>
    <w:p>
      <w:pPr>
        <w:spacing w:line="240" w:lineRule="auto" w:before="7"/>
        <w:rPr>
          <w:rFonts w:ascii="宋体" w:hAnsi="宋体" w:cs="宋体" w:eastAsia="宋体" w:hint="default"/>
          <w:sz w:val="2"/>
          <w:szCs w:val="2"/>
        </w:rPr>
      </w:pPr>
    </w:p>
    <w:tbl>
      <w:tblPr>
        <w:tblW w:w="0" w:type="auto"/>
        <w:jc w:val="left"/>
        <w:tblInd w:w="191" w:type="dxa"/>
        <w:tblLayout w:type="fixed"/>
        <w:tblCellMar>
          <w:top w:w="0" w:type="dxa"/>
          <w:left w:w="0" w:type="dxa"/>
          <w:bottom w:w="0" w:type="dxa"/>
          <w:right w:w="0" w:type="dxa"/>
        </w:tblCellMar>
        <w:tblLook w:val="01E0"/>
      </w:tblPr>
      <w:tblGrid>
        <w:gridCol w:w="844"/>
        <w:gridCol w:w="1013"/>
        <w:gridCol w:w="980"/>
        <w:gridCol w:w="860"/>
        <w:gridCol w:w="979"/>
        <w:gridCol w:w="2580"/>
        <w:gridCol w:w="1657"/>
      </w:tblGrid>
      <w:tr>
        <w:trPr>
          <w:trHeight w:val="476"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年初限售股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4"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64"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年末限售股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25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37" w:hRule="exact"/>
        </w:trPr>
        <w:tc>
          <w:tcPr>
            <w:tcW w:w="8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w:t>
            </w:r>
          </w:p>
        </w:tc>
        <w:tc>
          <w:tcPr>
            <w:tcW w:w="1013"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在公司上市时承诺：自公司上市</w:t>
            </w:r>
          </w:p>
        </w:tc>
        <w:tc>
          <w:tcPr>
            <w:tcW w:w="1657"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84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电集团有</w:t>
            </w:r>
          </w:p>
        </w:tc>
        <w:tc>
          <w:tcPr>
            <w:tcW w:w="10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171,841,680</w:t>
            </w: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171,841,680</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w:t>
            </w:r>
          </w:p>
        </w:tc>
        <w:tc>
          <w:tcPr>
            <w:tcW w:w="1657" w:type="dxa"/>
            <w:tcBorders>
              <w:top w:val="nil" w:sz="6" w:space="0" w:color="auto"/>
              <w:left w:val="single" w:sz="4" w:space="0" w:color="000000"/>
              <w:bottom w:val="nil" w:sz="6" w:space="0" w:color="auto"/>
              <w:right w:val="single" w:sz="4" w:space="0" w:color="000000"/>
            </w:tcBorders>
          </w:tcPr>
          <w:p>
            <w:pPr>
              <w:pStyle w:val="TableParagraph"/>
              <w:spacing w:line="220" w:lineRule="exact"/>
              <w:ind w:right="1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235" w:hRule="exact"/>
        </w:trPr>
        <w:tc>
          <w:tcPr>
            <w:tcW w:w="844"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13"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他人管理其持有股票</w:t>
            </w:r>
          </w:p>
        </w:tc>
        <w:tc>
          <w:tcPr>
            <w:tcW w:w="1657" w:type="dxa"/>
            <w:tcBorders>
              <w:top w:val="nil" w:sz="6" w:space="0" w:color="auto"/>
              <w:left w:val="single" w:sz="4" w:space="0" w:color="000000"/>
              <w:bottom w:val="single" w:sz="4" w:space="0" w:color="000000"/>
              <w:right w:val="single" w:sz="4" w:space="0" w:color="000000"/>
            </w:tcBorders>
          </w:tcPr>
          <w:p>
            <w:pPr/>
          </w:p>
        </w:tc>
      </w:tr>
      <w:tr>
        <w:trPr>
          <w:trHeight w:val="438" w:hRule="exact"/>
        </w:trPr>
        <w:tc>
          <w:tcPr>
            <w:tcW w:w="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5"/>
              <w:ind w:left="2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171,841,680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center"/>
              <w:rPr>
                <w:rFonts w:ascii="Times New Roman" w:hAnsi="Times New Roman" w:cs="Times New Roman" w:eastAsia="Times New Roman" w:hint="default"/>
                <w:sz w:val="18"/>
                <w:szCs w:val="18"/>
              </w:rPr>
            </w:pPr>
            <w:r>
              <w:rPr>
                <w:rFonts w:ascii="Times New Roman"/>
                <w:sz w:val="18"/>
              </w:rPr>
              <w:t>171,841,680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400" w:footer="982" w:top="1100" w:bottom="1180" w:left="1300" w:right="1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r>
        <w:rPr/>
        <w:t>二、股票发行与上市情况</w:t>
      </w:r>
      <w:r>
        <w:rPr>
          <w:b w:val="0"/>
          <w:bCs w:val="0"/>
        </w:rPr>
      </w:r>
    </w:p>
    <w:p>
      <w:pPr>
        <w:pStyle w:val="BodyText"/>
        <w:spacing w:line="280" w:lineRule="auto" w:before="120"/>
        <w:ind w:right="214" w:firstLine="419"/>
        <w:jc w:val="both"/>
      </w:pPr>
      <w:r>
        <w:rPr>
          <w:rFonts w:ascii="Times New Roman" w:hAnsi="Times New Roman" w:cs="Times New Roman" w:eastAsia="Times New Roman" w:hint="default"/>
        </w:rPr>
        <w:t>1</w:t>
      </w: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t>号文核准，公司于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月向 社会首次公开发行人民币普通股（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3,600 </w:t>
      </w:r>
      <w:r>
        <w:rPr/>
        <w:t>万股，发行价格每股 </w:t>
      </w:r>
      <w:r>
        <w:rPr>
          <w:rFonts w:ascii="Times New Roman" w:hAnsi="Times New Roman" w:cs="Times New Roman" w:eastAsia="Times New Roman" w:hint="default"/>
        </w:rPr>
        <w:t>16.88</w:t>
      </w:r>
      <w:r>
        <w:rPr>
          <w:rFonts w:ascii="Times New Roman" w:hAnsi="Times New Roman" w:cs="Times New Roman" w:eastAsia="Times New Roman" w:hint="default"/>
          <w:spacing w:val="9"/>
        </w:rPr>
        <w:t> </w:t>
      </w:r>
      <w:r>
        <w:rPr/>
        <w:t>元，公司股本由 </w:t>
      </w:r>
      <w:r>
        <w:rPr>
          <w:rFonts w:ascii="Times New Roman" w:hAnsi="Times New Roman" w:cs="Times New Roman" w:eastAsia="Times New Roman" w:hint="default"/>
        </w:rPr>
        <w:t>10,655.901</w:t>
      </w:r>
      <w:r>
        <w:rPr>
          <w:rFonts w:ascii="Times New Roman" w:hAnsi="Times New Roman" w:cs="Times New Roman" w:eastAsia="Times New Roman" w:hint="default"/>
          <w:spacing w:val="-5"/>
        </w:rPr>
        <w:t> </w:t>
      </w:r>
      <w:r>
        <w:rPr/>
        <w:t>万股增加到</w:t>
      </w:r>
      <w:r>
        <w:rPr>
          <w:spacing w:val="-58"/>
        </w:rPr>
        <w:t> </w:t>
      </w:r>
      <w:r>
        <w:rPr>
          <w:rFonts w:ascii="Times New Roman" w:hAnsi="Times New Roman" w:cs="Times New Roman" w:eastAsia="Times New Roman" w:hint="default"/>
        </w:rPr>
        <w:t>14,255.901</w:t>
      </w:r>
      <w:r>
        <w:rPr>
          <w:rFonts w:ascii="Times New Roman" w:hAnsi="Times New Roman" w:cs="Times New Roman" w:eastAsia="Times New Roman" w:hint="default"/>
          <w:spacing w:val="-4"/>
        </w:rPr>
        <w:t> </w:t>
      </w:r>
      <w:r>
        <w:rPr/>
        <w:t>万股。</w:t>
      </w:r>
    </w:p>
    <w:p>
      <w:pPr>
        <w:pStyle w:val="BodyText"/>
        <w:spacing w:line="280" w:lineRule="auto" w:before="129"/>
        <w:ind w:right="217" w:firstLine="420"/>
        <w:jc w:val="both"/>
      </w:pPr>
      <w:r>
        <w:rPr>
          <w:rFonts w:ascii="Times New Roman" w:hAnsi="Times New Roman" w:cs="Times New Roman" w:eastAsia="Times New Roman" w:hint="default"/>
        </w:rPr>
        <w:t>2</w:t>
      </w:r>
      <w:r>
        <w:rPr/>
        <w:t>、经深圳证券交易所《关于广州广电运通金融电子股份有限公司人民币普通股股票上 </w:t>
      </w:r>
      <w:r>
        <w:rPr>
          <w:spacing w:val="-10"/>
        </w:rPr>
        <w:t>市的通知》（深证上［</w:t>
      </w:r>
      <w:r>
        <w:rPr>
          <w:rFonts w:ascii="Times New Roman" w:hAnsi="Times New Roman" w:cs="Times New Roman" w:eastAsia="Times New Roman" w:hint="default"/>
          <w:spacing w:val="-10"/>
        </w:rPr>
        <w:t>2007</w:t>
      </w:r>
      <w:r>
        <w:rPr>
          <w:spacing w:val="-10"/>
        </w:rPr>
        <w:t>］</w:t>
      </w:r>
      <w:r>
        <w:rPr>
          <w:rFonts w:ascii="Times New Roman" w:hAnsi="Times New Roman" w:cs="Times New Roman" w:eastAsia="Times New Roman" w:hint="default"/>
          <w:spacing w:val="-10"/>
        </w:rPr>
        <w:t>124</w:t>
      </w:r>
      <w:r>
        <w:rPr>
          <w:rFonts w:ascii="Times New Roman" w:hAnsi="Times New Roman" w:cs="Times New Roman" w:eastAsia="Times New Roman" w:hint="default"/>
          <w:spacing w:val="9"/>
        </w:rPr>
        <w:t> </w:t>
      </w:r>
      <w:r>
        <w:rPr>
          <w:spacing w:val="-4"/>
        </w:rPr>
        <w:t>号）批准，公司公开发行的</w:t>
      </w:r>
      <w:r>
        <w:rPr>
          <w:spacing w:val="-44"/>
        </w:rPr>
        <w:t> </w:t>
      </w:r>
      <w:r>
        <w:rPr>
          <w:rFonts w:ascii="Times New Roman" w:hAnsi="Times New Roman" w:cs="Times New Roman" w:eastAsia="Times New Roman" w:hint="default"/>
          <w:spacing w:val="-1"/>
        </w:rPr>
        <w:t>3,600</w:t>
      </w:r>
      <w:r>
        <w:rPr>
          <w:rFonts w:ascii="Times New Roman" w:hAnsi="Times New Roman" w:cs="Times New Roman" w:eastAsia="Times New Roman" w:hint="default"/>
          <w:spacing w:val="9"/>
        </w:rPr>
        <w:t> </w:t>
      </w:r>
      <w:r>
        <w:rPr>
          <w:spacing w:val="-1"/>
        </w:rPr>
        <w:t>万股人民币普通股股票在</w:t>
      </w:r>
      <w:r>
        <w:rPr>
          <w:spacing w:val="-102"/>
        </w:rPr>
        <w:t> </w:t>
      </w:r>
      <w:r>
        <w:rPr>
          <w:spacing w:val="-102"/>
        </w:rPr>
      </w:r>
      <w:r>
        <w:rPr/>
        <w:t>深圳证券交易所上市。其中，网上定价发行的</w:t>
      </w:r>
      <w:r>
        <w:rPr>
          <w:spacing w:val="-60"/>
        </w:rPr>
        <w:t> </w:t>
      </w:r>
      <w:r>
        <w:rPr>
          <w:rFonts w:ascii="Times New Roman" w:hAnsi="Times New Roman" w:cs="Times New Roman" w:eastAsia="Times New Roman" w:hint="default"/>
        </w:rPr>
        <w:t>2,880</w:t>
      </w:r>
      <w:r>
        <w:rPr>
          <w:rFonts w:ascii="Times New Roman" w:hAnsi="Times New Roman" w:cs="Times New Roman" w:eastAsia="Times New Roman" w:hint="default"/>
          <w:spacing w:val="-7"/>
        </w:rPr>
        <w:t> </w:t>
      </w:r>
      <w:r>
        <w:rPr/>
        <w:t>万股于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日挂牌交易，网</w:t>
      </w:r>
    </w:p>
    <w:p>
      <w:pPr>
        <w:pStyle w:val="BodyText"/>
        <w:spacing w:line="240" w:lineRule="auto" w:before="10"/>
        <w:ind w:right="0"/>
        <w:jc w:val="left"/>
      </w:pPr>
      <w:r>
        <w:rPr/>
        <w:t>下向询价对象询价配售的</w:t>
      </w:r>
      <w:r>
        <w:rPr>
          <w:spacing w:val="-54"/>
        </w:rPr>
        <w:t> </w:t>
      </w:r>
      <w:r>
        <w:rPr>
          <w:rFonts w:ascii="Times New Roman" w:hAnsi="Times New Roman" w:cs="Times New Roman" w:eastAsia="Times New Roman" w:hint="default"/>
        </w:rPr>
        <w:t>720</w:t>
      </w:r>
      <w:r>
        <w:rPr>
          <w:rFonts w:ascii="Times New Roman" w:hAnsi="Times New Roman" w:cs="Times New Roman" w:eastAsia="Times New Roman" w:hint="default"/>
          <w:spacing w:val="-1"/>
        </w:rPr>
        <w:t> </w:t>
      </w:r>
      <w:r>
        <w:rPr/>
        <w:t>万股锁定三个月后于</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日上市流通。</w:t>
      </w:r>
    </w:p>
    <w:p>
      <w:pPr>
        <w:pStyle w:val="BodyText"/>
        <w:spacing w:line="240" w:lineRule="auto" w:before="169"/>
        <w:ind w:left="56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年度股东大会审议通过了《关于公司</w:t>
      </w:r>
      <w:r>
        <w:rPr>
          <w:spacing w:val="-4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w:t>
      </w:r>
    </w:p>
    <w:p>
      <w:pPr>
        <w:pStyle w:val="BodyText"/>
        <w:spacing w:line="240" w:lineRule="auto" w:before="50"/>
        <w:ind w:right="0"/>
        <w:jc w:val="left"/>
      </w:pPr>
      <w:r>
        <w:rPr/>
        <w:t>分配及资本公积金转增股本的议案</w:t>
      </w:r>
      <w:r>
        <w:rPr>
          <w:spacing w:val="-106"/>
        </w:rPr>
        <w:t>》</w:t>
      </w:r>
      <w:r>
        <w:rPr/>
        <w:t>：以</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2"/>
        </w:rPr>
        <w:t>公</w:t>
      </w:r>
      <w:r>
        <w:rPr/>
        <w:t>司总股本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42</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2"/>
        </w:rPr>
        <w:t>为</w:t>
      </w:r>
      <w:r>
        <w:rPr/>
        <w:t>基</w:t>
      </w:r>
    </w:p>
    <w:p>
      <w:pPr>
        <w:pStyle w:val="BodyText"/>
        <w:spacing w:line="240" w:lineRule="auto" w:before="50"/>
        <w:ind w:left="139" w:right="0"/>
        <w:jc w:val="left"/>
        <w:rPr>
          <w:rFonts w:ascii="Times New Roman" w:hAnsi="Times New Roman" w:cs="Times New Roman" w:eastAsia="Times New Roman" w:hint="default"/>
        </w:rPr>
      </w:pPr>
      <w:r>
        <w:rPr>
          <w:spacing w:val="-6"/>
        </w:rPr>
        <w:t>数，以资本公积转增股本，向全体股东每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5"/>
        </w:rPr>
        <w:t>股，转增后公司总股本由</w:t>
      </w:r>
      <w:r>
        <w:rPr>
          <w:spacing w:val="-52"/>
        </w:rPr>
        <w:t> </w:t>
      </w:r>
      <w:r>
        <w:rPr>
          <w:rFonts w:ascii="Times New Roman" w:hAnsi="Times New Roman" w:cs="Times New Roman" w:eastAsia="Times New Roman" w:hint="default"/>
        </w:rPr>
        <w:t>142,559,010</w:t>
      </w:r>
    </w:p>
    <w:p>
      <w:pPr>
        <w:pStyle w:val="BodyText"/>
        <w:spacing w:line="240" w:lineRule="auto" w:before="49"/>
        <w:ind w:left="139" w:right="0"/>
        <w:jc w:val="left"/>
      </w:pPr>
      <w:r>
        <w:rPr/>
        <w:t>股增加为</w:t>
      </w:r>
      <w:r>
        <w:rPr>
          <w:spacing w:val="-56"/>
        </w:rPr>
        <w:t> </w:t>
      </w:r>
      <w:r>
        <w:rPr>
          <w:rFonts w:ascii="Times New Roman" w:hAnsi="Times New Roman" w:cs="Times New Roman" w:eastAsia="Times New Roman" w:hint="default"/>
        </w:rPr>
        <w:t>285,118,020</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日，该方案实施完毕。</w:t>
      </w:r>
    </w:p>
    <w:p>
      <w:pPr>
        <w:pStyle w:val="BodyText"/>
        <w:spacing w:line="240" w:lineRule="auto" w:before="170"/>
        <w:ind w:left="559"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年度股东大会审议通过了《关于公司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年度利润</w:t>
      </w:r>
    </w:p>
    <w:p>
      <w:pPr>
        <w:pStyle w:val="BodyText"/>
        <w:spacing w:line="240" w:lineRule="auto" w:before="50"/>
        <w:ind w:left="139" w:right="0"/>
        <w:jc w:val="left"/>
      </w:pPr>
      <w:r>
        <w:rPr/>
        <w:t>分配及资本公积转增股本的议案</w:t>
      </w:r>
      <w:r>
        <w:rPr>
          <w:spacing w:val="-105"/>
        </w:rPr>
        <w:t>》</w:t>
      </w:r>
      <w:r>
        <w:rPr>
          <w:spacing w:val="-87"/>
        </w:rPr>
        <w:t>：</w:t>
      </w:r>
      <w:r>
        <w:rPr/>
        <w:t>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31 </w:t>
      </w:r>
      <w:r>
        <w:rPr/>
        <w:t>日</w:t>
      </w:r>
      <w:r>
        <w:rPr>
          <w:spacing w:val="-2"/>
        </w:rPr>
        <w:t>公</w:t>
      </w:r>
      <w:r>
        <w:rPr/>
        <w:t>司总股本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85,</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8,0</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股</w:t>
      </w:r>
      <w:r>
        <w:rPr>
          <w:spacing w:val="-2"/>
        </w:rPr>
        <w:t>为</w:t>
      </w:r>
      <w:r>
        <w:rPr/>
        <w:t>基数，</w:t>
      </w:r>
    </w:p>
    <w:p>
      <w:pPr>
        <w:pStyle w:val="BodyText"/>
        <w:spacing w:line="240" w:lineRule="auto" w:before="49"/>
        <w:ind w:left="139" w:right="0"/>
        <w:jc w:val="left"/>
      </w:pPr>
      <w:r>
        <w:rPr>
          <w:spacing w:val="-3"/>
        </w:rPr>
        <w:t>以资本公积转增股本，向全体股东每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5"/>
        </w:rPr>
        <w:t>股，转增后公司总股本由</w:t>
      </w:r>
      <w:r>
        <w:rPr>
          <w:spacing w:val="-54"/>
        </w:rPr>
        <w:t> </w:t>
      </w:r>
      <w:r>
        <w:rPr>
          <w:rFonts w:ascii="Times New Roman" w:hAnsi="Times New Roman" w:cs="Times New Roman" w:eastAsia="Times New Roman" w:hint="default"/>
        </w:rPr>
        <w:t>285,118,020 </w:t>
      </w:r>
      <w:r>
        <w:rPr/>
        <w:t>股增</w:t>
      </w:r>
    </w:p>
    <w:p>
      <w:pPr>
        <w:pStyle w:val="BodyText"/>
        <w:spacing w:line="280" w:lineRule="auto" w:before="50"/>
        <w:ind w:left="139" w:right="0"/>
        <w:jc w:val="left"/>
      </w:pPr>
      <w:r>
        <w:rPr/>
        <w:t>加为</w:t>
      </w:r>
      <w:r>
        <w:rPr>
          <w:spacing w:val="-54"/>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1"/>
        </w:rPr>
        <w:t> </w:t>
      </w:r>
      <w:r>
        <w:rPr>
          <w:spacing w:val="-4"/>
        </w:rPr>
        <w:t>股。</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spacing w:val="-6"/>
        </w:rPr>
        <w:t>日，公司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年度利润分配及资本公积转增股本方案 实施完毕。</w:t>
      </w:r>
    </w:p>
    <w:p>
      <w:pPr>
        <w:pStyle w:val="BodyText"/>
        <w:spacing w:line="240" w:lineRule="auto" w:before="149"/>
        <w:ind w:left="559" w:right="0"/>
        <w:jc w:val="left"/>
      </w:pPr>
      <w:r>
        <w:rPr>
          <w:rFonts w:ascii="Times New Roman" w:hAnsi="Times New Roman" w:cs="Times New Roman" w:eastAsia="Times New Roman" w:hint="default"/>
        </w:rPr>
        <w:t>5</w:t>
      </w:r>
      <w:r>
        <w:rPr/>
        <w:t>、公司无内部职工股。</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400" w:footer="982" w:top="1100" w:bottom="1180" w:left="1660" w:right="1580"/>
        </w:sectPr>
      </w:pPr>
    </w:p>
    <w:p>
      <w:pPr>
        <w:pStyle w:val="Heading3"/>
        <w:spacing w:line="240" w:lineRule="auto" w:before="180"/>
        <w:ind w:right="-20"/>
        <w:jc w:val="left"/>
        <w:rPr>
          <w:b w:val="0"/>
          <w:bCs w:val="0"/>
        </w:rPr>
      </w:pPr>
      <w:r>
        <w:rPr/>
        <w:t>三、股东和实际控制人情况</w:t>
      </w:r>
      <w:r>
        <w:rPr>
          <w:b w:val="0"/>
          <w:bCs w:val="0"/>
        </w:rPr>
      </w:r>
    </w:p>
    <w:p>
      <w:pPr>
        <w:pStyle w:val="BodyText"/>
        <w:spacing w:line="240" w:lineRule="auto" w:before="120"/>
        <w:ind w:right="-20"/>
        <w:jc w:val="left"/>
      </w:pPr>
      <w:r>
        <w:rPr/>
        <w:t>（一）股东数量和持股情况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ind w:right="0"/>
        <w:jc w:val="left"/>
      </w:pPr>
      <w:r>
        <w:rPr/>
        <w:t>单位：股</w:t>
      </w:r>
    </w:p>
    <w:p>
      <w:pPr>
        <w:spacing w:after="0" w:line="240" w:lineRule="auto"/>
        <w:jc w:val="left"/>
        <w:sectPr>
          <w:type w:val="continuous"/>
          <w:pgSz w:w="11910" w:h="16840"/>
          <w:pgMar w:top="1100" w:bottom="280" w:left="1660" w:right="1580"/>
          <w:cols w:num="2" w:equalWidth="0">
            <w:col w:w="3033" w:space="4434"/>
            <w:col w:w="1203"/>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609"/>
        <w:gridCol w:w="922"/>
        <w:gridCol w:w="1358"/>
        <w:gridCol w:w="277"/>
        <w:gridCol w:w="547"/>
        <w:gridCol w:w="972"/>
        <w:gridCol w:w="845"/>
        <w:gridCol w:w="378"/>
        <w:gridCol w:w="1453"/>
      </w:tblGrid>
      <w:tr>
        <w:trPr>
          <w:trHeight w:val="244" w:hRule="exact"/>
        </w:trPr>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6752" w:type="dxa"/>
            <w:gridSpan w:val="8"/>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8,405</w:t>
            </w:r>
          </w:p>
        </w:tc>
      </w:tr>
      <w:tr>
        <w:trPr>
          <w:trHeight w:val="302" w:hRule="exact"/>
        </w:trPr>
        <w:tc>
          <w:tcPr>
            <w:tcW w:w="836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360" w:hRule="exact"/>
        </w:trPr>
        <w:tc>
          <w:tcPr>
            <w:tcW w:w="25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3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2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155"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5" w:lineRule="exact"/>
              <w:ind w:left="155"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4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left="1"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301" w:hRule="exact"/>
        </w:trPr>
        <w:tc>
          <w:tcPr>
            <w:tcW w:w="2531" w:type="dxa"/>
            <w:gridSpan w:val="2"/>
            <w:tcBorders>
              <w:top w:val="single" w:sz="46" w:space="0" w:color="DCDCDC"/>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358" w:type="dxa"/>
            <w:tcBorders>
              <w:top w:val="single" w:sz="46" w:space="0" w:color="DCDCDC"/>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24" w:type="dxa"/>
            <w:gridSpan w:val="2"/>
            <w:tcBorders>
              <w:top w:val="single" w:sz="46" w:space="0" w:color="DCDCDC"/>
              <w:left w:val="single" w:sz="4" w:space="0" w:color="000000"/>
              <w:bottom w:val="single" w:sz="4" w:space="0" w:color="000000"/>
              <w:right w:val="single" w:sz="4" w:space="0" w:color="000000"/>
            </w:tcBorders>
          </w:tcPr>
          <w:p>
            <w:pPr>
              <w:pStyle w:val="TableParagraph"/>
              <w:spacing w:line="240" w:lineRule="auto" w:before="13"/>
              <w:ind w:left="236" w:right="0"/>
              <w:jc w:val="left"/>
              <w:rPr>
                <w:rFonts w:ascii="Times New Roman" w:hAnsi="Times New Roman" w:cs="Times New Roman" w:eastAsia="Times New Roman" w:hint="default"/>
                <w:sz w:val="18"/>
                <w:szCs w:val="18"/>
              </w:rPr>
            </w:pPr>
            <w:r>
              <w:rPr>
                <w:rFonts w:ascii="Times New Roman"/>
                <w:sz w:val="18"/>
              </w:rPr>
              <w:t>50.23%</w:t>
            </w:r>
          </w:p>
        </w:tc>
        <w:tc>
          <w:tcPr>
            <w:tcW w:w="972" w:type="dxa"/>
            <w:tcBorders>
              <w:top w:val="single" w:sz="46" w:space="0" w:color="DCDCDC"/>
              <w:left w:val="single" w:sz="4" w:space="0" w:color="000000"/>
              <w:bottom w:val="single" w:sz="4" w:space="0" w:color="000000"/>
              <w:right w:val="single" w:sz="9" w:space="0" w:color="DCDCDC"/>
            </w:tcBorders>
          </w:tcPr>
          <w:p>
            <w:pPr>
              <w:pStyle w:val="TableParagraph"/>
              <w:spacing w:line="240" w:lineRule="auto" w:before="13"/>
              <w:ind w:right="15"/>
              <w:jc w:val="right"/>
              <w:rPr>
                <w:rFonts w:ascii="Times New Roman" w:hAnsi="Times New Roman" w:cs="Times New Roman" w:eastAsia="Times New Roman" w:hint="default"/>
                <w:sz w:val="18"/>
                <w:szCs w:val="18"/>
              </w:rPr>
            </w:pPr>
            <w:r>
              <w:rPr>
                <w:rFonts w:ascii="Times New Roman"/>
                <w:sz w:val="18"/>
              </w:rPr>
              <w:t>171,841,680</w:t>
            </w:r>
          </w:p>
        </w:tc>
        <w:tc>
          <w:tcPr>
            <w:tcW w:w="1223" w:type="dxa"/>
            <w:gridSpan w:val="2"/>
            <w:tcBorders>
              <w:top w:val="single" w:sz="4" w:space="0" w:color="000000"/>
              <w:left w:val="single" w:sz="9" w:space="0" w:color="DCDCDC"/>
              <w:bottom w:val="single" w:sz="4" w:space="0" w:color="000000"/>
              <w:right w:val="single" w:sz="23" w:space="0" w:color="DCDCDC"/>
            </w:tcBorders>
          </w:tcPr>
          <w:p>
            <w:pPr>
              <w:pStyle w:val="TableParagraph"/>
              <w:spacing w:line="240" w:lineRule="auto" w:before="66"/>
              <w:ind w:left="15"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23" w:space="0" w:color="DCDCDC"/>
              <w:bottom w:val="single" w:sz="4" w:space="0" w:color="000000"/>
              <w:right w:val="single" w:sz="9" w:space="0" w:color="DCDCDC"/>
            </w:tcBorders>
          </w:tcPr>
          <w:p>
            <w:pPr>
              <w:pStyle w:val="TableParagraph"/>
              <w:spacing w:line="240" w:lineRule="auto" w:before="27"/>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7,200,000</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6"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6" w:right="0"/>
              <w:jc w:val="left"/>
              <w:rPr>
                <w:rFonts w:ascii="Times New Roman" w:hAnsi="Times New Roman" w:cs="Times New Roman" w:eastAsia="Times New Roman" w:hint="default"/>
                <w:sz w:val="18"/>
                <w:szCs w:val="18"/>
              </w:rPr>
            </w:pPr>
            <w:r>
              <w:rPr>
                <w:rFonts w:ascii="Times New Roman"/>
                <w:sz w:val="18"/>
              </w:rPr>
              <w:t>3.90%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13,330,527</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中国建设银行－华安宏利股票</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3.04%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10,390,000</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2.60%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8,886,200</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5" w:right="0"/>
              <w:jc w:val="left"/>
              <w:rPr>
                <w:rFonts w:ascii="Times New Roman" w:hAnsi="Times New Roman" w:cs="Times New Roman" w:eastAsia="Times New Roman" w:hint="default"/>
                <w:sz w:val="18"/>
                <w:szCs w:val="18"/>
              </w:rPr>
            </w:pPr>
            <w:r>
              <w:rPr>
                <w:rFonts w:ascii="Times New Roman"/>
                <w:sz w:val="18"/>
              </w:rPr>
              <w:t>6,664,650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1.53%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5,240,228</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交通银行－华安创新证券投资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1.51%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5,159,393</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中国工商银行－鹏华优质治理</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股票型证券投资基金</w:t>
            </w:r>
            <w:r>
              <w:rPr>
                <w:rFonts w:ascii="Times New Roman" w:hAnsi="Times New Roman" w:cs="Times New Roman" w:eastAsia="Times New Roman" w:hint="default"/>
                <w:sz w:val="18"/>
                <w:szCs w:val="18"/>
              </w:rPr>
              <w:t>(LOF)</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1.38%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4,712,266</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Times New Roman" w:hAnsi="Times New Roman" w:cs="Times New Roman" w:eastAsia="Times New Roman" w:hint="default"/>
                <w:sz w:val="18"/>
                <w:szCs w:val="18"/>
              </w:rPr>
            </w:pPr>
            <w:r>
              <w:rPr>
                <w:rFonts w:ascii="Times New Roman"/>
                <w:sz w:val="18"/>
              </w:rPr>
              <w:t>1.38%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4,704,523</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中国工商银行－嘉实策略增长</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混合型证券投资基金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1.24%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4,241,156</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中国银行－嘉实稳健开放式证</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券投资基金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6" w:right="0"/>
              <w:jc w:val="left"/>
              <w:rPr>
                <w:rFonts w:ascii="Times New Roman" w:hAnsi="Times New Roman" w:cs="Times New Roman" w:eastAsia="Times New Roman" w:hint="default"/>
                <w:sz w:val="18"/>
                <w:szCs w:val="18"/>
              </w:rPr>
            </w:pPr>
            <w:r>
              <w:rPr>
                <w:rFonts w:ascii="Times New Roman"/>
                <w:sz w:val="18"/>
              </w:rPr>
              <w:t>1.12%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3,819,544</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836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4" w:hRule="exact"/>
        </w:trPr>
        <w:tc>
          <w:tcPr>
            <w:tcW w:w="416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6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3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4" w:hRule="exact"/>
        </w:trPr>
        <w:tc>
          <w:tcPr>
            <w:tcW w:w="41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27" w:right="0"/>
              <w:jc w:val="left"/>
              <w:rPr>
                <w:rFonts w:ascii="Times New Roman" w:hAnsi="Times New Roman" w:cs="Times New Roman" w:eastAsia="Times New Roman" w:hint="default"/>
                <w:sz w:val="18"/>
                <w:szCs w:val="18"/>
              </w:rPr>
            </w:pPr>
            <w:r>
              <w:rPr>
                <w:rFonts w:ascii="Times New Roman"/>
                <w:sz w:val="18"/>
              </w:rPr>
              <w:t>171,841,680</w:t>
            </w:r>
          </w:p>
        </w:tc>
        <w:tc>
          <w:tcPr>
            <w:tcW w:w="1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5" w:lineRule="exact"/>
        <w:jc w:val="left"/>
        <w:rPr>
          <w:rFonts w:ascii="宋体" w:hAnsi="宋体" w:cs="宋体" w:eastAsia="宋体" w:hint="default"/>
          <w:sz w:val="18"/>
          <w:szCs w:val="18"/>
        </w:rPr>
        <w:sectPr>
          <w:type w:val="continuous"/>
          <w:pgSz w:w="11910" w:h="16840"/>
          <w:pgMar w:top="1100" w:bottom="2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07" w:firstLine="0"/>
        <w:jc w:val="right"/>
        <w:rPr>
          <w:rFonts w:ascii="宋体" w:hAnsi="宋体" w:cs="宋体" w:eastAsia="宋体" w:hint="default"/>
          <w:sz w:val="18"/>
          <w:szCs w:val="18"/>
        </w:rPr>
      </w:pPr>
      <w:r>
        <w:rPr/>
        <w:pict>
          <v:shape style="position:absolute;margin-left:88.379997pt;margin-top:-116.648003pt;width:418.8pt;height:144.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1"/>
                    <w:gridCol w:w="2545"/>
                    <w:gridCol w:w="2364"/>
                    <w:gridCol w:w="1831"/>
                  </w:tblGrid>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13,330,527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中国建设银行－华安宏利股票型证券投资基金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10,390,000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博时价值增长证券投资基金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5,240,228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交通银行－华安创新证券投资基金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5,159,393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51"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中国工商银行－鹏华优质治理股票型证券投资基金</w:t>
                        </w:r>
                        <w:r>
                          <w:rPr>
                            <w:rFonts w:ascii="宋体" w:hAnsi="宋体" w:cs="宋体" w:eastAsia="宋体" w:hint="default"/>
                            <w:sz w:val="18"/>
                            <w:szCs w:val="18"/>
                          </w:rPr>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(LOF)</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4,712,266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4,704,523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4,241,156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2"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中国银行－嘉实稳健开放式证券投资基金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3,819,544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4" w:hRule="exact"/>
                    </w:trPr>
                    <w:tc>
                      <w:tcPr>
                        <w:tcW w:w="4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交通银行－安顺证券投资基金</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3,666,666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78" w:hRule="exact"/>
                    </w:trPr>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85" w:right="0"/>
                          <w:jc w:val="left"/>
                          <w:rPr>
                            <w:rFonts w:ascii="宋体" w:hAnsi="宋体" w:cs="宋体" w:eastAsia="宋体" w:hint="default"/>
                            <w:sz w:val="18"/>
                            <w:szCs w:val="18"/>
                          </w:rPr>
                        </w:pPr>
                        <w:r>
                          <w:rPr>
                            <w:rFonts w:ascii="宋体" w:hAnsi="宋体" w:cs="宋体" w:eastAsia="宋体" w:hint="default"/>
                            <w:sz w:val="18"/>
                            <w:szCs w:val="18"/>
                          </w:rPr>
                          <w:t>上述股东关联关系</w:t>
                        </w:r>
                      </w:p>
                      <w:p>
                        <w:pPr>
                          <w:pStyle w:val="TableParagraph"/>
                          <w:spacing w:line="235" w:lineRule="exact"/>
                          <w:ind w:left="85" w:right="0"/>
                          <w:jc w:val="left"/>
                          <w:rPr>
                            <w:rFonts w:ascii="宋体" w:hAnsi="宋体" w:cs="宋体" w:eastAsia="宋体" w:hint="default"/>
                            <w:sz w:val="18"/>
                            <w:szCs w:val="18"/>
                          </w:rPr>
                        </w:pPr>
                        <w:r>
                          <w:rPr>
                            <w:rFonts w:ascii="宋体" w:hAnsi="宋体" w:cs="宋体" w:eastAsia="宋体" w:hint="default"/>
                            <w:sz w:val="18"/>
                            <w:szCs w:val="18"/>
                          </w:rPr>
                          <w:t>或一致行动的说明</w:t>
                        </w:r>
                      </w:p>
                    </w:tc>
                    <w:tc>
                      <w:tcPr>
                        <w:tcW w:w="67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 w:right="0" w:hanging="12"/>
                          <w:jc w:val="left"/>
                          <w:rPr>
                            <w:rFonts w:ascii="宋体" w:hAnsi="宋体" w:cs="宋体" w:eastAsia="宋体" w:hint="default"/>
                            <w:sz w:val="18"/>
                            <w:szCs w:val="18"/>
                          </w:rPr>
                        </w:pPr>
                        <w:r>
                          <w:rPr>
                            <w:rFonts w:ascii="宋体" w:hAnsi="宋体" w:cs="宋体" w:eastAsia="宋体" w:hint="default"/>
                            <w:sz w:val="18"/>
                            <w:szCs w:val="18"/>
                          </w:rPr>
                          <w:t>公司前十名股东中：公司第四大股东赵友永先生为广州无线电集团有限公司的董事长</w:t>
                        </w:r>
                      </w:p>
                      <w:p>
                        <w:pPr>
                          <w:pStyle w:val="TableParagraph"/>
                          <w:spacing w:line="235" w:lineRule="exact"/>
                          <w:ind w:left="34" w:right="0"/>
                          <w:jc w:val="left"/>
                          <w:rPr>
                            <w:rFonts w:ascii="宋体" w:hAnsi="宋体" w:cs="宋体" w:eastAsia="宋体" w:hint="default"/>
                            <w:sz w:val="18"/>
                            <w:szCs w:val="18"/>
                          </w:rPr>
                        </w:pPr>
                        <w:r>
                          <w:rPr>
                            <w:rFonts w:ascii="宋体" w:hAnsi="宋体" w:cs="宋体" w:eastAsia="宋体" w:hint="default"/>
                            <w:sz w:val="18"/>
                            <w:szCs w:val="18"/>
                          </w:rPr>
                          <w:t>存在关联关系；未知其他股东之间是否存在关联关系，也未知是否属于一致行动人。</w:t>
                        </w:r>
                      </w:p>
                    </w:tc>
                  </w:tr>
                </w:tbl>
                <w:p>
                  <w:pP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15"/>
          <w:szCs w:val="15"/>
        </w:rPr>
      </w:pPr>
    </w:p>
    <w:p>
      <w:pPr>
        <w:spacing w:line="237" w:lineRule="auto" w:before="46"/>
        <w:ind w:left="140" w:right="194" w:firstLine="360"/>
        <w:jc w:val="both"/>
        <w:rPr>
          <w:rFonts w:ascii="宋体" w:hAnsi="宋体" w:cs="宋体" w:eastAsia="宋体" w:hint="default"/>
          <w:sz w:val="18"/>
          <w:szCs w:val="18"/>
        </w:rPr>
      </w:pPr>
      <w:r>
        <w:rPr>
          <w:rFonts w:ascii="宋体" w:hAnsi="宋体" w:cs="宋体" w:eastAsia="宋体" w:hint="default"/>
          <w:sz w:val="18"/>
          <w:szCs w:val="18"/>
        </w:rPr>
        <w:t>注：广州无线电集团有限公司作为发起人股东其部分股份被冻结系由中国证券登记结算有限公司深圳</w:t>
      </w:r>
      <w:r>
        <w:rPr>
          <w:rFonts w:ascii="宋体" w:hAnsi="宋体" w:cs="宋体" w:eastAsia="宋体" w:hint="default"/>
          <w:spacing w:val="1"/>
          <w:sz w:val="18"/>
          <w:szCs w:val="18"/>
        </w:rPr>
        <w:t> </w:t>
      </w:r>
      <w:r>
        <w:rPr>
          <w:rFonts w:ascii="宋体" w:hAnsi="宋体" w:cs="宋体" w:eastAsia="宋体" w:hint="default"/>
          <w:sz w:val="18"/>
          <w:szCs w:val="18"/>
        </w:rPr>
        <w:t>分公司按照《境内证券市场转持部分国有股充实全国社会保障基金实施办法》相关规定予以冻结，等待划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转全国社保基金。</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right="84"/>
        <w:jc w:val="left"/>
      </w:pPr>
      <w:r>
        <w:rPr/>
        <w:t>（二）控股股东及实际控制人情况介绍</w:t>
      </w:r>
    </w:p>
    <w:p>
      <w:pPr>
        <w:pStyle w:val="BodyText"/>
        <w:spacing w:line="381" w:lineRule="auto" w:before="117"/>
        <w:ind w:left="560" w:right="84" w:hanging="1"/>
        <w:jc w:val="left"/>
      </w:pPr>
      <w:r>
        <w:rPr>
          <w:rFonts w:ascii="Times New Roman" w:hAnsi="Times New Roman" w:cs="Times New Roman" w:eastAsia="Times New Roman" w:hint="default"/>
        </w:rPr>
        <w:t>1</w:t>
      </w:r>
      <w:r>
        <w:rPr/>
        <w:t>、公司控股股东情况 </w:t>
      </w:r>
      <w:r>
        <w:rPr>
          <w:spacing w:val="-3"/>
        </w:rPr>
        <w:t>报告期内，公司控股股东未发生变化，为广州无线电集团有限公司（以下简称“广电集</w:t>
      </w:r>
    </w:p>
    <w:p>
      <w:pPr>
        <w:pStyle w:val="BodyText"/>
        <w:spacing w:line="216" w:lineRule="exact"/>
        <w:ind w:right="84" w:hanging="1"/>
        <w:jc w:val="left"/>
      </w:pPr>
      <w:r>
        <w:rPr/>
        <w:t>团</w:t>
      </w:r>
      <w:r>
        <w:rPr>
          <w:spacing w:val="-105"/>
        </w:rPr>
        <w:t>”）</w:t>
      </w:r>
      <w:r>
        <w:rPr>
          <w:spacing w:val="-47"/>
        </w:rPr>
        <w:t>，</w:t>
      </w:r>
      <w:r>
        <w:rPr/>
        <w:t>其所</w:t>
      </w:r>
      <w:r>
        <w:rPr>
          <w:spacing w:val="-2"/>
        </w:rPr>
        <w:t>持</w:t>
      </w:r>
      <w:r>
        <w:rPr/>
        <w:t>有的公司股份除</w:t>
      </w:r>
      <w:r>
        <w:rPr>
          <w:spacing w:val="-47"/>
        </w:rPr>
        <w:t>按</w:t>
      </w:r>
      <w:r>
        <w:rPr/>
        <w:t>《境内证券市场转持部分国有股充实全国社会保障基金实施</w:t>
      </w:r>
    </w:p>
    <w:p>
      <w:pPr>
        <w:pStyle w:val="BodyText"/>
        <w:spacing w:line="280" w:lineRule="auto" w:before="66"/>
        <w:ind w:right="187" w:hanging="1"/>
        <w:jc w:val="left"/>
      </w:pPr>
      <w:r>
        <w:rPr>
          <w:spacing w:val="-3"/>
        </w:rPr>
        <w:t>办法》相关规定予以冻结，等待划转全国社保基金的</w:t>
      </w:r>
      <w:r>
        <w:rPr>
          <w:spacing w:val="-39"/>
        </w:rPr>
        <w:t> </w:t>
      </w:r>
      <w:r>
        <w:rPr>
          <w:rFonts w:ascii="Times New Roman" w:hAnsi="Times New Roman" w:cs="Times New Roman" w:eastAsia="Times New Roman" w:hint="default"/>
        </w:rPr>
        <w:t>720</w:t>
      </w:r>
      <w:r>
        <w:rPr>
          <w:rFonts w:ascii="Times New Roman" w:hAnsi="Times New Roman" w:cs="Times New Roman" w:eastAsia="Times New Roman" w:hint="default"/>
          <w:spacing w:val="13"/>
        </w:rPr>
        <w:t> </w:t>
      </w:r>
      <w:r>
        <w:rPr>
          <w:spacing w:val="-4"/>
        </w:rPr>
        <w:t>万股外，其余股份无质押、冻结或</w:t>
      </w:r>
      <w:r>
        <w:rPr>
          <w:spacing w:val="-102"/>
        </w:rPr>
        <w:t> </w:t>
      </w:r>
      <w:r>
        <w:rPr>
          <w:spacing w:val="-102"/>
        </w:rPr>
      </w:r>
      <w:r>
        <w:rPr/>
        <w:t>托管等情况。</w:t>
      </w:r>
    </w:p>
    <w:p>
      <w:pPr>
        <w:pStyle w:val="BodyText"/>
        <w:spacing w:line="295" w:lineRule="auto" w:before="149"/>
        <w:ind w:right="195" w:firstLine="419"/>
        <w:jc w:val="both"/>
      </w:pPr>
      <w:r>
        <w:rPr/>
        <w:t>广电集团前身为广州无线电厂，始建于</w:t>
      </w:r>
      <w:r>
        <w:rPr>
          <w:spacing w:val="-51"/>
        </w:rPr>
        <w:t> </w:t>
      </w:r>
      <w:r>
        <w:rPr>
          <w:rFonts w:ascii="Times New Roman" w:hAnsi="Times New Roman" w:cs="Times New Roman" w:eastAsia="Times New Roman" w:hint="default"/>
        </w:rPr>
        <w:t>1956</w:t>
      </w:r>
      <w:r>
        <w:rPr>
          <w:rFonts w:ascii="Times New Roman" w:hAnsi="Times New Roman" w:cs="Times New Roman" w:eastAsia="Times New Roman" w:hint="default"/>
          <w:spacing w:val="50"/>
        </w:rPr>
        <w:t> </w:t>
      </w:r>
      <w:r>
        <w:rPr/>
        <w:t>年，现注册资本</w:t>
      </w:r>
      <w:r>
        <w:rPr>
          <w:spacing w:val="-51"/>
        </w:rPr>
        <w:t> </w:t>
      </w:r>
      <w:r>
        <w:rPr>
          <w:rFonts w:ascii="Times New Roman" w:hAnsi="Times New Roman" w:cs="Times New Roman" w:eastAsia="Times New Roman" w:hint="default"/>
        </w:rPr>
        <w:t>5.5</w:t>
      </w:r>
      <w:r>
        <w:rPr>
          <w:rFonts w:ascii="Times New Roman" w:hAnsi="Times New Roman" w:cs="Times New Roman" w:eastAsia="Times New Roman" w:hint="default"/>
          <w:spacing w:val="2"/>
        </w:rPr>
        <w:t> </w:t>
      </w:r>
      <w:r>
        <w:rPr/>
        <w:t>亿元人民币，法定代 </w:t>
      </w:r>
      <w:r>
        <w:rPr>
          <w:spacing w:val="-3"/>
        </w:rPr>
        <w:t>表人为赵友永，经营范围包括：经营授权管理的国有资产；出口本企业的产品；进出口本企</w:t>
      </w:r>
      <w:r>
        <w:rPr>
          <w:spacing w:val="-80"/>
        </w:rPr>
        <w:t> </w:t>
      </w:r>
      <w:r>
        <w:rPr>
          <w:spacing w:val="-80"/>
        </w:rPr>
      </w:r>
      <w:r>
        <w:rPr>
          <w:spacing w:val="-3"/>
        </w:rPr>
        <w:t>业生产所需的设备及原辅材料；制造、加工通信设备、视频产品、音响设备、电工器材、无</w:t>
      </w:r>
      <w:r>
        <w:rPr>
          <w:spacing w:val="-81"/>
        </w:rPr>
        <w:t> </w:t>
      </w:r>
      <w:r>
        <w:rPr>
          <w:spacing w:val="-81"/>
        </w:rPr>
      </w:r>
      <w:r>
        <w:rPr>
          <w:spacing w:val="-3"/>
        </w:rPr>
        <w:t>线电导航设备、电子测量仪器、电子玩具、电子防盗设备、计算机及配件、金属结构件、金</w:t>
      </w:r>
      <w:r>
        <w:rPr>
          <w:spacing w:val="-81"/>
        </w:rPr>
        <w:t> </w:t>
      </w:r>
      <w:r>
        <w:rPr>
          <w:spacing w:val="-81"/>
        </w:rPr>
      </w:r>
      <w:r>
        <w:rPr>
          <w:spacing w:val="-3"/>
        </w:rPr>
        <w:t>属切削工具、模具、塑料制品；电子产品、通信产品、通信设备、机床设备、仪器仪表、机</w:t>
      </w:r>
      <w:r>
        <w:rPr>
          <w:spacing w:val="-80"/>
        </w:rPr>
        <w:t> </w:t>
      </w:r>
      <w:r>
        <w:rPr>
          <w:spacing w:val="-80"/>
        </w:rPr>
      </w:r>
      <w:r>
        <w:rPr>
          <w:spacing w:val="-3"/>
        </w:rPr>
        <w:t>电产品及其配套工程的设计、安装、维修、技术咨询及技术服务。电子产品、计算机软硬件</w:t>
      </w:r>
      <w:r>
        <w:rPr>
          <w:spacing w:val="-83"/>
        </w:rPr>
        <w:t> </w:t>
      </w:r>
      <w:r>
        <w:rPr>
          <w:spacing w:val="-83"/>
        </w:rPr>
      </w:r>
      <w:r>
        <w:rPr>
          <w:spacing w:val="-3"/>
        </w:rPr>
        <w:t>及零配件的制造、研究、开发、设计、销售及技术服务。批发和零售贸易（国家专营专控商</w:t>
      </w:r>
      <w:r>
        <w:rPr>
          <w:spacing w:val="-81"/>
        </w:rPr>
        <w:t> </w:t>
      </w:r>
      <w:r>
        <w:rPr>
          <w:spacing w:val="-81"/>
        </w:rPr>
      </w:r>
      <w:r>
        <w:rPr>
          <w:spacing w:val="-3"/>
        </w:rPr>
        <w:t>品除外）。房地产开发。房屋租赁。货物进出口、技术进出口（法律、行政法规禁止的项目</w:t>
      </w:r>
      <w:r>
        <w:rPr>
          <w:spacing w:val="-84"/>
        </w:rPr>
        <w:t> </w:t>
      </w:r>
      <w:r>
        <w:rPr>
          <w:spacing w:val="-84"/>
        </w:rPr>
      </w:r>
      <w:r>
        <w:rPr>
          <w:spacing w:val="-4"/>
        </w:rPr>
        <w:t>除外，法律、行政法规限制的项目须取得许可证后方可经营）。</w:t>
      </w:r>
    </w:p>
    <w:p>
      <w:pPr>
        <w:pStyle w:val="BodyText"/>
        <w:spacing w:line="240" w:lineRule="auto" w:before="137"/>
        <w:ind w:left="560" w:right="84"/>
        <w:jc w:val="left"/>
      </w:pPr>
      <w:r>
        <w:rPr>
          <w:spacing w:val="2"/>
        </w:rPr>
        <w:t>广州无线电厂是我国早期建立的军工电子企业之一，至今已有 </w:t>
      </w:r>
      <w:r>
        <w:rPr>
          <w:rFonts w:ascii="Times New Roman" w:hAnsi="Times New Roman" w:cs="Times New Roman" w:eastAsia="Times New Roman" w:hint="default"/>
        </w:rPr>
        <w:t>50 </w:t>
      </w:r>
      <w:r>
        <w:rPr>
          <w:rFonts w:ascii="Times New Roman" w:hAnsi="Times New Roman" w:cs="Times New Roman" w:eastAsia="Times New Roman" w:hint="default"/>
          <w:spacing w:val="28"/>
        </w:rPr>
        <w:t> </w:t>
      </w:r>
      <w:r>
        <w:rPr>
          <w:spacing w:val="2"/>
        </w:rPr>
        <w:t>多年的发展历史。</w:t>
      </w:r>
      <w:r>
        <w:rPr/>
      </w:r>
    </w:p>
    <w:p>
      <w:pPr>
        <w:pStyle w:val="BodyText"/>
        <w:spacing w:line="240" w:lineRule="auto" w:before="49"/>
        <w:ind w:right="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94  </w:t>
      </w:r>
      <w:r>
        <w:rPr/>
        <w:t>年</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96"/>
        </w:rPr>
        <w:t>，</w:t>
      </w:r>
      <w:r>
        <w:rPr/>
        <w:t>经广州市经济委员</w:t>
      </w:r>
      <w:r>
        <w:rPr>
          <w:spacing w:val="-96"/>
        </w:rPr>
        <w:t>会</w:t>
      </w:r>
      <w:r>
        <w:rPr/>
        <w:t>《关于组建广州无线电集团的批复</w:t>
      </w:r>
      <w:r>
        <w:rPr>
          <w:spacing w:val="-201"/>
        </w:rPr>
        <w:t>》</w:t>
      </w:r>
      <w:r>
        <w:rPr/>
        <w:t>（穗经企</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9</w:t>
      </w:r>
      <w:r>
        <w:rPr>
          <w:rFonts w:ascii="Times New Roman" w:hAnsi="Times New Roman" w:cs="Times New Roman" w:eastAsia="Times New Roman" w:hint="default"/>
        </w:rPr>
        <w:t>4]67 </w:t>
      </w:r>
      <w:r>
        <w:rPr>
          <w:rFonts w:ascii="Times New Roman" w:hAnsi="Times New Roman" w:cs="Times New Roman" w:eastAsia="Times New Roman" w:hint="default"/>
          <w:spacing w:val="-1"/>
        </w:rPr>
        <w:t> </w:t>
      </w:r>
      <w:r>
        <w:rPr/>
        <w:t>号</w:t>
      </w:r>
    </w:p>
    <w:p>
      <w:pPr>
        <w:pStyle w:val="BodyText"/>
        <w:spacing w:line="240" w:lineRule="auto" w:before="50"/>
        <w:ind w:right="84"/>
        <w:jc w:val="left"/>
      </w:pPr>
      <w:r>
        <w:rPr/>
        <w:t>文）批准，广州无线电厂改制组建为广电集团。广电集团是我国 </w:t>
      </w:r>
      <w:r>
        <w:rPr>
          <w:rFonts w:ascii="Times New Roman" w:hAnsi="Times New Roman" w:cs="Times New Roman" w:eastAsia="Times New Roman" w:hint="default"/>
        </w:rPr>
        <w:t>520 </w:t>
      </w:r>
      <w:r>
        <w:rPr>
          <w:rFonts w:ascii="Times New Roman" w:hAnsi="Times New Roman" w:cs="Times New Roman" w:eastAsia="Times New Roman" w:hint="default"/>
          <w:spacing w:val="5"/>
        </w:rPr>
        <w:t> </w:t>
      </w:r>
      <w:r>
        <w:rPr/>
        <w:t>家重点企业、中国电</w:t>
      </w:r>
    </w:p>
    <w:p>
      <w:pPr>
        <w:pStyle w:val="BodyText"/>
        <w:spacing w:line="285" w:lineRule="auto" w:before="50"/>
        <w:ind w:right="84"/>
        <w:jc w:val="left"/>
      </w:pPr>
      <w:r>
        <w:rPr/>
        <w:t>子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强企业、国家创新型企业和中国自主创新能力连续二年行业十强企业、广东省自主 创新标杆企业等，拥有国家级企业技术中心、博士后科研工作站，获得全国五一劳动奖状、 国家级企业技术中心成就奖、中国质量信誉</w:t>
      </w:r>
      <w:r>
        <w:rPr>
          <w:spacing w:val="-62"/>
        </w:rPr>
        <w:t> </w:t>
      </w:r>
      <w:r>
        <w:rPr>
          <w:rFonts w:ascii="Times New Roman" w:hAnsi="Times New Roman" w:cs="Times New Roman" w:eastAsia="Times New Roman" w:hint="default"/>
          <w:spacing w:val="-3"/>
        </w:rPr>
        <w:t>AAA+</w:t>
      </w:r>
      <w:r>
        <w:rPr>
          <w:spacing w:val="-3"/>
        </w:rPr>
        <w:t>等级、全国十佳诚信企业、全国企业文化</w:t>
      </w:r>
      <w:r>
        <w:rPr/>
        <w:t> 先进单位等殊荣。目前，广电集团控股及参股企业</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家，其中：高新技术企业</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spacing w:val="-3"/>
        </w:rPr>
        <w:t>家，软件</w:t>
      </w:r>
    </w:p>
    <w:p>
      <w:pPr>
        <w:pStyle w:val="BodyText"/>
        <w:spacing w:line="288" w:lineRule="auto" w:before="6"/>
        <w:ind w:right="195"/>
        <w:jc w:val="both"/>
      </w:pPr>
      <w:r>
        <w:rPr/>
        <w:t>企业</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5"/>
        </w:rPr>
        <w:t>家（包括两家国家规划布局内重点软件企业）。广电集团下属企业主营业务涉及无线</w:t>
      </w:r>
      <w:r>
        <w:rPr>
          <w:spacing w:val="-103"/>
        </w:rPr>
        <w:t> </w:t>
      </w:r>
      <w:r>
        <w:rPr>
          <w:spacing w:val="-103"/>
        </w:rPr>
      </w:r>
      <w:r>
        <w:rPr>
          <w:spacing w:val="-3"/>
        </w:rPr>
        <w:t>通信、金融电子、机械加工、房地产开发和进出口贸易等，使广电集团成为集科、工、贸于</w:t>
      </w:r>
      <w:r>
        <w:rPr>
          <w:spacing w:val="-81"/>
        </w:rPr>
        <w:t> </w:t>
      </w:r>
      <w:r>
        <w:rPr>
          <w:spacing w:val="-81"/>
        </w:rPr>
      </w:r>
      <w:r>
        <w:rPr/>
        <w:t>一体的综合性、控股型的高科技企业集团。</w:t>
      </w:r>
    </w:p>
    <w:p>
      <w:pPr>
        <w:pStyle w:val="BodyText"/>
        <w:spacing w:line="379" w:lineRule="auto" w:before="144"/>
        <w:ind w:left="560" w:right="84" w:hanging="1"/>
        <w:jc w:val="left"/>
      </w:pPr>
      <w:r>
        <w:rPr>
          <w:rFonts w:ascii="Times New Roman" w:hAnsi="Times New Roman" w:cs="Times New Roman" w:eastAsia="Times New Roman" w:hint="default"/>
        </w:rPr>
        <w:t>2</w:t>
      </w:r>
      <w:r>
        <w:rPr/>
        <w:t>、公司实际控制人情况 </w:t>
      </w:r>
      <w:r>
        <w:rPr>
          <w:spacing w:val="-3"/>
        </w:rPr>
        <w:t>公司的实际控制人为广州市国资委。广州市国资委根据广州市人民政府授权，依法履行</w:t>
      </w:r>
    </w:p>
    <w:p>
      <w:pPr>
        <w:spacing w:after="0" w:line="379" w:lineRule="auto"/>
        <w:jc w:val="left"/>
        <w:sectPr>
          <w:pgSz w:w="11910" w:h="16840"/>
          <w:pgMar w:header="400" w:footer="982" w:top="1100" w:bottom="1180" w:left="1660" w:right="1600"/>
        </w:sectPr>
      </w:pPr>
    </w:p>
    <w:p>
      <w:pPr>
        <w:spacing w:line="240" w:lineRule="auto" w:before="1"/>
        <w:rPr>
          <w:rFonts w:ascii="宋体" w:hAnsi="宋体" w:cs="宋体" w:eastAsia="宋体" w:hint="default"/>
          <w:sz w:val="19"/>
          <w:szCs w:val="19"/>
        </w:rPr>
      </w:pPr>
    </w:p>
    <w:p>
      <w:pPr>
        <w:pStyle w:val="BodyText"/>
        <w:spacing w:line="240" w:lineRule="auto" w:before="35"/>
        <w:ind w:right="128"/>
        <w:jc w:val="left"/>
      </w:pPr>
      <w:r>
        <w:rPr/>
        <w:t>出资人职责，对广州市国有资产管理工作进行指导和监督。</w:t>
      </w:r>
    </w:p>
    <w:p>
      <w:pPr>
        <w:spacing w:line="240" w:lineRule="auto" w:before="6"/>
        <w:rPr>
          <w:rFonts w:ascii="宋体" w:hAnsi="宋体" w:cs="宋体" w:eastAsia="宋体" w:hint="default"/>
          <w:sz w:val="23"/>
          <w:szCs w:val="23"/>
        </w:rPr>
      </w:pPr>
    </w:p>
    <w:p>
      <w:pPr>
        <w:pStyle w:val="BodyText"/>
        <w:spacing w:line="280" w:lineRule="auto"/>
        <w:ind w:left="560" w:right="2754" w:hanging="1"/>
        <w:jc w:val="left"/>
      </w:pPr>
      <w:r>
        <w:rPr>
          <w:rFonts w:ascii="Times New Roman" w:hAnsi="Times New Roman" w:cs="Times New Roman" w:eastAsia="Times New Roman" w:hint="default"/>
        </w:rPr>
        <w:t>3</w:t>
      </w:r>
      <w:r>
        <w:rPr/>
        <w:t>、控股股东及实际控制人变更情况 本报告期内，公司控股股东及实际控制人没有发生变更。</w:t>
      </w:r>
    </w:p>
    <w:p>
      <w:pPr>
        <w:pStyle w:val="BodyText"/>
        <w:spacing w:line="240" w:lineRule="auto" w:before="149"/>
        <w:ind w:left="560" w:right="128"/>
        <w:jc w:val="left"/>
      </w:pPr>
      <w:r>
        <w:rPr>
          <w:rFonts w:ascii="Times New Roman" w:hAnsi="Times New Roman" w:cs="Times New Roman" w:eastAsia="Times New Roman" w:hint="default"/>
        </w:rPr>
        <w:t>4</w:t>
      </w:r>
      <w:r>
        <w:rPr/>
        <w:t>、公司与实际控制人之间的产权和控制关系方框图</w:t>
      </w:r>
    </w:p>
    <w:p>
      <w:pPr>
        <w:spacing w:line="240" w:lineRule="auto" w:before="9"/>
        <w:rPr>
          <w:rFonts w:ascii="宋体" w:hAnsi="宋体" w:cs="宋体" w:eastAsia="宋体" w:hint="default"/>
          <w:sz w:val="15"/>
          <w:szCs w:val="15"/>
        </w:rPr>
      </w:pPr>
    </w:p>
    <w:p>
      <w:pPr>
        <w:spacing w:line="3946" w:lineRule="exact"/>
        <w:ind w:left="2027"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2889062" cy="250574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2889062" cy="2505741"/>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80" w:lineRule="auto"/>
        <w:ind w:left="560" w:right="1900" w:hanging="1"/>
        <w:jc w:val="left"/>
      </w:pPr>
      <w:r>
        <w:rPr>
          <w:rFonts w:ascii="Times New Roman" w:hAnsi="Times New Roman" w:cs="Times New Roman" w:eastAsia="Times New Roman" w:hint="default"/>
        </w:rPr>
        <w:t>5</w:t>
      </w:r>
      <w:r>
        <w:rPr/>
        <w:t>、其他持股在</w:t>
      </w:r>
      <w:r>
        <w:rPr>
          <w:spacing w:val="-54"/>
        </w:rPr>
        <w:t> </w:t>
      </w:r>
      <w:r>
        <w:rPr>
          <w:rFonts w:ascii="Times New Roman" w:hAnsi="Times New Roman" w:cs="Times New Roman" w:eastAsia="Times New Roman" w:hint="default"/>
        </w:rPr>
        <w:t>10%</w:t>
      </w:r>
      <w:r>
        <w:rPr/>
        <w:t>以上的法人股东情况 截止报告期末，本公司无其他持股在</w:t>
      </w:r>
      <w:r>
        <w:rPr>
          <w:spacing w:val="-56"/>
        </w:rPr>
        <w:t> </w:t>
      </w:r>
      <w:r>
        <w:rPr>
          <w:rFonts w:ascii="Times New Roman" w:hAnsi="Times New Roman" w:cs="Times New Roman" w:eastAsia="Times New Roman" w:hint="default"/>
        </w:rPr>
        <w:t>10%</w:t>
      </w:r>
      <w:r>
        <w:rPr/>
        <w:t>以上（含）的法人股东。</w:t>
      </w:r>
    </w:p>
    <w:p>
      <w:pPr>
        <w:spacing w:after="0" w:line="280"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2"/>
        <w:spacing w:line="240" w:lineRule="auto"/>
        <w:ind w:left="2352" w:right="1070"/>
        <w:jc w:val="left"/>
        <w:rPr>
          <w:b w:val="0"/>
          <w:bCs w:val="0"/>
        </w:rPr>
      </w:pPr>
      <w:bookmarkStart w:name="_TOC_250007" w:id="4"/>
      <w:r>
        <w:rPr/>
        <w:t>第四节</w:t>
      </w:r>
      <w:r>
        <w:rPr>
          <w:spacing w:val="-10"/>
        </w:rPr>
        <w:t> </w:t>
      </w:r>
      <w:r>
        <w:rPr/>
        <w:t>董事、监事、高级管理人员和员工情况</w:t>
      </w:r>
      <w:bookmarkEnd w:id="4"/>
      <w:r>
        <w:rPr>
          <w:b w:val="0"/>
          <w:bCs w:val="0"/>
        </w:rPr>
      </w:r>
    </w:p>
    <w:p>
      <w:pPr>
        <w:spacing w:line="240" w:lineRule="auto" w:before="7"/>
        <w:rPr>
          <w:rFonts w:ascii="宋体" w:hAnsi="宋体" w:cs="宋体" w:eastAsia="宋体" w:hint="default"/>
          <w:b/>
          <w:bCs/>
          <w:sz w:val="38"/>
          <w:szCs w:val="38"/>
        </w:rPr>
      </w:pPr>
    </w:p>
    <w:p>
      <w:pPr>
        <w:pStyle w:val="Heading3"/>
        <w:spacing w:line="240" w:lineRule="auto"/>
        <w:ind w:left="1080" w:right="1070"/>
        <w:jc w:val="left"/>
        <w:rPr>
          <w:b w:val="0"/>
          <w:bCs w:val="0"/>
        </w:rPr>
      </w:pPr>
      <w:r>
        <w:rPr/>
        <w:t>一、公司董事、监事、高级管理人员情况</w:t>
      </w:r>
      <w:r>
        <w:rPr>
          <w:b w:val="0"/>
          <w:bCs w:val="0"/>
        </w:rPr>
      </w:r>
    </w:p>
    <w:p>
      <w:pPr>
        <w:pStyle w:val="BodyText"/>
        <w:spacing w:line="240" w:lineRule="auto" w:before="120"/>
        <w:ind w:left="1080" w:right="1070"/>
        <w:jc w:val="left"/>
      </w:pPr>
      <w:r>
        <w:rPr/>
        <w:t>（一）董事、监事、高级管理人员的持股变动及报酬情况</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632"/>
        <w:gridCol w:w="805"/>
        <w:gridCol w:w="252"/>
        <w:gridCol w:w="288"/>
        <w:gridCol w:w="1548"/>
        <w:gridCol w:w="1548"/>
        <w:gridCol w:w="924"/>
        <w:gridCol w:w="900"/>
        <w:gridCol w:w="1325"/>
        <w:gridCol w:w="995"/>
        <w:gridCol w:w="1002"/>
      </w:tblGrid>
      <w:tr>
        <w:trPr>
          <w:trHeight w:val="943"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9" w:right="30"/>
              <w:jc w:val="left"/>
              <w:rPr>
                <w:rFonts w:ascii="宋体" w:hAnsi="宋体" w:cs="宋体" w:eastAsia="宋体" w:hint="default"/>
                <w:sz w:val="18"/>
                <w:szCs w:val="18"/>
              </w:rPr>
            </w:pPr>
            <w:r>
              <w:rPr>
                <w:rFonts w:ascii="宋体" w:hAnsi="宋体" w:cs="宋体" w:eastAsia="宋体" w:hint="default"/>
                <w:sz w:val="18"/>
                <w:szCs w:val="18"/>
              </w:rPr>
              <w:t>性 别</w:t>
            </w:r>
          </w:p>
        </w:tc>
        <w:tc>
          <w:tcPr>
            <w:tcW w:w="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8" w:right="48"/>
              <w:jc w:val="left"/>
              <w:rPr>
                <w:rFonts w:ascii="宋体" w:hAnsi="宋体" w:cs="宋体" w:eastAsia="宋体" w:hint="default"/>
                <w:sz w:val="18"/>
                <w:szCs w:val="18"/>
              </w:rPr>
            </w:pPr>
            <w:r>
              <w:rPr>
                <w:rFonts w:ascii="宋体" w:hAnsi="宋体" w:cs="宋体" w:eastAsia="宋体" w:hint="default"/>
                <w:sz w:val="18"/>
                <w:szCs w:val="18"/>
              </w:rPr>
              <w:t>年 龄</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95" w:right="96"/>
              <w:jc w:val="left"/>
              <w:rPr>
                <w:rFonts w:ascii="宋体" w:hAnsi="宋体" w:cs="宋体" w:eastAsia="宋体" w:hint="default"/>
                <w:sz w:val="18"/>
                <w:szCs w:val="18"/>
              </w:rPr>
            </w:pPr>
            <w:r>
              <w:rPr>
                <w:rFonts w:ascii="宋体" w:hAnsi="宋体" w:cs="宋体" w:eastAsia="宋体" w:hint="default"/>
                <w:sz w:val="18"/>
                <w:szCs w:val="18"/>
              </w:rPr>
              <w:t>年初持股 数（股）</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83" w:right="84"/>
              <w:jc w:val="left"/>
              <w:rPr>
                <w:rFonts w:ascii="宋体" w:hAnsi="宋体" w:cs="宋体" w:eastAsia="宋体" w:hint="default"/>
                <w:sz w:val="18"/>
                <w:szCs w:val="18"/>
              </w:rPr>
            </w:pPr>
            <w:r>
              <w:rPr>
                <w:rFonts w:ascii="宋体" w:hAnsi="宋体" w:cs="宋体" w:eastAsia="宋体" w:hint="default"/>
                <w:sz w:val="18"/>
                <w:szCs w:val="18"/>
              </w:rPr>
              <w:t>年末持股 数（股）</w:t>
            </w:r>
          </w:p>
        </w:tc>
        <w:tc>
          <w:tcPr>
            <w:tcW w:w="13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9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43" w:right="0"/>
              <w:jc w:val="left"/>
              <w:rPr>
                <w:rFonts w:ascii="宋体" w:hAnsi="宋体" w:cs="宋体" w:eastAsia="宋体" w:hint="default"/>
                <w:sz w:val="18"/>
                <w:szCs w:val="18"/>
              </w:rPr>
            </w:pPr>
            <w:r>
              <w:rPr>
                <w:rFonts w:ascii="宋体" w:hAnsi="宋体" w:cs="宋体" w:eastAsia="宋体" w:hint="default"/>
                <w:sz w:val="18"/>
                <w:szCs w:val="18"/>
              </w:rPr>
              <w:t>报告期内从</w:t>
            </w:r>
          </w:p>
          <w:p>
            <w:pPr>
              <w:pStyle w:val="TableParagraph"/>
              <w:spacing w:line="240" w:lineRule="auto"/>
              <w:ind w:left="133" w:right="41" w:hanging="90"/>
              <w:jc w:val="left"/>
              <w:rPr>
                <w:rFonts w:ascii="宋体" w:hAnsi="宋体" w:cs="宋体" w:eastAsia="宋体" w:hint="default"/>
                <w:sz w:val="18"/>
                <w:szCs w:val="18"/>
              </w:rPr>
            </w:pPr>
            <w:r>
              <w:rPr>
                <w:rFonts w:ascii="宋体" w:hAnsi="宋体" w:cs="宋体" w:eastAsia="宋体" w:hint="default"/>
                <w:sz w:val="18"/>
                <w:szCs w:val="18"/>
              </w:rPr>
              <w:t>公司领取的 报酬总额</w:t>
            </w:r>
          </w:p>
          <w:p>
            <w:pPr>
              <w:pStyle w:val="TableParagraph"/>
              <w:spacing w:line="233" w:lineRule="exact"/>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是否在股东</w:t>
            </w:r>
          </w:p>
          <w:p>
            <w:pPr>
              <w:pStyle w:val="TableParagraph"/>
              <w:spacing w:line="237" w:lineRule="auto"/>
              <w:ind w:left="45" w:right="44"/>
              <w:jc w:val="center"/>
              <w:rPr>
                <w:rFonts w:ascii="宋体" w:hAnsi="宋体" w:cs="宋体" w:eastAsia="宋体" w:hint="default"/>
                <w:sz w:val="18"/>
                <w:szCs w:val="18"/>
              </w:rPr>
            </w:pPr>
            <w:r>
              <w:rPr>
                <w:rFonts w:ascii="宋体" w:hAnsi="宋体" w:cs="宋体" w:eastAsia="宋体" w:hint="default"/>
                <w:sz w:val="18"/>
                <w:szCs w:val="18"/>
              </w:rPr>
              <w:t>单位或其他 关联单位领 取薪酬</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赵友永</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53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8,886,200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8,886,200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杨海洲</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198,000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148,500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王  俊</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657,000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657,000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叶子瑜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董事、总</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2,666,860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2,666,860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193.10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张宗贵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任  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董事、董</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40.20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王礼贵</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50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李进一</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2"/>
              <w:jc w:val="center"/>
              <w:rPr>
                <w:rFonts w:ascii="宋体" w:hAnsi="宋体" w:cs="宋体" w:eastAsia="宋体" w:hint="default"/>
                <w:sz w:val="18"/>
                <w:szCs w:val="18"/>
              </w:rPr>
            </w:pPr>
            <w:r>
              <w:rPr>
                <w:rFonts w:ascii="宋体" w:hAnsi="宋体" w:cs="宋体" w:eastAsia="宋体" w:hint="default"/>
                <w:sz w:val="18"/>
                <w:szCs w:val="18"/>
              </w:rPr>
              <w:t>程  昆</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4" w:right="0"/>
              <w:jc w:val="left"/>
              <w:rPr>
                <w:rFonts w:ascii="Times New Roman" w:hAnsi="Times New Roman" w:cs="Times New Roman" w:eastAsia="Times New Roman" w:hint="default"/>
                <w:sz w:val="18"/>
                <w:szCs w:val="18"/>
              </w:rPr>
            </w:pPr>
            <w:r>
              <w:rPr>
                <w:rFonts w:ascii="Times New Roman"/>
                <w:sz w:val="18"/>
              </w:rPr>
              <w:t>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8"/>
                <w:szCs w:val="18"/>
              </w:rPr>
            </w:pPr>
            <w:r>
              <w:rPr>
                <w:rFonts w:ascii="Times New Roman"/>
                <w:sz w:val="18"/>
              </w:rPr>
              <w:t>6.00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祝立新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pacing w:val="9"/>
                <w:sz w:val="18"/>
                <w:szCs w:val="18"/>
              </w:rPr>
              <w:t>监事会主</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622,496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466,872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周建康</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hAnsi="宋体" w:cs="宋体" w:eastAsia="宋体" w:hint="default"/>
                <w:sz w:val="18"/>
                <w:szCs w:val="18"/>
              </w:rPr>
              <w:t>注①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2"/>
              <w:jc w:val="center"/>
              <w:rPr>
                <w:rFonts w:ascii="宋体" w:hAnsi="宋体" w:cs="宋体" w:eastAsia="宋体" w:hint="default"/>
                <w:sz w:val="18"/>
                <w:szCs w:val="18"/>
              </w:rPr>
            </w:pPr>
            <w:r>
              <w:rPr>
                <w:rFonts w:ascii="宋体" w:hAnsi="宋体" w:cs="宋体" w:eastAsia="宋体" w:hint="default"/>
                <w:sz w:val="18"/>
                <w:szCs w:val="18"/>
              </w:rPr>
              <w:t>冯丰穗</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工会主席</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4" w:right="0"/>
              <w:jc w:val="left"/>
              <w:rPr>
                <w:rFonts w:ascii="Times New Roman" w:hAnsi="Times New Roman" w:cs="Times New Roman" w:eastAsia="Times New Roman" w:hint="default"/>
                <w:sz w:val="18"/>
                <w:szCs w:val="18"/>
              </w:rPr>
            </w:pPr>
            <w:r>
              <w:rPr>
                <w:rFonts w:ascii="Times New Roman"/>
                <w:sz w:val="18"/>
              </w:rPr>
              <w:t>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255,585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191,689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14.81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陈振光</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2,563,121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2,122,341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73.50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束  萌</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158,987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158,987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200.90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曾  文</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3,406,860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3,006,860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72.30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陈建良</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383,272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333,272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89.60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李叶东</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90,850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68,136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92.70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康  丰</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37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29,000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29,000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新宋体" w:hAnsi="新宋体" w:cs="新宋体" w:eastAsia="新宋体" w:hint="default"/>
                <w:sz w:val="18"/>
                <w:szCs w:val="18"/>
              </w:rPr>
            </w:pPr>
            <w:r>
              <w:rPr>
                <w:rFonts w:ascii="宋体" w:hAnsi="宋体" w:cs="宋体" w:eastAsia="宋体" w:hint="default"/>
                <w:sz w:val="18"/>
                <w:szCs w:val="18"/>
              </w:rPr>
              <w:t>注</w:t>
            </w:r>
            <w:r>
              <w:rPr>
                <w:rFonts w:ascii="新宋体" w:hAnsi="新宋体" w:cs="新宋体" w:eastAsia="新宋体" w:hint="default"/>
                <w:sz w:val="18"/>
                <w:szCs w:val="18"/>
              </w:rPr>
              <w:t>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84.70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蒋春晨</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Times New Roman" w:hAnsi="Times New Roman" w:cs="Times New Roman" w:eastAsia="Times New Roman" w:hint="default"/>
                <w:sz w:val="18"/>
                <w:szCs w:val="18"/>
              </w:rPr>
            </w:pPr>
            <w:r>
              <w:rPr>
                <w:rFonts w:ascii="Times New Roman"/>
                <w:sz w:val="18"/>
              </w:rPr>
              <w:t>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255,520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191,640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减持部分解禁股</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48.20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20,173,751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18,927,357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928.01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2" w:lineRule="auto" w:before="84"/>
        <w:ind w:left="1080" w:right="1070" w:firstLine="0"/>
        <w:jc w:val="left"/>
        <w:rPr>
          <w:rFonts w:ascii="宋体" w:hAnsi="宋体" w:cs="宋体" w:eastAsia="宋体" w:hint="default"/>
          <w:sz w:val="18"/>
          <w:szCs w:val="18"/>
        </w:rPr>
      </w:pPr>
      <w:r>
        <w:rPr>
          <w:rFonts w:ascii="宋体" w:hAnsi="宋体" w:cs="宋体" w:eastAsia="宋体" w:hint="default"/>
          <w:spacing w:val="-1"/>
          <w:sz w:val="21"/>
          <w:szCs w:val="21"/>
        </w:rPr>
        <w:t>注：</w:t>
      </w:r>
      <w:r>
        <w:rPr>
          <w:rFonts w:ascii="宋体" w:hAnsi="宋体" w:cs="宋体" w:eastAsia="宋体" w:hint="default"/>
          <w:spacing w:val="-1"/>
          <w:sz w:val="18"/>
          <w:szCs w:val="18"/>
        </w:rPr>
        <w:t>①公司监事周建康是公司发起人股东广州藤川科技有限公司的出资人，其通过法人股东间接持有公司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680,386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10"/>
        <w:ind w:left="1350" w:right="107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日，经公司第二届董事会第七次会议审议通过，增聘康丰先生为公司副总经理。</w:t>
      </w:r>
    </w:p>
    <w:p>
      <w:pPr>
        <w:pStyle w:val="BodyText"/>
        <w:spacing w:line="240" w:lineRule="auto" w:before="157"/>
        <w:ind w:left="1080" w:right="1070"/>
        <w:jc w:val="left"/>
      </w:pPr>
      <w:r>
        <w:rPr/>
        <w:t>（二）公司董事、监事、高级管理人员在股东单位任职情况</w:t>
      </w:r>
    </w:p>
    <w:p>
      <w:pPr>
        <w:spacing w:line="240" w:lineRule="auto" w:before="11"/>
        <w:rPr>
          <w:rFonts w:ascii="宋体" w:hAnsi="宋体" w:cs="宋体" w:eastAsia="宋体" w:hint="default"/>
          <w:sz w:val="21"/>
          <w:szCs w:val="21"/>
        </w:rPr>
      </w:pPr>
    </w:p>
    <w:tbl>
      <w:tblPr>
        <w:tblW w:w="0" w:type="auto"/>
        <w:jc w:val="left"/>
        <w:tblInd w:w="1520" w:type="dxa"/>
        <w:tblLayout w:type="fixed"/>
        <w:tblCellMar>
          <w:top w:w="0" w:type="dxa"/>
          <w:left w:w="0" w:type="dxa"/>
          <w:bottom w:w="0" w:type="dxa"/>
          <w:right w:w="0" w:type="dxa"/>
        </w:tblCellMar>
        <w:tblLook w:val="01E0"/>
      </w:tblPr>
      <w:tblGrid>
        <w:gridCol w:w="916"/>
        <w:gridCol w:w="2520"/>
        <w:gridCol w:w="2320"/>
        <w:gridCol w:w="1650"/>
      </w:tblGrid>
      <w:tr>
        <w:trPr>
          <w:trHeight w:val="292" w:hRule="exact"/>
        </w:trPr>
        <w:tc>
          <w:tcPr>
            <w:tcW w:w="91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任职的股东单位</w:t>
            </w:r>
          </w:p>
        </w:tc>
        <w:tc>
          <w:tcPr>
            <w:tcW w:w="23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65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任职期间</w:t>
            </w:r>
          </w:p>
        </w:tc>
      </w:tr>
      <w:tr>
        <w:trPr>
          <w:trHeight w:val="336" w:hRule="exact"/>
        </w:trPr>
        <w:tc>
          <w:tcPr>
            <w:tcW w:w="916"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赵友永</w:t>
            </w:r>
          </w:p>
        </w:tc>
        <w:tc>
          <w:tcPr>
            <w:tcW w:w="2520"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50"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2"/>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杨海洲</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副董事长、总裁</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2"/>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王  俊</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2002年6</w:t>
            </w:r>
            <w:r>
              <w:rPr>
                <w:rFonts w:ascii="宋体" w:hAnsi="宋体" w:cs="宋体" w:eastAsia="宋体" w:hint="default"/>
                <w:spacing w:val="-42"/>
                <w:sz w:val="18"/>
                <w:szCs w:val="18"/>
              </w:rPr>
              <w:t> </w:t>
            </w:r>
            <w:r>
              <w:rPr>
                <w:rFonts w:ascii="宋体" w:hAnsi="宋体" w:cs="宋体" w:eastAsia="宋体" w:hint="default"/>
                <w:sz w:val="18"/>
                <w:szCs w:val="18"/>
              </w:rPr>
              <w:t>月至今</w:t>
            </w:r>
          </w:p>
        </w:tc>
      </w:tr>
      <w:tr>
        <w:trPr>
          <w:trHeight w:val="319"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张宗贵</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总裁助理</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月至今</w:t>
            </w:r>
          </w:p>
        </w:tc>
      </w:tr>
      <w:tr>
        <w:trPr>
          <w:trHeight w:val="320" w:hRule="exact"/>
        </w:trPr>
        <w:tc>
          <w:tcPr>
            <w:tcW w:w="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周建康</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6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pacing w:val="14"/>
                <w:sz w:val="18"/>
                <w:szCs w:val="18"/>
              </w:rPr>
              <w:t>1999年7</w:t>
            </w:r>
            <w:r>
              <w:rPr>
                <w:rFonts w:ascii="宋体" w:hAnsi="宋体" w:cs="宋体" w:eastAsia="宋体" w:hint="default"/>
                <w:spacing w:val="-42"/>
                <w:sz w:val="18"/>
                <w:szCs w:val="18"/>
              </w:rPr>
              <w:t> </w:t>
            </w:r>
            <w:r>
              <w:rPr>
                <w:rFonts w:ascii="宋体" w:hAnsi="宋体" w:cs="宋体" w:eastAsia="宋体" w:hint="default"/>
                <w:sz w:val="18"/>
                <w:szCs w:val="18"/>
              </w:rPr>
              <w:t>月至今</w:t>
            </w:r>
          </w:p>
        </w:tc>
      </w:tr>
    </w:tbl>
    <w:p>
      <w:pPr>
        <w:spacing w:line="280" w:lineRule="auto" w:before="91"/>
        <w:ind w:left="1080" w:right="1062" w:firstLine="315"/>
        <w:jc w:val="left"/>
        <w:rPr>
          <w:rFonts w:ascii="宋体" w:hAnsi="宋体" w:cs="宋体" w:eastAsia="宋体" w:hint="default"/>
          <w:sz w:val="18"/>
          <w:szCs w:val="18"/>
        </w:rPr>
      </w:pPr>
      <w:r>
        <w:rPr>
          <w:rFonts w:ascii="宋体" w:hAnsi="宋体" w:cs="宋体" w:eastAsia="宋体" w:hint="default"/>
          <w:sz w:val="18"/>
          <w:szCs w:val="18"/>
        </w:rPr>
        <w:t>注：公司监事会主席祝立新先生于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月辞去了海格通信副总经理的职务，调任广电集团审计部 部长。</w:t>
      </w:r>
    </w:p>
    <w:p>
      <w:pPr>
        <w:spacing w:line="240" w:lineRule="auto" w:before="0"/>
        <w:rPr>
          <w:rFonts w:ascii="宋体" w:hAnsi="宋体" w:cs="宋体" w:eastAsia="宋体" w:hint="default"/>
          <w:sz w:val="18"/>
          <w:szCs w:val="18"/>
        </w:rPr>
      </w:pPr>
    </w:p>
    <w:p>
      <w:pPr>
        <w:pStyle w:val="BodyText"/>
        <w:spacing w:line="240" w:lineRule="auto" w:before="146"/>
        <w:ind w:left="1080" w:right="1070"/>
        <w:jc w:val="left"/>
      </w:pPr>
      <w:r>
        <w:rPr/>
        <w:t>（三）董事、监事和高级管理人员年度报酬情况</w:t>
      </w:r>
    </w:p>
    <w:p>
      <w:pPr>
        <w:spacing w:after="0" w:line="240" w:lineRule="auto"/>
        <w:jc w:val="left"/>
        <w:sectPr>
          <w:pgSz w:w="11910" w:h="16840"/>
          <w:pgMar w:header="400" w:footer="982" w:top="1100" w:bottom="1180" w:left="720" w:right="720"/>
        </w:sectPr>
      </w:pPr>
    </w:p>
    <w:p>
      <w:pPr>
        <w:spacing w:line="240" w:lineRule="auto" w:before="1"/>
        <w:rPr>
          <w:rFonts w:ascii="宋体" w:hAnsi="宋体" w:cs="宋体" w:eastAsia="宋体" w:hint="default"/>
          <w:sz w:val="19"/>
          <w:szCs w:val="19"/>
        </w:rPr>
      </w:pPr>
    </w:p>
    <w:p>
      <w:pPr>
        <w:pStyle w:val="BodyText"/>
        <w:spacing w:line="297" w:lineRule="auto" w:before="35"/>
        <w:ind w:right="216" w:firstLine="420"/>
        <w:jc w:val="both"/>
      </w:pPr>
      <w:r>
        <w:rPr/>
        <w:t>1、报酬的决策程序和报酬确定依据：在公司任职的董事、监事未在公司领薪，兼任公 </w:t>
      </w:r>
      <w:r>
        <w:rPr>
          <w:spacing w:val="-3"/>
        </w:rPr>
        <w:t>司董事、监事的高管、员工不以董事、监事职务领取报酬。高管人员按其职务根据公司董事</w:t>
      </w:r>
      <w:r>
        <w:rPr>
          <w:spacing w:val="-80"/>
        </w:rPr>
        <w:t> </w:t>
      </w:r>
      <w:r>
        <w:rPr>
          <w:spacing w:val="-80"/>
        </w:rPr>
      </w:r>
      <w:r>
        <w:rPr>
          <w:spacing w:val="-3"/>
        </w:rPr>
        <w:t>会批准的《高管层年度业绩考核与薪酬管理办法》，在每年年初落实有关考核指标及相关事</w:t>
      </w:r>
      <w:r>
        <w:rPr>
          <w:spacing w:val="-81"/>
        </w:rPr>
        <w:t> </w:t>
      </w:r>
      <w:r>
        <w:rPr>
          <w:spacing w:val="-81"/>
        </w:rPr>
      </w:r>
      <w:r>
        <w:rPr>
          <w:spacing w:val="-3"/>
        </w:rPr>
        <w:t>项，在年度结束后对全年计划完成情况进行考核，由董事会薪酬与考核委员会审议通过相关</w:t>
      </w:r>
      <w:r>
        <w:rPr>
          <w:spacing w:val="-79"/>
        </w:rPr>
        <w:t> </w:t>
      </w:r>
      <w:r>
        <w:rPr>
          <w:spacing w:val="-79"/>
        </w:rPr>
      </w:r>
      <w:r>
        <w:rPr/>
        <w:t>议案后，提交董事会审议，按照考核结果兑现绩效年薪和奖励。</w:t>
      </w:r>
    </w:p>
    <w:p>
      <w:pPr>
        <w:pStyle w:val="BodyText"/>
        <w:spacing w:line="280" w:lineRule="auto" w:before="134"/>
        <w:ind w:left="139" w:right="217" w:firstLine="420"/>
        <w:jc w:val="both"/>
      </w:pPr>
      <w:r>
        <w:rPr/>
        <w:t>独立董事津贴按照股东大会决议执行，为每人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年；独立董事参加会议发生的差 旅费，办公费等履职费用由本公司承担。</w:t>
      </w:r>
    </w:p>
    <w:p>
      <w:pPr>
        <w:pStyle w:val="BodyText"/>
        <w:spacing w:line="240" w:lineRule="auto" w:before="150"/>
        <w:ind w:left="559" w:right="0"/>
        <w:jc w:val="left"/>
      </w:pPr>
      <w:r>
        <w:rPr>
          <w:rFonts w:ascii="Times New Roman" w:hAnsi="Times New Roman" w:cs="Times New Roman" w:eastAsia="Times New Roman" w:hint="default"/>
        </w:rPr>
        <w:t>2</w:t>
      </w:r>
      <w:r>
        <w:rPr/>
        <w:t>、不在公司领取报酬的董事、监事情况</w:t>
      </w:r>
    </w:p>
    <w:p>
      <w:pPr>
        <w:spacing w:line="240" w:lineRule="auto" w:before="13"/>
        <w:rPr>
          <w:rFonts w:ascii="宋体" w:hAnsi="宋体" w:cs="宋体" w:eastAsia="宋体" w:hint="default"/>
          <w:sz w:val="16"/>
          <w:szCs w:val="16"/>
        </w:rPr>
      </w:pPr>
    </w:p>
    <w:tbl>
      <w:tblPr>
        <w:tblW w:w="0" w:type="auto"/>
        <w:jc w:val="left"/>
        <w:tblInd w:w="876" w:type="dxa"/>
        <w:tblLayout w:type="fixed"/>
        <w:tblCellMar>
          <w:top w:w="0" w:type="dxa"/>
          <w:left w:w="0" w:type="dxa"/>
          <w:bottom w:w="0" w:type="dxa"/>
          <w:right w:w="0" w:type="dxa"/>
        </w:tblCellMar>
        <w:tblLook w:val="01E0"/>
      </w:tblPr>
      <w:tblGrid>
        <w:gridCol w:w="1954"/>
        <w:gridCol w:w="1519"/>
        <w:gridCol w:w="3340"/>
      </w:tblGrid>
      <w:tr>
        <w:trPr>
          <w:trHeight w:val="276" w:hRule="exact"/>
        </w:trPr>
        <w:tc>
          <w:tcPr>
            <w:tcW w:w="195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3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领取报酬单位名称</w:t>
            </w:r>
          </w:p>
        </w:tc>
      </w:tr>
      <w:tr>
        <w:trPr>
          <w:trHeight w:val="346" w:hRule="exact"/>
        </w:trPr>
        <w:tc>
          <w:tcPr>
            <w:tcW w:w="1954"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519"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340" w:type="dxa"/>
            <w:tcBorders>
              <w:top w:val="single" w:sz="14" w:space="0" w:color="C0C0C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周建康</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广州藤川科技有限公司</w:t>
            </w:r>
          </w:p>
        </w:tc>
      </w:tr>
      <w:tr>
        <w:trPr>
          <w:trHeight w:val="319" w:hRule="exact"/>
        </w:trPr>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bl>
    <w:p>
      <w:pPr>
        <w:spacing w:line="240" w:lineRule="auto" w:before="0"/>
        <w:rPr>
          <w:rFonts w:ascii="宋体" w:hAnsi="宋体" w:cs="宋体" w:eastAsia="宋体" w:hint="default"/>
          <w:sz w:val="20"/>
          <w:szCs w:val="20"/>
        </w:rPr>
      </w:pPr>
    </w:p>
    <w:p>
      <w:pPr>
        <w:pStyle w:val="BodyText"/>
        <w:spacing w:line="240" w:lineRule="auto" w:before="186"/>
        <w:ind w:right="0"/>
        <w:jc w:val="left"/>
      </w:pPr>
      <w:r>
        <w:rPr/>
        <w:t>（四）现任董事、监事、高级管理人员最近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60" w:right="0"/>
        <w:jc w:val="left"/>
      </w:pPr>
      <w:r>
        <w:rPr>
          <w:rFonts w:ascii="Times New Roman" w:hAnsi="Times New Roman" w:cs="Times New Roman" w:eastAsia="Times New Roman" w:hint="default"/>
        </w:rPr>
        <w:t>1</w:t>
      </w:r>
      <w:r>
        <w:rPr/>
        <w:t>、第二届董事会成员</w:t>
      </w:r>
    </w:p>
    <w:p>
      <w:pPr>
        <w:pStyle w:val="BodyText"/>
        <w:spacing w:line="295" w:lineRule="auto" w:before="170"/>
        <w:ind w:right="0" w:firstLine="420"/>
        <w:jc w:val="left"/>
      </w:pPr>
      <w:r>
        <w:rPr/>
        <w:t>赵友永先生，中国国籍，</w:t>
      </w:r>
      <w:r>
        <w:rPr>
          <w:rFonts w:ascii="Times New Roman" w:hAnsi="Times New Roman" w:cs="Times New Roman" w:eastAsia="Times New Roman" w:hint="default"/>
        </w:rPr>
        <w:t>53</w:t>
      </w:r>
      <w:r>
        <w:rPr>
          <w:rFonts w:ascii="Times New Roman" w:hAnsi="Times New Roman" w:cs="Times New Roman" w:eastAsia="Times New Roman" w:hint="default"/>
          <w:spacing w:val="4"/>
        </w:rPr>
        <w:t> </w:t>
      </w:r>
      <w:r>
        <w:rPr/>
        <w:t>岁，研究生学历，高级会计师。曾任广州无线电厂财务处 </w:t>
      </w:r>
      <w:r>
        <w:rPr>
          <w:spacing w:val="-3"/>
        </w:rPr>
        <w:t>副处长、处长、副总会计师，广电集团副总经理、总裁、董事长，广州广电运通金融电子有</w:t>
      </w:r>
      <w:r>
        <w:rPr>
          <w:spacing w:val="-81"/>
        </w:rPr>
        <w:t> </w:t>
      </w:r>
      <w:r>
        <w:rPr>
          <w:spacing w:val="-81"/>
        </w:rPr>
      </w:r>
      <w:r>
        <w:rPr>
          <w:spacing w:val="-3"/>
        </w:rPr>
        <w:t>限公司（以下简称“运通电子”）总经理、董事长。现任本公司、广电集团、广州广电房地</w:t>
      </w:r>
      <w:r>
        <w:rPr>
          <w:spacing w:val="-84"/>
        </w:rPr>
        <w:t> </w:t>
      </w:r>
      <w:r>
        <w:rPr>
          <w:spacing w:val="-84"/>
        </w:rPr>
      </w:r>
      <w:r>
        <w:rPr>
          <w:spacing w:val="-8"/>
        </w:rPr>
        <w:t>产开发集团有限公司（以下简称“广电房地产”）、吉林制药股份有限公司、广州穗通金融服</w:t>
      </w:r>
      <w:r>
        <w:rPr>
          <w:spacing w:val="-83"/>
        </w:rPr>
        <w:t> </w:t>
      </w:r>
      <w:r>
        <w:rPr>
          <w:spacing w:val="-83"/>
        </w:rPr>
      </w:r>
      <w:r>
        <w:rPr>
          <w:spacing w:val="-3"/>
        </w:rPr>
        <w:t>务有限公司（以下简称“广州穗通”）董事长，广州海格通信集团股份有限公司（以下简称</w:t>
      </w:r>
      <w:r>
        <w:rPr>
          <w:spacing w:val="-83"/>
        </w:rPr>
        <w:t> </w:t>
      </w:r>
      <w:r>
        <w:rPr>
          <w:spacing w:val="-83"/>
        </w:rPr>
      </w:r>
      <w:r>
        <w:rPr>
          <w:spacing w:val="-13"/>
        </w:rPr>
        <w:t>“海格通信”）、深圳广电银通金融电子科技有限公司（以下简称“深圳银通”）、海华电子企</w:t>
      </w:r>
      <w:r>
        <w:rPr>
          <w:spacing w:val="-77"/>
        </w:rPr>
        <w:t> </w:t>
      </w:r>
      <w:r>
        <w:rPr>
          <w:spacing w:val="-77"/>
        </w:rPr>
      </w:r>
      <w:r>
        <w:rPr>
          <w:spacing w:val="-8"/>
        </w:rPr>
        <w:t>业（中国）有限公司（以下简称“海华电子”）、广州海格机械有限公司（以下简称“海格机</w:t>
      </w:r>
      <w:r>
        <w:rPr>
          <w:spacing w:val="-86"/>
        </w:rPr>
        <w:t> </w:t>
      </w:r>
      <w:r>
        <w:rPr>
          <w:spacing w:val="-86"/>
        </w:rPr>
      </w:r>
      <w:r>
        <w:rPr>
          <w:spacing w:val="-15"/>
        </w:rPr>
        <w:t>械”）、广州广电物业管理有限公司（以下简称“广电物业”）、广州安费诺电子通信有限公司、</w:t>
      </w:r>
      <w:r>
        <w:rPr>
          <w:spacing w:val="-84"/>
        </w:rPr>
        <w:t> </w:t>
      </w:r>
      <w:r>
        <w:rPr>
          <w:spacing w:val="-84"/>
        </w:rPr>
      </w:r>
      <w:r>
        <w:rPr>
          <w:spacing w:val="-8"/>
        </w:rPr>
        <w:t>盈富泰克创业投资有限公司（以下简称“盈富创投”）及广州广电计量测试技术有限公司（以</w:t>
      </w:r>
      <w:r>
        <w:rPr>
          <w:spacing w:val="-84"/>
        </w:rPr>
        <w:t> </w:t>
      </w:r>
      <w:r>
        <w:rPr>
          <w:spacing w:val="-84"/>
        </w:rPr>
      </w:r>
      <w:r>
        <w:rPr>
          <w:spacing w:val="-5"/>
        </w:rPr>
        <w:t>下简称“广电计量”）董事。其担任本公司董事长的任期为</w:t>
      </w:r>
      <w:r>
        <w:rPr>
          <w:spacing w:val="-50"/>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1"/>
        </w:rPr>
        <w:t>月至</w:t>
      </w:r>
      <w:r>
        <w:rPr>
          <w:spacing w:val="-50"/>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0" w:lineRule="auto" w:before="116"/>
        <w:ind w:right="99" w:firstLine="420"/>
        <w:jc w:val="left"/>
      </w:pPr>
      <w:r>
        <w:rPr/>
        <w:t>杨海洲先生，中国国籍，</w:t>
      </w:r>
      <w:r>
        <w:rPr>
          <w:rFonts w:ascii="Times New Roman" w:hAnsi="Times New Roman" w:cs="Times New Roman" w:eastAsia="Times New Roman" w:hint="default"/>
        </w:rPr>
        <w:t>49</w:t>
      </w:r>
      <w:r>
        <w:rPr>
          <w:rFonts w:ascii="Times New Roman" w:hAnsi="Times New Roman" w:cs="Times New Roman" w:eastAsia="Times New Roman" w:hint="default"/>
          <w:spacing w:val="4"/>
        </w:rPr>
        <w:t> </w:t>
      </w:r>
      <w:r>
        <w:rPr/>
        <w:t>岁，研究生学历。曾任广电集团总经理助理、副总裁，广 </w:t>
      </w:r>
      <w:r>
        <w:rPr>
          <w:spacing w:val="-5"/>
        </w:rPr>
        <w:t>州海格通信有限公司副董事长、总经理，广州海格通信产业集团有限公司副董事长、总经理。</w:t>
      </w:r>
      <w:r>
        <w:rPr>
          <w:spacing w:val="-98"/>
        </w:rPr>
        <w:t> </w:t>
      </w:r>
      <w:r>
        <w:rPr>
          <w:spacing w:val="-98"/>
        </w:rPr>
      </w:r>
      <w:r>
        <w:rPr>
          <w:spacing w:val="-3"/>
        </w:rPr>
        <w:t>现任本公司董事，广电集团副董事长、总裁，海格通信、海华电子、海格机械董事长，广电</w:t>
      </w:r>
      <w:r>
        <w:rPr>
          <w:spacing w:val="-81"/>
        </w:rPr>
        <w:t> </w:t>
      </w:r>
      <w:r>
        <w:rPr>
          <w:spacing w:val="-81"/>
        </w:rPr>
      </w:r>
      <w:r>
        <w:rPr/>
        <w:t>计量、广电物业和广电房地产董事。其担任本公司董事的任期为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1 </w:t>
      </w:r>
      <w:r>
        <w:rPr/>
        <w:t>月。</w:t>
      </w:r>
    </w:p>
    <w:p>
      <w:pPr>
        <w:pStyle w:val="BodyText"/>
        <w:spacing w:line="292" w:lineRule="auto" w:before="140"/>
        <w:ind w:right="217" w:firstLine="420"/>
        <w:jc w:val="both"/>
      </w:pPr>
      <w:r>
        <w:rPr/>
        <w:t>王俊先生，中国国籍，</w:t>
      </w:r>
      <w:r>
        <w:rPr>
          <w:rFonts w:ascii="Times New Roman" w:hAnsi="Times New Roman" w:cs="Times New Roman" w:eastAsia="Times New Roman" w:hint="default"/>
        </w:rPr>
        <w:t>48</w:t>
      </w:r>
      <w:r>
        <w:rPr>
          <w:rFonts w:ascii="Times New Roman" w:hAnsi="Times New Roman" w:cs="Times New Roman" w:eastAsia="Times New Roman" w:hint="default"/>
          <w:spacing w:val="7"/>
        </w:rPr>
        <w:t> </w:t>
      </w:r>
      <w:r>
        <w:rPr/>
        <w:t>岁，研究生学历，高级会计师。曾任广州海格通信有限公司 </w:t>
      </w:r>
      <w:r>
        <w:rPr>
          <w:spacing w:val="-3"/>
        </w:rPr>
        <w:t>财务部经理、总经理助理，广电集团审计室主审、审计副主任、企业发展策划部副部长、部</w:t>
      </w:r>
      <w:r>
        <w:rPr>
          <w:spacing w:val="-83"/>
        </w:rPr>
        <w:t> </w:t>
      </w:r>
      <w:r>
        <w:rPr>
          <w:spacing w:val="-83"/>
        </w:rPr>
      </w:r>
      <w:r>
        <w:rPr>
          <w:spacing w:val="-3"/>
        </w:rPr>
        <w:t>长。现任本公司董事，广电集团董事和副总裁，广电计量董事长，海格通信、海华电子、海</w:t>
      </w:r>
      <w:r>
        <w:rPr>
          <w:spacing w:val="-81"/>
        </w:rPr>
        <w:t> </w:t>
      </w:r>
      <w:r>
        <w:rPr>
          <w:spacing w:val="-81"/>
        </w:rPr>
      </w:r>
      <w:r>
        <w:rPr/>
        <w:t>格机械、广电物业董事。其担任本公司董事的任期为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p>
    <w:p>
      <w:pPr>
        <w:pStyle w:val="BodyText"/>
        <w:spacing w:line="240" w:lineRule="auto" w:before="119"/>
        <w:ind w:left="560" w:right="0"/>
        <w:jc w:val="left"/>
      </w:pPr>
      <w:r>
        <w:rPr/>
        <w:t>张宗贵先生，中国国籍，</w:t>
      </w:r>
      <w:r>
        <w:rPr>
          <w:rFonts w:ascii="Times New Roman" w:hAnsi="Times New Roman" w:cs="Times New Roman" w:eastAsia="Times New Roman" w:hint="default"/>
        </w:rPr>
        <w:t>44 </w:t>
      </w:r>
      <w:r>
        <w:rPr>
          <w:rFonts w:ascii="Times New Roman" w:hAnsi="Times New Roman" w:cs="Times New Roman" w:eastAsia="Times New Roman" w:hint="default"/>
          <w:spacing w:val="7"/>
        </w:rPr>
        <w:t> </w:t>
      </w:r>
      <w:r>
        <w:rPr/>
        <w:t>岁，研究生学历，中级经济师。曾任江西铜业公司贵溪冶</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216"/>
        <w:jc w:val="both"/>
      </w:pPr>
      <w:r>
        <w:rPr>
          <w:spacing w:val="-3"/>
        </w:rPr>
        <w:t>炼厂助理工程师，江西国际信托投资公司投资银行总部四部负责人，江苏大亚股份有限公司</w:t>
      </w:r>
      <w:r>
        <w:rPr>
          <w:spacing w:val="-79"/>
        </w:rPr>
        <w:t> </w:t>
      </w:r>
      <w:r>
        <w:rPr>
          <w:spacing w:val="-79"/>
        </w:rPr>
      </w:r>
      <w:r>
        <w:rPr>
          <w:spacing w:val="-3"/>
        </w:rPr>
        <w:t>投资部项目经理，泰阳证券有限公司投资银行部项目经理，广州融科创业投资顾问有限公司</w:t>
      </w:r>
      <w:r>
        <w:rPr>
          <w:spacing w:val="-79"/>
        </w:rPr>
        <w:t> </w:t>
      </w:r>
      <w:r>
        <w:rPr>
          <w:spacing w:val="-79"/>
        </w:rPr>
      </w:r>
      <w:r>
        <w:rPr>
          <w:spacing w:val="-3"/>
        </w:rPr>
        <w:t>总经理助理，广州机电工业资产经营有限公司资产运营部副经理、规划运营部经理，广电集</w:t>
      </w:r>
      <w:r>
        <w:rPr>
          <w:spacing w:val="-81"/>
        </w:rPr>
        <w:t> </w:t>
      </w:r>
      <w:r>
        <w:rPr>
          <w:spacing w:val="-81"/>
        </w:rPr>
      </w:r>
      <w:r>
        <w:rPr>
          <w:spacing w:val="-3"/>
        </w:rPr>
        <w:t>团发展策划部部长。现任本公司董事、广电集团总裁助理兼投资管理部部长。其担任本公司</w:t>
      </w:r>
      <w:r>
        <w:rPr>
          <w:spacing w:val="-81"/>
        </w:rPr>
        <w:t> </w:t>
      </w:r>
      <w:r>
        <w:rPr>
          <w:spacing w:val="-81"/>
        </w:rPr>
      </w:r>
      <w:r>
        <w:rPr/>
        <w:t>董事的任期为</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p>
    <w:p>
      <w:pPr>
        <w:pStyle w:val="BodyText"/>
        <w:spacing w:line="292" w:lineRule="auto" w:before="113"/>
        <w:ind w:left="139" w:right="217" w:firstLine="420"/>
        <w:jc w:val="both"/>
      </w:pPr>
      <w:r>
        <w:rPr/>
        <w:t>叶子瑜先生，中国国籍，</w:t>
      </w:r>
      <w:r>
        <w:rPr>
          <w:rFonts w:ascii="Times New Roman" w:hAnsi="Times New Roman" w:cs="Times New Roman" w:eastAsia="Times New Roman" w:hint="default"/>
        </w:rPr>
        <w:t>48 </w:t>
      </w:r>
      <w:r>
        <w:rPr/>
        <w:t>岁，研究生学历，高级工程师。曾任国营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6"/>
        </w:rPr>
        <w:t> </w:t>
      </w:r>
      <w:r>
        <w:rPr/>
        <w:t>厂技术工艺 </w:t>
      </w:r>
      <w:r>
        <w:rPr>
          <w:spacing w:val="-3"/>
        </w:rPr>
        <w:t>科助理工程师，海华电子工程师、高级工程师、拓展部经理，广州科苑电子有限公司副总经</w:t>
      </w:r>
      <w:r>
        <w:rPr>
          <w:spacing w:val="-80"/>
        </w:rPr>
        <w:t> </w:t>
      </w:r>
      <w:r>
        <w:rPr>
          <w:spacing w:val="-80"/>
        </w:rPr>
      </w:r>
      <w:r>
        <w:rPr>
          <w:spacing w:val="-3"/>
        </w:rPr>
        <w:t>理，海华电子总工程师，广州无线电集团军工通讯总公司总工程师，运通电子副总经理。现</w:t>
      </w:r>
      <w:r>
        <w:rPr>
          <w:spacing w:val="-80"/>
        </w:rPr>
        <w:t> </w:t>
      </w:r>
      <w:r>
        <w:rPr>
          <w:spacing w:val="-80"/>
        </w:rPr>
      </w:r>
      <w:r>
        <w:rPr>
          <w:spacing w:val="-8"/>
        </w:rPr>
        <w:t>任本公司董事、总经理，深圳银通董事长，广州穗通和广电运通国际有限公司（以下简称“运</w:t>
      </w:r>
      <w:r>
        <w:rPr>
          <w:spacing w:val="-85"/>
        </w:rPr>
        <w:t> </w:t>
      </w:r>
      <w:r>
        <w:rPr>
          <w:spacing w:val="-85"/>
        </w:rPr>
      </w:r>
      <w:r>
        <w:rPr>
          <w:spacing w:val="-5"/>
        </w:rPr>
        <w:t>通国际”）董事。其担任本公司董事、总经理的任期为</w:t>
      </w:r>
      <w:r>
        <w:rPr>
          <w:spacing w:val="-51"/>
        </w:rPr>
        <w:t> </w:t>
      </w:r>
      <w:r>
        <w:rPr>
          <w:rFonts w:ascii="Times New Roman" w:hAnsi="Times New Roman" w:cs="Times New Roman" w:eastAsia="Times New Roman" w:hint="default"/>
          <w:spacing w:val="-1"/>
        </w:rPr>
        <w:t>2005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月至</w:t>
      </w:r>
      <w:r>
        <w:rPr>
          <w:spacing w:val="-51"/>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9"/>
        <w:ind w:left="139" w:right="214" w:firstLine="420"/>
        <w:jc w:val="both"/>
        <w:rPr>
          <w:rFonts w:ascii="Times New Roman" w:hAnsi="Times New Roman" w:cs="Times New Roman" w:eastAsia="Times New Roman" w:hint="default"/>
        </w:rPr>
      </w:pPr>
      <w:r>
        <w:rPr/>
        <w:t>任斌女士，中国国籍，</w:t>
      </w:r>
      <w:r>
        <w:rPr>
          <w:rFonts w:ascii="Times New Roman" w:hAnsi="Times New Roman" w:cs="Times New Roman" w:eastAsia="Times New Roman" w:hint="default"/>
        </w:rPr>
        <w:t>41</w:t>
      </w:r>
      <w:r>
        <w:rPr>
          <w:rFonts w:ascii="Times New Roman" w:hAnsi="Times New Roman" w:cs="Times New Roman" w:eastAsia="Times New Roman" w:hint="default"/>
          <w:spacing w:val="7"/>
        </w:rPr>
        <w:t> </w:t>
      </w:r>
      <w:r>
        <w:rPr/>
        <w:t>岁，本科学历，会计师、经济师、中国注册会计师、中国注 </w:t>
      </w:r>
      <w:r>
        <w:rPr>
          <w:spacing w:val="-3"/>
        </w:rPr>
        <w:t>册资产评估师，具备证券、期货从业资格。曾任新疆独山子石化总厂物业公司财务科主办会</w:t>
      </w:r>
      <w:r>
        <w:rPr>
          <w:spacing w:val="-81"/>
        </w:rPr>
        <w:t> </w:t>
      </w:r>
      <w:r>
        <w:rPr>
          <w:spacing w:val="-81"/>
        </w:rPr>
      </w:r>
      <w:r>
        <w:rPr>
          <w:spacing w:val="-3"/>
        </w:rPr>
        <w:t>计，新疆独山子天利高新技术股份有限公司证券信息部副部长、部长、证券事务代表、董事</w:t>
      </w:r>
      <w:r>
        <w:rPr>
          <w:spacing w:val="-80"/>
        </w:rPr>
        <w:t> </w:t>
      </w:r>
      <w:r>
        <w:rPr>
          <w:spacing w:val="-80"/>
        </w:rPr>
      </w:r>
      <w:r>
        <w:rPr/>
        <w:t>会秘书。现任本公司董事、董事会秘书。其担任本公司董事的任期为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1 </w:t>
      </w:r>
      <w:r>
        <w:rPr/>
        <w:t>月至</w:t>
      </w:r>
      <w:r>
        <w:rPr>
          <w:spacing w:val="7"/>
        </w:rPr>
        <w:t> </w:t>
      </w:r>
      <w:r>
        <w:rPr>
          <w:rFonts w:ascii="Times New Roman" w:hAnsi="Times New Roman" w:cs="Times New Roman" w:eastAsia="Times New Roman" w:hint="default"/>
        </w:rPr>
        <w:t>2012</w:t>
      </w:r>
    </w:p>
    <w:p>
      <w:pPr>
        <w:pStyle w:val="BodyText"/>
        <w:spacing w:line="290" w:lineRule="exact"/>
        <w:ind w:left="139" w:right="0"/>
        <w:jc w:val="both"/>
      </w:pPr>
      <w:r>
        <w:rPr/>
        <w:t>年</w:t>
      </w:r>
      <w:r>
        <w:rPr>
          <w:spacing w:val="-53"/>
        </w:rPr>
        <w:t> </w:t>
      </w:r>
      <w:r>
        <w:rPr>
          <w:rFonts w:ascii="Times New Roman" w:hAnsi="Times New Roman" w:cs="Times New Roman" w:eastAsia="Times New Roman" w:hint="default"/>
        </w:rPr>
        <w:t>1 </w:t>
      </w:r>
      <w:r>
        <w:rPr/>
        <w:t>月。</w:t>
      </w:r>
    </w:p>
    <w:p>
      <w:pPr>
        <w:pStyle w:val="BodyText"/>
        <w:spacing w:line="292" w:lineRule="auto" w:before="169"/>
        <w:ind w:left="139" w:right="216" w:firstLine="420"/>
        <w:jc w:val="both"/>
      </w:pPr>
      <w:r>
        <w:rPr/>
        <w:t>王礼贵先生，中国国籍，</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岁，研究生学历，高级会计师，中国注册会计师。曾任深 </w:t>
      </w:r>
      <w:r>
        <w:rPr>
          <w:spacing w:val="-3"/>
        </w:rPr>
        <w:t>圳中华会计师事务所所长助理，中国深圳中电投资股份有限公司财务主管、副总会计师、总</w:t>
      </w:r>
      <w:r>
        <w:rPr>
          <w:spacing w:val="-81"/>
        </w:rPr>
        <w:t> </w:t>
      </w:r>
      <w:r>
        <w:rPr>
          <w:spacing w:val="-81"/>
        </w:rPr>
      </w:r>
      <w:r>
        <w:rPr>
          <w:spacing w:val="-3"/>
        </w:rPr>
        <w:t>经理助理、中天华正会计师事务所深圳分所合伙人。现任本公司独立董事、中国普天信息产</w:t>
      </w:r>
      <w:r>
        <w:rPr>
          <w:spacing w:val="-81"/>
        </w:rPr>
        <w:t> </w:t>
      </w:r>
      <w:r>
        <w:rPr>
          <w:spacing w:val="-81"/>
        </w:rPr>
      </w:r>
      <w:r>
        <w:rPr>
          <w:spacing w:val="-3"/>
        </w:rPr>
        <w:t>业股份有限公司国际事业本部（深圳）营运总监及深圳百行税务师事务所总经理。其担任本</w:t>
      </w:r>
      <w:r>
        <w:rPr>
          <w:spacing w:val="-81"/>
        </w:rPr>
        <w:t> </w:t>
      </w:r>
      <w:r>
        <w:rPr>
          <w:spacing w:val="-81"/>
        </w:rPr>
      </w:r>
      <w:r>
        <w:rPr/>
        <w:t>公司独立董事的任期为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85" w:lineRule="auto" w:before="119"/>
        <w:ind w:left="139" w:right="100" w:firstLine="420"/>
        <w:jc w:val="left"/>
      </w:pPr>
      <w:r>
        <w:rPr/>
        <w:t>李进一先生，中国国籍，</w:t>
      </w:r>
      <w:r>
        <w:rPr>
          <w:rFonts w:ascii="Times New Roman" w:hAnsi="Times New Roman" w:cs="Times New Roman" w:eastAsia="Times New Roman" w:hint="default"/>
        </w:rPr>
        <w:t>47</w:t>
      </w:r>
      <w:r>
        <w:rPr>
          <w:rFonts w:ascii="Times New Roman" w:hAnsi="Times New Roman" w:cs="Times New Roman" w:eastAsia="Times New Roman" w:hint="default"/>
          <w:spacing w:val="4"/>
        </w:rPr>
        <w:t> </w:t>
      </w:r>
      <w:r>
        <w:rPr/>
        <w:t>岁，研究生学历，副教授，律师。曾任西南政法大学法律 </w:t>
      </w:r>
      <w:r>
        <w:rPr>
          <w:spacing w:val="-6"/>
        </w:rPr>
        <w:t>系助教，暨南大学经济法学系讲师，暨南大学</w:t>
      </w:r>
      <w:r>
        <w:rPr>
          <w:spacing w:val="-44"/>
        </w:rPr>
        <w:t> </w:t>
      </w:r>
      <w:r>
        <w:rPr>
          <w:rFonts w:ascii="Times New Roman" w:hAnsi="Times New Roman" w:cs="Times New Roman" w:eastAsia="Times New Roman" w:hint="default"/>
        </w:rPr>
        <w:t>MBA</w:t>
      </w:r>
      <w:r>
        <w:rPr>
          <w:rFonts w:ascii="Times New Roman" w:hAnsi="Times New Roman" w:cs="Times New Roman" w:eastAsia="Times New Roman" w:hint="default"/>
          <w:spacing w:val="7"/>
        </w:rPr>
        <w:t> </w:t>
      </w:r>
      <w:r>
        <w:rPr>
          <w:spacing w:val="-3"/>
        </w:rPr>
        <w:t>教育中心副教授。现任本公司独立董事、</w:t>
      </w:r>
      <w:r>
        <w:rPr>
          <w:spacing w:val="-103"/>
        </w:rPr>
        <w:t> </w:t>
      </w:r>
      <w:r>
        <w:rPr>
          <w:spacing w:val="-103"/>
        </w:rPr>
      </w:r>
      <w:r>
        <w:rPr>
          <w:spacing w:val="-3"/>
        </w:rPr>
        <w:t>暨南大学企业管理系副教授及广东信德盛律师事务所执业律师，广东同步化工股份有限公司</w:t>
      </w:r>
      <w:r>
        <w:rPr>
          <w:spacing w:val="-79"/>
        </w:rPr>
        <w:t> </w:t>
      </w:r>
      <w:r>
        <w:rPr>
          <w:spacing w:val="-79"/>
        </w:rPr>
      </w:r>
      <w:r>
        <w:rPr/>
        <w:t>和成都东骏激光股份有限公司独立董事。其担任本公司独立董事的任期为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6 </w:t>
      </w:r>
      <w:r>
        <w:rPr>
          <w:rFonts w:ascii="Times New Roman" w:hAnsi="Times New Roman" w:cs="Times New Roman" w:eastAsia="Times New Roman" w:hint="default"/>
          <w:spacing w:val="7"/>
        </w:rPr>
        <w:t> </w:t>
      </w:r>
      <w:r>
        <w:rPr/>
        <w:t>月至</w:t>
      </w:r>
    </w:p>
    <w:p>
      <w:pPr>
        <w:pStyle w:val="BodyText"/>
        <w:spacing w:line="240" w:lineRule="auto" w:before="6"/>
        <w:ind w:left="139"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69"/>
        <w:ind w:left="139" w:right="105" w:firstLine="420"/>
        <w:jc w:val="left"/>
      </w:pPr>
      <w:r>
        <w:rPr>
          <w:spacing w:val="-2"/>
        </w:rPr>
        <w:t>程昆先生，中国国籍，</w:t>
      </w:r>
      <w:r>
        <w:rPr>
          <w:rFonts w:ascii="Times New Roman" w:hAnsi="Times New Roman" w:cs="Times New Roman" w:eastAsia="Times New Roman" w:hint="default"/>
          <w:spacing w:val="-2"/>
        </w:rPr>
        <w:t>45</w:t>
      </w:r>
      <w:r>
        <w:rPr>
          <w:rFonts w:ascii="Times New Roman" w:hAnsi="Times New Roman" w:cs="Times New Roman" w:eastAsia="Times New Roman" w:hint="default"/>
          <w:spacing w:val="25"/>
        </w:rPr>
        <w:t> </w:t>
      </w:r>
      <w:r>
        <w:rPr>
          <w:spacing w:val="-2"/>
        </w:rPr>
        <w:t>岁，教授，博士学历，曾任华南农业大学经济管理学院教员、</w:t>
      </w:r>
      <w:r>
        <w:rPr/>
        <w:t> </w:t>
      </w:r>
      <w:r>
        <w:rPr>
          <w:spacing w:val="-3"/>
        </w:rPr>
        <w:t>讲师、副教授、华南农业大学经济管理学院副院长。现任本公司独立董事、华南农业大学经</w:t>
      </w:r>
      <w:r>
        <w:rPr>
          <w:spacing w:val="-80"/>
        </w:rPr>
        <w:t> </w:t>
      </w:r>
      <w:r>
        <w:rPr>
          <w:spacing w:val="-80"/>
        </w:rPr>
      </w:r>
      <w:r>
        <w:rPr>
          <w:spacing w:val="-3"/>
        </w:rPr>
        <w:t>济管理学院教授、博士生导师、人文与法学学院院长，兼任广州市农工商集团有限公司的独</w:t>
      </w:r>
      <w:r>
        <w:rPr>
          <w:spacing w:val="-81"/>
        </w:rPr>
        <w:t> </w:t>
      </w:r>
      <w:r>
        <w:rPr>
          <w:spacing w:val="-81"/>
        </w:rPr>
      </w:r>
      <w:r>
        <w:rPr/>
        <w:t>立董事。其担任本公司独立董事的任期为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40" w:lineRule="auto" w:before="119"/>
        <w:ind w:left="559" w:right="0"/>
        <w:jc w:val="left"/>
      </w:pPr>
      <w:r>
        <w:rPr>
          <w:rFonts w:ascii="Times New Roman" w:hAnsi="Times New Roman" w:cs="Times New Roman" w:eastAsia="Times New Roman" w:hint="default"/>
        </w:rPr>
        <w:t>2</w:t>
      </w:r>
      <w:r>
        <w:rPr/>
        <w:t>、第二届监事会成员</w:t>
      </w:r>
    </w:p>
    <w:p>
      <w:pPr>
        <w:pStyle w:val="BodyText"/>
        <w:spacing w:line="288" w:lineRule="auto" w:before="170"/>
        <w:ind w:right="106" w:firstLine="419"/>
        <w:jc w:val="left"/>
        <w:rPr>
          <w:rFonts w:ascii="Times New Roman" w:hAnsi="Times New Roman" w:cs="Times New Roman" w:eastAsia="Times New Roman" w:hint="default"/>
        </w:rPr>
      </w:pPr>
      <w:r>
        <w:rPr>
          <w:spacing w:val="-2"/>
        </w:rPr>
        <w:t>祝立新先生，中国国籍，</w:t>
      </w:r>
      <w:r>
        <w:rPr>
          <w:rFonts w:ascii="Times New Roman" w:hAnsi="Times New Roman" w:cs="Times New Roman" w:eastAsia="Times New Roman" w:hint="default"/>
          <w:spacing w:val="-2"/>
        </w:rPr>
        <w:t>43</w:t>
      </w:r>
      <w:r>
        <w:rPr>
          <w:rFonts w:ascii="Times New Roman" w:hAnsi="Times New Roman" w:cs="Times New Roman" w:eastAsia="Times New Roman" w:hint="default"/>
          <w:spacing w:val="24"/>
        </w:rPr>
        <w:t> </w:t>
      </w:r>
      <w:r>
        <w:rPr>
          <w:spacing w:val="-2"/>
        </w:rPr>
        <w:t>岁，研究生学历，会计师。曾任广州无线电厂广电部会计，</w:t>
      </w:r>
      <w:r>
        <w:rPr/>
        <w:t> </w:t>
      </w:r>
      <w:r>
        <w:rPr>
          <w:spacing w:val="-3"/>
        </w:rPr>
        <w:t>广电集团审计室副主任、财务部副部长、部长、总裁助理，海格通信副总经理。现任本公司</w:t>
      </w:r>
      <w:r>
        <w:rPr>
          <w:spacing w:val="-83"/>
        </w:rPr>
        <w:t> </w:t>
      </w:r>
      <w:r>
        <w:rPr>
          <w:spacing w:val="-83"/>
        </w:rPr>
      </w:r>
      <w:r>
        <w:rPr>
          <w:spacing w:val="-5"/>
        </w:rPr>
        <w:t>监事会主席、广电集团审计部部长。其担任本公司监事会主席的任期为</w:t>
      </w:r>
      <w:r>
        <w:rPr>
          <w:spacing w:val="-53"/>
        </w:rPr>
        <w:t> </w:t>
      </w:r>
      <w:r>
        <w:rPr>
          <w:rFonts w:ascii="Times New Roman" w:hAnsi="Times New Roman" w:cs="Times New Roman" w:eastAsia="Times New Roman" w:hint="default"/>
        </w:rPr>
        <w:t>2005 </w:t>
      </w:r>
      <w:r>
        <w:rPr/>
        <w:t>年</w:t>
      </w:r>
      <w:r>
        <w:rPr>
          <w:spacing w:val="-54"/>
        </w:rPr>
        <w:t> </w:t>
      </w:r>
      <w:r>
        <w:rPr>
          <w:rFonts w:ascii="Times New Roman" w:hAnsi="Times New Roman" w:cs="Times New Roman" w:eastAsia="Times New Roman" w:hint="default"/>
        </w:rPr>
        <w:t>10 </w:t>
      </w:r>
      <w:r>
        <w:rPr/>
        <w:t>月至</w:t>
      </w:r>
      <w:r>
        <w:rPr>
          <w:spacing w:val="-54"/>
        </w:rPr>
        <w:t> </w:t>
      </w:r>
      <w:r>
        <w:rPr>
          <w:rFonts w:ascii="Times New Roman" w:hAnsi="Times New Roman" w:cs="Times New Roman" w:eastAsia="Times New Roman" w:hint="default"/>
        </w:rPr>
        <w:t>2012</w:t>
      </w:r>
    </w:p>
    <w:p>
      <w:pPr>
        <w:pStyle w:val="BodyText"/>
        <w:spacing w:line="240" w:lineRule="auto" w:before="3"/>
        <w:ind w:left="139" w:right="0"/>
        <w:jc w:val="both"/>
      </w:pPr>
      <w:r>
        <w:rPr/>
        <w:t>年</w:t>
      </w:r>
      <w:r>
        <w:rPr>
          <w:spacing w:val="-53"/>
        </w:rPr>
        <w:t> </w:t>
      </w:r>
      <w:r>
        <w:rPr>
          <w:rFonts w:ascii="Times New Roman" w:hAnsi="Times New Roman" w:cs="Times New Roman" w:eastAsia="Times New Roman" w:hint="default"/>
        </w:rPr>
        <w:t>1 </w:t>
      </w:r>
      <w:r>
        <w:rPr/>
        <w:t>月。</w:t>
      </w:r>
    </w:p>
    <w:p>
      <w:pPr>
        <w:pStyle w:val="BodyText"/>
        <w:spacing w:line="292" w:lineRule="auto" w:before="170"/>
        <w:ind w:left="139" w:right="216" w:firstLine="420"/>
        <w:jc w:val="both"/>
      </w:pPr>
      <w:r>
        <w:rPr/>
        <w:t>周建康先生，中国国籍，</w:t>
      </w:r>
      <w:r>
        <w:rPr>
          <w:rFonts w:ascii="Times New Roman" w:hAnsi="Times New Roman" w:cs="Times New Roman" w:eastAsia="Times New Roman" w:hint="default"/>
        </w:rPr>
        <w:t>48</w:t>
      </w:r>
      <w:r>
        <w:rPr>
          <w:rFonts w:ascii="Times New Roman" w:hAnsi="Times New Roman" w:cs="Times New Roman" w:eastAsia="Times New Roman" w:hint="default"/>
          <w:spacing w:val="7"/>
        </w:rPr>
        <w:t> </w:t>
      </w:r>
      <w:r>
        <w:rPr/>
        <w:t>岁，本科学历，高级工程师。曾任广州无线电厂设计二所 </w:t>
      </w:r>
      <w:r>
        <w:rPr>
          <w:spacing w:val="-3"/>
        </w:rPr>
        <w:t>三室技术员、广电部一室副主任、主任，广电集团电子一厂副总工程师、副厂长、厂长。现</w:t>
      </w:r>
      <w:r>
        <w:rPr>
          <w:spacing w:val="-81"/>
        </w:rPr>
        <w:t> </w:t>
      </w:r>
      <w:r>
        <w:rPr>
          <w:spacing w:val="-81"/>
        </w:rPr>
      </w:r>
      <w:r>
        <w:rPr>
          <w:spacing w:val="-3"/>
        </w:rPr>
        <w:t>任本公司监事、广州藤川董事长和总经理及深圳藤川科技有限公司董事长。其担任本公司监</w:t>
      </w:r>
      <w:r>
        <w:rPr>
          <w:spacing w:val="-79"/>
        </w:rPr>
        <w:t> </w:t>
      </w:r>
      <w:r>
        <w:rPr>
          <w:spacing w:val="-79"/>
        </w:rPr>
      </w:r>
      <w:r>
        <w:rPr/>
        <w:t>事的任期为</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spacing w:after="0" w:line="292"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88" w:lineRule="auto" w:before="35"/>
        <w:ind w:left="139" w:right="214" w:firstLine="420"/>
        <w:jc w:val="both"/>
      </w:pPr>
      <w:r>
        <w:rPr/>
        <w:t>冯丰穗女士，中国国籍，</w:t>
      </w:r>
      <w:r>
        <w:rPr>
          <w:rFonts w:ascii="Times New Roman" w:hAnsi="Times New Roman" w:cs="Times New Roman" w:eastAsia="Times New Roman" w:hint="default"/>
        </w:rPr>
        <w:t>46</w:t>
      </w:r>
      <w:r>
        <w:rPr>
          <w:rFonts w:ascii="Times New Roman" w:hAnsi="Times New Roman" w:cs="Times New Roman" w:eastAsia="Times New Roman" w:hint="default"/>
          <w:spacing w:val="7"/>
        </w:rPr>
        <w:t> </w:t>
      </w:r>
      <w:r>
        <w:rPr/>
        <w:t>岁，本科学历，会计师。曾任广州市糖烟酒公司宣传科干 </w:t>
      </w:r>
      <w:r>
        <w:rPr>
          <w:spacing w:val="-3"/>
        </w:rPr>
        <w:t>事，广电集团印制板厂行政主管、出纳、会计主管，运通电子人力资源部主管、副经理、经</w:t>
      </w:r>
      <w:r>
        <w:rPr>
          <w:spacing w:val="-81"/>
        </w:rPr>
        <w:t> </w:t>
      </w:r>
      <w:r>
        <w:rPr>
          <w:spacing w:val="-81"/>
        </w:rPr>
      </w:r>
      <w:r>
        <w:rPr/>
        <w:t>理。现任本公司职工监事及工会主席。其担任本公司监事的任期为</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p>
    <w:p>
      <w:pPr>
        <w:pStyle w:val="BodyText"/>
        <w:spacing w:line="240" w:lineRule="auto" w:before="3"/>
        <w:ind w:left="139" w:right="0"/>
        <w:jc w:val="left"/>
      </w:pPr>
      <w:r>
        <w:rPr>
          <w:rFonts w:ascii="Times New Roman" w:hAnsi="Times New Roman" w:cs="Times New Roman" w:eastAsia="Times New Roman" w:hint="default"/>
        </w:rPr>
        <w:t>1 </w:t>
      </w:r>
      <w:r>
        <w:rPr/>
        <w:t>月。</w:t>
      </w:r>
    </w:p>
    <w:p>
      <w:pPr>
        <w:pStyle w:val="BodyText"/>
        <w:spacing w:line="379" w:lineRule="auto" w:before="170"/>
        <w:ind w:left="560" w:right="0" w:hanging="1"/>
        <w:jc w:val="left"/>
      </w:pPr>
      <w:r>
        <w:rPr>
          <w:rFonts w:ascii="Times New Roman" w:hAnsi="Times New Roman" w:cs="Times New Roman" w:eastAsia="Times New Roman" w:hint="default"/>
        </w:rPr>
        <w:t>3</w:t>
      </w:r>
      <w:r>
        <w:rPr/>
        <w:t>、高级管理人员 </w:t>
      </w:r>
      <w:r>
        <w:rPr>
          <w:spacing w:val="-6"/>
        </w:rPr>
        <w:t>叶子瑜先生，本公司总经理，简历参阅本年度报告“第四节、一、（四）董事会成员”。</w:t>
      </w:r>
    </w:p>
    <w:p>
      <w:pPr>
        <w:pStyle w:val="BodyText"/>
        <w:spacing w:line="292" w:lineRule="auto" w:before="64"/>
        <w:ind w:right="99" w:firstLine="420"/>
        <w:jc w:val="left"/>
      </w:pPr>
      <w:r>
        <w:rPr/>
        <w:t>陈振光先生，中国国籍，</w:t>
      </w:r>
      <w:r>
        <w:rPr>
          <w:rFonts w:ascii="Times New Roman" w:hAnsi="Times New Roman" w:cs="Times New Roman" w:eastAsia="Times New Roman" w:hint="default"/>
        </w:rPr>
        <w:t>48 </w:t>
      </w:r>
      <w:r>
        <w:rPr/>
        <w:t>岁，研究生学历，工程师。曾任国营 </w:t>
      </w:r>
      <w:r>
        <w:rPr>
          <w:rFonts w:ascii="Times New Roman" w:hAnsi="Times New Roman" w:cs="Times New Roman" w:eastAsia="Times New Roman" w:hint="default"/>
        </w:rPr>
        <w:t>750</w:t>
      </w:r>
      <w:r>
        <w:rPr>
          <w:rFonts w:ascii="Times New Roman" w:hAnsi="Times New Roman" w:cs="Times New Roman" w:eastAsia="Times New Roman" w:hint="default"/>
          <w:spacing w:val="7"/>
        </w:rPr>
        <w:t> </w:t>
      </w:r>
      <w:r>
        <w:rPr/>
        <w:t>厂收录机分厂技 </w:t>
      </w:r>
      <w:r>
        <w:rPr>
          <w:spacing w:val="-5"/>
        </w:rPr>
        <w:t>术员，海华电子工程师，广电集团军工通讯总公司工程师，运通电子总经理助理、副总经理。</w:t>
      </w:r>
      <w:r>
        <w:rPr>
          <w:spacing w:val="-100"/>
        </w:rPr>
        <w:t> </w:t>
      </w:r>
      <w:r>
        <w:rPr>
          <w:spacing w:val="-100"/>
        </w:rPr>
      </w:r>
      <w:r>
        <w:rPr>
          <w:spacing w:val="-5"/>
        </w:rPr>
        <w:t>现任本公司副总经理、深圳银通董事及广州穗通董事、总经理、深圳鹏通和江苏保通董事长。</w:t>
      </w:r>
      <w:r>
        <w:rPr>
          <w:spacing w:val="-98"/>
        </w:rPr>
        <w:t> </w:t>
      </w:r>
      <w:r>
        <w:rPr>
          <w:spacing w:val="-98"/>
        </w:rPr>
      </w:r>
      <w:r>
        <w:rPr/>
        <w:t>其担任本公司副总经理的任期为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92" w:lineRule="auto" w:before="119"/>
        <w:ind w:right="216" w:firstLine="420"/>
        <w:jc w:val="both"/>
      </w:pPr>
      <w:r>
        <w:rPr/>
        <w:t>曾文先生，中国国籍，拥有新西兰居留权，</w:t>
      </w:r>
      <w:r>
        <w:rPr>
          <w:rFonts w:ascii="Times New Roman" w:hAnsi="Times New Roman" w:cs="Times New Roman" w:eastAsia="Times New Roman" w:hint="default"/>
        </w:rPr>
        <w:t>44</w:t>
      </w:r>
      <w:r>
        <w:rPr>
          <w:rFonts w:ascii="Times New Roman" w:hAnsi="Times New Roman" w:cs="Times New Roman" w:eastAsia="Times New Roman" w:hint="default"/>
          <w:spacing w:val="7"/>
        </w:rPr>
        <w:t> </w:t>
      </w:r>
      <w:r>
        <w:rPr/>
        <w:t>岁，本科学历，工程师。曾任福建建筑 </w:t>
      </w:r>
      <w:r>
        <w:rPr>
          <w:spacing w:val="-3"/>
        </w:rPr>
        <w:t>工程专科学校教师，福建实达电脑有限公司产品经理，广州文东电子有限公司市场总监，吉</w:t>
      </w:r>
      <w:r>
        <w:rPr>
          <w:spacing w:val="-81"/>
        </w:rPr>
        <w:t> </w:t>
      </w:r>
      <w:r>
        <w:rPr>
          <w:spacing w:val="-81"/>
        </w:rPr>
      </w:r>
      <w:r>
        <w:rPr>
          <w:spacing w:val="-3"/>
        </w:rPr>
        <w:t>山通讯科技有限公司市场总监，长天国际控股有限公司华南区总监，深圳奥尊电脑公司金融</w:t>
      </w:r>
      <w:r>
        <w:rPr>
          <w:spacing w:val="-79"/>
        </w:rPr>
        <w:t> </w:t>
      </w:r>
      <w:r>
        <w:rPr>
          <w:spacing w:val="-79"/>
        </w:rPr>
      </w:r>
      <w:r>
        <w:rPr>
          <w:spacing w:val="-3"/>
        </w:rPr>
        <w:t>事业部副总经理，运通电子市场总监、副总经理。现任本公司副总经理。其担任本公司副总</w:t>
      </w:r>
      <w:r>
        <w:rPr>
          <w:spacing w:val="-80"/>
        </w:rPr>
        <w:t> </w:t>
      </w:r>
      <w:r>
        <w:rPr>
          <w:spacing w:val="-80"/>
        </w:rPr>
      </w:r>
      <w:r>
        <w:rPr/>
        <w:t>经理的任期为</w:t>
      </w:r>
      <w:r>
        <w:rPr>
          <w:spacing w:val="-53"/>
        </w:rPr>
        <w:t> </w:t>
      </w:r>
      <w:r>
        <w:rPr>
          <w:rFonts w:ascii="Times New Roman" w:hAnsi="Times New Roman" w:cs="Times New Roman" w:eastAsia="Times New Roman" w:hint="default"/>
        </w:rPr>
        <w:t>2005 </w:t>
      </w:r>
      <w:r>
        <w:rPr/>
        <w:t>年</w:t>
      </w:r>
      <w:r>
        <w:rPr>
          <w:spacing w:val="-53"/>
        </w:rPr>
        <w:t> </w:t>
      </w:r>
      <w:r>
        <w:rPr>
          <w:rFonts w:ascii="Times New Roman" w:hAnsi="Times New Roman" w:cs="Times New Roman" w:eastAsia="Times New Roman" w:hint="default"/>
        </w:rPr>
        <w:t>10 </w:t>
      </w:r>
      <w:r>
        <w:rPr/>
        <w:t>月至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t>月。</w:t>
      </w:r>
    </w:p>
    <w:p>
      <w:pPr>
        <w:pStyle w:val="BodyText"/>
        <w:spacing w:line="292" w:lineRule="auto" w:before="117"/>
        <w:ind w:left="139" w:right="217" w:firstLine="420"/>
        <w:jc w:val="both"/>
      </w:pPr>
      <w:r>
        <w:rPr/>
        <w:t>束萌先生，中国国籍，</w:t>
      </w:r>
      <w:r>
        <w:rPr>
          <w:rFonts w:ascii="Times New Roman" w:hAnsi="Times New Roman" w:cs="Times New Roman" w:eastAsia="Times New Roman" w:hint="default"/>
        </w:rPr>
        <w:t>57</w:t>
      </w:r>
      <w:r>
        <w:rPr>
          <w:rFonts w:ascii="Times New Roman" w:hAnsi="Times New Roman" w:cs="Times New Roman" w:eastAsia="Times New Roman" w:hint="default"/>
          <w:spacing w:val="7"/>
        </w:rPr>
        <w:t> </w:t>
      </w:r>
      <w:r>
        <w:rPr/>
        <w:t>岁，本科学历，高级工程师。曾任安徽凤阳县化肥厂电工， </w:t>
      </w:r>
      <w:r>
        <w:rPr>
          <w:spacing w:val="-3"/>
        </w:rPr>
        <w:t>淮南矿业学院教师，中国农业银行安徽省分行副科长、副处长、处长，北京龙翔达信息技术</w:t>
      </w:r>
      <w:r>
        <w:rPr>
          <w:spacing w:val="-80"/>
        </w:rPr>
        <w:t> </w:t>
      </w:r>
      <w:r>
        <w:rPr>
          <w:spacing w:val="-80"/>
        </w:rPr>
      </w:r>
      <w:r>
        <w:rPr>
          <w:spacing w:val="-3"/>
        </w:rPr>
        <w:t>有限公司副总经理，运通电子副总经理。现任本公司副总经理、深圳银通董事。其担任本公</w:t>
      </w:r>
      <w:r>
        <w:rPr>
          <w:spacing w:val="-80"/>
        </w:rPr>
        <w:t> </w:t>
      </w:r>
      <w:r>
        <w:rPr>
          <w:spacing w:val="-80"/>
        </w:rPr>
      </w:r>
      <w:r>
        <w:rPr/>
        <w:t>司副总经理的任期为</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85" w:lineRule="auto" w:before="119"/>
        <w:ind w:left="139" w:right="215" w:firstLine="420"/>
        <w:jc w:val="both"/>
      </w:pPr>
      <w:r>
        <w:rPr/>
        <w:t>陈建良先生，中国国籍，</w:t>
      </w:r>
      <w:r>
        <w:rPr>
          <w:rFonts w:ascii="Times New Roman" w:hAnsi="Times New Roman" w:cs="Times New Roman" w:eastAsia="Times New Roman" w:hint="default"/>
        </w:rPr>
        <w:t>44</w:t>
      </w:r>
      <w:r>
        <w:rPr>
          <w:rFonts w:ascii="Times New Roman" w:hAnsi="Times New Roman" w:cs="Times New Roman" w:eastAsia="Times New Roman" w:hint="default"/>
          <w:spacing w:val="7"/>
        </w:rPr>
        <w:t> </w:t>
      </w:r>
      <w:r>
        <w:rPr/>
        <w:t>岁，研究生学历，工程师。曾任广州无线电厂电视机分厂 </w:t>
      </w:r>
      <w:r>
        <w:rPr>
          <w:spacing w:val="-3"/>
        </w:rPr>
        <w:t>结构设计师、设计室主任和采购部经理，运通电子结构设计部经理、物料部经理和公司总经</w:t>
      </w:r>
      <w:r>
        <w:rPr>
          <w:spacing w:val="-81"/>
        </w:rPr>
        <w:t> </w:t>
      </w:r>
      <w:r>
        <w:rPr>
          <w:spacing w:val="-81"/>
        </w:rPr>
      </w:r>
      <w:r>
        <w:rPr/>
        <w:t>理助理。现任本公司副总经理。其担任本公司副总经理的任期为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 </w:t>
      </w:r>
      <w:r>
        <w:rPr/>
        <w:t>月至 </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1 </w:t>
      </w:r>
      <w:r>
        <w:rPr/>
        <w:t>月。</w:t>
      </w:r>
    </w:p>
    <w:p>
      <w:pPr>
        <w:pStyle w:val="BodyText"/>
        <w:spacing w:line="292" w:lineRule="auto" w:before="146"/>
        <w:ind w:left="139" w:right="216" w:firstLine="420"/>
        <w:jc w:val="both"/>
      </w:pPr>
      <w:r>
        <w:rPr/>
        <w:t>李叶东先生，中国国籍，</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t>岁，本科学历。曾任合肥天鹅空调器科技有限公司助理工 </w:t>
      </w:r>
      <w:r>
        <w:rPr>
          <w:spacing w:val="-3"/>
        </w:rPr>
        <w:t>程师，东莞大同机械有限公司工程部副经理，顺德科达自动化有限公司项目主管，广州神通</w:t>
      </w:r>
      <w:r>
        <w:rPr>
          <w:spacing w:val="-81"/>
        </w:rPr>
        <w:t> </w:t>
      </w:r>
      <w:r>
        <w:rPr>
          <w:spacing w:val="-81"/>
        </w:rPr>
      </w:r>
      <w:r>
        <w:rPr>
          <w:spacing w:val="-3"/>
        </w:rPr>
        <w:t>电信科技有限公司工程师，运通电子硬件工程师、硬件开发部模块组主任、海外客户服务部</w:t>
      </w:r>
      <w:r>
        <w:rPr>
          <w:spacing w:val="-81"/>
        </w:rPr>
        <w:t> </w:t>
      </w:r>
      <w:r>
        <w:rPr>
          <w:spacing w:val="-81"/>
        </w:rPr>
      </w:r>
      <w:r>
        <w:rPr>
          <w:spacing w:val="-3"/>
        </w:rPr>
        <w:t>副经理、经理和公司总经理助理。现任本公司副总经理及运通国际董事。其担任本公司副总</w:t>
      </w:r>
      <w:r>
        <w:rPr>
          <w:spacing w:val="-81"/>
        </w:rPr>
        <w:t> </w:t>
      </w:r>
      <w:r>
        <w:rPr>
          <w:spacing w:val="-81"/>
        </w:rPr>
      </w:r>
      <w:r>
        <w:rPr/>
        <w:t>经理的任期为</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290" w:lineRule="auto" w:before="117"/>
        <w:ind w:left="139" w:right="98" w:firstLine="420"/>
        <w:jc w:val="left"/>
      </w:pPr>
      <w:r>
        <w:rPr>
          <w:spacing w:val="-2"/>
        </w:rPr>
        <w:t>康丰先生，中国国籍，</w:t>
      </w:r>
      <w:r>
        <w:rPr>
          <w:rFonts w:ascii="Times New Roman" w:hAnsi="Times New Roman" w:cs="Times New Roman" w:eastAsia="Times New Roman" w:hint="default"/>
          <w:spacing w:val="-2"/>
        </w:rPr>
        <w:t>37</w:t>
      </w:r>
      <w:r>
        <w:rPr>
          <w:rFonts w:ascii="Times New Roman" w:hAnsi="Times New Roman" w:cs="Times New Roman" w:eastAsia="Times New Roman" w:hint="default"/>
          <w:spacing w:val="5"/>
        </w:rPr>
        <w:t> </w:t>
      </w:r>
      <w:r>
        <w:rPr>
          <w:spacing w:val="-1"/>
        </w:rPr>
        <w:t>岁，硕士研究生学历。曾任飞华电信工程有限公司工程主管，</w:t>
      </w:r>
      <w:r>
        <w:rPr/>
        <w:t> </w:t>
      </w:r>
      <w:r>
        <w:rPr>
          <w:spacing w:val="-3"/>
        </w:rPr>
        <w:t>广电运通软件部经理、总经理助理，现任本公司副总经理、深圳银通董事兼总经理、广州穗</w:t>
      </w:r>
      <w:r>
        <w:rPr>
          <w:spacing w:val="-80"/>
        </w:rPr>
        <w:t> </w:t>
      </w:r>
      <w:r>
        <w:rPr>
          <w:spacing w:val="-80"/>
        </w:rPr>
      </w:r>
      <w:r>
        <w:rPr/>
        <w:t>通、深圳鹏通和江苏保通董事。</w:t>
      </w:r>
    </w:p>
    <w:p>
      <w:pPr>
        <w:pStyle w:val="BodyText"/>
        <w:spacing w:line="292" w:lineRule="auto" w:before="140"/>
        <w:ind w:right="105" w:firstLine="420"/>
        <w:jc w:val="left"/>
      </w:pPr>
      <w:r>
        <w:rPr>
          <w:spacing w:val="-2"/>
        </w:rPr>
        <w:t>蒋春晨先生，中国国籍，</w:t>
      </w:r>
      <w:r>
        <w:rPr>
          <w:rFonts w:ascii="Times New Roman" w:hAnsi="Times New Roman" w:cs="Times New Roman" w:eastAsia="Times New Roman" w:hint="default"/>
          <w:spacing w:val="-2"/>
        </w:rPr>
        <w:t>47</w:t>
      </w:r>
      <w:r>
        <w:rPr>
          <w:rFonts w:ascii="Times New Roman" w:hAnsi="Times New Roman" w:cs="Times New Roman" w:eastAsia="Times New Roman" w:hint="default"/>
          <w:spacing w:val="24"/>
        </w:rPr>
        <w:t> </w:t>
      </w:r>
      <w:r>
        <w:rPr>
          <w:spacing w:val="-2"/>
        </w:rPr>
        <w:t>岁，本科学历，会计师，中国注册会计师协会非执业会员。</w:t>
      </w:r>
      <w:r>
        <w:rPr/>
        <w:t> </w:t>
      </w:r>
      <w:r>
        <w:rPr>
          <w:spacing w:val="-3"/>
        </w:rPr>
        <w:t>曾任江西电视机厂主办会计，赣新电视有限公司财务主管，中国人寿保险公司吉安分公司会</w:t>
      </w:r>
      <w:r>
        <w:rPr>
          <w:spacing w:val="-79"/>
        </w:rPr>
        <w:t> </w:t>
      </w:r>
      <w:r>
        <w:rPr>
          <w:spacing w:val="-79"/>
        </w:rPr>
      </w:r>
      <w:r>
        <w:rPr>
          <w:spacing w:val="-3"/>
        </w:rPr>
        <w:t>计师，广电集团审计师，运通电子财务部经理。现任本公司财务负责人、财务总监，深圳银</w:t>
      </w:r>
      <w:r>
        <w:rPr>
          <w:spacing w:val="-84"/>
        </w:rPr>
        <w:t> </w:t>
      </w:r>
      <w:r>
        <w:rPr>
          <w:spacing w:val="-84"/>
        </w:rPr>
      </w:r>
      <w:r>
        <w:rPr/>
        <w:t>通监事和广州穗通监事。其担任本公司财务负责人（财务总监）的任期为 </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月至</w:t>
      </w:r>
    </w:p>
    <w:p>
      <w:pPr>
        <w:pStyle w:val="BodyText"/>
        <w:spacing w:line="288" w:lineRule="exact"/>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240" w:lineRule="auto" w:before="170"/>
        <w:ind w:left="560" w:right="0"/>
        <w:jc w:val="left"/>
      </w:pPr>
      <w:r>
        <w:rPr/>
        <w:t>任斌女士</w:t>
      </w:r>
      <w:r>
        <w:rPr>
          <w:spacing w:val="-34"/>
        </w:rPr>
        <w:t>，</w:t>
      </w:r>
      <w:r>
        <w:rPr/>
        <w:t>本公司董事会秘书</w:t>
      </w:r>
      <w:r>
        <w:rPr>
          <w:spacing w:val="-34"/>
        </w:rPr>
        <w:t>，</w:t>
      </w:r>
      <w:r>
        <w:rPr/>
        <w:t>简历参阅本年度报</w:t>
      </w:r>
      <w:r>
        <w:rPr>
          <w:spacing w:val="-34"/>
        </w:rPr>
        <w:t>告</w:t>
      </w:r>
      <w:r>
        <w:rPr/>
        <w:t>“第四节</w:t>
      </w:r>
      <w:r>
        <w:rPr>
          <w:spacing w:val="-33"/>
        </w:rPr>
        <w:t>、</w:t>
      </w:r>
      <w:r>
        <w:rPr/>
        <w:t>一</w:t>
      </w:r>
      <w:r>
        <w:rPr>
          <w:spacing w:val="-138"/>
        </w:rPr>
        <w:t>、</w:t>
      </w:r>
      <w:r>
        <w:rPr/>
        <w:t>（四</w:t>
      </w:r>
      <w:r>
        <w:rPr>
          <w:spacing w:val="-34"/>
        </w:rPr>
        <w:t>）</w:t>
      </w:r>
      <w:r>
        <w:rPr/>
        <w:t>董事会成员</w:t>
      </w:r>
      <w:r>
        <w:rPr>
          <w:spacing w:val="-105"/>
        </w:rPr>
        <w:t>”</w:t>
      </w:r>
      <w:r>
        <w:rPr/>
        <w:t>。</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455" w:right="128"/>
        <w:jc w:val="left"/>
      </w:pPr>
      <w:r>
        <w:rPr/>
        <w:t>（五）报告期内董事、监事、高级管理人员变动情况</w:t>
      </w:r>
    </w:p>
    <w:p>
      <w:pPr>
        <w:spacing w:line="240" w:lineRule="auto" w:before="3"/>
        <w:rPr>
          <w:rFonts w:ascii="宋体" w:hAnsi="宋体" w:cs="宋体" w:eastAsia="宋体" w:hint="default"/>
          <w:sz w:val="14"/>
          <w:szCs w:val="14"/>
        </w:rPr>
      </w:pPr>
    </w:p>
    <w:p>
      <w:pPr>
        <w:pStyle w:val="BodyText"/>
        <w:spacing w:line="280" w:lineRule="auto"/>
        <w:ind w:left="139" w:right="126"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日，公司召开第二届董事会第七次会议，审议通过了《关于聘任康丰先 </w:t>
      </w:r>
      <w:r>
        <w:rPr>
          <w:spacing w:val="-4"/>
        </w:rPr>
        <w:t>生为公司副总经理的议案》，同意公司聘任康丰先生为副总经理。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ind w:right="128"/>
        <w:jc w:val="left"/>
        <w:rPr>
          <w:b w:val="0"/>
          <w:bCs w:val="0"/>
        </w:rPr>
      </w:pPr>
      <w:r>
        <w:rPr/>
        <w:t>二、公司员工情况</w:t>
      </w:r>
      <w:r>
        <w:rPr>
          <w:b w:val="0"/>
          <w:bCs w:val="0"/>
        </w:rPr>
      </w:r>
    </w:p>
    <w:p>
      <w:pPr>
        <w:pStyle w:val="BodyText"/>
        <w:spacing w:line="280" w:lineRule="auto" w:before="120"/>
        <w:ind w:right="131" w:firstLine="419"/>
        <w:jc w:val="left"/>
      </w:pPr>
      <w:r>
        <w:rPr>
          <w:rFonts w:ascii="Times New Roman" w:hAnsi="Times New Roman" w:cs="Times New Roman" w:eastAsia="Times New Roman" w:hint="default"/>
        </w:rPr>
        <w:t>1</w:t>
      </w:r>
      <w:r>
        <w:rPr/>
        <w:t>、截至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日，与公司签订正式劳动用工合同的员工人数为</w:t>
      </w:r>
      <w:r>
        <w:rPr>
          <w:spacing w:val="-51"/>
        </w:rPr>
        <w:t> </w:t>
      </w:r>
      <w:r>
        <w:rPr>
          <w:rFonts w:ascii="Times New Roman" w:hAnsi="Times New Roman" w:cs="Times New Roman" w:eastAsia="Times New Roman" w:hint="default"/>
          <w:spacing w:val="-3"/>
        </w:rPr>
        <w:t>1196</w:t>
      </w:r>
      <w:r>
        <w:rPr>
          <w:rFonts w:ascii="Times New Roman" w:hAnsi="Times New Roman" w:cs="Times New Roman" w:eastAsia="Times New Roman" w:hint="default"/>
          <w:spacing w:val="2"/>
        </w:rPr>
        <w:t> </w:t>
      </w:r>
      <w:r>
        <w:rPr/>
        <w:t>人（不 </w:t>
      </w:r>
      <w:r>
        <w:rPr>
          <w:spacing w:val="-6"/>
        </w:rPr>
        <w:t>含子公司）。其专业构成、教育程度情况如下：</w:t>
      </w:r>
    </w:p>
    <w:p>
      <w:pPr>
        <w:spacing w:line="240" w:lineRule="auto" w:before="3"/>
        <w:rPr>
          <w:rFonts w:ascii="宋体" w:hAnsi="宋体" w:cs="宋体" w:eastAsia="宋体" w:hint="default"/>
          <w:sz w:val="14"/>
          <w:szCs w:val="14"/>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4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61"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61" w:lineRule="exact"/>
              <w:ind w:left="98" w:right="-7"/>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77"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4" w:hRule="exact"/>
        </w:trPr>
        <w:tc>
          <w:tcPr>
            <w:tcW w:w="1160" w:type="dxa"/>
            <w:vMerge w:val="restart"/>
            <w:tcBorders>
              <w:top w:val="single" w:sz="8"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16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451</w:t>
            </w:r>
          </w:p>
        </w:tc>
        <w:tc>
          <w:tcPr>
            <w:tcW w:w="2479" w:type="dxa"/>
            <w:tcBorders>
              <w:top w:val="single" w:sz="8" w:space="0" w:color="C0C0C0"/>
              <w:left w:val="single" w:sz="8" w:space="0" w:color="000000"/>
              <w:bottom w:val="single" w:sz="8" w:space="0" w:color="000000"/>
              <w:right w:val="single" w:sz="12" w:space="0" w:color="000000"/>
            </w:tcBorders>
          </w:tcPr>
          <w:p>
            <w:pPr>
              <w:pStyle w:val="TableParagraph"/>
              <w:spacing w:line="240" w:lineRule="auto" w:before="80"/>
              <w:ind w:left="7" w:right="0"/>
              <w:jc w:val="center"/>
              <w:rPr>
                <w:rFonts w:ascii="Times New Roman" w:hAnsi="Times New Roman" w:cs="Times New Roman" w:eastAsia="Times New Roman" w:hint="default"/>
                <w:sz w:val="21"/>
                <w:szCs w:val="21"/>
              </w:rPr>
            </w:pPr>
            <w:r>
              <w:rPr>
                <w:rFonts w:ascii="Times New Roman"/>
                <w:sz w:val="21"/>
              </w:rPr>
              <w:t>37.71</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185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15.47</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403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33.70</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海外技术人员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53</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4.43</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14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1.17</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90</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7.53</w:t>
            </w:r>
          </w:p>
        </w:tc>
      </w:tr>
      <w:tr>
        <w:trPr>
          <w:trHeight w:val="320"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pacing w:val="-4"/>
                <w:sz w:val="21"/>
              </w:rPr>
              <w:t>1196</w:t>
            </w:r>
            <w:r>
              <w:rPr>
                <w:rFonts w:ascii="Times New Roman"/>
                <w:spacing w:val="-4"/>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19"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124</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10.37</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702</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58.7</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350</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29.26</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20</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1.67</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pacing w:val="-4"/>
                <w:sz w:val="21"/>
              </w:rPr>
              <w:t>1196</w:t>
            </w:r>
            <w:r>
              <w:rPr>
                <w:rFonts w:ascii="Times New Roman"/>
                <w:spacing w:val="-4"/>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5"/>
        <w:ind w:left="560" w:right="128"/>
        <w:jc w:val="left"/>
      </w:pPr>
      <w:r>
        <w:rPr/>
        <w:t>公司没有需承担费用的离退休职工。</w:t>
      </w:r>
    </w:p>
    <w:p>
      <w:pPr>
        <w:spacing w:line="240" w:lineRule="auto" w:before="5"/>
        <w:rPr>
          <w:rFonts w:ascii="宋体" w:hAnsi="宋体" w:cs="宋体" w:eastAsia="宋体" w:hint="default"/>
          <w:sz w:val="27"/>
          <w:szCs w:val="27"/>
        </w:rPr>
      </w:pPr>
    </w:p>
    <w:p>
      <w:pPr>
        <w:pStyle w:val="BodyText"/>
        <w:spacing w:line="240" w:lineRule="auto"/>
        <w:ind w:left="560" w:right="97"/>
        <w:jc w:val="left"/>
      </w:pPr>
      <w:r>
        <w:rPr>
          <w:rFonts w:ascii="Times New Roman" w:hAnsi="Times New Roman" w:cs="Times New Roman" w:eastAsia="Times New Roman" w:hint="default"/>
          <w:spacing w:val="-12"/>
        </w:rPr>
        <w:t>2</w:t>
      </w:r>
      <w:r>
        <w:rPr>
          <w:spacing w:val="-12"/>
        </w:rPr>
        <w:t>、截至</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日，与公司全资子公司深圳银通签订正式劳动用工合同的员工</w:t>
      </w:r>
    </w:p>
    <w:p>
      <w:pPr>
        <w:pStyle w:val="BodyText"/>
        <w:spacing w:line="240" w:lineRule="auto" w:before="50"/>
        <w:ind w:right="128"/>
        <w:jc w:val="left"/>
      </w:pPr>
      <w:r>
        <w:rPr/>
        <w:t>人数为</w:t>
      </w:r>
      <w:r>
        <w:rPr>
          <w:spacing w:val="-54"/>
        </w:rPr>
        <w:t> </w:t>
      </w:r>
      <w:r>
        <w:rPr>
          <w:rFonts w:ascii="Times New Roman" w:hAnsi="Times New Roman" w:cs="Times New Roman" w:eastAsia="Times New Roman" w:hint="default"/>
        </w:rPr>
        <w:t>1686</w:t>
      </w:r>
      <w:r>
        <w:rPr>
          <w:rFonts w:ascii="Times New Roman" w:hAnsi="Times New Roman" w:cs="Times New Roman" w:eastAsia="Times New Roman" w:hint="default"/>
          <w:spacing w:val="-2"/>
        </w:rPr>
        <w:t> </w:t>
      </w:r>
      <w:r>
        <w:rPr/>
        <w:t>人。其专业构成、教育程度情况如下：</w:t>
      </w:r>
    </w:p>
    <w:p>
      <w:pPr>
        <w:spacing w:line="240" w:lineRule="auto" w:before="6"/>
        <w:rPr>
          <w:rFonts w:ascii="宋体" w:hAnsi="宋体" w:cs="宋体" w:eastAsia="宋体" w:hint="default"/>
          <w:sz w:val="16"/>
          <w:szCs w:val="16"/>
        </w:rPr>
      </w:pPr>
    </w:p>
    <w:tbl>
      <w:tblPr>
        <w:tblW w:w="0" w:type="auto"/>
        <w:jc w:val="left"/>
        <w:tblInd w:w="1118" w:type="dxa"/>
        <w:tblLayout w:type="fixed"/>
        <w:tblCellMar>
          <w:top w:w="0" w:type="dxa"/>
          <w:left w:w="0" w:type="dxa"/>
          <w:bottom w:w="0" w:type="dxa"/>
          <w:right w:w="0" w:type="dxa"/>
        </w:tblCellMar>
        <w:tblLook w:val="01E0"/>
      </w:tblPr>
      <w:tblGrid>
        <w:gridCol w:w="1160"/>
        <w:gridCol w:w="1520"/>
        <w:gridCol w:w="1160"/>
        <w:gridCol w:w="2479"/>
      </w:tblGrid>
      <w:tr>
        <w:trPr>
          <w:trHeight w:val="331" w:hRule="exact"/>
        </w:trPr>
        <w:tc>
          <w:tcPr>
            <w:tcW w:w="1160" w:type="dxa"/>
            <w:tcBorders>
              <w:top w:val="single" w:sz="12" w:space="0" w:color="000000"/>
              <w:left w:val="single" w:sz="12" w:space="0" w:color="000000"/>
              <w:bottom w:val="single" w:sz="17" w:space="0" w:color="000000"/>
              <w:right w:val="single" w:sz="8" w:space="0" w:color="000000"/>
            </w:tcBorders>
            <w:shd w:val="clear" w:color="auto" w:fill="C0C0C0"/>
          </w:tcPr>
          <w:p>
            <w:pPr>
              <w:pStyle w:val="TableParagraph"/>
              <w:spacing w:line="250" w:lineRule="exact"/>
              <w:ind w:left="145"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52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1160" w:type="dxa"/>
            <w:tcBorders>
              <w:top w:val="single" w:sz="12" w:space="0" w:color="000000"/>
              <w:left w:val="single" w:sz="8" w:space="0" w:color="000000"/>
              <w:bottom w:val="single" w:sz="17" w:space="0" w:color="000000"/>
              <w:right w:val="single" w:sz="8" w:space="0" w:color="000000"/>
            </w:tcBorders>
            <w:shd w:val="clear" w:color="auto" w:fill="C0C0C0"/>
          </w:tcPr>
          <w:p>
            <w:pPr>
              <w:pStyle w:val="TableParagraph"/>
              <w:spacing w:line="250" w:lineRule="exact"/>
              <w:ind w:left="98" w:right="-7"/>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79" w:type="dxa"/>
            <w:tcBorders>
              <w:top w:val="single" w:sz="12" w:space="0" w:color="000000"/>
              <w:left w:val="single" w:sz="8" w:space="0" w:color="000000"/>
              <w:bottom w:val="single" w:sz="17" w:space="0" w:color="000000"/>
              <w:right w:val="single" w:sz="12" w:space="0" w:color="000000"/>
            </w:tcBorders>
            <w:shd w:val="clear" w:color="auto" w:fill="C0C0C0"/>
          </w:tcPr>
          <w:p>
            <w:pPr>
              <w:pStyle w:val="TableParagraph"/>
              <w:spacing w:line="266" w:lineRule="exact"/>
              <w:ind w:left="51" w:right="0"/>
              <w:jc w:val="center"/>
              <w:rPr>
                <w:rFonts w:ascii="宋体" w:hAnsi="宋体" w:cs="宋体" w:eastAsia="宋体" w:hint="default"/>
                <w:sz w:val="21"/>
                <w:szCs w:val="21"/>
              </w:rPr>
            </w:pPr>
            <w:r>
              <w:rPr>
                <w:rFonts w:ascii="宋体" w:hAnsi="宋体" w:cs="宋体" w:eastAsia="宋体" w:hint="default"/>
                <w:sz w:val="21"/>
                <w:szCs w:val="21"/>
              </w:rPr>
              <w:t>占公司总人数比例（</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w:t>
            </w:r>
          </w:p>
        </w:tc>
      </w:tr>
      <w:tr>
        <w:trPr>
          <w:trHeight w:val="343" w:hRule="exact"/>
        </w:trPr>
        <w:tc>
          <w:tcPr>
            <w:tcW w:w="1160" w:type="dxa"/>
            <w:vMerge w:val="restart"/>
            <w:tcBorders>
              <w:top w:val="single" w:sz="8" w:space="0" w:color="C0C0C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45"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52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160" w:type="dxa"/>
            <w:tcBorders>
              <w:top w:val="single" w:sz="8" w:space="0" w:color="C0C0C0"/>
              <w:left w:val="single" w:sz="8" w:space="0" w:color="000000"/>
              <w:bottom w:val="single" w:sz="8" w:space="0" w:color="000000"/>
              <w:right w:val="single" w:sz="8"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109</w:t>
            </w:r>
          </w:p>
        </w:tc>
        <w:tc>
          <w:tcPr>
            <w:tcW w:w="2479" w:type="dxa"/>
            <w:tcBorders>
              <w:top w:val="single" w:sz="8" w:space="0" w:color="C0C0C0"/>
              <w:left w:val="single" w:sz="8" w:space="0" w:color="000000"/>
              <w:bottom w:val="single" w:sz="8" w:space="0" w:color="000000"/>
              <w:right w:val="single" w:sz="12" w:space="0" w:color="000000"/>
            </w:tcBorders>
          </w:tcPr>
          <w:p>
            <w:pPr>
              <w:pStyle w:val="TableParagraph"/>
              <w:spacing w:line="240" w:lineRule="auto" w:before="80"/>
              <w:ind w:left="6" w:right="0"/>
              <w:jc w:val="center"/>
              <w:rPr>
                <w:rFonts w:ascii="Times New Roman" w:hAnsi="Times New Roman" w:cs="Times New Roman" w:eastAsia="Times New Roman" w:hint="default"/>
                <w:sz w:val="21"/>
                <w:szCs w:val="21"/>
              </w:rPr>
            </w:pPr>
            <w:r>
              <w:rPr>
                <w:rFonts w:ascii="Times New Roman"/>
                <w:sz w:val="21"/>
              </w:rPr>
              <w:t>6.47</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91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5.40</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营运人员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67</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3.97</w:t>
            </w:r>
          </w:p>
        </w:tc>
      </w:tr>
      <w:tr>
        <w:trPr>
          <w:trHeight w:val="319"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市场人员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29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1.72</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全外包人员</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81</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4.80</w:t>
            </w:r>
          </w:p>
        </w:tc>
      </w:tr>
      <w:tr>
        <w:trPr>
          <w:trHeight w:val="32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服务工程师</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1309</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7" w:right="0"/>
              <w:jc w:val="center"/>
              <w:rPr>
                <w:rFonts w:ascii="Times New Roman" w:hAnsi="Times New Roman" w:cs="Times New Roman" w:eastAsia="Times New Roman" w:hint="default"/>
                <w:sz w:val="21"/>
                <w:szCs w:val="21"/>
              </w:rPr>
            </w:pPr>
            <w:r>
              <w:rPr>
                <w:rFonts w:ascii="Times New Roman"/>
                <w:sz w:val="21"/>
              </w:rPr>
              <w:t>77.64</w:t>
            </w:r>
          </w:p>
        </w:tc>
      </w:tr>
      <w:tr>
        <w:trPr>
          <w:trHeight w:val="319" w:hRule="exact"/>
        </w:trPr>
        <w:tc>
          <w:tcPr>
            <w:tcW w:w="1160" w:type="dxa"/>
            <w:vMerge/>
            <w:tcBorders>
              <w:left w:val="single" w:sz="12" w:space="0" w:color="000000"/>
              <w:bottom w:val="single" w:sz="8"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b/>
                <w:sz w:val="21"/>
              </w:rPr>
              <w:t>1686</w:t>
            </w:r>
            <w:r>
              <w:rPr>
                <w:rFonts w:ascii="Times New Roman"/>
                <w:sz w:val="21"/>
              </w:rPr>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8"/>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320" w:hRule="exact"/>
        </w:trPr>
        <w:tc>
          <w:tcPr>
            <w:tcW w:w="1160" w:type="dxa"/>
            <w:vMerge w:val="restart"/>
            <w:tcBorders>
              <w:top w:val="single" w:sz="8" w:space="0" w:color="000000"/>
              <w:left w:val="single" w:sz="12"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Times New Roman" w:hAnsi="Times New Roman" w:cs="Times New Roman" w:eastAsia="Times New Roman" w:hint="default"/>
                <w:sz w:val="21"/>
                <w:szCs w:val="21"/>
              </w:rPr>
            </w:pPr>
            <w:r>
              <w:rPr>
                <w:rFonts w:ascii="Times New Roman"/>
                <w:sz w:val="21"/>
              </w:rPr>
              <w:t>5</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57"/>
              <w:ind w:left="6" w:right="0"/>
              <w:jc w:val="center"/>
              <w:rPr>
                <w:rFonts w:ascii="Times New Roman" w:hAnsi="Times New Roman" w:cs="Times New Roman" w:eastAsia="Times New Roman" w:hint="default"/>
                <w:sz w:val="21"/>
                <w:szCs w:val="21"/>
              </w:rPr>
            </w:pPr>
            <w:r>
              <w:rPr>
                <w:rFonts w:ascii="Times New Roman"/>
                <w:sz w:val="21"/>
              </w:rPr>
              <w:t>0.30</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本科及大专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1528</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7" w:right="0"/>
              <w:jc w:val="center"/>
              <w:rPr>
                <w:rFonts w:ascii="Times New Roman" w:hAnsi="Times New Roman" w:cs="Times New Roman" w:eastAsia="Times New Roman" w:hint="default"/>
                <w:sz w:val="21"/>
                <w:szCs w:val="21"/>
              </w:rPr>
            </w:pPr>
            <w:r>
              <w:rPr>
                <w:rFonts w:ascii="Times New Roman"/>
                <w:sz w:val="21"/>
              </w:rPr>
              <w:t>90.63</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147</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8.72</w:t>
            </w:r>
          </w:p>
        </w:tc>
      </w:tr>
      <w:tr>
        <w:trPr>
          <w:trHeight w:val="330" w:hRule="exact"/>
        </w:trPr>
        <w:tc>
          <w:tcPr>
            <w:tcW w:w="1160" w:type="dxa"/>
            <w:vMerge/>
            <w:tcBorders>
              <w:left w:val="single" w:sz="12" w:space="0" w:color="000000"/>
              <w:right w:val="single" w:sz="8" w:space="0" w:color="000000"/>
            </w:tcBorders>
          </w:tcPr>
          <w:p>
            <w:pPr/>
          </w:p>
        </w:tc>
        <w:tc>
          <w:tcPr>
            <w:tcW w:w="1520"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中专以下</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Times New Roman" w:hAnsi="Times New Roman" w:cs="Times New Roman" w:eastAsia="Times New Roman" w:hint="default"/>
                <w:sz w:val="21"/>
                <w:szCs w:val="21"/>
              </w:rPr>
            </w:pPr>
            <w:r>
              <w:rPr>
                <w:rFonts w:ascii="Times New Roman"/>
                <w:sz w:val="21"/>
              </w:rPr>
              <w:t>6</w:t>
            </w:r>
          </w:p>
        </w:tc>
        <w:tc>
          <w:tcPr>
            <w:tcW w:w="247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68"/>
              <w:ind w:left="6" w:right="0"/>
              <w:jc w:val="center"/>
              <w:rPr>
                <w:rFonts w:ascii="Times New Roman" w:hAnsi="Times New Roman" w:cs="Times New Roman" w:eastAsia="Times New Roman" w:hint="default"/>
                <w:sz w:val="21"/>
                <w:szCs w:val="21"/>
              </w:rPr>
            </w:pPr>
            <w:r>
              <w:rPr>
                <w:rFonts w:ascii="Times New Roman"/>
                <w:sz w:val="21"/>
              </w:rPr>
              <w:t>0.35</w:t>
            </w:r>
          </w:p>
        </w:tc>
      </w:tr>
      <w:tr>
        <w:trPr>
          <w:trHeight w:val="335" w:hRule="exact"/>
        </w:trPr>
        <w:tc>
          <w:tcPr>
            <w:tcW w:w="1160" w:type="dxa"/>
            <w:vMerge/>
            <w:tcBorders>
              <w:left w:val="single" w:sz="12" w:space="0" w:color="000000"/>
              <w:bottom w:val="single" w:sz="12" w:space="0" w:color="000000"/>
              <w:right w:val="single" w:sz="8" w:space="0" w:color="000000"/>
            </w:tcBorders>
          </w:tcPr>
          <w:p>
            <w:pPr/>
          </w:p>
        </w:tc>
        <w:tc>
          <w:tcPr>
            <w:tcW w:w="1520" w:type="dxa"/>
            <w:tcBorders>
              <w:top w:val="single" w:sz="8" w:space="0" w:color="000000"/>
              <w:left w:val="single" w:sz="8" w:space="0" w:color="000000"/>
              <w:bottom w:val="single" w:sz="12" w:space="0" w:color="000000"/>
              <w:right w:val="single" w:sz="8"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6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b/>
                <w:sz w:val="21"/>
              </w:rPr>
              <w:t>1686</w:t>
            </w:r>
            <w:r>
              <w:rPr>
                <w:rFonts w:ascii="Times New Roman"/>
                <w:sz w:val="21"/>
              </w:rPr>
            </w:r>
          </w:p>
        </w:tc>
        <w:tc>
          <w:tcPr>
            <w:tcW w:w="247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69"/>
              <w:ind w:left="5" w:right="0"/>
              <w:jc w:val="center"/>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1"/>
        <w:rPr>
          <w:rFonts w:ascii="宋体" w:hAnsi="宋体" w:cs="宋体" w:eastAsia="宋体" w:hint="default"/>
          <w:sz w:val="13"/>
          <w:szCs w:val="13"/>
        </w:rPr>
      </w:pPr>
    </w:p>
    <w:p>
      <w:pPr>
        <w:pStyle w:val="BodyText"/>
        <w:spacing w:line="240" w:lineRule="auto" w:before="35"/>
        <w:ind w:left="561" w:right="128"/>
        <w:jc w:val="left"/>
      </w:pPr>
      <w:r>
        <w:rPr/>
        <w:t>深圳银通公司没有需承担费用的离退休职工。</w:t>
      </w:r>
    </w:p>
    <w:p>
      <w:pPr>
        <w:spacing w:after="0" w:line="240" w:lineRule="auto"/>
        <w:jc w:val="left"/>
        <w:sectPr>
          <w:pgSz w:w="11910" w:h="16840"/>
          <w:pgMar w:header="400"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left="2957" w:right="0"/>
        <w:jc w:val="left"/>
        <w:rPr>
          <w:b w:val="0"/>
          <w:bCs w:val="0"/>
        </w:rPr>
      </w:pPr>
      <w:bookmarkStart w:name="_TOC_250006" w:id="5"/>
      <w:r>
        <w:rPr/>
        <w:t>第五节</w:t>
      </w:r>
      <w:r>
        <w:rPr>
          <w:spacing w:val="-5"/>
        </w:rPr>
        <w:t> </w:t>
      </w:r>
      <w:r>
        <w:rPr/>
        <w:t>公司治理结构</w:t>
      </w:r>
      <w:bookmarkEnd w:id="5"/>
      <w:r>
        <w:rPr>
          <w:b w:val="0"/>
          <w:bCs w:val="0"/>
        </w:rPr>
      </w:r>
    </w:p>
    <w:p>
      <w:pPr>
        <w:spacing w:line="240" w:lineRule="auto" w:before="7"/>
        <w:rPr>
          <w:rFonts w:ascii="宋体" w:hAnsi="宋体" w:cs="宋体" w:eastAsia="宋体" w:hint="default"/>
          <w:b/>
          <w:bCs/>
          <w:sz w:val="38"/>
          <w:szCs w:val="38"/>
        </w:rPr>
      </w:pPr>
    </w:p>
    <w:p>
      <w:pPr>
        <w:pStyle w:val="Heading3"/>
        <w:spacing w:line="240" w:lineRule="auto"/>
        <w:ind w:right="0"/>
        <w:jc w:val="left"/>
        <w:rPr>
          <w:b w:val="0"/>
          <w:bCs w:val="0"/>
        </w:rPr>
      </w:pPr>
      <w:r>
        <w:rPr/>
        <w:t>一、公司治理情况</w:t>
      </w:r>
      <w:r>
        <w:rPr>
          <w:b w:val="0"/>
          <w:bCs w:val="0"/>
        </w:rPr>
      </w:r>
    </w:p>
    <w:p>
      <w:pPr>
        <w:pStyle w:val="BodyText"/>
        <w:spacing w:line="297" w:lineRule="auto" w:before="120"/>
        <w:ind w:right="217" w:firstLine="420"/>
        <w:jc w:val="both"/>
      </w:pPr>
      <w:r>
        <w:rPr>
          <w:spacing w:val="-18"/>
        </w:rPr>
        <w:t>报告期内，公司严格按照《公司法》、《证券法》、《上市公司治理准则》、《深圳证券交易</w:t>
      </w:r>
      <w:r>
        <w:rPr/>
        <w:t> </w:t>
      </w:r>
      <w:r>
        <w:rPr>
          <w:spacing w:val="-3"/>
        </w:rPr>
        <w:t>所股票上市规则》和其他相关法律、法规的有关规定，不断完善法人治理结构，建立和健全</w:t>
      </w:r>
      <w:r>
        <w:rPr>
          <w:spacing w:val="-80"/>
        </w:rPr>
        <w:t> </w:t>
      </w:r>
      <w:r>
        <w:rPr>
          <w:spacing w:val="-80"/>
        </w:rPr>
      </w:r>
      <w:r>
        <w:rPr/>
        <w:t>内部控制体系，规范公司运作；三会各司其职，相互制约，保证公司高效运转。</w:t>
      </w:r>
    </w:p>
    <w:p>
      <w:pPr>
        <w:pStyle w:val="BodyText"/>
        <w:spacing w:line="297" w:lineRule="auto" w:before="135"/>
        <w:ind w:right="215" w:firstLine="420"/>
        <w:jc w:val="both"/>
      </w:pPr>
      <w:r>
        <w:rPr>
          <w:spacing w:val="-3"/>
        </w:rPr>
        <w:t>报告期内，按照中国证监会、深圳证券交易所、广东监管局的要求，结合公司自身发展</w:t>
      </w:r>
      <w:r>
        <w:rPr/>
        <w:t> </w:t>
      </w:r>
      <w:r>
        <w:rPr>
          <w:spacing w:val="-8"/>
        </w:rPr>
        <w:t>需要，公司制定了《公司风险投资管理制度》、《公司远期结售汇业务、人民币外汇掉期业务</w:t>
      </w:r>
      <w:r>
        <w:rPr>
          <w:spacing w:val="-83"/>
        </w:rPr>
        <w:t> </w:t>
      </w:r>
      <w:r>
        <w:rPr>
          <w:spacing w:val="-83"/>
        </w:rPr>
      </w:r>
      <w:r>
        <w:rPr>
          <w:spacing w:val="-8"/>
        </w:rPr>
        <w:t>内部控制制度》、《公司内幕信息知情人备案管理制度》和《公司年报信息披露重大差错责任</w:t>
      </w:r>
      <w:r>
        <w:rPr>
          <w:spacing w:val="-84"/>
        </w:rPr>
        <w:t> </w:t>
      </w:r>
      <w:r>
        <w:rPr>
          <w:spacing w:val="-84"/>
        </w:rPr>
      </w:r>
      <w:r>
        <w:rPr>
          <w:spacing w:val="-8"/>
        </w:rPr>
        <w:t>追究制度》，修订了《公司内部会计控制制度》和《公司章程》，进一步从制度上保障公司规</w:t>
      </w:r>
      <w:r>
        <w:rPr>
          <w:spacing w:val="-87"/>
        </w:rPr>
        <w:t> </w:t>
      </w:r>
      <w:r>
        <w:rPr>
          <w:spacing w:val="-87"/>
        </w:rPr>
      </w:r>
      <w:r>
        <w:rPr/>
        <w:t>范运作。</w:t>
      </w:r>
    </w:p>
    <w:p>
      <w:pPr>
        <w:pStyle w:val="BodyText"/>
        <w:spacing w:line="297" w:lineRule="auto" w:before="135"/>
        <w:ind w:right="215" w:firstLine="420"/>
        <w:jc w:val="both"/>
      </w:pPr>
      <w:r>
        <w:rPr>
          <w:spacing w:val="-3"/>
        </w:rPr>
        <w:t>截至报告期末，公司治理实际情况基本符合中国证监会发布的有关上市公司治理的规范</w:t>
      </w:r>
      <w:r>
        <w:rPr/>
        <w:t> 性文件的要求。</w:t>
      </w:r>
    </w:p>
    <w:p>
      <w:pPr>
        <w:pStyle w:val="BodyText"/>
        <w:spacing w:line="295" w:lineRule="auto" w:before="135"/>
        <w:ind w:right="0" w:firstLine="419"/>
        <w:jc w:val="left"/>
      </w:pPr>
      <w:r>
        <w:rPr>
          <w:rFonts w:ascii="Times New Roman" w:hAnsi="Times New Roman" w:cs="Times New Roman" w:eastAsia="Times New Roman" w:hint="default"/>
          <w:spacing w:val="-11"/>
        </w:rPr>
        <w:t>1</w:t>
      </w:r>
      <w:r>
        <w:rPr>
          <w:spacing w:val="-11"/>
        </w:rPr>
        <w:t>、关于股东与股东大会：公司严格按照《公司法》、《上市公司股东大会规则》、《公司</w:t>
      </w:r>
      <w:r>
        <w:rPr/>
        <w:t> </w:t>
      </w:r>
      <w:r>
        <w:rPr>
          <w:spacing w:val="-6"/>
        </w:rPr>
        <w:t>股东大会议事规则》、《公司章程》以及深交所中小企业板有关规定和要求，股东大会召集、</w:t>
      </w:r>
      <w:r>
        <w:rPr>
          <w:spacing w:val="-71"/>
        </w:rPr>
        <w:t> </w:t>
      </w:r>
      <w:r>
        <w:rPr>
          <w:spacing w:val="-71"/>
        </w:rPr>
      </w:r>
      <w:r>
        <w:rPr>
          <w:spacing w:val="-3"/>
        </w:rPr>
        <w:t>召开、表决等程序合法、合规，平等对待所有股东，确保所有股东特别是中小股东享有平等</w:t>
      </w:r>
      <w:r>
        <w:rPr>
          <w:spacing w:val="-80"/>
        </w:rPr>
        <w:t> </w:t>
      </w:r>
      <w:r>
        <w:rPr>
          <w:spacing w:val="-80"/>
        </w:rPr>
      </w:r>
      <w:r>
        <w:rPr>
          <w:spacing w:val="-3"/>
        </w:rPr>
        <w:t>地位和充分行使股东的权利。公司还通过投资者关系管理网络平台、热线电话等形式，保证</w:t>
      </w:r>
      <w:r>
        <w:rPr>
          <w:spacing w:val="-81"/>
        </w:rPr>
        <w:t> </w:t>
      </w:r>
      <w:r>
        <w:rPr>
          <w:spacing w:val="-81"/>
        </w:rPr>
      </w:r>
      <w:r>
        <w:rPr>
          <w:spacing w:val="-3"/>
        </w:rPr>
        <w:t>了与中小股东信息交流的畅通和公平性。报告期内，公司召开的股东大会均由董事会召集召</w:t>
      </w:r>
      <w:r>
        <w:rPr>
          <w:spacing w:val="-79"/>
        </w:rPr>
        <w:t> </w:t>
      </w:r>
      <w:r>
        <w:rPr>
          <w:spacing w:val="-79"/>
        </w:rPr>
      </w:r>
      <w:r>
        <w:rPr>
          <w:spacing w:val="-3"/>
        </w:rPr>
        <w:t>开。自公司上市以来，公司股东大会均按照《股东大会议事规则》和《公司章程》等有关规</w:t>
      </w:r>
      <w:r>
        <w:rPr>
          <w:spacing w:val="-81"/>
        </w:rPr>
        <w:t> </w:t>
      </w:r>
      <w:r>
        <w:rPr>
          <w:spacing w:val="-81"/>
        </w:rPr>
      </w:r>
      <w:r>
        <w:rPr>
          <w:spacing w:val="-5"/>
        </w:rPr>
        <w:t>定由见证律师进行了现场见证并出具了《法律意见书》。</w:t>
      </w:r>
    </w:p>
    <w:p>
      <w:pPr>
        <w:pStyle w:val="BodyText"/>
        <w:spacing w:line="292" w:lineRule="auto" w:before="137"/>
        <w:ind w:right="0" w:firstLine="420"/>
        <w:jc w:val="left"/>
      </w:pPr>
      <w:r>
        <w:rPr>
          <w:rFonts w:ascii="Times New Roman" w:hAnsi="Times New Roman" w:cs="Times New Roman" w:eastAsia="Times New Roman" w:hint="default"/>
          <w:spacing w:val="-3"/>
        </w:rPr>
        <w:t>2</w:t>
      </w:r>
      <w:r>
        <w:rPr>
          <w:spacing w:val="-3"/>
        </w:rPr>
        <w:t>、关于公司与控股股东：公司拥有独立的业务和经营自主能力，在业务、人员、资产、</w:t>
      </w:r>
      <w:r>
        <w:rPr/>
        <w:t> </w:t>
      </w:r>
      <w:r>
        <w:rPr>
          <w:spacing w:val="-3"/>
        </w:rPr>
        <w:t>机构、财务上独立于控股股东，公司董事会、监事会和内部经营机构能够独立运作；公司控</w:t>
      </w:r>
      <w:r>
        <w:rPr>
          <w:spacing w:val="-80"/>
        </w:rPr>
        <w:t> </w:t>
      </w:r>
      <w:r>
        <w:rPr>
          <w:spacing w:val="-80"/>
        </w:rPr>
      </w:r>
      <w:r>
        <w:rPr>
          <w:spacing w:val="-3"/>
        </w:rPr>
        <w:t>股股东严格规范自己的行为，依法行使股东权利，没有超越公司股东大会直接或间接干预公</w:t>
      </w:r>
      <w:r>
        <w:rPr>
          <w:spacing w:val="-79"/>
        </w:rPr>
        <w:t> </w:t>
      </w:r>
      <w:r>
        <w:rPr>
          <w:spacing w:val="-79"/>
        </w:rPr>
      </w:r>
      <w:r>
        <w:rPr>
          <w:spacing w:val="-3"/>
        </w:rPr>
        <w:t>司的决策和经营活动；此外，公司不存在控股股东占用公司资金的现象，公司也不存在为控</w:t>
      </w:r>
      <w:r>
        <w:rPr>
          <w:spacing w:val="-81"/>
        </w:rPr>
        <w:t> </w:t>
      </w:r>
      <w:r>
        <w:rPr>
          <w:spacing w:val="-81"/>
        </w:rPr>
      </w:r>
      <w:r>
        <w:rPr/>
        <w:t>股股东及其子公司提供担保的情形。</w:t>
      </w:r>
    </w:p>
    <w:p>
      <w:pPr>
        <w:pStyle w:val="BodyText"/>
        <w:spacing w:line="295" w:lineRule="auto" w:before="138"/>
        <w:ind w:right="215" w:firstLine="419"/>
        <w:jc w:val="both"/>
      </w:pPr>
      <w:r>
        <w:rPr>
          <w:rFonts w:ascii="Times New Roman" w:hAnsi="Times New Roman" w:cs="Times New Roman" w:eastAsia="Times New Roman" w:hint="default"/>
          <w:spacing w:val="-6"/>
        </w:rPr>
        <w:t>3</w:t>
      </w:r>
      <w:r>
        <w:rPr>
          <w:spacing w:val="-6"/>
        </w:rPr>
        <w:t>、关于董事与董事会：公司能严格按照《公司法》、《公司章程》规定的选聘程序选举</w:t>
      </w:r>
      <w:r>
        <w:rPr/>
        <w:t> </w:t>
      </w:r>
      <w:r>
        <w:rPr>
          <w:spacing w:val="-3"/>
        </w:rPr>
        <w:t>董事，目前公司董事会的人数和人员构成符合法律法规和《公司章程》的要求；公司董事会</w:t>
      </w:r>
      <w:r>
        <w:rPr>
          <w:spacing w:val="-80"/>
        </w:rPr>
        <w:t> </w:t>
      </w:r>
      <w:r>
        <w:rPr>
          <w:spacing w:val="-80"/>
        </w:rPr>
      </w:r>
      <w:r>
        <w:rPr>
          <w:spacing w:val="-8"/>
        </w:rPr>
        <w:t>会议的召集、召开和表决程序符合《深圳证券交易所股票上市规则》、《公司章程》及《董事</w:t>
      </w:r>
      <w:r>
        <w:rPr>
          <w:spacing w:val="-85"/>
        </w:rPr>
        <w:t> </w:t>
      </w:r>
      <w:r>
        <w:rPr>
          <w:spacing w:val="-85"/>
        </w:rPr>
      </w:r>
      <w:r>
        <w:rPr>
          <w:spacing w:val="-8"/>
        </w:rPr>
        <w:t>会议事规则》的相关规定；公司全体董事能够依据《董事会议事规则》、《中小企业板块上市</w:t>
      </w:r>
      <w:r>
        <w:rPr>
          <w:spacing w:val="-83"/>
        </w:rPr>
        <w:t> </w:t>
      </w:r>
      <w:r>
        <w:rPr>
          <w:spacing w:val="-83"/>
        </w:rPr>
      </w:r>
      <w:r>
        <w:rPr>
          <w:spacing w:val="-3"/>
        </w:rPr>
        <w:t>公司董事行为指引》等要求勤勉尽职的开展工作，认真出席董事会和股东大会，积极参加相</w:t>
      </w:r>
      <w:r>
        <w:rPr>
          <w:spacing w:val="-81"/>
        </w:rPr>
        <w:t> </w:t>
      </w:r>
      <w:r>
        <w:rPr>
          <w:spacing w:val="-81"/>
        </w:rPr>
      </w:r>
      <w:r>
        <w:rPr>
          <w:spacing w:val="-3"/>
        </w:rPr>
        <w:t>关知识的培训，熟悉有关法律法规。公司董事会下设各专门委员会各尽其责，充分发挥专业</w:t>
      </w:r>
      <w:r>
        <w:rPr>
          <w:spacing w:val="-81"/>
        </w:rPr>
        <w:t> </w:t>
      </w:r>
      <w:r>
        <w:rPr>
          <w:spacing w:val="-81"/>
        </w:rPr>
      </w:r>
      <w:r>
        <w:rPr/>
        <w:t>职能作用，大大提高了董事会运作效率。</w:t>
      </w:r>
    </w:p>
    <w:p>
      <w:pPr>
        <w:pStyle w:val="BodyText"/>
        <w:spacing w:line="292" w:lineRule="auto" w:before="137"/>
        <w:ind w:right="215" w:firstLine="421"/>
        <w:jc w:val="both"/>
      </w:pPr>
      <w:r>
        <w:rPr>
          <w:rFonts w:ascii="Times New Roman" w:hAnsi="Times New Roman" w:cs="Times New Roman" w:eastAsia="Times New Roman" w:hint="default"/>
          <w:spacing w:val="-6"/>
        </w:rPr>
        <w:t>4</w:t>
      </w:r>
      <w:r>
        <w:rPr>
          <w:spacing w:val="-6"/>
        </w:rPr>
        <w:t>、关于监事与监事会：公司严格按照《公司法》、《公司章程》等有关规定选举监事，</w:t>
      </w:r>
      <w:r>
        <w:rPr/>
        <w:t> </w:t>
      </w:r>
      <w:r>
        <w:rPr>
          <w:spacing w:val="-3"/>
        </w:rPr>
        <w:t>监事会的人数及构成符合有关法律法规的要求。公司监事会会议的召集、召开和表决程序符</w:t>
      </w:r>
      <w:r>
        <w:rPr>
          <w:spacing w:val="-79"/>
        </w:rPr>
        <w:t> </w:t>
      </w:r>
      <w:r>
        <w:rPr>
          <w:spacing w:val="-79"/>
        </w:rPr>
      </w:r>
      <w:r>
        <w:rPr>
          <w:spacing w:val="-13"/>
        </w:rPr>
        <w:t>合《深圳证券交易所股票上市规则》、《公司章程》、《监事会议事规则》的有关规定。公司监</w:t>
      </w:r>
      <w:r>
        <w:rPr>
          <w:spacing w:val="-79"/>
        </w:rPr>
        <w:t> </w:t>
      </w:r>
      <w:r>
        <w:rPr>
          <w:spacing w:val="-79"/>
        </w:rPr>
      </w:r>
      <w:r>
        <w:rPr>
          <w:spacing w:val="-3"/>
        </w:rPr>
        <w:t>事能够按照要求，本着对股东负责的态度，认真履行职责，对公司财务状况、关联交易、内</w:t>
      </w:r>
    </w:p>
    <w:p>
      <w:pPr>
        <w:spacing w:after="0" w:line="292"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104"/>
        <w:jc w:val="left"/>
      </w:pPr>
      <w:r>
        <w:rPr/>
        <w:t>部控制执行情况等重大事项以及董事、高级管理人员履职情况进行有效监督，并发表意见， 全力维护公司及股东的合法权益。</w:t>
      </w:r>
    </w:p>
    <w:p>
      <w:pPr>
        <w:pStyle w:val="BodyText"/>
        <w:spacing w:line="290" w:lineRule="auto" w:before="134"/>
        <w:ind w:right="216" w:firstLine="420"/>
        <w:jc w:val="both"/>
      </w:pPr>
      <w:r>
        <w:rPr>
          <w:rFonts w:ascii="Times New Roman" w:hAnsi="Times New Roman" w:cs="Times New Roman" w:eastAsia="Times New Roman" w:hint="default"/>
        </w:rPr>
        <w:t>5</w:t>
      </w:r>
      <w:r>
        <w:rPr/>
        <w:t>、关于绩效评价和激励约束机制：公司已建立了企业绩效评价激励体系和激励约束机 </w:t>
      </w:r>
      <w:r>
        <w:rPr>
          <w:spacing w:val="-3"/>
        </w:rPr>
        <w:t>制，并根据自身经营发展状况不断完善，经营管理层和员工的收入与企业经营业绩挂钩；高</w:t>
      </w:r>
      <w:r>
        <w:rPr>
          <w:spacing w:val="-81"/>
        </w:rPr>
        <w:t> </w:t>
      </w:r>
      <w:r>
        <w:rPr>
          <w:spacing w:val="-81"/>
        </w:rPr>
      </w:r>
      <w:r>
        <w:rPr/>
        <w:t>级管理人员的聘任公开、透明，合法合规。</w:t>
      </w:r>
    </w:p>
    <w:p>
      <w:pPr>
        <w:pStyle w:val="BodyText"/>
        <w:spacing w:line="290" w:lineRule="auto" w:before="140"/>
        <w:ind w:right="104" w:firstLine="421"/>
        <w:jc w:val="left"/>
      </w:pPr>
      <w:r>
        <w:rPr>
          <w:rFonts w:ascii="Times New Roman" w:hAnsi="Times New Roman" w:cs="Times New Roman" w:eastAsia="Times New Roman" w:hint="default"/>
        </w:rPr>
        <w:t>6</w:t>
      </w:r>
      <w:r>
        <w:rPr/>
        <w:t>、关于相关利益者：公司在注重企业经营的同时，积极参与社会公益事业，主动承担 社会责任，充分尊重和维护利益相关者的合法权利，加强与各方的沟通和合作，促进公司、 股东、员工、客户、供应商、最终用户、社会等各方利益均衡实现。</w:t>
      </w:r>
    </w:p>
    <w:p>
      <w:pPr>
        <w:pStyle w:val="BodyText"/>
        <w:spacing w:line="288" w:lineRule="auto" w:before="142"/>
        <w:ind w:left="139" w:right="105" w:firstLine="420"/>
        <w:jc w:val="left"/>
      </w:pPr>
      <w:r>
        <w:rPr>
          <w:rFonts w:ascii="Times New Roman" w:hAnsi="Times New Roman" w:cs="Times New Roman" w:eastAsia="Times New Roman" w:hint="default"/>
        </w:rPr>
        <w:t>7</w:t>
      </w:r>
      <w:r>
        <w:rPr/>
        <w:t>、关于信息披露与透明度：公司严格按照深交所有关文件及其他有关法律法规要求， 不断建立健全有关公司信息披露的管理制度，加强信息披露事务管理，履行信息披露义务， 并指定《证券时报》和巨潮资讯网（</w:t>
      </w:r>
      <w:hyperlink r:id="rId10">
        <w:r>
          <w:rPr>
            <w:rFonts w:ascii="Times New Roman" w:hAnsi="Times New Roman" w:cs="Times New Roman" w:eastAsia="Times New Roman" w:hint="default"/>
          </w:rPr>
          <w:t>www.cninfo.com.cn</w:t>
        </w:r>
      </w:hyperlink>
      <w:r>
        <w:rPr/>
        <w:t>）为公司信息披露的报纸和网站，</w:t>
      </w:r>
      <w:r>
        <w:rPr>
          <w:spacing w:val="-40"/>
        </w:rPr>
        <w:t> </w:t>
      </w:r>
      <w:r>
        <w:rPr>
          <w:spacing w:val="-40"/>
        </w:rPr>
      </w:r>
      <w:r>
        <w:rPr>
          <w:spacing w:val="-3"/>
        </w:rPr>
        <w:t>真实、准确、及时、完整地披露信息，确保所有投资者公平获取公司信息；同时，公司建立</w:t>
      </w:r>
      <w:r>
        <w:rPr>
          <w:spacing w:val="-81"/>
        </w:rPr>
        <w:t> </w:t>
      </w:r>
      <w:r>
        <w:rPr>
          <w:spacing w:val="-81"/>
        </w:rPr>
      </w:r>
      <w:r>
        <w:rPr/>
        <w:t>了畅通的沟通渠道，设立投资者专线、创建投资者关系互动平台与投资者进行沟通交流。</w:t>
      </w:r>
    </w:p>
    <w:p>
      <w:pPr>
        <w:spacing w:line="240" w:lineRule="auto" w:before="2"/>
        <w:rPr>
          <w:rFonts w:ascii="宋体" w:hAnsi="宋体" w:cs="宋体" w:eastAsia="宋体" w:hint="default"/>
          <w:sz w:val="29"/>
          <w:szCs w:val="29"/>
        </w:rPr>
      </w:pPr>
    </w:p>
    <w:p>
      <w:pPr>
        <w:pStyle w:val="Heading3"/>
        <w:spacing w:line="240" w:lineRule="auto"/>
        <w:ind w:right="0"/>
        <w:jc w:val="left"/>
        <w:rPr>
          <w:b w:val="0"/>
          <w:bCs w:val="0"/>
        </w:rPr>
      </w:pPr>
      <w:r>
        <w:rPr/>
        <w:t>二、公司董事长、独立董事及其他董事履行职责的情况</w:t>
      </w:r>
      <w:r>
        <w:rPr>
          <w:b w:val="0"/>
          <w:bCs w:val="0"/>
        </w:rPr>
      </w:r>
    </w:p>
    <w:p>
      <w:pPr>
        <w:pStyle w:val="BodyText"/>
        <w:spacing w:line="240" w:lineRule="auto" w:before="121"/>
        <w:ind w:left="560" w:right="0"/>
        <w:jc w:val="left"/>
      </w:pPr>
      <w:r>
        <w:rPr/>
        <w:t>报告期内</w:t>
      </w:r>
      <w:r>
        <w:rPr>
          <w:spacing w:val="1"/>
        </w:rPr>
        <w:t>，</w:t>
      </w:r>
      <w:r>
        <w:rPr/>
        <w:t>公司全体</w:t>
      </w:r>
      <w:r>
        <w:rPr>
          <w:spacing w:val="1"/>
        </w:rPr>
        <w:t>董</w:t>
      </w:r>
      <w:r>
        <w:rPr/>
        <w:t>事均能严</w:t>
      </w:r>
      <w:r>
        <w:rPr>
          <w:spacing w:val="1"/>
        </w:rPr>
        <w:t>格</w:t>
      </w:r>
      <w:r>
        <w:rPr/>
        <w:t>按照《公</w:t>
      </w:r>
      <w:r>
        <w:rPr>
          <w:spacing w:val="1"/>
        </w:rPr>
        <w:t>司</w:t>
      </w:r>
      <w:r>
        <w:rPr/>
        <w:t>法</w:t>
      </w:r>
      <w:r>
        <w:rPr>
          <w:spacing w:val="-105"/>
        </w:rPr>
        <w:t>》、</w:t>
      </w:r>
      <w:r>
        <w:rPr/>
        <w:t>《证券法</w:t>
      </w:r>
      <w:r>
        <w:rPr>
          <w:spacing w:val="-105"/>
        </w:rPr>
        <w:t>》、</w:t>
      </w:r>
      <w:r>
        <w:rPr/>
        <w:t>《上市公司治理</w:t>
      </w:r>
      <w:r>
        <w:rPr>
          <w:spacing w:val="1"/>
        </w:rPr>
        <w:t>准</w:t>
      </w:r>
      <w:r>
        <w:rPr/>
        <w:t>则</w:t>
      </w:r>
      <w:r>
        <w:rPr>
          <w:spacing w:val="-104"/>
        </w:rPr>
        <w:t>》</w:t>
      </w:r>
      <w:r>
        <w:rPr/>
        <w:t>、</w:t>
      </w:r>
    </w:p>
    <w:p>
      <w:pPr>
        <w:pStyle w:val="BodyText"/>
        <w:spacing w:line="297" w:lineRule="auto" w:before="64"/>
        <w:ind w:right="104"/>
        <w:jc w:val="left"/>
      </w:pPr>
      <w:r>
        <w:rPr/>
        <w:t>《中小企业板块上市公司董事行为指引》等法律法规和《公司章程》等制度的规定和要求， </w:t>
      </w:r>
      <w:r>
        <w:rPr>
          <w:spacing w:val="-3"/>
        </w:rPr>
        <w:t>忠实勤勉的履行职责，充分发挥专业特长和经验，科学审慎决策，并积极参加广东证监局组</w:t>
      </w:r>
      <w:r>
        <w:rPr>
          <w:spacing w:val="-81"/>
        </w:rPr>
        <w:t> </w:t>
      </w:r>
      <w:r>
        <w:rPr>
          <w:spacing w:val="-81"/>
        </w:rPr>
      </w:r>
      <w:r>
        <w:rPr/>
        <w:t>织的董事培训，提高董事的履职能力，积极维护公司及全体股东的合法权益。</w:t>
      </w:r>
    </w:p>
    <w:p>
      <w:pPr>
        <w:pStyle w:val="BodyText"/>
        <w:spacing w:line="297" w:lineRule="auto" w:before="134"/>
        <w:ind w:right="104" w:firstLine="420"/>
        <w:jc w:val="left"/>
      </w:pPr>
      <w:r>
        <w:rPr>
          <w:spacing w:val="-6"/>
        </w:rPr>
        <w:t>公司独立董事本着对公司和中小股东负责的态度，严格按照有关法律法规和《公司章程》</w:t>
      </w:r>
      <w:r>
        <w:rPr/>
        <w:t> </w:t>
      </w:r>
      <w:r>
        <w:rPr>
          <w:spacing w:val="-3"/>
        </w:rPr>
        <w:t>等要求，恪尽职守、勤勉尽责，积极出席相关会议，认真审议各项议案，客观发表自己意见</w:t>
      </w:r>
      <w:r>
        <w:rPr>
          <w:spacing w:val="-84"/>
        </w:rPr>
        <w:t> </w:t>
      </w:r>
      <w:r>
        <w:rPr>
          <w:spacing w:val="-84"/>
        </w:rPr>
      </w:r>
      <w:r>
        <w:rPr/>
        <w:t>和建议，深入现场调查、了解公司的经营环境和生产状况，对公司的关联交易、对外投资、 </w:t>
      </w:r>
      <w:r>
        <w:rPr>
          <w:spacing w:val="-3"/>
        </w:rPr>
        <w:t>高管聘任和薪酬考核、内部控制情况、续聘审计机构等相关事项发表独立、客观、公正的意</w:t>
      </w:r>
      <w:r>
        <w:rPr>
          <w:spacing w:val="-80"/>
        </w:rPr>
        <w:t> </w:t>
      </w:r>
      <w:r>
        <w:rPr>
          <w:spacing w:val="-80"/>
        </w:rPr>
      </w:r>
      <w:r>
        <w:rPr>
          <w:spacing w:val="-3"/>
        </w:rPr>
        <w:t>见，并利用自己的专业知识和能力为董事会的科学决策和公司的健康发展发挥积极的促进作</w:t>
      </w:r>
      <w:r>
        <w:rPr>
          <w:spacing w:val="-79"/>
        </w:rPr>
        <w:t> </w:t>
      </w:r>
      <w:r>
        <w:rPr>
          <w:spacing w:val="-79"/>
        </w:rPr>
      </w:r>
      <w:r>
        <w:rPr/>
        <w:t>用。</w:t>
      </w:r>
    </w:p>
    <w:p>
      <w:pPr>
        <w:pStyle w:val="BodyText"/>
        <w:spacing w:line="297" w:lineRule="auto" w:before="135"/>
        <w:ind w:right="217" w:firstLine="420"/>
        <w:jc w:val="both"/>
      </w:pPr>
      <w:r>
        <w:rPr>
          <w:spacing w:val="-3"/>
        </w:rPr>
        <w:t>报告期内，公司董事长坚持在有关法律法规和《公司章程》所赋予的职责范围内，履行</w:t>
      </w:r>
      <w:r>
        <w:rPr/>
        <w:t> </w:t>
      </w:r>
      <w:r>
        <w:rPr>
          <w:spacing w:val="-3"/>
        </w:rPr>
        <w:t>职责，行使权力，依法召集和主持董事会会议并督促董事亲自出席，督促检查董事会决议的</w:t>
      </w:r>
      <w:r>
        <w:rPr>
          <w:spacing w:val="-81"/>
        </w:rPr>
        <w:t> </w:t>
      </w:r>
      <w:r>
        <w:rPr>
          <w:spacing w:val="-81"/>
        </w:rPr>
      </w:r>
      <w:r>
        <w:rPr>
          <w:spacing w:val="-3"/>
        </w:rPr>
        <w:t>执行情况；并积极推动公司各项内控制度的建立健全，就重大事项加强与其他董事的沟通与</w:t>
      </w:r>
      <w:r>
        <w:rPr>
          <w:spacing w:val="-79"/>
        </w:rPr>
        <w:t> </w:t>
      </w:r>
      <w:r>
        <w:rPr>
          <w:spacing w:val="-79"/>
        </w:rPr>
      </w:r>
      <w:r>
        <w:rPr/>
        <w:t>交流，重视董事会建设，确保董事会依法高效运作。</w:t>
      </w:r>
    </w:p>
    <w:p>
      <w:pPr>
        <w:pStyle w:val="BodyText"/>
        <w:spacing w:line="297" w:lineRule="auto" w:before="134"/>
        <w:ind w:right="0" w:firstLine="420"/>
        <w:jc w:val="left"/>
      </w:pPr>
      <w:r>
        <w:rPr>
          <w:spacing w:val="-3"/>
        </w:rPr>
        <w:t>报告期内，公司全体董事均亲自出席了董事会，未有授权和缺席的情形，各董事出席董</w:t>
      </w:r>
      <w:r>
        <w:rPr/>
        <w:t> 事会会议情况详见下表：</w:t>
      </w:r>
    </w:p>
    <w:p>
      <w:pPr>
        <w:spacing w:line="240" w:lineRule="auto" w:before="1"/>
        <w:rPr>
          <w:rFonts w:ascii="宋体" w:hAnsi="宋体" w:cs="宋体" w:eastAsia="宋体" w:hint="default"/>
          <w:sz w:val="13"/>
          <w:szCs w:val="13"/>
        </w:rPr>
      </w:pPr>
    </w:p>
    <w:tbl>
      <w:tblPr>
        <w:tblW w:w="0" w:type="auto"/>
        <w:jc w:val="left"/>
        <w:tblInd w:w="650" w:type="dxa"/>
        <w:tblLayout w:type="fixed"/>
        <w:tblCellMar>
          <w:top w:w="0" w:type="dxa"/>
          <w:left w:w="0" w:type="dxa"/>
          <w:bottom w:w="0" w:type="dxa"/>
          <w:right w:w="0" w:type="dxa"/>
        </w:tblCellMar>
        <w:tblLook w:val="01E0"/>
      </w:tblPr>
      <w:tblGrid>
        <w:gridCol w:w="983"/>
        <w:gridCol w:w="979"/>
        <w:gridCol w:w="977"/>
        <w:gridCol w:w="977"/>
        <w:gridCol w:w="976"/>
        <w:gridCol w:w="977"/>
        <w:gridCol w:w="1409"/>
      </w:tblGrid>
      <w:tr>
        <w:trPr>
          <w:trHeight w:val="476" w:hRule="exact"/>
        </w:trPr>
        <w:tc>
          <w:tcPr>
            <w:tcW w:w="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亲自出席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委托出席</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次数</w:t>
            </w:r>
          </w:p>
        </w:tc>
        <w:tc>
          <w:tcPr>
            <w:tcW w:w="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59" w:right="0" w:hanging="90"/>
              <w:jc w:val="left"/>
              <w:rPr>
                <w:rFonts w:ascii="宋体" w:hAnsi="宋体" w:cs="宋体" w:eastAsia="宋体" w:hint="default"/>
                <w:sz w:val="18"/>
                <w:szCs w:val="18"/>
              </w:rPr>
            </w:pPr>
            <w:r>
              <w:rPr>
                <w:rFonts w:ascii="宋体" w:hAnsi="宋体" w:cs="宋体" w:eastAsia="宋体" w:hint="default"/>
                <w:sz w:val="18"/>
                <w:szCs w:val="18"/>
              </w:rPr>
              <w:t>是否连续两次未</w:t>
            </w:r>
          </w:p>
          <w:p>
            <w:pPr>
              <w:pStyle w:val="TableParagraph"/>
              <w:spacing w:line="234" w:lineRule="exact"/>
              <w:ind w:left="159" w:right="0"/>
              <w:jc w:val="left"/>
              <w:rPr>
                <w:rFonts w:ascii="宋体" w:hAnsi="宋体" w:cs="宋体" w:eastAsia="宋体" w:hint="default"/>
                <w:sz w:val="18"/>
                <w:szCs w:val="18"/>
              </w:rPr>
            </w:pPr>
            <w:r>
              <w:rPr>
                <w:rFonts w:ascii="宋体" w:hAnsi="宋体" w:cs="宋体" w:eastAsia="宋体" w:hint="default"/>
                <w:sz w:val="18"/>
                <w:szCs w:val="18"/>
              </w:rPr>
              <w:t>亲自出席会议</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8"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8"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王  俊</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2"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王礼贵</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李进一</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程  昆</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37" w:right="0"/>
              <w:jc w:val="left"/>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center"/>
        <w:rPr>
          <w:rFonts w:ascii="宋体" w:hAnsi="宋体" w:cs="宋体" w:eastAsia="宋体" w:hint="default"/>
          <w:sz w:val="18"/>
          <w:szCs w:val="18"/>
        </w:rPr>
        <w:sectPr>
          <w:pgSz w:w="11910" w:h="16840"/>
          <w:pgMar w:header="400" w:footer="982" w:top="1100" w:bottom="1180" w:left="1660" w:right="1580"/>
        </w:sectPr>
      </w:pPr>
    </w:p>
    <w:p>
      <w:pPr>
        <w:spacing w:line="240" w:lineRule="auto" w:before="6"/>
        <w:rPr>
          <w:rFonts w:ascii="宋体" w:hAnsi="宋体" w:cs="宋体" w:eastAsia="宋体" w:hint="default"/>
          <w:sz w:val="24"/>
          <w:szCs w:val="24"/>
        </w:rPr>
      </w:pPr>
    </w:p>
    <w:tbl>
      <w:tblPr>
        <w:tblW w:w="0" w:type="auto"/>
        <w:jc w:val="left"/>
        <w:tblInd w:w="650" w:type="dxa"/>
        <w:tblLayout w:type="fixed"/>
        <w:tblCellMar>
          <w:top w:w="0" w:type="dxa"/>
          <w:left w:w="0" w:type="dxa"/>
          <w:bottom w:w="0" w:type="dxa"/>
          <w:right w:w="0" w:type="dxa"/>
        </w:tblCellMar>
        <w:tblLook w:val="01E0"/>
      </w:tblPr>
      <w:tblGrid>
        <w:gridCol w:w="983"/>
        <w:gridCol w:w="979"/>
        <w:gridCol w:w="977"/>
        <w:gridCol w:w="977"/>
        <w:gridCol w:w="976"/>
        <w:gridCol w:w="977"/>
        <w:gridCol w:w="1409"/>
      </w:tblGrid>
      <w:tr>
        <w:trPr>
          <w:trHeight w:val="24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任  斌</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18"/>
                <w:szCs w:val="18"/>
              </w:rPr>
            </w:pPr>
            <w:r>
              <w:rPr>
                <w:rFonts w:ascii="Times New Roman"/>
                <w:sz w:val="18"/>
              </w:rPr>
              <w:t>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84"/>
        <w:ind w:left="560" w:right="0"/>
        <w:jc w:val="left"/>
      </w:pPr>
      <w:r>
        <w:rPr/>
        <w:t>报告期内，公司独立董事未对公司董事会审议的各项议案及其他相关事项提出异议。</w:t>
      </w: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t>三、公司与控股股东在业务、人员、资产、机构、财务等方面的情况</w:t>
      </w:r>
      <w:r>
        <w:rPr>
          <w:b w:val="0"/>
          <w:bCs w:val="0"/>
        </w:rPr>
      </w:r>
    </w:p>
    <w:p>
      <w:pPr>
        <w:pStyle w:val="BodyText"/>
        <w:spacing w:line="297" w:lineRule="auto" w:before="120"/>
        <w:ind w:right="216" w:firstLine="420"/>
        <w:jc w:val="both"/>
      </w:pPr>
      <w:r>
        <w:rPr>
          <w:spacing w:val="-3"/>
        </w:rPr>
        <w:t>报告期内，公司与控股股东在业务、人员、资产、机构、财务等方面相互独立，公司拥</w:t>
      </w:r>
      <w:r>
        <w:rPr/>
        <w:t> </w:t>
      </w:r>
      <w:r>
        <w:rPr>
          <w:spacing w:val="-3"/>
        </w:rPr>
        <w:t>有独立完整的业务、供应、生产、销售及服务系统，具有面向市场的自主经营能力，独立承</w:t>
      </w:r>
      <w:r>
        <w:rPr>
          <w:spacing w:val="-84"/>
        </w:rPr>
        <w:t> </w:t>
      </w:r>
      <w:r>
        <w:rPr>
          <w:spacing w:val="-84"/>
        </w:rPr>
      </w:r>
      <w:r>
        <w:rPr/>
        <w:t>担责任和风险。</w:t>
      </w:r>
    </w:p>
    <w:p>
      <w:pPr>
        <w:pStyle w:val="BodyText"/>
        <w:spacing w:line="381" w:lineRule="auto" w:before="134"/>
        <w:ind w:left="560" w:right="0" w:hanging="1"/>
        <w:jc w:val="left"/>
      </w:pPr>
      <w:r>
        <w:rPr>
          <w:rFonts w:ascii="Times New Roman" w:hAnsi="Times New Roman" w:cs="Times New Roman" w:eastAsia="Times New Roman" w:hint="default"/>
        </w:rPr>
        <w:t>1</w:t>
      </w:r>
      <w:r>
        <w:rPr/>
        <w:t>、业务独立情况 </w:t>
      </w:r>
      <w:r>
        <w:rPr>
          <w:spacing w:val="-3"/>
        </w:rPr>
        <w:t>公司业务独立于控股股东、实际控制人及其控制的其他企业，拥有独立完整的供应、生</w:t>
      </w:r>
    </w:p>
    <w:p>
      <w:pPr>
        <w:pStyle w:val="BodyText"/>
        <w:spacing w:line="217" w:lineRule="exact"/>
        <w:ind w:right="0"/>
        <w:jc w:val="both"/>
      </w:pPr>
      <w:r>
        <w:rPr>
          <w:spacing w:val="-3"/>
        </w:rPr>
        <w:t>产和销售系统，独立开展业务，不依赖于股东或其它任何关联方，与控股股东、实际控制人</w:t>
      </w:r>
    </w:p>
    <w:p>
      <w:pPr>
        <w:pStyle w:val="BodyText"/>
        <w:spacing w:line="240" w:lineRule="auto" w:before="64"/>
        <w:ind w:right="0"/>
        <w:jc w:val="both"/>
      </w:pPr>
      <w:r>
        <w:rPr/>
        <w:t>及其控制的其他企业不存在同业竞争或者显失公平的关联交易。</w:t>
      </w:r>
    </w:p>
    <w:p>
      <w:pPr>
        <w:spacing w:line="240" w:lineRule="auto" w:before="3"/>
        <w:rPr>
          <w:rFonts w:ascii="宋体" w:hAnsi="宋体" w:cs="宋体" w:eastAsia="宋体" w:hint="default"/>
          <w:sz w:val="14"/>
          <w:szCs w:val="14"/>
        </w:rPr>
      </w:pPr>
    </w:p>
    <w:p>
      <w:pPr>
        <w:pStyle w:val="BodyText"/>
        <w:spacing w:line="381" w:lineRule="auto"/>
        <w:ind w:left="560" w:right="0" w:hanging="1"/>
        <w:jc w:val="left"/>
      </w:pPr>
      <w:r>
        <w:rPr>
          <w:rFonts w:ascii="Times New Roman" w:hAnsi="Times New Roman" w:cs="Times New Roman" w:eastAsia="Times New Roman" w:hint="default"/>
        </w:rPr>
        <w:t>2</w:t>
      </w:r>
      <w:r>
        <w:rPr/>
        <w:t>、人员独立情况 </w:t>
      </w:r>
      <w:r>
        <w:rPr>
          <w:spacing w:val="-3"/>
        </w:rPr>
        <w:t>公司人员、劳动、人事及工资关系完全独立。公司拥有独立的员工队伍，并已建立完善</w:t>
      </w:r>
    </w:p>
    <w:p>
      <w:pPr>
        <w:pStyle w:val="BodyText"/>
        <w:spacing w:line="216" w:lineRule="exact"/>
        <w:ind w:right="0"/>
        <w:jc w:val="both"/>
      </w:pPr>
      <w:r>
        <w:rPr>
          <w:spacing w:val="-3"/>
        </w:rPr>
        <w:t>的劳动用工和人事管理制度，拥有独立的劳动用工权利，不存在受控股股东干涉的现象。公</w:t>
      </w:r>
    </w:p>
    <w:p>
      <w:pPr>
        <w:pStyle w:val="BodyText"/>
        <w:spacing w:line="297" w:lineRule="auto" w:before="66"/>
        <w:ind w:right="215"/>
        <w:jc w:val="both"/>
      </w:pPr>
      <w:r>
        <w:rPr>
          <w:spacing w:val="-3"/>
        </w:rPr>
        <w:t>司总经理、副总经理和其他高级管理人员以及核心技术人员等均专职在本公司及控股子公司</w:t>
      </w:r>
      <w:r>
        <w:rPr>
          <w:spacing w:val="-79"/>
        </w:rPr>
        <w:t> </w:t>
      </w:r>
      <w:r>
        <w:rPr>
          <w:spacing w:val="-79"/>
        </w:rPr>
      </w:r>
      <w:r>
        <w:rPr>
          <w:spacing w:val="-3"/>
        </w:rPr>
        <w:t>工作并领取薪酬，未在控股股东、实际控制人及其控制的其他企业中担任其他职务或领取薪</w:t>
      </w:r>
      <w:r>
        <w:rPr>
          <w:spacing w:val="-79"/>
        </w:rPr>
        <w:t> </w:t>
      </w:r>
      <w:r>
        <w:rPr>
          <w:spacing w:val="-79"/>
        </w:rPr>
      </w:r>
      <w:r>
        <w:rPr/>
        <w:t>酬。</w:t>
      </w:r>
    </w:p>
    <w:p>
      <w:pPr>
        <w:pStyle w:val="BodyText"/>
        <w:spacing w:line="381" w:lineRule="auto" w:before="134"/>
        <w:ind w:left="560" w:right="0" w:hanging="1"/>
        <w:jc w:val="left"/>
      </w:pPr>
      <w:r>
        <w:rPr>
          <w:rFonts w:ascii="Times New Roman" w:hAnsi="Times New Roman" w:cs="Times New Roman" w:eastAsia="Times New Roman" w:hint="default"/>
        </w:rPr>
        <w:t>3</w:t>
      </w:r>
      <w:r>
        <w:rPr/>
        <w:t>、资产独立情况 </w:t>
      </w:r>
      <w:r>
        <w:rPr>
          <w:spacing w:val="-3"/>
        </w:rPr>
        <w:t>随着募集资金项目全部竣工投入使用，公司拥有独立于控股股东的生产经营场所，拥有</w:t>
      </w:r>
    </w:p>
    <w:p>
      <w:pPr>
        <w:pStyle w:val="BodyText"/>
        <w:spacing w:line="217" w:lineRule="exact"/>
        <w:ind w:right="0"/>
        <w:jc w:val="both"/>
      </w:pPr>
      <w:r>
        <w:rPr>
          <w:spacing w:val="-3"/>
        </w:rPr>
        <w:t>独立完整的资产结构，拥有独立的生产系统、辅助生产系统和配套设施、土地使用权、房屋</w:t>
      </w:r>
    </w:p>
    <w:p>
      <w:pPr>
        <w:pStyle w:val="BodyText"/>
        <w:spacing w:line="297" w:lineRule="auto" w:before="64"/>
        <w:ind w:right="215"/>
        <w:jc w:val="both"/>
      </w:pPr>
      <w:r>
        <w:rPr>
          <w:spacing w:val="-3"/>
        </w:rPr>
        <w:t>所有权等资产，拥有独立的采购和销售系统，对所有资产拥有完全的控制支配权。另外，公</w:t>
      </w:r>
      <w:r>
        <w:rPr>
          <w:spacing w:val="-81"/>
        </w:rPr>
        <w:t> </w:t>
      </w:r>
      <w:r>
        <w:rPr>
          <w:spacing w:val="-81"/>
        </w:rPr>
      </w:r>
      <w:r>
        <w:rPr>
          <w:spacing w:val="-3"/>
        </w:rPr>
        <w:t>司全资子公司深圳银通根据经营需要目前仍向公司控股股东广电集团租赁部分办公场地，深</w:t>
      </w:r>
      <w:r>
        <w:rPr>
          <w:spacing w:val="-79"/>
        </w:rPr>
        <w:t> </w:t>
      </w:r>
      <w:r>
        <w:rPr>
          <w:spacing w:val="-79"/>
        </w:rPr>
      </w:r>
      <w:r>
        <w:rPr>
          <w:spacing w:val="-3"/>
        </w:rPr>
        <w:t>圳银通就房屋租赁事宜与广电集团签署了相关协议并经公司董事会批准，价格公允合理，权</w:t>
      </w:r>
      <w:r>
        <w:rPr>
          <w:spacing w:val="-79"/>
        </w:rPr>
        <w:t> </w:t>
      </w:r>
      <w:r>
        <w:rPr>
          <w:spacing w:val="-79"/>
        </w:rPr>
      </w:r>
      <w:r>
        <w:rPr>
          <w:spacing w:val="-3"/>
        </w:rPr>
        <w:t>利义务明确。公司不存在资产、资金被控股股东、实际控制人及其控制的其他企业违规占用</w:t>
      </w:r>
      <w:r>
        <w:rPr>
          <w:spacing w:val="-81"/>
        </w:rPr>
        <w:t> </w:t>
      </w:r>
      <w:r>
        <w:rPr>
          <w:spacing w:val="-81"/>
        </w:rPr>
      </w:r>
      <w:r>
        <w:rPr>
          <w:spacing w:val="-3"/>
        </w:rPr>
        <w:t>而损害公司利益的情况；不存在以承包、委托经营、租赁或其他类似方式，依赖股东单位及</w:t>
      </w:r>
      <w:r>
        <w:rPr>
          <w:spacing w:val="-80"/>
        </w:rPr>
        <w:t> </w:t>
      </w:r>
      <w:r>
        <w:rPr>
          <w:spacing w:val="-80"/>
        </w:rPr>
      </w:r>
      <w:r>
        <w:rPr/>
        <w:t>其他关联方进行生产经营的情况。</w:t>
      </w:r>
    </w:p>
    <w:p>
      <w:pPr>
        <w:pStyle w:val="BodyText"/>
        <w:spacing w:line="381" w:lineRule="auto" w:before="134"/>
        <w:ind w:left="560" w:right="0" w:hanging="1"/>
        <w:jc w:val="left"/>
      </w:pPr>
      <w:r>
        <w:rPr>
          <w:rFonts w:ascii="Times New Roman" w:hAnsi="Times New Roman" w:cs="Times New Roman" w:eastAsia="Times New Roman" w:hint="default"/>
        </w:rPr>
        <w:t>4</w:t>
      </w:r>
      <w:r>
        <w:rPr/>
        <w:t>、财务独立情况 </w:t>
      </w:r>
      <w:r>
        <w:rPr>
          <w:spacing w:val="-3"/>
        </w:rPr>
        <w:t>公司设有独立的财务会计部门，配备独立的财务会计人员，建立了独立的会计核算体系</w:t>
      </w:r>
    </w:p>
    <w:p>
      <w:pPr>
        <w:pStyle w:val="BodyText"/>
        <w:spacing w:line="217" w:lineRule="exact"/>
        <w:ind w:right="0"/>
        <w:jc w:val="both"/>
      </w:pPr>
      <w:r>
        <w:rPr>
          <w:spacing w:val="-5"/>
        </w:rPr>
        <w:t>和财务管理制度，独立进行财务决策，并严格实施内部审计制度；公司开设了独立银行账户，</w:t>
      </w:r>
    </w:p>
    <w:p>
      <w:pPr>
        <w:pStyle w:val="BodyText"/>
        <w:spacing w:line="240" w:lineRule="auto" w:before="66"/>
        <w:ind w:right="0"/>
        <w:jc w:val="both"/>
      </w:pPr>
      <w:r>
        <w:rPr/>
        <w:t>依法独立纳税。</w:t>
      </w:r>
    </w:p>
    <w:p>
      <w:pPr>
        <w:spacing w:line="240" w:lineRule="auto" w:before="2"/>
        <w:rPr>
          <w:rFonts w:ascii="宋体" w:hAnsi="宋体" w:cs="宋体" w:eastAsia="宋体" w:hint="default"/>
          <w:sz w:val="14"/>
          <w:szCs w:val="14"/>
        </w:rPr>
      </w:pPr>
    </w:p>
    <w:p>
      <w:pPr>
        <w:pStyle w:val="BodyText"/>
        <w:spacing w:line="381" w:lineRule="auto"/>
        <w:ind w:left="560" w:right="0" w:hanging="1"/>
        <w:jc w:val="left"/>
      </w:pPr>
      <w:r>
        <w:rPr>
          <w:rFonts w:ascii="Times New Roman" w:hAnsi="Times New Roman" w:cs="Times New Roman" w:eastAsia="Times New Roman" w:hint="default"/>
        </w:rPr>
        <w:t>5</w:t>
      </w:r>
      <w:r>
        <w:rPr/>
        <w:t>、机构独立情况 </w:t>
      </w:r>
      <w:r>
        <w:rPr>
          <w:spacing w:val="-3"/>
        </w:rPr>
        <w:t>公司建立了健全的法人治理机构，公司根据《公司法》和《公司章程》及其他有关法律</w:t>
      </w:r>
    </w:p>
    <w:p>
      <w:pPr>
        <w:pStyle w:val="BodyText"/>
        <w:spacing w:line="217" w:lineRule="exact"/>
        <w:ind w:right="0"/>
        <w:jc w:val="both"/>
      </w:pPr>
      <w:r>
        <w:rPr>
          <w:spacing w:val="-3"/>
        </w:rPr>
        <w:t>法规的规定，设立了股东大会、董事会、监事会以及经营管理层，并制定了相关议事规则和</w:t>
      </w:r>
    </w:p>
    <w:p>
      <w:pPr>
        <w:pStyle w:val="BodyText"/>
        <w:spacing w:line="240" w:lineRule="auto" w:before="64"/>
        <w:ind w:right="0"/>
        <w:jc w:val="both"/>
      </w:pPr>
      <w:r>
        <w:rPr/>
        <w:t>工作细则。</w:t>
      </w:r>
    </w:p>
    <w:p>
      <w:pPr>
        <w:spacing w:line="240" w:lineRule="auto" w:before="3"/>
        <w:rPr>
          <w:rFonts w:ascii="宋体" w:hAnsi="宋体" w:cs="宋体" w:eastAsia="宋体" w:hint="default"/>
          <w:sz w:val="14"/>
          <w:szCs w:val="14"/>
        </w:rPr>
      </w:pPr>
    </w:p>
    <w:p>
      <w:pPr>
        <w:pStyle w:val="BodyText"/>
        <w:spacing w:line="297" w:lineRule="auto"/>
        <w:ind w:right="215" w:firstLine="420"/>
        <w:jc w:val="both"/>
      </w:pPr>
      <w:r>
        <w:rPr>
          <w:spacing w:val="-3"/>
        </w:rPr>
        <w:t>公司已经按照法律、法规的规定和公司的实际情况设置了公司的组织机构，独立于控股</w:t>
      </w:r>
      <w:r>
        <w:rPr/>
        <w:t> </w:t>
      </w:r>
      <w:r>
        <w:rPr>
          <w:spacing w:val="-3"/>
        </w:rPr>
        <w:t>股东和其他关联方，具有健全的内部经营管理机构，独立行使经营管理职权，公司及其职能</w:t>
      </w:r>
      <w:r>
        <w:rPr>
          <w:spacing w:val="-81"/>
        </w:rPr>
        <w:t> </w:t>
      </w:r>
      <w:r>
        <w:rPr>
          <w:spacing w:val="-81"/>
        </w:rPr>
      </w:r>
      <w:r>
        <w:rPr>
          <w:spacing w:val="-3"/>
        </w:rPr>
        <w:t>部门与控股股东及其职能部门之间不存在上下级关系，不存在与控股股东及其下属企业机构</w:t>
      </w:r>
    </w:p>
    <w:p>
      <w:pPr>
        <w:spacing w:after="0" w:line="297"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t>混同或从属的情形。</w:t>
      </w:r>
    </w:p>
    <w:p>
      <w:pPr>
        <w:spacing w:line="240" w:lineRule="auto" w:before="0"/>
        <w:rPr>
          <w:rFonts w:ascii="宋体" w:hAnsi="宋体" w:cs="宋体" w:eastAsia="宋体" w:hint="default"/>
          <w:sz w:val="20"/>
          <w:szCs w:val="20"/>
        </w:rPr>
      </w:pPr>
    </w:p>
    <w:p>
      <w:pPr>
        <w:pStyle w:val="Heading3"/>
        <w:spacing w:line="240" w:lineRule="auto" w:before="161"/>
        <w:ind w:right="0"/>
        <w:jc w:val="both"/>
        <w:rPr>
          <w:b w:val="0"/>
          <w:bCs w:val="0"/>
        </w:rPr>
      </w:pPr>
      <w:r>
        <w:rPr/>
        <w:t>四、公司内部控制制度的建立和健全情况</w:t>
      </w:r>
      <w:r>
        <w:rPr>
          <w:b w:val="0"/>
          <w:bCs w:val="0"/>
        </w:rPr>
      </w:r>
    </w:p>
    <w:p>
      <w:pPr>
        <w:pStyle w:val="BodyText"/>
        <w:spacing w:line="297" w:lineRule="auto" w:before="120"/>
        <w:ind w:left="139" w:right="105" w:firstLine="420"/>
        <w:jc w:val="left"/>
      </w:pPr>
      <w:r>
        <w:rPr>
          <w:spacing w:val="-8"/>
        </w:rPr>
        <w:t>为规范经营管理，控制风险，保证经营业务活动的正常开展，公司根据《公司法》、《证</w:t>
      </w:r>
      <w:r>
        <w:rPr/>
        <w:t> </w:t>
      </w:r>
      <w:r>
        <w:rPr>
          <w:spacing w:val="-8"/>
        </w:rPr>
        <w:t>券法》、《企业内部控制基本规范》等有关法律、法规和规章制度，结合公司的实际情况、自</w:t>
      </w:r>
      <w:r>
        <w:rPr>
          <w:spacing w:val="-86"/>
        </w:rPr>
        <w:t> </w:t>
      </w:r>
      <w:r>
        <w:rPr>
          <w:spacing w:val="-86"/>
        </w:rPr>
      </w:r>
      <w:r>
        <w:rPr>
          <w:spacing w:val="-3"/>
        </w:rPr>
        <w:t>身特点和管理需要，制定了贯穿于公司经营管理各层面、各环节的内部控制体系，特别是与</w:t>
      </w:r>
      <w:r>
        <w:rPr>
          <w:spacing w:val="-81"/>
        </w:rPr>
        <w:t> </w:t>
      </w:r>
      <w:r>
        <w:rPr>
          <w:spacing w:val="-81"/>
        </w:rPr>
      </w:r>
      <w:r>
        <w:rPr>
          <w:spacing w:val="-3"/>
        </w:rPr>
        <w:t>财务报告相关的内部控制制度，对关联交易、对外担保、证券投资等方面制定专门制度进行</w:t>
      </w:r>
      <w:r>
        <w:rPr>
          <w:spacing w:val="-81"/>
        </w:rPr>
        <w:t> </w:t>
      </w:r>
      <w:r>
        <w:rPr>
          <w:spacing w:val="-81"/>
        </w:rPr>
      </w:r>
      <w:r>
        <w:rPr>
          <w:spacing w:val="-8"/>
        </w:rPr>
        <w:t>防范控制，并不断完善。报告期内，公司制定了《公司风险投资管理制度》、《公司远期结售</w:t>
      </w:r>
      <w:r>
        <w:rPr>
          <w:spacing w:val="-86"/>
        </w:rPr>
        <w:t> </w:t>
      </w:r>
      <w:r>
        <w:rPr>
          <w:spacing w:val="-86"/>
        </w:rPr>
      </w:r>
      <w:r>
        <w:rPr>
          <w:spacing w:val="-8"/>
        </w:rPr>
        <w:t>汇业务、人民币外汇掉期业务内部控制制度》、《公司内幕信息知情人备案管理制度》和《公</w:t>
      </w:r>
      <w:r>
        <w:rPr>
          <w:spacing w:val="-84"/>
        </w:rPr>
        <w:t> </w:t>
      </w:r>
      <w:r>
        <w:rPr>
          <w:spacing w:val="-84"/>
        </w:rPr>
      </w:r>
      <w:r>
        <w:rPr>
          <w:spacing w:val="-10"/>
        </w:rPr>
        <w:t>司年报信息披露重大差错责任追究制度》，修订了《公司内部会计控制制度》和《公司章程》，</w:t>
      </w:r>
      <w:r>
        <w:rPr>
          <w:spacing w:val="-99"/>
        </w:rPr>
        <w:t> </w:t>
      </w:r>
      <w:r>
        <w:rPr>
          <w:spacing w:val="-99"/>
        </w:rPr>
      </w:r>
      <w:r>
        <w:rPr/>
        <w:t>公司内部控制体系具备了较好的完整性、合理性和有效性。</w:t>
      </w:r>
    </w:p>
    <w:p>
      <w:pPr>
        <w:pStyle w:val="BodyText"/>
        <w:spacing w:line="381" w:lineRule="auto" w:before="135"/>
        <w:ind w:left="560" w:right="0" w:hanging="1"/>
        <w:jc w:val="left"/>
      </w:pPr>
      <w:r>
        <w:rPr>
          <w:rFonts w:ascii="Times New Roman" w:hAnsi="Times New Roman" w:cs="Times New Roman" w:eastAsia="Times New Roman" w:hint="default"/>
        </w:rPr>
        <w:t>1</w:t>
      </w:r>
      <w:r>
        <w:rPr/>
        <w:t>、董事会对内部控制的自我评价 </w:t>
      </w:r>
      <w:r>
        <w:rPr>
          <w:spacing w:val="-3"/>
        </w:rPr>
        <w:t>董事会对公司内部控制进行了认真的自查和分析，认为：公司通过不断的建立、健全和</w:t>
      </w:r>
    </w:p>
    <w:p>
      <w:pPr>
        <w:pStyle w:val="BodyText"/>
        <w:spacing w:line="216" w:lineRule="exact"/>
        <w:ind w:right="0"/>
        <w:jc w:val="both"/>
      </w:pPr>
      <w:r>
        <w:rPr>
          <w:spacing w:val="-3"/>
        </w:rPr>
        <w:t>完善内部控制制度，现行的制度较为完整、合理、有效，实用性、可操作性强，符合公司实</w:t>
      </w:r>
    </w:p>
    <w:p>
      <w:pPr>
        <w:pStyle w:val="BodyText"/>
        <w:spacing w:line="288" w:lineRule="auto" w:before="66"/>
        <w:ind w:right="217"/>
        <w:jc w:val="both"/>
      </w:pPr>
      <w:r>
        <w:rPr>
          <w:spacing w:val="-3"/>
        </w:rPr>
        <w:t>际情况，能够满足公司当前发展需要，对提高经营管理水平、规范公司运作、控制和防范风</w:t>
      </w:r>
      <w:r>
        <w:rPr>
          <w:spacing w:val="-80"/>
        </w:rPr>
        <w:t> </w:t>
      </w:r>
      <w:r>
        <w:rPr>
          <w:spacing w:val="-80"/>
        </w:rPr>
      </w:r>
      <w:r>
        <w:rPr/>
        <w:t>险、促进企业可持续发展和维护社会公众利益等方面都发挥了重要作用。</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年度，各项 内部控制活动能够得到有效执行，公司内部控制是有效的。</w:t>
      </w:r>
    </w:p>
    <w:p>
      <w:pPr>
        <w:pStyle w:val="BodyText"/>
        <w:spacing w:line="240" w:lineRule="auto" w:before="144"/>
        <w:ind w:left="560" w:right="0"/>
        <w:jc w:val="left"/>
      </w:pPr>
      <w:r>
        <w:rPr/>
        <w:t>《关于 </w:t>
      </w:r>
      <w:r>
        <w:rPr>
          <w:rFonts w:ascii="Times New Roman" w:hAnsi="Times New Roman" w:cs="Times New Roman" w:eastAsia="Times New Roman" w:hint="default"/>
        </w:rPr>
        <w:t>2010  </w:t>
      </w:r>
      <w:r>
        <w:rPr/>
        <w:t>年度内部控制的自我评价报告》刊登在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20"/>
        </w:rPr>
        <w:t> </w:t>
      </w:r>
      <w:r>
        <w:rPr/>
        <w:t>日巨潮资讯网</w:t>
      </w:r>
    </w:p>
    <w:p>
      <w:pPr>
        <w:pStyle w:val="BodyText"/>
        <w:spacing w:line="240" w:lineRule="auto" w:before="50"/>
        <w:ind w:right="0"/>
        <w:jc w:val="both"/>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381" w:lineRule="auto" w:before="169"/>
        <w:ind w:left="561" w:right="0" w:hanging="2"/>
        <w:jc w:val="left"/>
      </w:pPr>
      <w:r>
        <w:rPr>
          <w:rFonts w:ascii="Times New Roman" w:hAnsi="Times New Roman" w:cs="Times New Roman" w:eastAsia="Times New Roman" w:hint="default"/>
        </w:rPr>
        <w:t>2</w:t>
      </w:r>
      <w:r>
        <w:rPr/>
        <w:t>、监事会对内部控制自我评价报告的审核意见 </w:t>
      </w:r>
      <w:r>
        <w:rPr>
          <w:spacing w:val="-3"/>
        </w:rPr>
        <w:t>公司建立了较为完善的内部控制体系，能根据公司经营需要持续完善内控制度，并能得</w:t>
      </w:r>
    </w:p>
    <w:p>
      <w:pPr>
        <w:pStyle w:val="BodyText"/>
        <w:spacing w:line="217" w:lineRule="exact"/>
        <w:ind w:right="0"/>
        <w:jc w:val="both"/>
      </w:pPr>
      <w:r>
        <w:rPr>
          <w:spacing w:val="-3"/>
        </w:rPr>
        <w:t>到有效执行；内部控制体系符合国家相关法律法规要求以及公司实际需要，对公司经营管理</w:t>
      </w:r>
    </w:p>
    <w:p>
      <w:pPr>
        <w:pStyle w:val="BodyText"/>
        <w:spacing w:line="240" w:lineRule="auto" w:before="64"/>
        <w:ind w:right="0"/>
        <w:jc w:val="both"/>
      </w:pPr>
      <w:r>
        <w:rPr/>
        <w:t>起到了较好的风险防范和控制作用</w:t>
      </w:r>
      <w:r>
        <w:rPr>
          <w:spacing w:val="-32"/>
        </w:rPr>
        <w:t>。</w:t>
      </w:r>
      <w:r>
        <w:rPr/>
        <w:t>报告期内</w:t>
      </w:r>
      <w:r>
        <w:rPr>
          <w:spacing w:val="-32"/>
        </w:rPr>
        <w:t>，</w:t>
      </w:r>
      <w:r>
        <w:rPr/>
        <w:t>公司不存在违</w:t>
      </w:r>
      <w:r>
        <w:rPr>
          <w:spacing w:val="-32"/>
        </w:rPr>
        <w:t>反</w:t>
      </w:r>
      <w:r>
        <w:rPr/>
        <w:t>《企业内部控制基本规范</w:t>
      </w:r>
      <w:r>
        <w:rPr>
          <w:spacing w:val="-105"/>
        </w:rPr>
        <w:t>》</w:t>
      </w:r>
      <w:r>
        <w:rPr/>
        <w:t>、</w:t>
      </w:r>
    </w:p>
    <w:p>
      <w:pPr>
        <w:pStyle w:val="BodyText"/>
        <w:spacing w:line="297" w:lineRule="auto" w:before="66"/>
        <w:ind w:right="104"/>
        <w:jc w:val="left"/>
      </w:pPr>
      <w:r>
        <w:rPr/>
        <w:t>《上市公司内部控制指引》及公司相关内控制度的情形。公司内部控制自我评价报告真实、 客观地反映了公司内部控制制度的建设及运行情况。</w:t>
      </w:r>
    </w:p>
    <w:p>
      <w:pPr>
        <w:pStyle w:val="BodyText"/>
        <w:spacing w:line="240" w:lineRule="auto" w:before="135"/>
        <w:ind w:left="560" w:right="0"/>
        <w:jc w:val="left"/>
      </w:pPr>
      <w:r>
        <w:rPr>
          <w:rFonts w:ascii="Times New Roman" w:hAnsi="Times New Roman" w:cs="Times New Roman" w:eastAsia="Times New Roman" w:hint="default"/>
        </w:rPr>
        <w:t>3</w:t>
      </w:r>
      <w:r>
        <w:rPr/>
        <w:t>、会计师事务所的审核意见</w:t>
      </w:r>
    </w:p>
    <w:p>
      <w:pPr>
        <w:pStyle w:val="BodyText"/>
        <w:spacing w:line="240" w:lineRule="auto" w:before="169"/>
        <w:ind w:left="560" w:right="0"/>
        <w:jc w:val="left"/>
      </w:pPr>
      <w:r>
        <w:rPr/>
        <w:t>立信羊城会计师事务所有限公司对截至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日止与财务报表相关的内部控</w:t>
      </w:r>
    </w:p>
    <w:p>
      <w:pPr>
        <w:pStyle w:val="BodyText"/>
        <w:spacing w:line="240" w:lineRule="auto" w:before="50"/>
        <w:ind w:right="0"/>
        <w:jc w:val="both"/>
      </w:pPr>
      <w:r>
        <w:rPr/>
        <w:t>制有效性进行了审核，并出具了（</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t>）羊专</w:t>
      </w:r>
      <w:r>
        <w:rPr>
          <w:spacing w:val="-2"/>
        </w:rPr>
        <w:t>审</w:t>
      </w:r>
      <w:r>
        <w:rPr/>
        <w:t>字第</w:t>
      </w:r>
      <w:r>
        <w:rPr>
          <w:spacing w:val="-3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64</w:t>
      </w:r>
      <w:r>
        <w:rPr>
          <w:rFonts w:ascii="Times New Roman" w:hAnsi="Times New Roman" w:cs="Times New Roman" w:eastAsia="Times New Roman" w:hint="default"/>
          <w:spacing w:val="12"/>
        </w:rPr>
        <w:t> </w:t>
      </w:r>
      <w:r>
        <w:rPr/>
        <w:t>号《内部控制鉴证报告</w:t>
      </w:r>
      <w:r>
        <w:rPr>
          <w:spacing w:val="-106"/>
        </w:rPr>
        <w:t>》</w:t>
      </w:r>
      <w:r>
        <w:rPr/>
        <w:t>，认为</w:t>
      </w:r>
    </w:p>
    <w:p>
      <w:pPr>
        <w:pStyle w:val="BodyText"/>
        <w:spacing w:line="280" w:lineRule="auto" w:before="50"/>
        <w:ind w:right="204"/>
        <w:jc w:val="left"/>
      </w:pPr>
      <w:r>
        <w:rPr/>
        <w:t>“贵公司董事会按照关于公司内部控制的自我评价报告设定的标准于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 </w:t>
      </w:r>
      <w:r>
        <w:rPr>
          <w:spacing w:val="-5"/>
        </w:rPr>
        <w:t>所有重大方面保持了与会计报表相关的有效的内部控制。”</w:t>
      </w:r>
    </w:p>
    <w:p>
      <w:pPr>
        <w:pStyle w:val="BodyText"/>
        <w:spacing w:line="280" w:lineRule="auto" w:before="150"/>
        <w:ind w:right="211" w:firstLine="420"/>
        <w:jc w:val="left"/>
      </w:pPr>
      <w:r>
        <w:rPr>
          <w:spacing w:val="-4"/>
        </w:rPr>
        <w:t>立信羊城会计师事务所出具的《内部控制鉴证报告》刊登在</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日巨潮资讯 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Heading3"/>
        <w:spacing w:line="240" w:lineRule="auto" w:before="125"/>
        <w:ind w:right="0"/>
        <w:jc w:val="both"/>
        <w:rPr>
          <w:b w:val="0"/>
          <w:bCs w:val="0"/>
        </w:rPr>
      </w:pPr>
      <w:r>
        <w:rPr/>
        <w:t>五、高级管理人员的考评及激励情况</w:t>
      </w:r>
      <w:r>
        <w:rPr>
          <w:b w:val="0"/>
          <w:bCs w:val="0"/>
        </w:rPr>
      </w:r>
    </w:p>
    <w:p>
      <w:pPr>
        <w:pStyle w:val="BodyText"/>
        <w:spacing w:line="297" w:lineRule="auto" w:before="121"/>
        <w:ind w:left="139" w:right="216" w:firstLine="420"/>
        <w:jc w:val="both"/>
      </w:pPr>
      <w:r>
        <w:rPr>
          <w:spacing w:val="-3"/>
        </w:rPr>
        <w:t>公司建立了高级管理人员绩效考评体系和薪酬制度，报告期内公司修订了《高管层年度</w:t>
      </w:r>
      <w:r>
        <w:rPr/>
        <w:t> </w:t>
      </w:r>
      <w:r>
        <w:rPr>
          <w:spacing w:val="-3"/>
        </w:rPr>
        <w:t>业绩考核与薪酬管理办法》。公司高级管理人员的工作绩效与其收入直接挂钩，每年年初，</w:t>
      </w:r>
      <w:r>
        <w:rPr>
          <w:spacing w:val="-84"/>
        </w:rPr>
        <w:t> </w:t>
      </w:r>
      <w:r>
        <w:rPr>
          <w:spacing w:val="-84"/>
        </w:rPr>
      </w:r>
      <w:r>
        <w:rPr>
          <w:spacing w:val="-3"/>
        </w:rPr>
        <w:t>公司与高管层分别签订年度经营责任书，落实有关考核指标及相关事项。在年度结束后，由</w:t>
      </w:r>
      <w:r>
        <w:rPr>
          <w:spacing w:val="-81"/>
        </w:rPr>
        <w:t> </w:t>
      </w:r>
      <w:r>
        <w:rPr>
          <w:spacing w:val="-81"/>
        </w:rPr>
      </w:r>
      <w:r>
        <w:rPr>
          <w:spacing w:val="-3"/>
        </w:rPr>
        <w:t>薪酬与考核委员会负责以量化考核指标，对高管责任目标完成情况进行考评，制定薪酬方案</w:t>
      </w:r>
    </w:p>
    <w:p>
      <w:pPr>
        <w:spacing w:after="0" w:line="297"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403" w:lineRule="auto" w:before="35"/>
        <w:ind w:left="880" w:right="5444" w:hanging="420"/>
        <w:jc w:val="left"/>
      </w:pPr>
      <w:r>
        <w:rPr/>
        <w:t>报公司董事会审批。 公司目前还没有实施股权激励。</w:t>
      </w:r>
    </w:p>
    <w:p>
      <w:pPr>
        <w:pStyle w:val="Heading3"/>
        <w:spacing w:line="240" w:lineRule="auto" w:before="38"/>
        <w:ind w:left="460" w:right="405"/>
        <w:jc w:val="left"/>
        <w:rPr>
          <w:b w:val="0"/>
          <w:bCs w:val="0"/>
        </w:rPr>
      </w:pPr>
      <w:r>
        <w:rPr/>
        <w:t>六、</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年“上市公司信息披露检查专项活动”的开展情况</w:t>
      </w:r>
      <w:r>
        <w:rPr>
          <w:b w:val="0"/>
          <w:bCs w:val="0"/>
        </w:rPr>
      </w:r>
    </w:p>
    <w:p>
      <w:pPr>
        <w:pStyle w:val="BodyText"/>
        <w:spacing w:line="290" w:lineRule="auto" w:before="103"/>
        <w:ind w:left="459" w:right="405" w:firstLine="420"/>
        <w:jc w:val="left"/>
      </w:pPr>
      <w:r>
        <w:rPr>
          <w:spacing w:val="-3"/>
        </w:rPr>
        <w:t>报告期内，根据广东证监局《关于开展上市公司信息披露检查专项活动的通知》（广东</w:t>
      </w:r>
      <w:r>
        <w:rPr>
          <w:spacing w:val="1"/>
        </w:rPr>
        <w:t> </w:t>
      </w:r>
      <w:r>
        <w:rPr/>
        <w:t>证监</w:t>
      </w:r>
      <w:r>
        <w:rPr>
          <w:rFonts w:ascii="Times New Roman" w:hAnsi="Times New Roman" w:cs="Times New Roman" w:eastAsia="Times New Roman" w:hint="default"/>
        </w:rPr>
        <w:t>[2010]30 </w:t>
      </w:r>
      <w:r>
        <w:rPr>
          <w:spacing w:val="-3"/>
        </w:rPr>
        <w:t>号）的有关要求，公司董事会高度重视，积极组织各部门深入学习、领会文件</w:t>
      </w:r>
      <w:r>
        <w:rPr>
          <w:spacing w:val="-88"/>
        </w:rPr>
        <w:t> </w:t>
      </w:r>
      <w:r>
        <w:rPr>
          <w:spacing w:val="-88"/>
        </w:rPr>
      </w:r>
      <w:r>
        <w:rPr>
          <w:spacing w:val="-13"/>
        </w:rPr>
        <w:t>精神以及《公司法》、《证券法》、《上市公司信息披露管理办法》等法律法规，进一步提高对</w:t>
      </w:r>
      <w:r>
        <w:rPr>
          <w:spacing w:val="-80"/>
        </w:rPr>
        <w:t> </w:t>
      </w:r>
      <w:r>
        <w:rPr>
          <w:spacing w:val="-80"/>
        </w:rPr>
      </w:r>
      <w:r>
        <w:rPr>
          <w:spacing w:val="-3"/>
        </w:rPr>
        <w:t>规范信息披露工作的认识，并结合公司实际情况，安排部署工作重点和工作程序，逐项梳理</w:t>
      </w:r>
      <w:r>
        <w:rPr>
          <w:spacing w:val="-81"/>
        </w:rPr>
        <w:t> </w:t>
      </w:r>
      <w:r>
        <w:rPr>
          <w:spacing w:val="-81"/>
        </w:rPr>
      </w:r>
      <w:r>
        <w:rPr/>
        <w:t>公司信息披露相关制度，逐项检查公司信息披露管理制度和内幕信息管理制度的执行情况， 逐次检查重大事项决策和执行过程中董事、监事和高管人员的尽责情况，逐个检查持股</w:t>
      </w:r>
      <w:r>
        <w:rPr>
          <w:spacing w:val="-56"/>
        </w:rPr>
        <w:t> </w:t>
      </w:r>
      <w:r>
        <w:rPr>
          <w:rFonts w:ascii="Times New Roman" w:hAnsi="Times New Roman" w:cs="Times New Roman" w:eastAsia="Times New Roman" w:hint="default"/>
        </w:rPr>
        <w:t>5% </w:t>
      </w:r>
      <w:r>
        <w:rPr/>
        <w:t>以上股东、董事、监事和高管人员持有公司股票变动情况。</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月，公司通过自查形 </w:t>
      </w:r>
      <w:r>
        <w:rPr>
          <w:spacing w:val="-3"/>
        </w:rPr>
        <w:t>成了《关于“信息披露检查专项活动”自查报告和整改计划》，并提交董事会审议通过。</w:t>
      </w:r>
    </w:p>
    <w:p>
      <w:pPr>
        <w:pStyle w:val="Heading3"/>
        <w:spacing w:line="240" w:lineRule="auto" w:before="137"/>
        <w:ind w:left="460" w:right="405"/>
        <w:jc w:val="left"/>
        <w:rPr>
          <w:b w:val="0"/>
          <w:bCs w:val="0"/>
        </w:rPr>
      </w:pPr>
      <w:r>
        <w:rPr/>
        <w:t>七、公司内部审计制度的建立和执行情况</w:t>
      </w:r>
      <w:r>
        <w:rPr>
          <w:b w:val="0"/>
          <w:bCs w:val="0"/>
        </w:rPr>
      </w:r>
    </w:p>
    <w:p>
      <w:pPr>
        <w:spacing w:line="240" w:lineRule="auto" w:before="6"/>
        <w:rPr>
          <w:rFonts w:ascii="宋体" w:hAnsi="宋体" w:cs="宋体" w:eastAsia="宋体" w:hint="default"/>
          <w:b/>
          <w:bCs/>
          <w:sz w:val="25"/>
          <w:szCs w:val="25"/>
        </w:rPr>
      </w:pPr>
    </w:p>
    <w:p>
      <w:pPr>
        <w:spacing w:before="44"/>
        <w:ind w:left="0" w:right="104" w:firstLine="0"/>
        <w:jc w:val="right"/>
        <w:rPr>
          <w:rFonts w:ascii="宋体" w:hAnsi="宋体" w:cs="宋体" w:eastAsia="宋体" w:hint="default"/>
          <w:sz w:val="18"/>
          <w:szCs w:val="18"/>
        </w:rPr>
      </w:pPr>
      <w:r>
        <w:rPr/>
        <w:pict>
          <v:shape style="position:absolute;margin-left:72.180pt;margin-top:6.14202pt;width:451.15pt;height:424.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11"/>
                    <w:gridCol w:w="911"/>
                    <w:gridCol w:w="2486"/>
                  </w:tblGrid>
                  <w:tr>
                    <w:trPr>
                      <w:trHeight w:val="406"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0" w:right="0"/>
                          <w:jc w:val="center"/>
                          <w:rPr>
                            <w:rFonts w:ascii="宋体" w:hAnsi="宋体" w:cs="宋体" w:eastAsia="宋体" w:hint="default"/>
                            <w:sz w:val="18"/>
                            <w:szCs w:val="18"/>
                          </w:rPr>
                        </w:pPr>
                        <w:r>
                          <w:rPr>
                            <w:rFonts w:ascii="宋体" w:hAnsi="宋体" w:cs="宋体" w:eastAsia="宋体" w:hint="default"/>
                            <w:b/>
                            <w:bCs/>
                            <w:sz w:val="18"/>
                            <w:szCs w:val="18"/>
                          </w:rPr>
                          <w:t>内部控制相关情况</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left="10" w:right="0"/>
                          <w:jc w:val="center"/>
                          <w:rPr>
                            <w:rFonts w:ascii="宋体" w:hAnsi="宋体" w:cs="宋体" w:eastAsia="宋体" w:hint="default"/>
                            <w:sz w:val="18"/>
                            <w:szCs w:val="18"/>
                          </w:rPr>
                        </w:pPr>
                        <w:r>
                          <w:rPr>
                            <w:rFonts w:ascii="宋体" w:hAnsi="宋体" w:cs="宋体" w:eastAsia="宋体" w:hint="default"/>
                            <w:b/>
                            <w:bCs/>
                            <w:sz w:val="18"/>
                            <w:szCs w:val="18"/>
                          </w:rPr>
                          <w:t>是</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不适</w:t>
                        </w:r>
                        <w:r>
                          <w:rPr>
                            <w:rFonts w:ascii="宋体" w:hAnsi="宋体" w:cs="宋体" w:eastAsia="宋体" w:hint="default"/>
                            <w:sz w:val="18"/>
                            <w:szCs w:val="18"/>
                          </w:rPr>
                        </w:r>
                      </w:p>
                      <w:p>
                        <w:pPr>
                          <w:pStyle w:val="TableParagraph"/>
                          <w:spacing w:line="227" w:lineRule="exact"/>
                          <w:ind w:left="8" w:right="0"/>
                          <w:jc w:val="center"/>
                          <w:rPr>
                            <w:rFonts w:ascii="宋体" w:hAnsi="宋体" w:cs="宋体" w:eastAsia="宋体" w:hint="default"/>
                            <w:sz w:val="18"/>
                            <w:szCs w:val="18"/>
                          </w:rPr>
                        </w:pPr>
                        <w:r>
                          <w:rPr>
                            <w:rFonts w:ascii="宋体" w:hAnsi="宋体" w:cs="宋体" w:eastAsia="宋体" w:hint="default"/>
                            <w:b/>
                            <w:bCs/>
                            <w:w w:val="99"/>
                            <w:sz w:val="18"/>
                            <w:szCs w:val="18"/>
                          </w:rPr>
                          <w:t>用</w:t>
                        </w:r>
                        <w:r>
                          <w:rPr>
                            <w:rFonts w:ascii="宋体" w:hAnsi="宋体" w:cs="宋体" w:eastAsia="宋体" w:hint="default"/>
                            <w:sz w:val="18"/>
                            <w:szCs w:val="18"/>
                          </w:rPr>
                        </w:r>
                      </w:p>
                    </w:tc>
                    <w:tc>
                      <w:tcPr>
                        <w:tcW w:w="24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right="90"/>
                          <w:jc w:val="center"/>
                          <w:rPr>
                            <w:rFonts w:ascii="宋体" w:hAnsi="宋体" w:cs="宋体" w:eastAsia="宋体" w:hint="default"/>
                            <w:sz w:val="18"/>
                            <w:szCs w:val="18"/>
                          </w:rPr>
                        </w:pPr>
                        <w:r>
                          <w:rPr>
                            <w:rFonts w:ascii="宋体" w:hAnsi="宋体" w:cs="宋体" w:eastAsia="宋体" w:hint="default"/>
                            <w:b/>
                            <w:bCs/>
                            <w:spacing w:val="-4"/>
                            <w:sz w:val="18"/>
                            <w:szCs w:val="18"/>
                          </w:rPr>
                          <w:t>备注</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说明（如选择否或不适用</w:t>
                        </w:r>
                        <w:r>
                          <w:rPr>
                            <w:rFonts w:ascii="宋体" w:hAnsi="宋体" w:cs="宋体" w:eastAsia="宋体" w:hint="default"/>
                            <w:spacing w:val="-4"/>
                            <w:sz w:val="18"/>
                            <w:szCs w:val="18"/>
                          </w:rPr>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b/>
                            <w:bCs/>
                            <w:sz w:val="18"/>
                            <w:szCs w:val="18"/>
                          </w:rPr>
                          <w:t>请说明具体原因）</w:t>
                        </w:r>
                        <w:r>
                          <w:rPr>
                            <w:rFonts w:ascii="宋体" w:hAnsi="宋体" w:cs="宋体" w:eastAsia="宋体" w:hint="default"/>
                            <w:sz w:val="18"/>
                            <w:szCs w:val="18"/>
                          </w:rPr>
                        </w:r>
                      </w:p>
                    </w:tc>
                  </w:tr>
                  <w:tr>
                    <w:trPr>
                      <w:trHeight w:val="396"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b/>
                            <w:bCs/>
                            <w:sz w:val="18"/>
                            <w:szCs w:val="18"/>
                          </w:rPr>
                          <w:t>一、内部审计制度的建立情况</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8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24"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23"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 通过</w:t>
                        </w:r>
                      </w:p>
                    </w:tc>
                    <w:tc>
                      <w:tcPr>
                        <w:tcW w:w="911" w:type="dxa"/>
                        <w:tcBorders>
                          <w:top w:val="single" w:sz="43" w:space="0" w:color="DCDCDC"/>
                          <w:left w:val="single" w:sz="13" w:space="0" w:color="DCDCDC"/>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3" w:space="0" w:color="DCDCDC"/>
                          <w:left w:val="single" w:sz="4" w:space="0" w:color="000000"/>
                          <w:bottom w:val="single" w:sz="4" w:space="0" w:color="000000"/>
                          <w:right w:val="single" w:sz="4" w:space="0" w:color="000000"/>
                        </w:tcBorders>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6"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内部审计部门</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）审计委员会成员是否全部由董事组成，独立董事占半数以上并</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担任召集人，且至少有一名独立董事为会计专业人士</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22"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计工作</w:t>
                        </w:r>
                      </w:p>
                    </w:tc>
                    <w:tc>
                      <w:tcPr>
                        <w:tcW w:w="911" w:type="dxa"/>
                        <w:tcBorders>
                          <w:top w:val="single" w:sz="4" w:space="0" w:color="000000"/>
                          <w:left w:val="single" w:sz="13" w:space="0" w:color="DCDCDC"/>
                          <w:bottom w:val="single" w:sz="41" w:space="0" w:color="DCDCDC"/>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1" w:space="0" w:color="DCDCDC"/>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3"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b/>
                            <w:bCs/>
                            <w:sz w:val="18"/>
                            <w:szCs w:val="18"/>
                          </w:rPr>
                          <w:t>二、年度内部控制自我评价报告披露相关情况</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8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911" w:type="dxa"/>
                        <w:tcBorders>
                          <w:top w:val="single" w:sz="45" w:space="0" w:color="DCDCDC"/>
                          <w:left w:val="single" w:sz="13" w:space="0" w:color="DCDCDC"/>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5" w:space="0" w:color="DCDCDC"/>
                          <w:left w:val="single" w:sz="4" w:space="0" w:color="000000"/>
                          <w:bottom w:val="single" w:sz="4" w:space="0" w:color="000000"/>
                          <w:right w:val="single" w:sz="4" w:space="0" w:color="000000"/>
                        </w:tcBorders>
                      </w:tcPr>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效，请说明内部控制存在的重大缺陷）</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0"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w:t>
                        </w:r>
                      </w:p>
                      <w:p>
                        <w:pPr>
                          <w:pStyle w:val="TableParagraph"/>
                          <w:spacing w:line="234" w:lineRule="exact" w:before="15"/>
                          <w:ind w:left="23" w:right="9"/>
                          <w:jc w:val="left"/>
                          <w:rPr>
                            <w:rFonts w:ascii="宋体" w:hAnsi="宋体" w:cs="宋体" w:eastAsia="宋体" w:hint="default"/>
                            <w:sz w:val="18"/>
                            <w:szCs w:val="18"/>
                          </w:rPr>
                        </w:pPr>
                        <w:r>
                          <w:rPr>
                            <w:rFonts w:ascii="宋体" w:hAnsi="宋体" w:cs="宋体" w:eastAsia="宋体" w:hint="default"/>
                            <w:spacing w:val="-1"/>
                            <w:sz w:val="18"/>
                            <w:szCs w:val="18"/>
                          </w:rPr>
                          <w:t>如出具非无保留结论鉴证报告，公司董事会、监事会是否针对鉴证结论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涉及事项做出专项说明</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911" w:type="dxa"/>
                        <w:tcBorders>
                          <w:top w:val="single" w:sz="4" w:space="0" w:color="000000"/>
                          <w:left w:val="single" w:sz="13" w:space="0" w:color="DCDCDC"/>
                          <w:bottom w:val="single" w:sz="4" w:space="0" w:color="000000"/>
                          <w:right w:val="single" w:sz="4" w:space="0" w:color="000000"/>
                        </w:tcBorders>
                      </w:tcPr>
                      <w:p>
                        <w:pPr>
                          <w:pStyle w:val="TableParagraph"/>
                          <w:tabs>
                            <w:tab w:pos="353" w:val="left" w:leader="none"/>
                          </w:tabs>
                          <w:spacing w:line="20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tab/>
                          <w:t>是</w:t>
                        </w:r>
                      </w:p>
                    </w:tc>
                    <w:tc>
                      <w:tcPr>
                        <w:tcW w:w="2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2" w:hRule="exact"/>
                    </w:trPr>
                    <w:tc>
                      <w:tcPr>
                        <w:tcW w:w="56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911" w:type="dxa"/>
                        <w:tcBorders>
                          <w:top w:val="single" w:sz="4" w:space="0" w:color="000000"/>
                          <w:left w:val="single" w:sz="13" w:space="0" w:color="DCDCDC"/>
                          <w:bottom w:val="single" w:sz="35" w:space="0" w:color="DCDCDC"/>
                          <w:right w:val="single" w:sz="4" w:space="0" w:color="000000"/>
                        </w:tcBorders>
                      </w:tcPr>
                      <w:p>
                        <w:pPr>
                          <w:pStyle w:val="TableParagraph"/>
                          <w:spacing w:line="206" w:lineRule="exact"/>
                          <w:ind w:left="17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86" w:type="dxa"/>
                        <w:tcBorders>
                          <w:top w:val="single" w:sz="4" w:space="0" w:color="000000"/>
                          <w:left w:val="single" w:sz="4" w:space="0" w:color="000000"/>
                          <w:bottom w:val="single" w:sz="35" w:space="0" w:color="DCDCDC"/>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90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b/>
                            <w:bCs/>
                            <w:sz w:val="18"/>
                            <w:szCs w:val="18"/>
                          </w:rPr>
                          <w:t>三、审计委员会和内部审计部门本年度的主要工作内容与工作成效</w:t>
                        </w:r>
                        <w:r>
                          <w:rPr>
                            <w:rFonts w:ascii="宋体" w:hAnsi="宋体" w:cs="宋体" w:eastAsia="宋体" w:hint="default"/>
                            <w:sz w:val="18"/>
                            <w:szCs w:val="18"/>
                          </w:rPr>
                        </w:r>
                      </w:p>
                    </w:tc>
                  </w:tr>
                  <w:tr>
                    <w:trPr>
                      <w:trHeight w:val="1918" w:hRule="exact"/>
                    </w:trPr>
                    <w:tc>
                      <w:tcPr>
                        <w:tcW w:w="9008" w:type="dxa"/>
                        <w:gridSpan w:val="3"/>
                        <w:tcBorders>
                          <w:top w:val="single" w:sz="36" w:space="0" w:color="DCDCDC"/>
                          <w:left w:val="single" w:sz="4" w:space="0" w:color="000000"/>
                          <w:bottom w:val="single" w:sz="4" w:space="0" w:color="000000"/>
                          <w:right w:val="single" w:sz="4" w:space="0" w:color="000000"/>
                        </w:tcBorders>
                      </w:tcPr>
                      <w:p>
                        <w:pPr>
                          <w:pStyle w:val="TableParagraph"/>
                          <w:spacing w:line="204" w:lineRule="exact"/>
                          <w:ind w:left="23" w:right="0" w:firstLine="360"/>
                          <w:jc w:val="both"/>
                          <w:rPr>
                            <w:rFonts w:ascii="宋体" w:hAnsi="宋体" w:cs="宋体" w:eastAsia="宋体" w:hint="default"/>
                            <w:sz w:val="18"/>
                            <w:szCs w:val="18"/>
                          </w:rPr>
                        </w:pPr>
                        <w:r>
                          <w:rPr>
                            <w:rFonts w:ascii="宋体" w:hAnsi="宋体" w:cs="宋体" w:eastAsia="宋体" w:hint="default"/>
                            <w:spacing w:val="-1"/>
                            <w:sz w:val="18"/>
                            <w:szCs w:val="18"/>
                          </w:rPr>
                          <w:t>审计部按照年度工作计划开展审计工作，对公司及子公司的经营管理、财务状况、内部控制、募集资金使用情</w:t>
                        </w:r>
                      </w:p>
                      <w:p>
                        <w:pPr>
                          <w:pStyle w:val="TableParagraph"/>
                          <w:spacing w:line="240" w:lineRule="auto"/>
                          <w:ind w:left="23" w:right="19"/>
                          <w:jc w:val="left"/>
                          <w:rPr>
                            <w:rFonts w:ascii="宋体" w:hAnsi="宋体" w:cs="宋体" w:eastAsia="宋体" w:hint="default"/>
                            <w:sz w:val="18"/>
                            <w:szCs w:val="18"/>
                          </w:rPr>
                        </w:pPr>
                        <w:r>
                          <w:rPr>
                            <w:rFonts w:ascii="宋体" w:hAnsi="宋体" w:cs="宋体" w:eastAsia="宋体" w:hint="default"/>
                            <w:spacing w:val="-1"/>
                            <w:sz w:val="18"/>
                            <w:szCs w:val="18"/>
                          </w:rPr>
                          <w:t>况以及关联交易等重大事项等进行审计，同时做好年度工作总结，制定下一年工作计划，对外部审计机构进行工作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总结及续聘提议等，提交审计委员会。审计部在</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年的工作中未发现公司存在重大问题。</w:t>
                        </w:r>
                      </w:p>
                      <w:p>
                        <w:pPr>
                          <w:pStyle w:val="TableParagraph"/>
                          <w:spacing w:line="237" w:lineRule="auto"/>
                          <w:ind w:left="23" w:right="-26" w:firstLine="360"/>
                          <w:jc w:val="both"/>
                          <w:rPr>
                            <w:rFonts w:ascii="宋体" w:hAnsi="宋体" w:cs="宋体" w:eastAsia="宋体" w:hint="default"/>
                            <w:sz w:val="18"/>
                            <w:szCs w:val="18"/>
                          </w:rPr>
                        </w:pPr>
                        <w:r>
                          <w:rPr>
                            <w:rFonts w:ascii="宋体" w:hAnsi="宋体" w:cs="宋体" w:eastAsia="宋体" w:hint="default"/>
                            <w:spacing w:val="-1"/>
                            <w:sz w:val="18"/>
                            <w:szCs w:val="18"/>
                          </w:rPr>
                          <w:t>审计委员会按照有关规定组织召开会议，审议审计部提交的季度经营审计报告、季度募集资金使用情况审计报</w:t>
                        </w:r>
                        <w:r>
                          <w:rPr>
                            <w:rFonts w:ascii="宋体" w:hAnsi="宋体" w:cs="宋体" w:eastAsia="宋体" w:hint="default"/>
                            <w:sz w:val="18"/>
                            <w:szCs w:val="18"/>
                          </w:rPr>
                          <w:t> 告，年度内部控制自我评价报告、内部审计工作计划、外部审计机构的工作总结报告等，每季度会议不少于一次， </w:t>
                        </w:r>
                        <w:r>
                          <w:rPr>
                            <w:rFonts w:ascii="宋体" w:hAnsi="宋体" w:cs="宋体" w:eastAsia="宋体" w:hint="default"/>
                            <w:spacing w:val="-1"/>
                            <w:sz w:val="18"/>
                            <w:szCs w:val="18"/>
                          </w:rPr>
                          <w:t>并将形成的决议向董事会汇报，部分决议提交董事会审议，再根据需要提交股东大会审议。根据《年报审计工作规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程》的有关规定，年报审计期间，与审计机构保持密切联系，及时了解审计进展情况，沟通审计问题，保证了年报</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数据的及时性、真实性和准确性。</w:t>
                        </w:r>
                      </w:p>
                    </w:tc>
                  </w:tr>
                  <w:tr>
                    <w:trPr>
                      <w:trHeight w:val="341" w:hRule="exact"/>
                    </w:trPr>
                    <w:tc>
                      <w:tcPr>
                        <w:tcW w:w="90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518" w:hRule="exact"/>
                    </w:trPr>
                    <w:tc>
                      <w:tcPr>
                        <w:tcW w:w="90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b/>
          <w:bCs/>
          <w:w w:val="99"/>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400" w:footer="982" w:top="1100" w:bottom="1180" w:left="1340" w:right="1280"/>
        </w:sectPr>
      </w:pPr>
    </w:p>
    <w:p>
      <w:pPr>
        <w:spacing w:line="240" w:lineRule="auto" w:before="12"/>
        <w:rPr>
          <w:rFonts w:ascii="宋体" w:hAnsi="宋体" w:cs="宋体" w:eastAsia="宋体" w:hint="default"/>
          <w:b/>
          <w:bCs/>
          <w:sz w:val="19"/>
          <w:szCs w:val="19"/>
        </w:rPr>
      </w:pPr>
    </w:p>
    <w:p>
      <w:pPr>
        <w:pStyle w:val="Heading2"/>
        <w:spacing w:line="240" w:lineRule="auto"/>
        <w:ind w:left="45" w:right="102"/>
        <w:jc w:val="center"/>
        <w:rPr>
          <w:b w:val="0"/>
          <w:bCs w:val="0"/>
        </w:rPr>
      </w:pPr>
      <w:bookmarkStart w:name="_TOC_250005" w:id="6"/>
      <w:r>
        <w:rPr/>
        <w:t>第六节</w:t>
      </w:r>
      <w:r>
        <w:rPr>
          <w:spacing w:val="-6"/>
        </w:rPr>
        <w:t> </w:t>
      </w:r>
      <w:r>
        <w:rPr/>
        <w:t>股东大会情况简介</w:t>
      </w:r>
      <w:bookmarkEnd w:id="6"/>
      <w:r>
        <w:rPr>
          <w:b w:val="0"/>
          <w:bCs w:val="0"/>
        </w:rPr>
      </w:r>
    </w:p>
    <w:p>
      <w:pPr>
        <w:spacing w:line="240" w:lineRule="auto" w:before="10"/>
        <w:rPr>
          <w:rFonts w:ascii="宋体" w:hAnsi="宋体" w:cs="宋体" w:eastAsia="宋体" w:hint="default"/>
          <w:b/>
          <w:bCs/>
          <w:sz w:val="38"/>
          <w:szCs w:val="38"/>
        </w:rPr>
      </w:pPr>
    </w:p>
    <w:p>
      <w:pPr>
        <w:pStyle w:val="BodyText"/>
        <w:spacing w:line="290" w:lineRule="auto"/>
        <w:ind w:right="194" w:firstLine="419"/>
        <w:jc w:val="both"/>
      </w:pPr>
      <w:r>
        <w:rPr/>
        <w:t>报告期内，公司依法召开了</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次股东大会，为</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年度股东大会。会议的召集程序、 </w:t>
      </w:r>
      <w:r>
        <w:rPr>
          <w:spacing w:val="-8"/>
        </w:rPr>
        <w:t>召开程序、出席会议人员资格及表决程序均符合《公司法》、《上市公司股东大会规则》等法</w:t>
      </w:r>
      <w:r>
        <w:rPr>
          <w:spacing w:val="-83"/>
        </w:rPr>
        <w:t> </w:t>
      </w:r>
      <w:r>
        <w:rPr>
          <w:spacing w:val="-83"/>
        </w:rPr>
      </w:r>
      <w:r>
        <w:rPr/>
        <w:t>律法规、规范性文件和《公司章程》的规定。</w:t>
      </w:r>
    </w:p>
    <w:p>
      <w:pPr>
        <w:pStyle w:val="BodyText"/>
        <w:spacing w:line="280" w:lineRule="auto" w:before="20"/>
        <w:ind w:left="139" w:right="196" w:firstLine="420"/>
        <w:jc w:val="both"/>
      </w:pP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日召开</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年度股东大会，会议逐项审议并以记名投票表决的 方式通过了以下议案：</w:t>
      </w:r>
    </w:p>
    <w:p>
      <w:pPr>
        <w:pStyle w:val="BodyText"/>
        <w:spacing w:line="240" w:lineRule="auto" w:before="30"/>
        <w:ind w:left="559" w:right="84"/>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年度董事会工作报告</w:t>
      </w:r>
      <w:r>
        <w:rPr>
          <w:spacing w:val="-105"/>
        </w:rPr>
        <w:t>》</w:t>
      </w:r>
      <w:r>
        <w:rPr/>
        <w:t>；</w:t>
      </w:r>
    </w:p>
    <w:p>
      <w:pPr>
        <w:pStyle w:val="BodyText"/>
        <w:spacing w:line="240" w:lineRule="auto" w:before="49"/>
        <w:ind w:left="560" w:right="84"/>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before="50"/>
        <w:ind w:left="560" w:right="84"/>
        <w:jc w:val="left"/>
      </w:pPr>
      <w:r>
        <w:rPr/>
        <w:t>（</w:t>
      </w:r>
      <w:r>
        <w:rPr>
          <w:rFonts w:ascii="Times New Roman" w:hAnsi="Times New Roman" w:cs="Times New Roman" w:eastAsia="Times New Roman" w:hint="default"/>
        </w:rPr>
        <w:t>3</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before="50"/>
        <w:ind w:left="560" w:right="84"/>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度利润分配方案的议案</w:t>
      </w:r>
      <w:r>
        <w:rPr>
          <w:spacing w:val="-106"/>
        </w:rPr>
        <w:t>》</w:t>
      </w:r>
      <w:r>
        <w:rPr/>
        <w:t>；</w:t>
      </w:r>
    </w:p>
    <w:p>
      <w:pPr>
        <w:pStyle w:val="BodyText"/>
        <w:spacing w:line="240" w:lineRule="auto" w:before="49"/>
        <w:ind w:left="560" w:right="84"/>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年年度</w:t>
      </w:r>
      <w:r>
        <w:rPr>
          <w:spacing w:val="-2"/>
        </w:rPr>
        <w:t>报</w:t>
      </w:r>
      <w:r>
        <w:rPr/>
        <w:t>告及摘要</w:t>
      </w:r>
      <w:r>
        <w:rPr>
          <w:spacing w:val="-105"/>
        </w:rPr>
        <w:t>》</w:t>
      </w:r>
      <w:r>
        <w:rPr/>
        <w:t>；</w:t>
      </w:r>
    </w:p>
    <w:p>
      <w:pPr>
        <w:pStyle w:val="BodyText"/>
        <w:spacing w:line="240" w:lineRule="auto" w:before="50"/>
        <w:ind w:left="560" w:right="84"/>
        <w:jc w:val="left"/>
      </w:pPr>
      <w:r>
        <w:rPr/>
        <w:t>（</w:t>
      </w:r>
      <w:r>
        <w:rPr>
          <w:rFonts w:ascii="Times New Roman" w:hAnsi="Times New Roman" w:cs="Times New Roman" w:eastAsia="Times New Roman" w:hint="default"/>
        </w:rPr>
        <w:t>6</w:t>
      </w:r>
      <w:r>
        <w:rPr>
          <w:spacing w:val="-105"/>
        </w:rPr>
        <w:t>）</w:t>
      </w:r>
      <w:r>
        <w:rPr/>
        <w:t>《关</w:t>
      </w:r>
      <w:r>
        <w:rPr>
          <w:spacing w:val="-2"/>
        </w:rPr>
        <w:t>于</w:t>
      </w:r>
      <w:r>
        <w:rPr/>
        <w:t>聘请立信羊城会计师事务所有限公司为公司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年度审计</w:t>
      </w:r>
      <w:r>
        <w:rPr>
          <w:spacing w:val="-2"/>
        </w:rPr>
        <w:t>机</w:t>
      </w:r>
      <w:r>
        <w:rPr/>
        <w:t>构的议案</w:t>
      </w:r>
      <w:r>
        <w:rPr>
          <w:spacing w:val="-105"/>
        </w:rPr>
        <w:t>》</w:t>
      </w:r>
      <w:r>
        <w:rPr/>
        <w:t>；</w:t>
      </w:r>
    </w:p>
    <w:p>
      <w:pPr>
        <w:pStyle w:val="BodyText"/>
        <w:spacing w:line="240" w:lineRule="auto" w:before="50"/>
        <w:ind w:left="560" w:right="84"/>
        <w:jc w:val="left"/>
      </w:pPr>
      <w:r>
        <w:rPr/>
        <w:t>（</w:t>
      </w:r>
      <w:r>
        <w:rPr>
          <w:rFonts w:ascii="Times New Roman" w:hAnsi="Times New Roman" w:cs="Times New Roman" w:eastAsia="Times New Roman" w:hint="default"/>
        </w:rPr>
        <w:t>7</w:t>
      </w:r>
      <w:r>
        <w:rPr>
          <w:spacing w:val="-105"/>
        </w:rPr>
        <w:t>）</w:t>
      </w:r>
      <w:r>
        <w:rPr/>
        <w:t>《关</w:t>
      </w:r>
      <w:r>
        <w:rPr>
          <w:spacing w:val="-2"/>
        </w:rPr>
        <w:t>于</w:t>
      </w:r>
      <w:r>
        <w:rPr/>
        <w:t>修改</w:t>
      </w:r>
      <w:r>
        <w:rPr>
          <w:rFonts w:ascii="Times New Roman" w:hAnsi="Times New Roman" w:cs="Times New Roman" w:eastAsia="Times New Roman" w:hint="default"/>
        </w:rPr>
        <w:t>&lt;</w:t>
      </w:r>
      <w:r>
        <w:rPr/>
        <w:t>内部会计控制制度</w:t>
      </w:r>
      <w:r>
        <w:rPr>
          <w:rFonts w:ascii="Times New Roman" w:hAnsi="Times New Roman" w:cs="Times New Roman" w:eastAsia="Times New Roman" w:hint="default"/>
        </w:rPr>
        <w:t>&gt;</w:t>
      </w:r>
      <w:r>
        <w:rPr/>
        <w:t>的议案</w:t>
      </w:r>
      <w:r>
        <w:rPr>
          <w:spacing w:val="-105"/>
        </w:rPr>
        <w:t>》</w:t>
      </w:r>
      <w:r>
        <w:rPr/>
        <w:t>；</w:t>
      </w:r>
    </w:p>
    <w:p>
      <w:pPr>
        <w:pStyle w:val="BodyText"/>
        <w:spacing w:line="280" w:lineRule="auto" w:before="50"/>
        <w:ind w:left="560" w:right="3864"/>
        <w:jc w:val="left"/>
      </w:pPr>
      <w:r>
        <w:rPr>
          <w:spacing w:val="-12"/>
        </w:rPr>
        <w:t>（</w:t>
      </w:r>
      <w:r>
        <w:rPr>
          <w:rFonts w:ascii="Times New Roman" w:hAnsi="Times New Roman" w:cs="Times New Roman" w:eastAsia="Times New Roman" w:hint="default"/>
          <w:spacing w:val="-12"/>
        </w:rPr>
        <w:t>8</w:t>
      </w:r>
      <w:r>
        <w:rPr>
          <w:spacing w:val="-12"/>
        </w:rPr>
        <w:t>）《关于修改</w:t>
      </w:r>
      <w:r>
        <w:rPr>
          <w:rFonts w:ascii="Times New Roman" w:hAnsi="Times New Roman" w:cs="Times New Roman" w:eastAsia="Times New Roman" w:hint="default"/>
          <w:spacing w:val="-12"/>
        </w:rPr>
        <w:t>&lt;</w:t>
      </w:r>
      <w:r>
        <w:rPr>
          <w:spacing w:val="-12"/>
        </w:rPr>
        <w:t>公司章程</w:t>
      </w:r>
      <w:r>
        <w:rPr>
          <w:rFonts w:ascii="Times New Roman" w:hAnsi="Times New Roman" w:cs="Times New Roman" w:eastAsia="Times New Roman" w:hint="default"/>
          <w:spacing w:val="-12"/>
        </w:rPr>
        <w:t>&gt;</w:t>
      </w:r>
      <w:r>
        <w:rPr>
          <w:spacing w:val="-12"/>
        </w:rPr>
        <w:t>的议案》。</w:t>
      </w:r>
      <w:r>
        <w:rPr>
          <w:spacing w:val="-90"/>
        </w:rPr>
        <w:t> </w:t>
      </w:r>
      <w:r>
        <w:rPr>
          <w:spacing w:val="-90"/>
        </w:rPr>
      </w:r>
      <w:r>
        <w:rPr/>
        <w:t>公司独立董事在本次股东大会上进行了述职。</w:t>
      </w:r>
    </w:p>
    <w:p>
      <w:pPr>
        <w:pStyle w:val="BodyText"/>
        <w:spacing w:line="240" w:lineRule="auto" w:before="30"/>
        <w:ind w:left="560" w:right="84"/>
        <w:jc w:val="left"/>
      </w:pPr>
      <w:r>
        <w:rPr>
          <w:spacing w:val="18"/>
        </w:rPr>
        <w:t>上述会</w:t>
      </w:r>
      <w:r>
        <w:rPr>
          <w:spacing w:val="-75"/>
        </w:rPr>
        <w:t> </w:t>
      </w:r>
      <w:r>
        <w:rPr>
          <w:spacing w:val="14"/>
        </w:rPr>
        <w:t>议决</w:t>
      </w:r>
      <w:r>
        <w:rPr>
          <w:spacing w:val="-75"/>
        </w:rPr>
        <w:t> </w:t>
      </w:r>
      <w:r>
        <w:rPr>
          <w:spacing w:val="18"/>
        </w:rPr>
        <w:t>议公告</w:t>
      </w:r>
      <w:r>
        <w:rPr>
          <w:spacing w:val="-75"/>
        </w:rPr>
        <w:t> </w:t>
      </w:r>
      <w:r>
        <w:rPr>
          <w:spacing w:val="14"/>
        </w:rPr>
        <w:t>刊登</w:t>
      </w:r>
      <w:r>
        <w:rPr>
          <w:spacing w:val="-75"/>
        </w:rPr>
        <w:t> </w:t>
      </w:r>
      <w:r>
        <w:rPr/>
        <w:t>于</w:t>
      </w:r>
      <w:r>
        <w:rPr>
          <w:spacing w:val="29"/>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9"/>
        </w:rPr>
        <w:t> </w:t>
      </w:r>
      <w:r>
        <w:rPr/>
        <w:t>年</w:t>
      </w:r>
      <w:r>
        <w:rPr>
          <w:spacing w:val="29"/>
        </w:rPr>
        <w:t> </w:t>
      </w:r>
      <w:r>
        <w:rPr>
          <w:rFonts w:ascii="Times New Roman" w:hAnsi="Times New Roman" w:cs="Times New Roman" w:eastAsia="Times New Roman" w:hint="default"/>
        </w:rPr>
        <w:t>4 </w:t>
      </w:r>
      <w:r>
        <w:rPr>
          <w:rFonts w:ascii="Times New Roman" w:hAnsi="Times New Roman" w:cs="Times New Roman" w:eastAsia="Times New Roman" w:hint="default"/>
          <w:spacing w:val="30"/>
        </w:rPr>
        <w:t> </w:t>
      </w:r>
      <w:r>
        <w:rPr/>
        <w:t>月</w:t>
      </w:r>
      <w:r>
        <w:rPr>
          <w:spacing w:val="29"/>
        </w:rPr>
        <w:t> </w:t>
      </w:r>
      <w:r>
        <w:rPr>
          <w:rFonts w:ascii="Times New Roman" w:hAnsi="Times New Roman" w:cs="Times New Roman" w:eastAsia="Times New Roman" w:hint="default"/>
        </w:rPr>
        <w:t>23 </w:t>
      </w:r>
      <w:r>
        <w:rPr>
          <w:rFonts w:ascii="Times New Roman" w:hAnsi="Times New Roman" w:cs="Times New Roman" w:eastAsia="Times New Roman" w:hint="default"/>
          <w:spacing w:val="30"/>
        </w:rPr>
        <w:t> </w:t>
      </w:r>
      <w:r>
        <w:rPr>
          <w:spacing w:val="21"/>
        </w:rPr>
        <w:t>日的《证</w:t>
      </w:r>
      <w:r>
        <w:rPr>
          <w:spacing w:val="-75"/>
        </w:rPr>
        <w:t> </w:t>
      </w:r>
      <w:r>
        <w:rPr>
          <w:spacing w:val="18"/>
        </w:rPr>
        <w:t>券时报</w:t>
      </w:r>
      <w:r>
        <w:rPr>
          <w:spacing w:val="-75"/>
        </w:rPr>
        <w:t> </w:t>
      </w:r>
      <w:r>
        <w:rPr>
          <w:spacing w:val="14"/>
        </w:rPr>
        <w:t>》和</w:t>
      </w:r>
      <w:r>
        <w:rPr>
          <w:spacing w:val="-75"/>
        </w:rPr>
        <w:t> </w:t>
      </w:r>
      <w:r>
        <w:rPr>
          <w:spacing w:val="18"/>
        </w:rPr>
        <w:t>巨潮资</w:t>
      </w:r>
      <w:r>
        <w:rPr>
          <w:spacing w:val="-75"/>
        </w:rPr>
        <w:t> </w:t>
      </w:r>
      <w:r>
        <w:rPr>
          <w:spacing w:val="14"/>
        </w:rPr>
        <w:t>讯网</w:t>
      </w:r>
      <w:r>
        <w:rPr>
          <w:spacing w:val="-77"/>
        </w:rPr>
        <w:t> </w:t>
      </w:r>
      <w:r>
        <w:rPr/>
      </w:r>
    </w:p>
    <w:p>
      <w:pPr>
        <w:pStyle w:val="BodyText"/>
        <w:spacing w:line="240" w:lineRule="auto" w:before="50"/>
        <w:ind w:right="84"/>
        <w:jc w:val="left"/>
      </w:pPr>
      <w:hyperlink r:id="rId10">
        <w:r>
          <w:rPr>
            <w:rFonts w:ascii="Times New Roman" w:hAnsi="Times New Roman" w:cs="Times New Roman" w:eastAsia="Times New Roman" w:hint="default"/>
          </w:rPr>
          <w:t>www.cninfo.com.cn</w:t>
        </w:r>
      </w:hyperlink>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7"/>
          <w:szCs w:val="17"/>
        </w:rPr>
      </w:pPr>
    </w:p>
    <w:p>
      <w:pPr>
        <w:pStyle w:val="Heading2"/>
        <w:spacing w:line="240" w:lineRule="auto" w:before="0"/>
        <w:ind w:left="46" w:right="102"/>
        <w:jc w:val="center"/>
        <w:rPr>
          <w:b w:val="0"/>
          <w:bCs w:val="0"/>
        </w:rPr>
      </w:pPr>
      <w:bookmarkStart w:name="_TOC_250004" w:id="7"/>
      <w:r>
        <w:rPr/>
        <w:t>第七节</w:t>
      </w:r>
      <w:r>
        <w:rPr>
          <w:spacing w:val="-4"/>
        </w:rPr>
        <w:t> </w:t>
      </w:r>
      <w:r>
        <w:rPr/>
        <w:t>董事会报告</w:t>
      </w:r>
      <w:bookmarkEnd w:id="7"/>
      <w:r>
        <w:rPr>
          <w:b w:val="0"/>
          <w:bCs w:val="0"/>
        </w:rPr>
      </w:r>
    </w:p>
    <w:p>
      <w:pPr>
        <w:spacing w:line="240" w:lineRule="auto" w:before="6"/>
        <w:rPr>
          <w:rFonts w:ascii="宋体" w:hAnsi="宋体" w:cs="宋体" w:eastAsia="宋体" w:hint="default"/>
          <w:b/>
          <w:bCs/>
          <w:sz w:val="38"/>
          <w:szCs w:val="38"/>
        </w:rPr>
      </w:pPr>
    </w:p>
    <w:p>
      <w:pPr>
        <w:pStyle w:val="Heading3"/>
        <w:spacing w:line="240" w:lineRule="auto"/>
        <w:ind w:right="84"/>
        <w:jc w:val="left"/>
        <w:rPr>
          <w:b w:val="0"/>
          <w:bCs w:val="0"/>
        </w:rPr>
      </w:pPr>
      <w:r>
        <w:rPr/>
        <w:t>一、公司经营情况</w:t>
      </w:r>
      <w:r>
        <w:rPr>
          <w:b w:val="0"/>
          <w:bCs w:val="0"/>
        </w:rPr>
      </w:r>
    </w:p>
    <w:p>
      <w:pPr>
        <w:pStyle w:val="BodyText"/>
        <w:spacing w:line="240" w:lineRule="auto" w:before="120"/>
        <w:ind w:left="560" w:right="84"/>
        <w:jc w:val="left"/>
      </w:pPr>
      <w:r>
        <w:rPr/>
        <w:t>（一）报告期内公司经营情况回顾</w:t>
      </w:r>
    </w:p>
    <w:p>
      <w:pPr>
        <w:spacing w:line="240" w:lineRule="auto" w:before="3"/>
        <w:rPr>
          <w:rFonts w:ascii="宋体" w:hAnsi="宋体" w:cs="宋体" w:eastAsia="宋体" w:hint="default"/>
          <w:sz w:val="14"/>
          <w:szCs w:val="14"/>
        </w:rPr>
      </w:pPr>
    </w:p>
    <w:p>
      <w:pPr>
        <w:pStyle w:val="BodyText"/>
        <w:spacing w:line="381" w:lineRule="auto"/>
        <w:ind w:left="560" w:right="84" w:hanging="1"/>
        <w:jc w:val="left"/>
      </w:pPr>
      <w:r>
        <w:rPr>
          <w:rFonts w:ascii="Times New Roman" w:hAnsi="Times New Roman" w:cs="Times New Roman" w:eastAsia="Times New Roman" w:hint="default"/>
        </w:rPr>
        <w:t>1</w:t>
      </w:r>
      <w:r>
        <w:rPr/>
        <w:t>、公司总体经营情况 报告期内，公司认真分析行业发展态势和市场形势，进一步明确公司发展思路和方向，</w:t>
      </w:r>
    </w:p>
    <w:p>
      <w:pPr>
        <w:pStyle w:val="BodyText"/>
        <w:spacing w:line="217" w:lineRule="exact"/>
        <w:ind w:right="84"/>
        <w:jc w:val="left"/>
      </w:pPr>
      <w:r>
        <w:rPr>
          <w:spacing w:val="-3"/>
        </w:rPr>
        <w:t>优化公司组织架构，勇抓市场机遇，不断创新经营模式和管理手段，加强市场与技术的融合</w:t>
      </w:r>
    </w:p>
    <w:p>
      <w:pPr>
        <w:pStyle w:val="BodyText"/>
        <w:spacing w:line="297" w:lineRule="auto" w:before="64"/>
        <w:ind w:right="84"/>
        <w:jc w:val="left"/>
      </w:pPr>
      <w:r>
        <w:rPr>
          <w:spacing w:val="-3"/>
        </w:rPr>
        <w:t>力度，以技术促市场，在加强核心技术推广使用、纵深开拓客户市场、加快拓展金融服务等</w:t>
      </w:r>
      <w:r>
        <w:rPr>
          <w:spacing w:val="-80"/>
        </w:rPr>
        <w:t> </w:t>
      </w:r>
      <w:r>
        <w:rPr>
          <w:spacing w:val="-80"/>
        </w:rPr>
      </w:r>
      <w:r>
        <w:rPr/>
        <w:t>方面成效显著，公司保持了持续、稳健的发展势头：</w:t>
      </w:r>
    </w:p>
    <w:p>
      <w:pPr>
        <w:pStyle w:val="BodyText"/>
        <w:spacing w:line="285" w:lineRule="auto" w:before="135"/>
        <w:ind w:right="197" w:firstLine="420"/>
        <w:jc w:val="both"/>
      </w:pPr>
      <w:r>
        <w:rPr/>
        <w:t>公司进一步巩固</w:t>
      </w:r>
      <w:r>
        <w:rPr>
          <w:spacing w:val="-61"/>
        </w:rPr>
        <w:t> </w:t>
      </w:r>
      <w:r>
        <w:rPr>
          <w:rFonts w:ascii="Times New Roman" w:hAnsi="Times New Roman" w:cs="Times New Roman" w:eastAsia="Times New Roman" w:hint="default"/>
          <w:spacing w:val="-8"/>
        </w:rPr>
        <w:t>ATM </w:t>
      </w:r>
      <w:r>
        <w:rPr/>
        <w:t>传统市场，取得中总行、农总行、建总行、交总行以及邮政邮储 等多个总行级采购合同，且来自中总行的合同实现超过</w:t>
      </w:r>
      <w:r>
        <w:rPr>
          <w:spacing w:val="5"/>
        </w:rPr>
        <w:t> </w:t>
      </w:r>
      <w:r>
        <w:rPr>
          <w:rFonts w:ascii="Times New Roman" w:hAnsi="Times New Roman" w:cs="Times New Roman" w:eastAsia="Times New Roman" w:hint="default"/>
        </w:rPr>
        <w:t>50</w:t>
      </w:r>
      <w:r>
        <w:rPr/>
        <w:t>％以上的增长；在农信市场、股 </w:t>
      </w:r>
      <w:r>
        <w:rPr>
          <w:spacing w:val="-3"/>
        </w:rPr>
        <w:t>份制银行和地方商业银行等新兴市场上也取得良好业绩，同比上年均实现较大增幅；新增分</w:t>
      </w:r>
      <w:r>
        <w:rPr>
          <w:spacing w:val="-79"/>
        </w:rPr>
        <w:t> </w:t>
      </w:r>
      <w:r>
        <w:rPr>
          <w:spacing w:val="-79"/>
        </w:rPr>
      </w:r>
      <w:r>
        <w:rPr/>
        <w:t>行级客户</w:t>
      </w:r>
      <w:r>
        <w:rPr>
          <w:spacing w:val="-54"/>
        </w:rPr>
        <w:t> </w:t>
      </w:r>
      <w:r>
        <w:rPr>
          <w:rFonts w:ascii="Times New Roman" w:hAnsi="Times New Roman" w:cs="Times New Roman" w:eastAsia="Times New Roman" w:hint="default"/>
        </w:rPr>
        <w:t>83</w:t>
      </w:r>
      <w:r>
        <w:rPr>
          <w:rFonts w:ascii="Times New Roman" w:hAnsi="Times New Roman" w:cs="Times New Roman" w:eastAsia="Times New Roman" w:hint="default"/>
          <w:spacing w:val="-2"/>
        </w:rPr>
        <w:t> </w:t>
      </w:r>
      <w:r>
        <w:rPr/>
        <w:t>家，国内市场</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销售再创新高。</w:t>
      </w:r>
    </w:p>
    <w:p>
      <w:pPr>
        <w:pStyle w:val="BodyText"/>
        <w:spacing w:line="292" w:lineRule="auto" w:before="124"/>
        <w:ind w:left="139" w:right="197" w:firstLine="420"/>
        <w:jc w:val="both"/>
      </w:pPr>
      <w:r>
        <w:rPr>
          <w:spacing w:val="-3"/>
        </w:rPr>
        <w:t>海外市场上，公司大力引进国际高端市场人才，调整海外市场业务和人员结构，进一步</w:t>
      </w:r>
      <w:r>
        <w:rPr/>
        <w:t> </w:t>
      </w:r>
      <w:r>
        <w:rPr>
          <w:spacing w:val="-3"/>
        </w:rPr>
        <w:t>理顺发展思路，市场拓展取得新的突破。业务覆盖区域进一步扩大，合同金额增长翻番。子</w:t>
      </w:r>
      <w:r>
        <w:rPr>
          <w:spacing w:val="-80"/>
        </w:rPr>
        <w:t> </w:t>
      </w:r>
      <w:r>
        <w:rPr>
          <w:spacing w:val="-80"/>
        </w:rPr>
      </w:r>
      <w:r>
        <w:rPr/>
        <w:t>公司运通国际投资的 </w:t>
      </w:r>
      <w:r>
        <w:rPr>
          <w:rFonts w:ascii="Times New Roman" w:hAnsi="Times New Roman" w:cs="Times New Roman" w:eastAsia="Times New Roman" w:hint="default"/>
        </w:rPr>
        <w:t>GRGI </w:t>
      </w:r>
      <w:r>
        <w:rPr/>
        <w:t>以 </w:t>
      </w:r>
      <w:r>
        <w:rPr>
          <w:rFonts w:ascii="Times New Roman" w:hAnsi="Times New Roman" w:cs="Times New Roman" w:eastAsia="Times New Roman" w:hint="default"/>
        </w:rPr>
        <w:t>IPO</w:t>
      </w:r>
      <w:r>
        <w:rPr>
          <w:rFonts w:ascii="Times New Roman" w:hAnsi="Times New Roman" w:cs="Times New Roman" w:eastAsia="Times New Roman" w:hint="default"/>
          <w:spacing w:val="-5"/>
        </w:rPr>
        <w:t> </w:t>
      </w:r>
      <w:r>
        <w:rPr/>
        <w:t>的方式在澳大利亚证券交易所挂牌上市，该公司的成功 </w:t>
      </w:r>
      <w:r>
        <w:rPr>
          <w:spacing w:val="-3"/>
        </w:rPr>
        <w:t>上市将为其后续运作打造一个良好的资本平台，有助于公司产品在全球市场的推广应用，增</w:t>
      </w:r>
      <w:r>
        <w:rPr>
          <w:spacing w:val="-79"/>
        </w:rPr>
        <w:t> </w:t>
      </w:r>
      <w:r>
        <w:rPr>
          <w:spacing w:val="-79"/>
        </w:rPr>
      </w:r>
      <w:r>
        <w:rPr/>
        <w:t>强公司品牌影响力。</w:t>
      </w:r>
    </w:p>
    <w:p>
      <w:pPr>
        <w:spacing w:after="0" w:line="292" w:lineRule="auto"/>
        <w:jc w:val="both"/>
        <w:sectPr>
          <w:pgSz w:w="11910" w:h="16840"/>
          <w:pgMar w:header="400" w:footer="982" w:top="1100" w:bottom="1180" w:left="1660" w:right="1600"/>
        </w:sectPr>
      </w:pPr>
    </w:p>
    <w:p>
      <w:pPr>
        <w:spacing w:line="240" w:lineRule="auto" w:before="1"/>
        <w:rPr>
          <w:rFonts w:ascii="宋体" w:hAnsi="宋体" w:cs="宋体" w:eastAsia="宋体" w:hint="default"/>
          <w:sz w:val="25"/>
          <w:szCs w:val="25"/>
        </w:rPr>
      </w:pPr>
    </w:p>
    <w:p>
      <w:pPr>
        <w:pStyle w:val="BodyText"/>
        <w:spacing w:line="309" w:lineRule="auto" w:before="35"/>
        <w:ind w:right="0" w:firstLine="420"/>
        <w:jc w:val="left"/>
      </w:pPr>
      <w:r>
        <w:rPr>
          <w:spacing w:val="-6"/>
        </w:rPr>
        <w:t>在轨道交通市场上，公司继续保持整机设备在国内轨道交通市场的优势地位，取得沪宁、</w:t>
      </w:r>
      <w:r>
        <w:rPr/>
        <w:t> 京沪、昌九、长吉和广深港等高铁项目合同，获取沈阳地铁二号线</w:t>
      </w:r>
      <w:r>
        <w:rPr>
          <w:spacing w:val="-63"/>
        </w:rPr>
        <w:t> </w:t>
      </w:r>
      <w:r>
        <w:rPr>
          <w:rFonts w:ascii="Times New Roman" w:hAnsi="Times New Roman" w:cs="Times New Roman" w:eastAsia="Times New Roman" w:hint="default"/>
        </w:rPr>
        <w:t>TVM</w:t>
      </w:r>
      <w:r>
        <w:rPr>
          <w:rFonts w:ascii="Times New Roman" w:hAnsi="Times New Roman" w:cs="Times New Roman" w:eastAsia="Times New Roman" w:hint="default"/>
          <w:spacing w:val="-10"/>
        </w:rPr>
        <w:t> </w:t>
      </w:r>
      <w:r>
        <w:rPr/>
        <w:t>供货合同；并在海 </w:t>
      </w:r>
      <w:r>
        <w:rPr>
          <w:spacing w:val="-3"/>
        </w:rPr>
        <w:t>外市场上实现突破性的进展，通过与世界知名集成商的合作，成功将公司产品销售至台湾地</w:t>
      </w:r>
      <w:r>
        <w:rPr>
          <w:spacing w:val="-79"/>
        </w:rPr>
        <w:t> </w:t>
      </w:r>
      <w:r>
        <w:rPr>
          <w:spacing w:val="-79"/>
        </w:rPr>
      </w:r>
      <w:r>
        <w:rPr/>
        <w:t>区，先后参与泰国、印度等国地铁项目投标。</w:t>
      </w:r>
    </w:p>
    <w:p>
      <w:pPr>
        <w:pStyle w:val="BodyText"/>
        <w:spacing w:line="314" w:lineRule="auto" w:before="144"/>
        <w:ind w:right="217" w:firstLine="420"/>
        <w:jc w:val="both"/>
      </w:pPr>
      <w:r>
        <w:rPr>
          <w:spacing w:val="-3"/>
        </w:rPr>
        <w:t>随着对金融服务业务的深入探索和创新，公司已逐步形成一套适合业务拓展的商业模式</w:t>
      </w:r>
      <w:r>
        <w:rPr/>
        <w:t> </w:t>
      </w:r>
      <w:r>
        <w:rPr>
          <w:spacing w:val="-3"/>
        </w:rPr>
        <w:t>和运作机制，在广州穗通业务增长的同时，在国内多个城市取得合作机会，子公司深圳银通</w:t>
      </w:r>
      <w:r>
        <w:rPr>
          <w:spacing w:val="-81"/>
        </w:rPr>
        <w:t> </w:t>
      </w:r>
      <w:r>
        <w:rPr>
          <w:spacing w:val="-81"/>
        </w:rPr>
      </w:r>
      <w:r>
        <w:rPr/>
        <w:t>投资成立了深圳鹏通和江苏保通公司，在其他几个城市的合作谈判也进入实质性阶段。</w:t>
      </w:r>
    </w:p>
    <w:p>
      <w:pPr>
        <w:pStyle w:val="BodyText"/>
        <w:spacing w:line="312" w:lineRule="auto" w:before="140"/>
        <w:ind w:right="217" w:firstLine="420"/>
        <w:jc w:val="both"/>
      </w:pPr>
      <w:r>
        <w:rPr>
          <w:spacing w:val="-3"/>
        </w:rPr>
        <w:t>核心技术的推广使用取得长足进展，出钞机芯已在股份制银行、农信社及地方商业银行</w:t>
      </w:r>
      <w:r>
        <w:rPr/>
        <w:t> </w:t>
      </w:r>
      <w:r>
        <w:rPr>
          <w:spacing w:val="-3"/>
        </w:rPr>
        <w:t>等大批量使用，并逐步向主流银行渗透；循环机芯也在上述银行取得批量订单；使用自主循</w:t>
      </w:r>
      <w:r>
        <w:rPr>
          <w:spacing w:val="-81"/>
        </w:rPr>
        <w:t> </w:t>
      </w:r>
      <w:r>
        <w:rPr>
          <w:spacing w:val="-81"/>
        </w:rPr>
      </w:r>
      <w:r>
        <w:rPr/>
        <w:t>环机芯的一体机在土耳其市场上一举击败其他竞争对手，中标</w:t>
      </w:r>
      <w:r>
        <w:rPr>
          <w:spacing w:val="-62"/>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8"/>
        </w:rPr>
        <w:t> </w:t>
      </w:r>
      <w:r>
        <w:rPr/>
        <w:t>银行</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6"/>
        </w:rPr>
        <w:t>亿元大单；自主</w:t>
      </w:r>
      <w:r>
        <w:rPr/>
        <w:t> </w:t>
      </w:r>
      <w:r>
        <w:rPr>
          <w:spacing w:val="-3"/>
        </w:rPr>
        <w:t>研发的纸币识别模块和纸币找零模块在国内高铁、地铁市场实现大批量销售的同时，进驻台</w:t>
      </w:r>
      <w:r>
        <w:rPr>
          <w:spacing w:val="-79"/>
        </w:rPr>
        <w:t> </w:t>
      </w:r>
      <w:r>
        <w:rPr>
          <w:spacing w:val="-79"/>
        </w:rPr>
      </w:r>
      <w:r>
        <w:rPr>
          <w:spacing w:val="-3"/>
        </w:rPr>
        <w:t>湾市场；系统软件产品的销售在总行层面取得突破。公司核心技术的广泛使用，有效地降低</w:t>
      </w:r>
      <w:r>
        <w:rPr>
          <w:spacing w:val="-81"/>
        </w:rPr>
        <w:t> </w:t>
      </w:r>
      <w:r>
        <w:rPr>
          <w:spacing w:val="-81"/>
        </w:rPr>
      </w:r>
      <w:r>
        <w:rPr/>
        <w:t>产品成本，使公司在激烈的市场竞争中逐步占据主动权。</w:t>
      </w:r>
    </w:p>
    <w:p>
      <w:pPr>
        <w:pStyle w:val="BodyText"/>
        <w:spacing w:line="314" w:lineRule="auto" w:before="142"/>
        <w:ind w:right="0" w:firstLine="420"/>
        <w:jc w:val="left"/>
      </w:pPr>
      <w:r>
        <w:rPr>
          <w:spacing w:val="-3"/>
        </w:rPr>
        <w:t>在生产方面，公司加强供应渠道的规划和建设，强化生产技术管理，规范作业标准，实</w:t>
      </w:r>
      <w:r>
        <w:rPr/>
        <w:t> 现整机、核心模块产量持续增长，为公司市场拓展提供了有力保障。</w:t>
      </w:r>
    </w:p>
    <w:p>
      <w:pPr>
        <w:pStyle w:val="BodyText"/>
        <w:spacing w:line="314" w:lineRule="auto" w:before="140"/>
        <w:ind w:right="213" w:firstLine="420"/>
        <w:jc w:val="left"/>
      </w:pPr>
      <w:r>
        <w:rPr>
          <w:spacing w:val="-3"/>
        </w:rPr>
        <w:t>通过持续完善管理手段，优化组织架构，提升管理水平，公司服务体系运行良好，在与</w:t>
      </w:r>
      <w:r>
        <w:rPr/>
        <w:t> 同行服务商竞争中占据主动优势。报告期内，新建服务网点</w:t>
      </w:r>
      <w:r>
        <w:rPr>
          <w:spacing w:val="-55"/>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个，截至本报告期末，服务</w:t>
      </w:r>
    </w:p>
    <w:p>
      <w:pPr>
        <w:pStyle w:val="BodyText"/>
        <w:spacing w:line="396" w:lineRule="auto"/>
        <w:ind w:left="559" w:right="0" w:hanging="420"/>
        <w:jc w:val="left"/>
      </w:pPr>
      <w:r>
        <w:rPr/>
        <w:t>网点总数达</w:t>
      </w:r>
      <w:r>
        <w:rPr>
          <w:spacing w:val="-53"/>
        </w:rPr>
        <w:t> </w:t>
      </w:r>
      <w:r>
        <w:rPr>
          <w:rFonts w:ascii="Times New Roman" w:hAnsi="Times New Roman" w:cs="Times New Roman" w:eastAsia="Times New Roman" w:hint="default"/>
        </w:rPr>
        <w:t>282 </w:t>
      </w:r>
      <w:r>
        <w:rPr/>
        <w:t>个。 </w:t>
      </w:r>
      <w:r>
        <w:rPr>
          <w:spacing w:val="-3"/>
        </w:rPr>
        <w:t>报告期，公司连续第三年被国家发改委、工业和信息化部、商务部、国家税务总局联合</w:t>
      </w:r>
    </w:p>
    <w:p>
      <w:pPr>
        <w:pStyle w:val="BodyText"/>
        <w:spacing w:line="239" w:lineRule="exact"/>
        <w:ind w:left="139" w:right="0"/>
        <w:jc w:val="both"/>
      </w:pPr>
      <w:r>
        <w:rPr/>
        <w:t>评定</w:t>
      </w:r>
      <w:r>
        <w:rPr>
          <w:spacing w:val="-15"/>
        </w:rPr>
        <w:t>为</w:t>
      </w:r>
      <w:r>
        <w:rPr/>
        <w:t>“国家规划布局内重点软件企业</w:t>
      </w:r>
      <w:r>
        <w:rPr>
          <w:spacing w:val="-105"/>
        </w:rPr>
        <w:t>”</w:t>
      </w:r>
      <w:r>
        <w:rPr>
          <w:spacing w:val="-15"/>
        </w:rPr>
        <w:t>。</w:t>
      </w:r>
      <w:r>
        <w:rPr/>
        <w:t>同时公司还获</w:t>
      </w:r>
      <w:r>
        <w:rPr>
          <w:spacing w:val="-15"/>
        </w:rPr>
        <w:t>得</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2"/>
        </w:rPr>
        <w:t>中</w:t>
      </w:r>
      <w:r>
        <w:rPr/>
        <w:t>国软件业收入前百家</w:t>
      </w:r>
    </w:p>
    <w:p>
      <w:pPr>
        <w:pStyle w:val="BodyText"/>
        <w:spacing w:line="314" w:lineRule="auto" w:before="69"/>
        <w:ind w:left="139" w:right="216"/>
        <w:jc w:val="both"/>
      </w:pPr>
      <w:r>
        <w:rPr>
          <w:spacing w:val="-17"/>
        </w:rPr>
        <w:t>企业”、“广东省自主创新型百家企业”、“广州市重合同守信用”、“中国中小板上市公司五十</w:t>
      </w:r>
      <w:r>
        <w:rPr>
          <w:spacing w:val="-103"/>
        </w:rPr>
        <w:t> </w:t>
      </w:r>
      <w:r>
        <w:rPr>
          <w:spacing w:val="-103"/>
        </w:rPr>
      </w:r>
      <w:r>
        <w:rPr>
          <w:spacing w:val="-3"/>
        </w:rPr>
        <w:t>强”和“计算机信息系统集成（一级）资质企业”等多项荣誉和资质，公司实力得到进一步</w:t>
      </w:r>
      <w:r>
        <w:rPr>
          <w:spacing w:val="-81"/>
        </w:rPr>
        <w:t> </w:t>
      </w:r>
      <w:r>
        <w:rPr>
          <w:spacing w:val="-81"/>
        </w:rPr>
      </w:r>
      <w:r>
        <w:rPr/>
        <w:t>显现。</w:t>
      </w:r>
    </w:p>
    <w:p>
      <w:pPr>
        <w:pStyle w:val="BodyText"/>
        <w:spacing w:line="297" w:lineRule="auto" w:before="140"/>
        <w:ind w:left="139" w:right="245" w:firstLine="420"/>
        <w:jc w:val="left"/>
      </w:pPr>
      <w:r>
        <w:rPr/>
        <w:t>报告期内，公司实现营业总收入</w:t>
      </w:r>
      <w:r>
        <w:rPr>
          <w:spacing w:val="-55"/>
        </w:rPr>
        <w:t> </w:t>
      </w:r>
      <w:r>
        <w:rPr>
          <w:rFonts w:ascii="Times New Roman" w:hAnsi="Times New Roman" w:cs="Times New Roman" w:eastAsia="Times New Roman" w:hint="default"/>
        </w:rPr>
        <w:t>172,421.13</w:t>
      </w:r>
      <w:r>
        <w:rPr>
          <w:rFonts w:ascii="Times New Roman" w:hAnsi="Times New Roman" w:cs="Times New Roman" w:eastAsia="Times New Roman" w:hint="default"/>
          <w:spacing w:val="-2"/>
        </w:rPr>
        <w:t> </w:t>
      </w:r>
      <w:r>
        <w:rPr/>
        <w:t>万元，同比增长</w:t>
      </w:r>
      <w:r>
        <w:rPr>
          <w:spacing w:val="-55"/>
        </w:rPr>
        <w:t> </w:t>
      </w:r>
      <w:r>
        <w:rPr>
          <w:rFonts w:ascii="Times New Roman" w:hAnsi="Times New Roman" w:cs="Times New Roman" w:eastAsia="Times New Roman" w:hint="default"/>
        </w:rPr>
        <w:t>15.82%</w:t>
      </w:r>
      <w:r>
        <w:rPr/>
        <w:t>；实现营业利润 </w:t>
      </w:r>
      <w:r>
        <w:rPr>
          <w:rFonts w:ascii="Times New Roman" w:hAnsi="Times New Roman" w:cs="Times New Roman" w:eastAsia="Times New Roman" w:hint="default"/>
        </w:rPr>
        <w:t>45,382.59</w:t>
      </w:r>
      <w:r>
        <w:rPr>
          <w:rFonts w:ascii="Times New Roman" w:hAnsi="Times New Roman" w:cs="Times New Roman" w:eastAsia="Times New Roman" w:hint="default"/>
          <w:spacing w:val="-3"/>
        </w:rPr>
        <w:t> </w:t>
      </w:r>
      <w:r>
        <w:rPr/>
        <w:t>万元，同比增长</w:t>
      </w:r>
      <w:r>
        <w:rPr>
          <w:spacing w:val="-56"/>
        </w:rPr>
        <w:t> </w:t>
      </w:r>
      <w:r>
        <w:rPr>
          <w:rFonts w:ascii="Times New Roman" w:hAnsi="Times New Roman" w:cs="Times New Roman" w:eastAsia="Times New Roman" w:hint="default"/>
        </w:rPr>
        <w:t>34.09%</w:t>
      </w:r>
      <w:r>
        <w:rPr/>
        <w:t>；实现利润总额</w:t>
      </w:r>
      <w:r>
        <w:rPr>
          <w:spacing w:val="-56"/>
        </w:rPr>
        <w:t> </w:t>
      </w:r>
      <w:r>
        <w:rPr>
          <w:rFonts w:ascii="Times New Roman" w:hAnsi="Times New Roman" w:cs="Times New Roman" w:eastAsia="Times New Roman" w:hint="default"/>
        </w:rPr>
        <w:t>52,556.05</w:t>
      </w:r>
      <w:r>
        <w:rPr>
          <w:rFonts w:ascii="Times New Roman" w:hAnsi="Times New Roman" w:cs="Times New Roman" w:eastAsia="Times New Roman" w:hint="default"/>
          <w:spacing w:val="-4"/>
        </w:rPr>
        <w:t> </w:t>
      </w:r>
      <w:r>
        <w:rPr/>
        <w:t>万元，同比增长</w:t>
      </w:r>
      <w:r>
        <w:rPr>
          <w:spacing w:val="-56"/>
        </w:rPr>
        <w:t> </w:t>
      </w:r>
      <w:r>
        <w:rPr>
          <w:rFonts w:ascii="Times New Roman" w:hAnsi="Times New Roman" w:cs="Times New Roman" w:eastAsia="Times New Roman" w:hint="default"/>
        </w:rPr>
        <w:t>24.25%</w:t>
      </w:r>
      <w:r>
        <w:rPr/>
        <w:t>；实现 净利润（归属于上市公司股东的）</w:t>
      </w:r>
      <w:r>
        <w:rPr>
          <w:rFonts w:ascii="Times New Roman" w:hAnsi="Times New Roman" w:cs="Times New Roman" w:eastAsia="Times New Roman" w:hint="default"/>
        </w:rPr>
        <w:t>47,513.17 </w:t>
      </w:r>
      <w:r>
        <w:rPr/>
        <w:t>万元，同比增长</w:t>
      </w:r>
      <w:r>
        <w:rPr>
          <w:spacing w:val="-66"/>
        </w:rPr>
        <w:t> </w:t>
      </w:r>
      <w:r>
        <w:rPr>
          <w:rFonts w:ascii="Times New Roman" w:hAnsi="Times New Roman" w:cs="Times New Roman" w:eastAsia="Times New Roman" w:hint="default"/>
        </w:rPr>
        <w:t>22.48%</w:t>
      </w:r>
      <w:r>
        <w:rPr/>
        <w:t>。</w:t>
      </w:r>
    </w:p>
    <w:p>
      <w:pPr>
        <w:pStyle w:val="BodyText"/>
        <w:spacing w:line="396" w:lineRule="auto" w:before="133"/>
        <w:ind w:left="559" w:right="0" w:hanging="1"/>
        <w:jc w:val="left"/>
      </w:pPr>
      <w:r>
        <w:rPr>
          <w:rFonts w:ascii="Times New Roman" w:hAnsi="Times New Roman" w:cs="Times New Roman" w:eastAsia="Times New Roman" w:hint="default"/>
        </w:rPr>
        <w:t>2</w:t>
      </w:r>
      <w:r>
        <w:rPr/>
        <w:t>、公司主营业务及其经营状况 </w:t>
      </w:r>
      <w:r>
        <w:rPr>
          <w:spacing w:val="-6"/>
        </w:rPr>
        <w:t>公司经营范围为：研制、生产、销售电子计算机设备、货币类自助设备、税务应用设备。</w:t>
      </w:r>
    </w:p>
    <w:p>
      <w:pPr>
        <w:pStyle w:val="BodyText"/>
        <w:spacing w:line="224" w:lineRule="exact"/>
        <w:ind w:left="139" w:right="0"/>
        <w:jc w:val="both"/>
      </w:pPr>
      <w:r>
        <w:rPr>
          <w:spacing w:val="-3"/>
        </w:rPr>
        <w:t>电子计算机系统集成及技术服务。电子计算机软件开发。本企业生产产品的技术咨询和售后</w:t>
      </w:r>
    </w:p>
    <w:p>
      <w:pPr>
        <w:pStyle w:val="BodyText"/>
        <w:spacing w:line="314" w:lineRule="auto" w:before="85"/>
        <w:ind w:left="139" w:right="228"/>
        <w:jc w:val="both"/>
      </w:pPr>
      <w:r>
        <w:rPr>
          <w:spacing w:val="-3"/>
        </w:rPr>
        <w:t>服务，货物和技术进出口（国家限定经营或禁止进出口的商品和技术除外）。对自动柜员机</w:t>
      </w:r>
      <w:r>
        <w:rPr>
          <w:spacing w:val="-92"/>
        </w:rPr>
        <w:t> </w:t>
      </w:r>
      <w:r>
        <w:rPr>
          <w:spacing w:val="-92"/>
        </w:rPr>
      </w:r>
      <w:r>
        <w:rPr/>
        <w:t>提供日常维修与管理服务。对现金及有价证券提供清分处理服务。</w:t>
      </w:r>
    </w:p>
    <w:p>
      <w:pPr>
        <w:pStyle w:val="BodyText"/>
        <w:spacing w:line="297" w:lineRule="auto" w:before="140"/>
        <w:ind w:left="139" w:right="309" w:firstLine="420"/>
        <w:jc w:val="left"/>
      </w:pPr>
      <w:r>
        <w:rPr/>
        <w:t>目前，公司的主营业务是</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和</w:t>
      </w:r>
      <w:r>
        <w:rPr>
          <w:spacing w:val="-54"/>
        </w:rPr>
        <w:t> </w:t>
      </w:r>
      <w:r>
        <w:rPr>
          <w:rFonts w:ascii="Times New Roman" w:hAnsi="Times New Roman" w:cs="Times New Roman" w:eastAsia="Times New Roman" w:hint="default"/>
        </w:rPr>
        <w:t>AFC</w:t>
      </w:r>
      <w:r>
        <w:rPr>
          <w:rFonts w:ascii="Times New Roman" w:hAnsi="Times New Roman" w:cs="Times New Roman" w:eastAsia="Times New Roman" w:hint="default"/>
          <w:spacing w:val="-1"/>
        </w:rPr>
        <w:t> </w:t>
      </w:r>
      <w:r>
        <w:rPr/>
        <w:t>等货币自动处理设备及相关系统软件的研发、 生产、销售和服务以及</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营运业务。</w:t>
      </w:r>
    </w:p>
    <w:p>
      <w:pPr>
        <w:pStyle w:val="BodyText"/>
        <w:spacing w:line="240" w:lineRule="auto" w:before="55"/>
        <w:ind w:left="559" w:right="0"/>
        <w:jc w:val="left"/>
      </w:pPr>
      <w:r>
        <w:rPr/>
        <w:t>（</w:t>
      </w:r>
      <w:r>
        <w:rPr>
          <w:rFonts w:ascii="Times New Roman" w:hAnsi="Times New Roman" w:cs="Times New Roman" w:eastAsia="Times New Roman" w:hint="default"/>
        </w:rPr>
        <w:t>1</w:t>
      </w:r>
      <w:r>
        <w:rPr/>
        <w:t>）主营业务分行业、产品情况表</w:t>
      </w:r>
    </w:p>
    <w:p>
      <w:pPr>
        <w:pStyle w:val="BodyText"/>
        <w:spacing w:line="240" w:lineRule="auto" w:before="170"/>
        <w:ind w:left="0" w:right="333"/>
        <w:jc w:val="right"/>
      </w:pPr>
      <w:r>
        <w:rPr/>
        <w:t>单位：元</w:t>
      </w:r>
    </w:p>
    <w:p>
      <w:pPr>
        <w:spacing w:after="0" w:line="240" w:lineRule="auto"/>
        <w:jc w:val="right"/>
        <w:sectPr>
          <w:pgSz w:w="11910" w:h="16840"/>
          <w:pgMar w:header="400" w:footer="982" w:top="1100" w:bottom="1180" w:left="1660" w:right="158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84"/>
        <w:gridCol w:w="1440"/>
        <w:gridCol w:w="1268"/>
        <w:gridCol w:w="788"/>
        <w:gridCol w:w="1200"/>
        <w:gridCol w:w="1260"/>
        <w:gridCol w:w="2256"/>
      </w:tblGrid>
      <w:tr>
        <w:trPr>
          <w:trHeight w:val="476" w:hRule="exact"/>
        </w:trPr>
        <w:tc>
          <w:tcPr>
            <w:tcW w:w="19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5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0" w:right="0" w:hanging="46"/>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30" w:right="0" w:hanging="46"/>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2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4" w:right="-28"/>
              <w:jc w:val="left"/>
              <w:rPr>
                <w:rFonts w:ascii="宋体" w:hAnsi="宋体" w:cs="宋体" w:eastAsia="宋体" w:hint="default"/>
                <w:sz w:val="18"/>
                <w:szCs w:val="18"/>
              </w:rPr>
            </w:pPr>
            <w:r>
              <w:rPr>
                <w:rFonts w:ascii="宋体" w:hAnsi="宋体" w:cs="宋体" w:eastAsia="宋体" w:hint="default"/>
                <w:sz w:val="18"/>
                <w:szCs w:val="18"/>
              </w:rPr>
              <w:t>营业利润率比上年增减（%）</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（1）货币自动处理设备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1,538,817,505.30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780,322,517.90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49.29%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12.74%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6"/>
                <w:sz w:val="18"/>
                <w:szCs w:val="18"/>
              </w:rPr>
              <w:t> </w:t>
            </w:r>
            <w:r>
              <w:rPr>
                <w:rFonts w:ascii="宋体" w:hAnsi="宋体" w:cs="宋体" w:eastAsia="宋体" w:hint="default"/>
                <w:sz w:val="18"/>
                <w:szCs w:val="18"/>
              </w:rPr>
              <w:t>7.27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其中：ATM</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1,474,792,662.26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738,396,947.22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49.93%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2"/>
                <w:sz w:val="18"/>
              </w:rPr>
              <w:t>11.85%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-3.03%</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6"/>
                <w:sz w:val="18"/>
                <w:szCs w:val="18"/>
              </w:rPr>
              <w:t> </w:t>
            </w:r>
            <w:r>
              <w:rPr>
                <w:rFonts w:ascii="宋体" w:hAnsi="宋体" w:cs="宋体" w:eastAsia="宋体" w:hint="default"/>
                <w:sz w:val="18"/>
                <w:szCs w:val="18"/>
              </w:rPr>
              <w:t>7.68</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2" w:right="0"/>
              <w:jc w:val="left"/>
              <w:rPr>
                <w:rFonts w:ascii="宋体" w:hAnsi="宋体" w:cs="宋体" w:eastAsia="宋体" w:hint="default"/>
                <w:sz w:val="18"/>
                <w:szCs w:val="18"/>
              </w:rPr>
            </w:pPr>
            <w:r>
              <w:rPr>
                <w:rFonts w:ascii="宋体"/>
                <w:sz w:val="18"/>
              </w:rPr>
              <w:t>AFC</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64,024,843.04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41,925,570.68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34.52%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38.30%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39.94%</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宋体" w:hAnsi="宋体" w:cs="宋体" w:eastAsia="宋体" w:hint="default"/>
                <w:sz w:val="18"/>
                <w:szCs w:val="18"/>
              </w:rPr>
              <w:t>0.77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（2）设备配件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65,154,549.37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39,353,541.12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39.60%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72.69%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91.64%</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宋体" w:hAnsi="宋体" w:cs="宋体" w:eastAsia="宋体" w:hint="default"/>
                <w:sz w:val="18"/>
                <w:szCs w:val="18"/>
              </w:rPr>
              <w:t>5.97</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（3）设备维护</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94,924,446.57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33,389,517.23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64.83%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70.86%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57.29%</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6"/>
                <w:sz w:val="18"/>
                <w:szCs w:val="18"/>
              </w:rPr>
              <w:t> </w:t>
            </w:r>
            <w:r>
              <w:rPr>
                <w:rFonts w:ascii="宋体" w:hAnsi="宋体" w:cs="宋体" w:eastAsia="宋体" w:hint="default"/>
                <w:sz w:val="18"/>
                <w:szCs w:val="18"/>
              </w:rPr>
              <w:t>3.04</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（4）ATM</w:t>
            </w:r>
            <w:r>
              <w:rPr>
                <w:rFonts w:ascii="宋体" w:hAnsi="宋体" w:cs="宋体" w:eastAsia="宋体" w:hint="default"/>
                <w:spacing w:val="-46"/>
                <w:sz w:val="18"/>
                <w:szCs w:val="18"/>
              </w:rPr>
              <w:t> </w:t>
            </w:r>
            <w:r>
              <w:rPr>
                <w:rFonts w:ascii="宋体" w:hAnsi="宋体" w:cs="宋体" w:eastAsia="宋体" w:hint="default"/>
                <w:sz w:val="18"/>
                <w:szCs w:val="18"/>
              </w:rPr>
              <w:t>营运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25,314,768.28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21,918,316.86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13.42%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-17.23%</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10.24%</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宋体" w:hAnsi="宋体" w:cs="宋体" w:eastAsia="宋体" w:hint="default"/>
                <w:sz w:val="18"/>
                <w:szCs w:val="18"/>
              </w:rPr>
              <w:t>21.57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4"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pacing w:val="-1"/>
                <w:sz w:val="18"/>
              </w:rPr>
              <w:t>1,724,211,269.52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874,983,893.11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49.25%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15.82%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同比上升</w:t>
            </w:r>
            <w:r>
              <w:rPr>
                <w:rFonts w:ascii="宋体" w:hAnsi="宋体" w:cs="宋体" w:eastAsia="宋体" w:hint="default"/>
                <w:spacing w:val="-46"/>
                <w:sz w:val="18"/>
                <w:szCs w:val="18"/>
              </w:rPr>
              <w:t> </w:t>
            </w:r>
            <w:r>
              <w:rPr>
                <w:rFonts w:ascii="宋体" w:hAnsi="宋体" w:cs="宋体" w:eastAsia="宋体" w:hint="default"/>
                <w:sz w:val="18"/>
                <w:szCs w:val="18"/>
              </w:rPr>
              <w:t>6.55</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35"/>
        <w:ind w:left="1480" w:right="1048"/>
        <w:jc w:val="left"/>
      </w:pPr>
      <w:r>
        <w:rPr/>
        <w:t>（</w:t>
      </w:r>
      <w:r>
        <w:rPr>
          <w:rFonts w:ascii="Times New Roman" w:hAnsi="Times New Roman" w:cs="Times New Roman" w:eastAsia="Times New Roman" w:hint="default"/>
        </w:rPr>
        <w:t>2</w:t>
      </w:r>
      <w:r>
        <w:rPr/>
        <w:t>）主营业务分地区情况</w:t>
      </w:r>
    </w:p>
    <w:p>
      <w:pPr>
        <w:spacing w:line="240" w:lineRule="auto" w:before="4"/>
        <w:rPr>
          <w:rFonts w:ascii="宋体" w:hAnsi="宋体" w:cs="宋体" w:eastAsia="宋体" w:hint="default"/>
          <w:sz w:val="10"/>
          <w:szCs w:val="10"/>
        </w:rPr>
      </w:pPr>
    </w:p>
    <w:p>
      <w:pPr>
        <w:pStyle w:val="BodyText"/>
        <w:spacing w:line="240" w:lineRule="auto" w:before="35"/>
        <w:ind w:left="0" w:right="1592"/>
        <w:jc w:val="right"/>
      </w:pPr>
      <w:r>
        <w:rPr/>
        <w:t>单位：元</w:t>
      </w:r>
    </w:p>
    <w:p>
      <w:pPr>
        <w:spacing w:line="240" w:lineRule="auto" w:before="7"/>
        <w:rPr>
          <w:rFonts w:ascii="宋体" w:hAnsi="宋体" w:cs="宋体" w:eastAsia="宋体" w:hint="default"/>
          <w:sz w:val="2"/>
          <w:szCs w:val="2"/>
        </w:rPr>
      </w:pPr>
    </w:p>
    <w:tbl>
      <w:tblPr>
        <w:tblW w:w="0" w:type="auto"/>
        <w:jc w:val="left"/>
        <w:tblInd w:w="1343" w:type="dxa"/>
        <w:tblLayout w:type="fixed"/>
        <w:tblCellMar>
          <w:top w:w="0" w:type="dxa"/>
          <w:left w:w="0" w:type="dxa"/>
          <w:bottom w:w="0" w:type="dxa"/>
          <w:right w:w="0" w:type="dxa"/>
        </w:tblCellMar>
        <w:tblLook w:val="01E0"/>
      </w:tblPr>
      <w:tblGrid>
        <w:gridCol w:w="2540"/>
        <w:gridCol w:w="2617"/>
        <w:gridCol w:w="2573"/>
      </w:tblGrid>
      <w:tr>
        <w:trPr>
          <w:trHeight w:val="282" w:hRule="exact"/>
        </w:trPr>
        <w:tc>
          <w:tcPr>
            <w:tcW w:w="25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61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57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55" w:lineRule="exact"/>
              <w:ind w:left="103" w:right="-2"/>
              <w:jc w:val="center"/>
              <w:rPr>
                <w:rFonts w:ascii="宋体" w:hAnsi="宋体" w:cs="宋体" w:eastAsia="宋体" w:hint="default"/>
                <w:sz w:val="21"/>
                <w:szCs w:val="21"/>
              </w:rPr>
            </w:pPr>
            <w:r>
              <w:rPr>
                <w:rFonts w:ascii="宋体" w:hAnsi="宋体" w:cs="宋体" w:eastAsia="宋体" w:hint="default"/>
                <w:spacing w:val="-2"/>
                <w:sz w:val="21"/>
                <w:szCs w:val="21"/>
              </w:rPr>
              <w:t>营业收入比上年增减（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国内</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1,606,317,428.00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16.46%</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国外</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117,893,841.52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7.70%</w:t>
            </w:r>
          </w:p>
        </w:tc>
      </w:tr>
      <w:tr>
        <w:trPr>
          <w:trHeight w:val="282"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1,724,211,269.52</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15.82%</w:t>
            </w:r>
          </w:p>
        </w:tc>
      </w:tr>
    </w:tbl>
    <w:p>
      <w:pPr>
        <w:pStyle w:val="BodyText"/>
        <w:spacing w:line="240" w:lineRule="auto" w:before="84"/>
        <w:ind w:left="1480" w:right="1048"/>
        <w:jc w:val="left"/>
      </w:pPr>
      <w:r>
        <w:rPr/>
        <w:t>（</w:t>
      </w:r>
      <w:r>
        <w:rPr>
          <w:rFonts w:ascii="Times New Roman" w:hAnsi="Times New Roman" w:cs="Times New Roman" w:eastAsia="Times New Roman" w:hint="default"/>
        </w:rPr>
        <w:t>3</w:t>
      </w:r>
      <w:r>
        <w:rPr/>
        <w:t>）近三年主要会计数据及财务指标变动情况</w:t>
      </w:r>
    </w:p>
    <w:p>
      <w:pPr>
        <w:spacing w:line="240" w:lineRule="auto" w:before="4"/>
        <w:rPr>
          <w:rFonts w:ascii="宋体" w:hAnsi="宋体" w:cs="宋体" w:eastAsia="宋体" w:hint="default"/>
          <w:sz w:val="10"/>
          <w:szCs w:val="10"/>
        </w:rPr>
      </w:pPr>
    </w:p>
    <w:p>
      <w:pPr>
        <w:pStyle w:val="BodyText"/>
        <w:spacing w:line="240" w:lineRule="auto" w:before="35"/>
        <w:ind w:left="0" w:right="1057"/>
        <w:jc w:val="right"/>
      </w:pPr>
      <w:r>
        <w:rPr/>
        <w:t>单位：元</w:t>
      </w:r>
    </w:p>
    <w:p>
      <w:pPr>
        <w:spacing w:line="240" w:lineRule="auto" w:before="7"/>
        <w:rPr>
          <w:rFonts w:ascii="宋体" w:hAnsi="宋体" w:cs="宋体" w:eastAsia="宋体" w:hint="default"/>
          <w:sz w:val="2"/>
          <w:szCs w:val="2"/>
        </w:rPr>
      </w:pPr>
    </w:p>
    <w:tbl>
      <w:tblPr>
        <w:tblW w:w="0" w:type="auto"/>
        <w:jc w:val="left"/>
        <w:tblInd w:w="902" w:type="dxa"/>
        <w:tblLayout w:type="fixed"/>
        <w:tblCellMar>
          <w:top w:w="0" w:type="dxa"/>
          <w:left w:w="0" w:type="dxa"/>
          <w:bottom w:w="0" w:type="dxa"/>
          <w:right w:w="0" w:type="dxa"/>
        </w:tblCellMar>
        <w:tblLook w:val="01E0"/>
      </w:tblPr>
      <w:tblGrid>
        <w:gridCol w:w="2813"/>
        <w:gridCol w:w="1327"/>
        <w:gridCol w:w="1316"/>
        <w:gridCol w:w="1672"/>
        <w:gridCol w:w="1494"/>
      </w:tblGrid>
      <w:tr>
        <w:trPr>
          <w:trHeight w:val="91" w:hRule="exact"/>
        </w:trPr>
        <w:tc>
          <w:tcPr>
            <w:tcW w:w="2813" w:type="dxa"/>
            <w:vMerge w:val="restart"/>
            <w:tcBorders>
              <w:top w:val="single" w:sz="4" w:space="0" w:color="000000"/>
              <w:left w:val="single" w:sz="4" w:space="0" w:color="000000"/>
              <w:right w:val="single" w:sz="4" w:space="0" w:color="000000"/>
            </w:tcBorders>
            <w:shd w:val="clear" w:color="auto" w:fill="DCDCDC"/>
          </w:tcPr>
          <w:p>
            <w:pPr/>
          </w:p>
        </w:tc>
        <w:tc>
          <w:tcPr>
            <w:tcW w:w="1327" w:type="dxa"/>
            <w:vMerge w:val="restart"/>
            <w:tcBorders>
              <w:top w:val="single" w:sz="4" w:space="0" w:color="000000"/>
              <w:left w:val="single" w:sz="4" w:space="0" w:color="000000"/>
              <w:right w:val="single" w:sz="4" w:space="0" w:color="000000"/>
            </w:tcBorders>
            <w:shd w:val="clear" w:color="auto" w:fill="DCDCDC"/>
          </w:tcPr>
          <w:p>
            <w:pPr/>
          </w:p>
        </w:tc>
        <w:tc>
          <w:tcPr>
            <w:tcW w:w="1316" w:type="dxa"/>
            <w:vMerge w:val="restart"/>
            <w:tcBorders>
              <w:top w:val="single" w:sz="4" w:space="0" w:color="000000"/>
              <w:left w:val="single" w:sz="4" w:space="0" w:color="000000"/>
              <w:right w:val="single" w:sz="4" w:space="0" w:color="000000"/>
            </w:tcBorders>
            <w:shd w:val="clear" w:color="auto" w:fill="DCDCDC"/>
          </w:tcPr>
          <w:p>
            <w:pPr/>
          </w:p>
        </w:tc>
        <w:tc>
          <w:tcPr>
            <w:tcW w:w="16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4" w:type="dxa"/>
            <w:vMerge w:val="restart"/>
            <w:tcBorders>
              <w:top w:val="single" w:sz="4" w:space="0" w:color="000000"/>
              <w:left w:val="single" w:sz="4" w:space="0" w:color="000000"/>
              <w:right w:val="single" w:sz="4" w:space="0" w:color="000000"/>
            </w:tcBorders>
            <w:shd w:val="clear" w:color="auto" w:fill="DCDCDC"/>
          </w:tcPr>
          <w:p>
            <w:pPr/>
          </w:p>
        </w:tc>
      </w:tr>
      <w:tr>
        <w:trPr>
          <w:trHeight w:val="123" w:hRule="exact"/>
        </w:trPr>
        <w:tc>
          <w:tcPr>
            <w:tcW w:w="2813" w:type="dxa"/>
            <w:vMerge/>
            <w:tcBorders>
              <w:left w:val="single" w:sz="4" w:space="0" w:color="000000"/>
              <w:bottom w:val="nil" w:sz="6" w:space="0" w:color="auto"/>
              <w:right w:val="single" w:sz="4" w:space="0" w:color="000000"/>
            </w:tcBorders>
            <w:shd w:val="clear" w:color="auto" w:fill="DCDCDC"/>
          </w:tcPr>
          <w:p>
            <w:pPr/>
          </w:p>
        </w:tc>
        <w:tc>
          <w:tcPr>
            <w:tcW w:w="1327" w:type="dxa"/>
            <w:vMerge/>
            <w:tcBorders>
              <w:left w:val="single" w:sz="4" w:space="0" w:color="000000"/>
              <w:bottom w:val="nil" w:sz="6" w:space="0" w:color="auto"/>
              <w:right w:val="single" w:sz="4" w:space="0" w:color="000000"/>
            </w:tcBorders>
            <w:shd w:val="clear" w:color="auto" w:fill="DCDCDC"/>
          </w:tcPr>
          <w:p>
            <w:pPr/>
          </w:p>
        </w:tc>
        <w:tc>
          <w:tcPr>
            <w:tcW w:w="1316" w:type="dxa"/>
            <w:vMerge/>
            <w:tcBorders>
              <w:left w:val="single" w:sz="4" w:space="0" w:color="000000"/>
              <w:bottom w:val="nil" w:sz="6" w:space="0" w:color="auto"/>
              <w:right w:val="single" w:sz="4" w:space="0" w:color="000000"/>
            </w:tcBorders>
            <w:shd w:val="clear" w:color="auto" w:fill="DCDCDC"/>
          </w:tcPr>
          <w:p>
            <w:pPr/>
          </w:p>
        </w:tc>
        <w:tc>
          <w:tcPr>
            <w:tcW w:w="1672"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380"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left="380"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1494"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813" w:type="dxa"/>
            <w:tcBorders>
              <w:top w:val="nil" w:sz="6" w:space="0" w:color="auto"/>
              <w:left w:val="single" w:sz="4" w:space="0" w:color="000000"/>
              <w:bottom w:val="nil" w:sz="6" w:space="0" w:color="auto"/>
              <w:right w:val="single" w:sz="4" w:space="0" w:color="000000"/>
            </w:tcBorders>
            <w:shd w:val="clear" w:color="auto" w:fill="DCDCDC"/>
          </w:tcPr>
          <w:p>
            <w:pPr/>
          </w:p>
        </w:tc>
        <w:tc>
          <w:tcPr>
            <w:tcW w:w="13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72" w:type="dxa"/>
            <w:vMerge/>
            <w:tcBorders>
              <w:left w:val="single" w:sz="4" w:space="0" w:color="000000"/>
              <w:right w:val="single" w:sz="4" w:space="0" w:color="000000"/>
            </w:tcBorders>
            <w:shd w:val="clear" w:color="auto" w:fill="DCDCDC"/>
          </w:tcPr>
          <w:p>
            <w:pPr/>
          </w:p>
        </w:tc>
        <w:tc>
          <w:tcPr>
            <w:tcW w:w="1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4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15" w:hRule="exact"/>
        </w:trPr>
        <w:tc>
          <w:tcPr>
            <w:tcW w:w="281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72" w:type="dxa"/>
            <w:vMerge/>
            <w:tcBorders>
              <w:left w:val="single" w:sz="4" w:space="0" w:color="000000"/>
              <w:bottom w:val="single" w:sz="4" w:space="0" w:color="000000"/>
              <w:right w:val="single" w:sz="4" w:space="0" w:color="000000"/>
            </w:tcBorders>
            <w:shd w:val="clear" w:color="auto" w:fill="DCDCDC"/>
          </w:tcPr>
          <w:p>
            <w:pPr/>
          </w:p>
        </w:tc>
        <w:tc>
          <w:tcPr>
            <w:tcW w:w="149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1,724,211,269.52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1,488,739,930.16</w:t>
            </w:r>
          </w:p>
        </w:tc>
        <w:tc>
          <w:tcPr>
            <w:tcW w:w="1672" w:type="dxa"/>
            <w:tcBorders>
              <w:top w:val="single" w:sz="39" w:space="0" w:color="DCDCDC"/>
              <w:left w:val="single" w:sz="4" w:space="0" w:color="000000"/>
              <w:bottom w:val="single" w:sz="4" w:space="0" w:color="000000"/>
              <w:right w:val="single" w:sz="4" w:space="0" w:color="000000"/>
            </w:tcBorders>
          </w:tcPr>
          <w:p>
            <w:pPr>
              <w:pStyle w:val="TableParagraph"/>
              <w:spacing w:line="185" w:lineRule="exact"/>
              <w:ind w:right="20"/>
              <w:jc w:val="right"/>
              <w:rPr>
                <w:rFonts w:ascii="Times New Roman" w:hAnsi="Times New Roman" w:cs="Times New Roman" w:eastAsia="Times New Roman" w:hint="default"/>
                <w:sz w:val="18"/>
                <w:szCs w:val="18"/>
              </w:rPr>
            </w:pPr>
            <w:r>
              <w:rPr>
                <w:rFonts w:ascii="Times New Roman"/>
                <w:w w:val="95"/>
                <w:sz w:val="18"/>
              </w:rPr>
              <w:t>15.82%</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1,199,979,552.72</w:t>
            </w:r>
          </w:p>
        </w:tc>
      </w:tr>
      <w:tr>
        <w:trPr>
          <w:trHeight w:val="242"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453,825,919.42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338,442,330.63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34.09%</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296,349,991.95</w:t>
            </w: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525,560,484.35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422,994,854.23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24.25%</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363,093,273.69</w:t>
            </w: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475,131,689.63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387,933,928.14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w w:val="95"/>
                <w:sz w:val="18"/>
              </w:rPr>
              <w:t>22.48%</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331,548,801.34</w:t>
            </w: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118,922,359.04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254,750,792.86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-53.32%</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306,588,088.45</w:t>
            </w: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
              <w:jc w:val="right"/>
              <w:rPr>
                <w:rFonts w:ascii="Times New Roman" w:hAnsi="Times New Roman" w:cs="Times New Roman" w:eastAsia="Times New Roman" w:hint="default"/>
                <w:sz w:val="18"/>
                <w:szCs w:val="18"/>
              </w:rPr>
            </w:pPr>
            <w:r>
              <w:rPr>
                <w:rFonts w:ascii="Times New Roman"/>
                <w:sz w:val="18"/>
              </w:rPr>
              <w:t>1.13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23.01%</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0.97</w:t>
            </w: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26.13%</w:t>
            </w:r>
            <w:r>
              <w:rPr>
                <w:rFonts w:ascii="Times New Roman"/>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26.02%</w:t>
            </w:r>
            <w:r>
              <w:rPr>
                <w:rFonts w:ascii="Times New Roman"/>
                <w:sz w:val="18"/>
              </w:rPr>
            </w:r>
          </w:p>
        </w:tc>
        <w:tc>
          <w:tcPr>
            <w:tcW w:w="1672" w:type="dxa"/>
            <w:tcBorders>
              <w:top w:val="single" w:sz="4" w:space="0" w:color="000000"/>
              <w:left w:val="single" w:sz="4" w:space="0" w:color="000000"/>
              <w:bottom w:val="single" w:sz="38" w:space="0" w:color="DCDCDC"/>
              <w:right w:val="single" w:sz="4" w:space="0" w:color="000000"/>
            </w:tcBorders>
          </w:tcPr>
          <w:p>
            <w:pPr>
              <w:pStyle w:val="TableParagraph"/>
              <w:spacing w:line="219" w:lineRule="exact"/>
              <w:ind w:right="20"/>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个百分点</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w w:val="95"/>
                <w:sz w:val="18"/>
              </w:rPr>
              <w:t>28.19%</w:t>
            </w:r>
            <w:r>
              <w:rPr>
                <w:rFonts w:ascii="Times New Roman"/>
                <w:sz w:val="18"/>
              </w:rPr>
            </w:r>
          </w:p>
        </w:tc>
      </w:tr>
      <w:tr>
        <w:trPr>
          <w:trHeight w:val="91" w:hRule="exact"/>
        </w:trPr>
        <w:tc>
          <w:tcPr>
            <w:tcW w:w="2813" w:type="dxa"/>
            <w:vMerge w:val="restart"/>
            <w:tcBorders>
              <w:top w:val="single" w:sz="4" w:space="0" w:color="000000"/>
              <w:left w:val="single" w:sz="4" w:space="0" w:color="000000"/>
              <w:right w:val="single" w:sz="4" w:space="0" w:color="000000"/>
            </w:tcBorders>
            <w:shd w:val="clear" w:color="auto" w:fill="DCDCDC"/>
          </w:tcPr>
          <w:p>
            <w:pPr/>
          </w:p>
        </w:tc>
        <w:tc>
          <w:tcPr>
            <w:tcW w:w="1327" w:type="dxa"/>
            <w:vMerge w:val="restart"/>
            <w:tcBorders>
              <w:top w:val="single" w:sz="4" w:space="0" w:color="000000"/>
              <w:left w:val="single" w:sz="4" w:space="0" w:color="000000"/>
              <w:right w:val="single" w:sz="4" w:space="0" w:color="000000"/>
            </w:tcBorders>
            <w:shd w:val="clear" w:color="auto" w:fill="DCDCDC"/>
          </w:tcPr>
          <w:p>
            <w:pPr/>
          </w:p>
        </w:tc>
        <w:tc>
          <w:tcPr>
            <w:tcW w:w="1316" w:type="dxa"/>
            <w:vMerge w:val="restart"/>
            <w:tcBorders>
              <w:top w:val="single" w:sz="4" w:space="0" w:color="000000"/>
              <w:left w:val="single" w:sz="4" w:space="0" w:color="000000"/>
              <w:right w:val="single" w:sz="4" w:space="0" w:color="000000"/>
            </w:tcBorders>
            <w:shd w:val="clear" w:color="auto" w:fill="DCDCDC"/>
          </w:tcPr>
          <w:p>
            <w:pPr/>
          </w:p>
        </w:tc>
        <w:tc>
          <w:tcPr>
            <w:tcW w:w="16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4" w:type="dxa"/>
            <w:vMerge w:val="restart"/>
            <w:tcBorders>
              <w:top w:val="single" w:sz="4" w:space="0" w:color="000000"/>
              <w:left w:val="single" w:sz="4" w:space="0" w:color="000000"/>
              <w:right w:val="single" w:sz="4" w:space="0" w:color="000000"/>
            </w:tcBorders>
            <w:shd w:val="clear" w:color="auto" w:fill="DCDCDC"/>
          </w:tcPr>
          <w:p>
            <w:pPr/>
          </w:p>
        </w:tc>
      </w:tr>
      <w:tr>
        <w:trPr>
          <w:trHeight w:val="123" w:hRule="exact"/>
        </w:trPr>
        <w:tc>
          <w:tcPr>
            <w:tcW w:w="2813" w:type="dxa"/>
            <w:vMerge/>
            <w:tcBorders>
              <w:left w:val="single" w:sz="4" w:space="0" w:color="000000"/>
              <w:bottom w:val="nil" w:sz="6" w:space="0" w:color="auto"/>
              <w:right w:val="single" w:sz="4" w:space="0" w:color="000000"/>
            </w:tcBorders>
            <w:shd w:val="clear" w:color="auto" w:fill="DCDCDC"/>
          </w:tcPr>
          <w:p>
            <w:pPr/>
          </w:p>
        </w:tc>
        <w:tc>
          <w:tcPr>
            <w:tcW w:w="1327" w:type="dxa"/>
            <w:vMerge/>
            <w:tcBorders>
              <w:left w:val="single" w:sz="4" w:space="0" w:color="000000"/>
              <w:bottom w:val="nil" w:sz="6" w:space="0" w:color="auto"/>
              <w:right w:val="single" w:sz="4" w:space="0" w:color="000000"/>
            </w:tcBorders>
            <w:shd w:val="clear" w:color="auto" w:fill="DCDCDC"/>
          </w:tcPr>
          <w:p>
            <w:pPr/>
          </w:p>
        </w:tc>
        <w:tc>
          <w:tcPr>
            <w:tcW w:w="1316" w:type="dxa"/>
            <w:vMerge/>
            <w:tcBorders>
              <w:left w:val="single" w:sz="4" w:space="0" w:color="000000"/>
              <w:bottom w:val="nil" w:sz="6" w:space="0" w:color="auto"/>
              <w:right w:val="single" w:sz="4" w:space="0" w:color="000000"/>
            </w:tcBorders>
            <w:shd w:val="clear" w:color="auto" w:fill="DCDCDC"/>
          </w:tcPr>
          <w:p>
            <w:pPr/>
          </w:p>
        </w:tc>
        <w:tc>
          <w:tcPr>
            <w:tcW w:w="1672" w:type="dxa"/>
            <w:vMerge w:val="restart"/>
            <w:tcBorders>
              <w:top w:val="nil" w:sz="6" w:space="0" w:color="auto"/>
              <w:left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本年末比上年末增</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减（％）</w:t>
            </w:r>
          </w:p>
        </w:tc>
        <w:tc>
          <w:tcPr>
            <w:tcW w:w="1494" w:type="dxa"/>
            <w:vMerge/>
            <w:tcBorders>
              <w:left w:val="single" w:sz="4" w:space="0" w:color="000000"/>
              <w:bottom w:val="nil" w:sz="6" w:space="0" w:color="auto"/>
              <w:right w:val="single" w:sz="4" w:space="0" w:color="000000"/>
            </w:tcBorders>
            <w:shd w:val="clear" w:color="auto" w:fill="DCDCDC"/>
          </w:tcPr>
          <w:p>
            <w:pPr/>
          </w:p>
        </w:tc>
      </w:tr>
      <w:tr>
        <w:trPr>
          <w:trHeight w:val="221" w:hRule="exact"/>
        </w:trPr>
        <w:tc>
          <w:tcPr>
            <w:tcW w:w="2813" w:type="dxa"/>
            <w:tcBorders>
              <w:top w:val="nil" w:sz="6" w:space="0" w:color="auto"/>
              <w:left w:val="single" w:sz="4" w:space="0" w:color="000000"/>
              <w:bottom w:val="nil" w:sz="6" w:space="0" w:color="auto"/>
              <w:right w:val="single" w:sz="4" w:space="0" w:color="000000"/>
            </w:tcBorders>
            <w:shd w:val="clear" w:color="auto" w:fill="DCDCDC"/>
          </w:tcPr>
          <w:p>
            <w:pPr/>
          </w:p>
        </w:tc>
        <w:tc>
          <w:tcPr>
            <w:tcW w:w="13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3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72" w:type="dxa"/>
            <w:vMerge/>
            <w:tcBorders>
              <w:left w:val="single" w:sz="4" w:space="0" w:color="000000"/>
              <w:right w:val="single" w:sz="4" w:space="0" w:color="000000"/>
            </w:tcBorders>
            <w:shd w:val="clear" w:color="auto" w:fill="DCDCDC"/>
          </w:tcPr>
          <w:p>
            <w:pPr/>
          </w:p>
        </w:tc>
        <w:tc>
          <w:tcPr>
            <w:tcW w:w="1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14" w:hRule="exact"/>
        </w:trPr>
        <w:tc>
          <w:tcPr>
            <w:tcW w:w="2813"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72" w:type="dxa"/>
            <w:vMerge/>
            <w:tcBorders>
              <w:left w:val="single" w:sz="4" w:space="0" w:color="000000"/>
              <w:bottom w:val="single" w:sz="4" w:space="0" w:color="000000"/>
              <w:right w:val="single" w:sz="4" w:space="0" w:color="000000"/>
            </w:tcBorders>
            <w:shd w:val="clear" w:color="auto" w:fill="DCDCDC"/>
          </w:tcPr>
          <w:p>
            <w:pPr/>
          </w:p>
        </w:tc>
        <w:tc>
          <w:tcPr>
            <w:tcW w:w="149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2,773,932,857.92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2,218,405,326.16</w:t>
            </w:r>
          </w:p>
        </w:tc>
        <w:tc>
          <w:tcPr>
            <w:tcW w:w="1672" w:type="dxa"/>
            <w:tcBorders>
              <w:top w:val="single" w:sz="35" w:space="0" w:color="DCDCDC"/>
              <w:left w:val="single" w:sz="4" w:space="0" w:color="000000"/>
              <w:bottom w:val="single" w:sz="4" w:space="0" w:color="000000"/>
              <w:right w:val="single" w:sz="4" w:space="0" w:color="000000"/>
            </w:tcBorders>
          </w:tcPr>
          <w:p>
            <w:pPr>
              <w:pStyle w:val="TableParagraph"/>
              <w:spacing w:line="189" w:lineRule="exact"/>
              <w:ind w:right="20"/>
              <w:jc w:val="right"/>
              <w:rPr>
                <w:rFonts w:ascii="Times New Roman" w:hAnsi="Times New Roman" w:cs="Times New Roman" w:eastAsia="Times New Roman" w:hint="default"/>
                <w:sz w:val="18"/>
                <w:szCs w:val="18"/>
              </w:rPr>
            </w:pPr>
            <w:r>
              <w:rPr>
                <w:rFonts w:ascii="Times New Roman"/>
                <w:w w:val="95"/>
                <w:sz w:val="18"/>
              </w:rPr>
              <w:t>25.04%</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pacing w:val="-1"/>
                <w:sz w:val="18"/>
              </w:rPr>
              <w:t>2,077,976,790.83</w:t>
            </w:r>
          </w:p>
        </w:tc>
      </w:tr>
      <w:tr>
        <w:trPr>
          <w:trHeight w:val="478"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pacing w:val="5"/>
                <w:sz w:val="18"/>
                <w:szCs w:val="18"/>
              </w:rPr>
              <w:t>归属于上市公司股东的所有者权益</w:t>
            </w:r>
            <w:r>
              <w:rPr>
                <w:rFonts w:ascii="宋体" w:hAnsi="宋体" w:cs="宋体" w:eastAsia="宋体" w:hint="default"/>
                <w:sz w:val="18"/>
                <w:szCs w:val="18"/>
              </w:rPr>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（或股东权益）</w:t>
            </w:r>
          </w:p>
        </w:tc>
        <w:tc>
          <w:tcPr>
            <w:tcW w:w="132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2,007,851,358.88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1,660,866,819.90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20.89%</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1,330,005,376.24</w:t>
            </w:r>
          </w:p>
        </w:tc>
      </w:tr>
    </w:tbl>
    <w:p>
      <w:pPr>
        <w:spacing w:line="240" w:lineRule="auto" w:before="6"/>
        <w:rPr>
          <w:rFonts w:ascii="宋体" w:hAnsi="宋体" w:cs="宋体" w:eastAsia="宋体" w:hint="default"/>
          <w:sz w:val="5"/>
          <w:szCs w:val="5"/>
        </w:rPr>
      </w:pPr>
    </w:p>
    <w:p>
      <w:pPr>
        <w:pStyle w:val="BodyText"/>
        <w:spacing w:line="374" w:lineRule="auto" w:before="35"/>
        <w:ind w:left="1059" w:right="1054" w:firstLine="420"/>
        <w:jc w:val="both"/>
      </w:pPr>
      <w:r>
        <w:rPr>
          <w:spacing w:val="-3"/>
        </w:rPr>
        <w:t>报告期内，公司克服了内外经营环境变化带来的诸多不利影响，积极应对银行采购模式</w:t>
      </w:r>
      <w:r>
        <w:rPr/>
        <w:t> 的转变，灵活调整公司的销售策略，充分抓住国内</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市场快速增长的机会，扩大公司产 品市场占有率，公司经营状况继续保持良好的发展态势。</w:t>
      </w:r>
    </w:p>
    <w:p>
      <w:pPr>
        <w:pStyle w:val="BodyText"/>
        <w:spacing w:line="362" w:lineRule="auto" w:before="48"/>
        <w:ind w:left="1479" w:right="1048"/>
        <w:jc w:val="left"/>
      </w:pPr>
      <w:r>
        <w:rPr>
          <w:rFonts w:ascii="Times New Roman" w:hAnsi="Times New Roman" w:cs="Times New Roman" w:eastAsia="Times New Roman" w:hint="default"/>
          <w:spacing w:val="-8"/>
        </w:rPr>
        <w:t>ATM </w:t>
      </w:r>
      <w:r>
        <w:rPr/>
        <w:t>在国内市场占有率持续提升，其中来自中国银行的营业额同比增长了</w:t>
      </w:r>
      <w:r>
        <w:rPr>
          <w:spacing w:val="-48"/>
        </w:rPr>
        <w:t> </w:t>
      </w:r>
      <w:r>
        <w:rPr>
          <w:rFonts w:ascii="Times New Roman" w:hAnsi="Times New Roman" w:cs="Times New Roman" w:eastAsia="Times New Roman" w:hint="default"/>
        </w:rPr>
        <w:t>138.49%</w:t>
      </w:r>
      <w:r>
        <w:rPr/>
        <w:t>； 设备维护收入同比增长</w:t>
      </w:r>
      <w:r>
        <w:rPr>
          <w:spacing w:val="-60"/>
        </w:rPr>
        <w:t> </w:t>
      </w:r>
      <w:r>
        <w:rPr>
          <w:rFonts w:ascii="Times New Roman" w:hAnsi="Times New Roman" w:cs="Times New Roman" w:eastAsia="Times New Roman" w:hint="default"/>
        </w:rPr>
        <w:t>70.86%</w:t>
      </w:r>
      <w:r>
        <w:rPr/>
        <w:t>，深圳银通提供维护服务的设备规模不断增大，</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p>
    <w:p>
      <w:pPr>
        <w:pStyle w:val="BodyText"/>
        <w:spacing w:line="362" w:lineRule="auto" w:before="30"/>
        <w:ind w:left="1059" w:right="1048"/>
        <w:jc w:val="left"/>
      </w:pPr>
      <w:r>
        <w:rPr>
          <w:spacing w:val="-3"/>
        </w:rPr>
        <w:t>其实现的设备维护收入比上年同期大幅增长；</w:t>
      </w:r>
      <w:r>
        <w:rPr>
          <w:rFonts w:ascii="Times New Roman" w:hAnsi="Times New Roman" w:cs="Times New Roman" w:eastAsia="Times New Roman" w:hint="default"/>
          <w:spacing w:val="-3"/>
        </w:rPr>
        <w:t>AFC</w:t>
      </w:r>
      <w:r>
        <w:rPr>
          <w:rFonts w:ascii="Times New Roman" w:hAnsi="Times New Roman" w:cs="Times New Roman" w:eastAsia="Times New Roman" w:hint="default"/>
          <w:spacing w:val="10"/>
        </w:rPr>
        <w:t> </w:t>
      </w:r>
      <w:r>
        <w:rPr/>
        <w:t>销售收入同比增长</w:t>
      </w:r>
      <w:r>
        <w:rPr>
          <w:spacing w:val="-43"/>
        </w:rPr>
        <w:t> </w:t>
      </w:r>
      <w:r>
        <w:rPr>
          <w:rFonts w:ascii="Times New Roman" w:hAnsi="Times New Roman" w:cs="Times New Roman" w:eastAsia="Times New Roman" w:hint="default"/>
          <w:spacing w:val="-5"/>
        </w:rPr>
        <w:t>38.3%</w:t>
      </w:r>
      <w:r>
        <w:rPr>
          <w:spacing w:val="-5"/>
        </w:rPr>
        <w:t>；配件销售收入</w:t>
      </w:r>
      <w:r>
        <w:rPr>
          <w:spacing w:val="-103"/>
        </w:rPr>
        <w:t> </w:t>
      </w:r>
      <w:r>
        <w:rPr>
          <w:spacing w:val="-103"/>
        </w:rPr>
      </w:r>
      <w:r>
        <w:rPr/>
        <w:t>同比增长</w:t>
      </w:r>
      <w:r>
        <w:rPr>
          <w:spacing w:val="-55"/>
        </w:rPr>
        <w:t> </w:t>
      </w:r>
      <w:r>
        <w:rPr>
          <w:rFonts w:ascii="Times New Roman" w:hAnsi="Times New Roman" w:cs="Times New Roman" w:eastAsia="Times New Roman" w:hint="default"/>
        </w:rPr>
        <w:t>72.69%</w:t>
      </w:r>
      <w:r>
        <w:rPr/>
        <w:t>；</w:t>
      </w:r>
    </w:p>
    <w:p>
      <w:pPr>
        <w:pStyle w:val="BodyText"/>
        <w:spacing w:line="240" w:lineRule="auto" w:before="31"/>
        <w:ind w:left="1479" w:right="1048"/>
        <w:jc w:val="left"/>
      </w:pPr>
      <w:r>
        <w:rPr/>
        <w:t>（</w:t>
      </w:r>
      <w:r>
        <w:rPr>
          <w:rFonts w:ascii="Times New Roman" w:hAnsi="Times New Roman" w:cs="Times New Roman" w:eastAsia="Times New Roman" w:hint="default"/>
        </w:rPr>
        <w:t>4</w:t>
      </w:r>
      <w:r>
        <w:rPr/>
        <w:t>）报告期内，公司主营业务及其结构未发生重大变化。</w:t>
      </w:r>
    </w:p>
    <w:p>
      <w:pPr>
        <w:pStyle w:val="BodyText"/>
        <w:spacing w:line="240" w:lineRule="auto" w:before="148"/>
        <w:ind w:left="1479" w:right="1048"/>
        <w:jc w:val="left"/>
      </w:pPr>
      <w:r>
        <w:rPr/>
        <w:t>（</w:t>
      </w:r>
      <w:r>
        <w:rPr>
          <w:rFonts w:ascii="Times New Roman" w:hAnsi="Times New Roman" w:cs="Times New Roman" w:eastAsia="Times New Roman" w:hint="default"/>
        </w:rPr>
        <w:t>5</w:t>
      </w:r>
      <w:r>
        <w:rPr/>
        <w:t>）报告期内，公司主营业务市场、主营业务成本构成未发生显著变化。</w:t>
      </w:r>
    </w:p>
    <w:p>
      <w:pPr>
        <w:pStyle w:val="BodyText"/>
        <w:spacing w:line="240" w:lineRule="auto" w:before="149"/>
        <w:ind w:left="1480" w:right="1048"/>
        <w:jc w:val="left"/>
      </w:pPr>
      <w:r>
        <w:rPr/>
        <w:t>（</w:t>
      </w:r>
      <w:r>
        <w:rPr>
          <w:rFonts w:ascii="Times New Roman" w:hAnsi="Times New Roman" w:cs="Times New Roman" w:eastAsia="Times New Roman" w:hint="default"/>
        </w:rPr>
        <w:t>6</w:t>
      </w:r>
      <w:r>
        <w:rPr/>
        <w:t>）报告期内，公司主要产品、原材料等市场价格未有较大变动。</w:t>
      </w:r>
    </w:p>
    <w:p>
      <w:pPr>
        <w:spacing w:after="0" w:line="240" w:lineRule="auto"/>
        <w:jc w:val="left"/>
        <w:sectPr>
          <w:pgSz w:w="11910" w:h="16840"/>
          <w:pgMar w:header="400" w:footer="982" w:top="1100" w:bottom="1180" w:left="740" w:right="740"/>
        </w:sectPr>
      </w:pPr>
    </w:p>
    <w:p>
      <w:pPr>
        <w:spacing w:line="240" w:lineRule="auto" w:before="12"/>
        <w:rPr>
          <w:rFonts w:ascii="宋体" w:hAnsi="宋体" w:cs="宋体" w:eastAsia="宋体" w:hint="default"/>
          <w:sz w:val="29"/>
          <w:szCs w:val="29"/>
        </w:rPr>
      </w:pPr>
    </w:p>
    <w:p>
      <w:pPr>
        <w:pStyle w:val="BodyText"/>
        <w:spacing w:line="240" w:lineRule="auto" w:before="35"/>
        <w:ind w:left="640" w:right="963"/>
        <w:jc w:val="left"/>
      </w:pPr>
      <w:r>
        <w:rPr/>
        <w:t>（</w:t>
      </w:r>
      <w:r>
        <w:rPr>
          <w:rFonts w:ascii="Times New Roman" w:hAnsi="Times New Roman" w:cs="Times New Roman" w:eastAsia="Times New Roman" w:hint="default"/>
        </w:rPr>
        <w:t>7</w:t>
      </w:r>
      <w:r>
        <w:rPr/>
        <w:t>）订单的签署和执行情况</w:t>
      </w:r>
    </w:p>
    <w:p>
      <w:pPr>
        <w:pStyle w:val="BodyText"/>
        <w:spacing w:line="240" w:lineRule="auto" w:before="8"/>
        <w:ind w:left="0" w:right="1195"/>
        <w:jc w:val="right"/>
      </w:pPr>
      <w:r>
        <w:rPr>
          <w:spacing w:val="-1"/>
        </w:rPr>
        <w:t>单位：亿元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30"/>
        <w:gridCol w:w="2130"/>
        <w:gridCol w:w="2131"/>
        <w:gridCol w:w="2131"/>
      </w:tblGrid>
      <w:tr>
        <w:trPr>
          <w:trHeight w:val="28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51"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pacing w:val="-8"/>
                <w:sz w:val="21"/>
              </w:rPr>
              <w:t>ATM</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17.26</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14.5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19.03%</w:t>
            </w:r>
          </w:p>
        </w:tc>
      </w:tr>
      <w:tr>
        <w:trPr>
          <w:trHeight w:val="25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AFC</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1.73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23.57%</w:t>
            </w:r>
          </w:p>
        </w:tc>
      </w:tr>
      <w:tr>
        <w:trPr>
          <w:trHeight w:val="28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技术服务合同</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0.93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0.8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16.25%</w:t>
            </w:r>
          </w:p>
        </w:tc>
      </w:tr>
      <w:tr>
        <w:trPr>
          <w:trHeight w:val="28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19.92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16.7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19.28%</w:t>
            </w:r>
          </w:p>
        </w:tc>
      </w:tr>
    </w:tbl>
    <w:p>
      <w:pPr>
        <w:pStyle w:val="BodyText"/>
        <w:spacing w:line="340" w:lineRule="auto" w:before="75"/>
        <w:ind w:left="219" w:right="963" w:firstLine="420"/>
        <w:jc w:val="left"/>
      </w:pPr>
      <w:r>
        <w:rPr>
          <w:spacing w:val="-3"/>
        </w:rPr>
        <w:t>报告期内，公司新增分行级（省）客户</w:t>
      </w:r>
      <w:r>
        <w:rPr>
          <w:spacing w:val="-49"/>
        </w:rPr>
        <w:t> </w:t>
      </w:r>
      <w:r>
        <w:rPr>
          <w:rFonts w:ascii="Times New Roman" w:hAnsi="Times New Roman" w:cs="Times New Roman" w:eastAsia="Times New Roman" w:hint="default"/>
        </w:rPr>
        <w:t>83</w:t>
      </w:r>
      <w:r>
        <w:rPr>
          <w:rFonts w:ascii="Times New Roman" w:hAnsi="Times New Roman" w:cs="Times New Roman" w:eastAsia="Times New Roman" w:hint="default"/>
          <w:spacing w:val="4"/>
        </w:rPr>
        <w:t> </w:t>
      </w:r>
      <w:r>
        <w:rPr>
          <w:spacing w:val="-3"/>
        </w:rPr>
        <w:t>个，取得中总行、农总行、建总行、交总行、</w:t>
      </w:r>
      <w:r>
        <w:rPr/>
        <w:t> </w:t>
      </w:r>
      <w:r>
        <w:rPr>
          <w:spacing w:val="-3"/>
        </w:rPr>
        <w:t>邮政邮储等多个总行级采购合同，进一步巩固了传统市场；在股份制银行、地方商业银行等</w:t>
      </w:r>
      <w:r>
        <w:rPr>
          <w:spacing w:val="-81"/>
        </w:rPr>
        <w:t> </w:t>
      </w:r>
      <w:r>
        <w:rPr>
          <w:spacing w:val="-81"/>
        </w:rPr>
      </w:r>
      <w:r>
        <w:rPr/>
        <w:t>新兴市场也取得了良好业绩，</w:t>
      </w:r>
      <w:r>
        <w:rPr>
          <w:rFonts w:ascii="Times New Roman" w:hAnsi="Times New Roman" w:cs="Times New Roman" w:eastAsia="Times New Roman" w:hint="default"/>
        </w:rPr>
        <w:t>ATM</w:t>
      </w:r>
      <w:r>
        <w:rPr>
          <w:rFonts w:ascii="Times New Roman" w:hAnsi="Times New Roman" w:cs="Times New Roman" w:eastAsia="Times New Roman" w:hint="default"/>
          <w:spacing w:val="-26"/>
        </w:rPr>
        <w:t> </w:t>
      </w:r>
      <w:r>
        <w:rPr/>
        <w:t>国内市场销量实现较好增长。</w:t>
      </w:r>
    </w:p>
    <w:p>
      <w:pPr>
        <w:pStyle w:val="BodyText"/>
        <w:spacing w:line="331" w:lineRule="auto" w:before="11"/>
        <w:ind w:left="219" w:right="1075" w:firstLine="420"/>
        <w:jc w:val="both"/>
      </w:pPr>
      <w:r>
        <w:rPr>
          <w:spacing w:val="-3"/>
        </w:rPr>
        <w:t>在海外市场，公司与</w:t>
      </w:r>
      <w:r>
        <w:rPr>
          <w:spacing w:val="-59"/>
        </w:rPr>
        <w:t> </w:t>
      </w:r>
      <w:r>
        <w:rPr>
          <w:rFonts w:ascii="Times New Roman" w:hAnsi="Times New Roman" w:cs="Times New Roman" w:eastAsia="Times New Roman" w:hint="default"/>
        </w:rPr>
        <w:t>45</w:t>
      </w:r>
      <w:r>
        <w:rPr>
          <w:rFonts w:ascii="Times New Roman" w:hAnsi="Times New Roman" w:cs="Times New Roman" w:eastAsia="Times New Roman" w:hint="default"/>
          <w:spacing w:val="-7"/>
        </w:rPr>
        <w:t> </w:t>
      </w:r>
      <w:r>
        <w:rPr>
          <w:spacing w:val="-6"/>
        </w:rPr>
        <w:t>个国家（地区）的</w:t>
      </w:r>
      <w:r>
        <w:rPr>
          <w:spacing w:val="-59"/>
        </w:rPr>
        <w:t> </w:t>
      </w:r>
      <w:r>
        <w:rPr>
          <w:rFonts w:ascii="Times New Roman" w:hAnsi="Times New Roman" w:cs="Times New Roman" w:eastAsia="Times New Roman" w:hint="default"/>
        </w:rPr>
        <w:t>51</w:t>
      </w:r>
      <w:r>
        <w:rPr>
          <w:rFonts w:ascii="Times New Roman" w:hAnsi="Times New Roman" w:cs="Times New Roman" w:eastAsia="Times New Roman" w:hint="default"/>
          <w:spacing w:val="-6"/>
        </w:rPr>
        <w:t> </w:t>
      </w:r>
      <w:r>
        <w:rPr/>
        <w:t>个客户签订了合同，海外市场合同额同比 </w:t>
      </w:r>
      <w:r>
        <w:rPr>
          <w:spacing w:val="-6"/>
        </w:rPr>
        <w:t>大幅增长，尤为重要的是在欧洲市场取得了重大突破，以自主循环机芯技术获得土耳其</w:t>
      </w:r>
      <w:r>
        <w:rPr>
          <w:spacing w:val="-62"/>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49"/>
        </w:rPr>
        <w:t> </w:t>
      </w:r>
      <w:r>
        <w:rPr/>
        <w:t>银行</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spacing w:val="-4"/>
        </w:rPr>
        <w:t>亿元一体机的中标（合同尚未签订，中标金额未包含在合同总金额内）。</w:t>
      </w:r>
    </w:p>
    <w:p>
      <w:pPr>
        <w:pStyle w:val="BodyText"/>
        <w:spacing w:line="340" w:lineRule="auto" w:before="20"/>
        <w:ind w:left="219" w:right="966" w:firstLine="420"/>
        <w:jc w:val="left"/>
      </w:pPr>
      <w:r>
        <w:rPr>
          <w:spacing w:val="-4"/>
        </w:rPr>
        <w:t>在轨道交通市场，全年签订合同</w:t>
      </w:r>
      <w:r>
        <w:rPr>
          <w:spacing w:val="-50"/>
        </w:rPr>
        <w:t> </w:t>
      </w:r>
      <w:r>
        <w:rPr>
          <w:rFonts w:ascii="Times New Roman" w:hAnsi="Times New Roman" w:cs="Times New Roman" w:eastAsia="Times New Roman" w:hint="default"/>
        </w:rPr>
        <w:t>1.73</w:t>
      </w:r>
      <w:r>
        <w:rPr>
          <w:rFonts w:ascii="Times New Roman" w:hAnsi="Times New Roman" w:cs="Times New Roman" w:eastAsia="Times New Roman" w:hint="default"/>
          <w:spacing w:val="2"/>
        </w:rPr>
        <w:t> </w:t>
      </w:r>
      <w:r>
        <w:rPr>
          <w:spacing w:val="-8"/>
        </w:rPr>
        <w:t>亿元，同比增长</w:t>
      </w:r>
      <w:r>
        <w:rPr>
          <w:spacing w:val="-50"/>
        </w:rPr>
        <w:t> </w:t>
      </w:r>
      <w:r>
        <w:rPr>
          <w:rFonts w:ascii="Times New Roman" w:hAnsi="Times New Roman" w:cs="Times New Roman" w:eastAsia="Times New Roman" w:hint="default"/>
          <w:spacing w:val="-3"/>
        </w:rPr>
        <w:t>23.57</w:t>
      </w:r>
      <w:r>
        <w:rPr>
          <w:spacing w:val="-3"/>
        </w:rPr>
        <w:t>％，通过力保高铁市场订单、</w:t>
      </w:r>
      <w:r>
        <w:rPr/>
        <w:t> 加强模块销售和海外市场拓展等手段，继续保持了在 </w:t>
      </w:r>
      <w:r>
        <w:rPr>
          <w:rFonts w:ascii="Times New Roman" w:hAnsi="Times New Roman" w:cs="Times New Roman" w:eastAsia="Times New Roman" w:hint="default"/>
        </w:rPr>
        <w:t>AFC</w:t>
      </w:r>
      <w:r>
        <w:rPr>
          <w:rFonts w:ascii="Times New Roman" w:hAnsi="Times New Roman" w:cs="Times New Roman" w:eastAsia="Times New Roman" w:hint="default"/>
          <w:spacing w:val="-32"/>
        </w:rPr>
        <w:t> </w:t>
      </w:r>
      <w:r>
        <w:rPr/>
        <w:t>领域的行业地位；继续深化与铁 </w:t>
      </w:r>
      <w:r>
        <w:rPr>
          <w:spacing w:val="-3"/>
        </w:rPr>
        <w:t>道部和易程公司的合作关系，积极拓展珠三角、环渤海、长三角地区的城际轨道市场；取得</w:t>
      </w:r>
      <w:r>
        <w:rPr>
          <w:spacing w:val="-80"/>
        </w:rPr>
        <w:t> </w:t>
      </w:r>
      <w:r>
        <w:rPr>
          <w:spacing w:val="-80"/>
        </w:rPr>
      </w:r>
      <w:r>
        <w:rPr>
          <w:spacing w:val="-3"/>
        </w:rPr>
        <w:t>沪宁、京沪、昌九、长吉、广深港等项目自动售票机、自助售站台票设备合同，继续保持在</w:t>
      </w:r>
      <w:r>
        <w:rPr>
          <w:spacing w:val="-81"/>
        </w:rPr>
        <w:t> </w:t>
      </w:r>
      <w:r>
        <w:rPr>
          <w:spacing w:val="-81"/>
        </w:rPr>
      </w:r>
      <w:r>
        <w:rPr/>
        <w:t>高铁市场的领先地位；取得沈阳地铁二号线</w:t>
      </w:r>
      <w:r>
        <w:rPr>
          <w:spacing w:val="-55"/>
        </w:rPr>
        <w:t> </w:t>
      </w:r>
      <w:r>
        <w:rPr>
          <w:rFonts w:ascii="Times New Roman" w:hAnsi="Times New Roman" w:cs="Times New Roman" w:eastAsia="Times New Roman" w:hint="default"/>
        </w:rPr>
        <w:t>TVM</w:t>
      </w:r>
      <w:r>
        <w:rPr>
          <w:rFonts w:ascii="Times New Roman" w:hAnsi="Times New Roman" w:cs="Times New Roman" w:eastAsia="Times New Roman" w:hint="default"/>
          <w:spacing w:val="-3"/>
        </w:rPr>
        <w:t> </w:t>
      </w:r>
      <w:r>
        <w:rPr/>
        <w:t>供货合同，实现了新的区域市场突破。</w:t>
      </w:r>
    </w:p>
    <w:p>
      <w:pPr>
        <w:pStyle w:val="BodyText"/>
        <w:spacing w:line="348" w:lineRule="auto" w:before="12"/>
        <w:ind w:left="219" w:right="1061" w:firstLine="420"/>
        <w:jc w:val="left"/>
      </w:pPr>
      <w:r>
        <w:rPr>
          <w:spacing w:val="-3"/>
        </w:rPr>
        <w:t>由于公司获取订单的时间主要集中在每年的第四季度，而会计确认销售收入的原则是以</w:t>
      </w:r>
      <w:r>
        <w:rPr/>
        <w:t> 公司收到银行的签收单为准，因此公司订单存在跨期确认收入的情况。截止</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年底，结</w:t>
      </w:r>
    </w:p>
    <w:p>
      <w:pPr>
        <w:pStyle w:val="BodyText"/>
        <w:spacing w:line="240" w:lineRule="auto" w:before="4"/>
        <w:ind w:left="219" w:right="963"/>
        <w:jc w:val="left"/>
      </w:pPr>
      <w:r>
        <w:rPr/>
        <w:t>转到以后年度执行的合同金额约</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亿多元。</w:t>
      </w:r>
    </w:p>
    <w:p>
      <w:pPr>
        <w:pStyle w:val="BodyText"/>
        <w:spacing w:line="240" w:lineRule="auto" w:before="119"/>
        <w:ind w:left="639" w:right="963"/>
        <w:jc w:val="left"/>
      </w:pPr>
      <w:r>
        <w:rPr/>
        <w:t>（</w:t>
      </w:r>
      <w:r>
        <w:rPr>
          <w:rFonts w:ascii="Times New Roman" w:hAnsi="Times New Roman" w:cs="Times New Roman" w:eastAsia="Times New Roman" w:hint="default"/>
        </w:rPr>
        <w:t>8</w:t>
      </w:r>
      <w:r>
        <w:rPr/>
        <w:t>）销售毛利率变动情况</w:t>
      </w:r>
    </w:p>
    <w:p>
      <w:pPr>
        <w:spacing w:line="240" w:lineRule="auto" w:before="8"/>
        <w:rPr>
          <w:rFonts w:ascii="宋体" w:hAnsi="宋体" w:cs="宋体" w:eastAsia="宋体" w:hint="default"/>
          <w:sz w:val="15"/>
          <w:szCs w:val="15"/>
        </w:rPr>
      </w:pPr>
    </w:p>
    <w:tbl>
      <w:tblPr>
        <w:tblW w:w="0" w:type="auto"/>
        <w:jc w:val="left"/>
        <w:tblInd w:w="510" w:type="dxa"/>
        <w:tblLayout w:type="fixed"/>
        <w:tblCellMar>
          <w:top w:w="0" w:type="dxa"/>
          <w:left w:w="0" w:type="dxa"/>
          <w:bottom w:w="0" w:type="dxa"/>
          <w:right w:w="0" w:type="dxa"/>
        </w:tblCellMar>
        <w:tblLook w:val="01E0"/>
      </w:tblPr>
      <w:tblGrid>
        <w:gridCol w:w="1704"/>
        <w:gridCol w:w="1451"/>
        <w:gridCol w:w="1452"/>
        <w:gridCol w:w="1954"/>
        <w:gridCol w:w="1156"/>
      </w:tblGrid>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销售毛利率（</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Times New Roman" w:hAnsi="Times New Roman" w:cs="Times New Roman" w:eastAsia="Times New Roman" w:hint="default"/>
                <w:sz w:val="18"/>
                <w:szCs w:val="18"/>
              </w:rPr>
            </w:pPr>
            <w:r>
              <w:rPr>
                <w:rFonts w:ascii="Times New Roman"/>
                <w:sz w:val="18"/>
              </w:rPr>
              <w:t>49.25%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Times New Roman" w:hAnsi="Times New Roman" w:cs="Times New Roman" w:eastAsia="Times New Roman" w:hint="default"/>
                <w:sz w:val="18"/>
                <w:szCs w:val="18"/>
              </w:rPr>
            </w:pPr>
            <w:r>
              <w:rPr>
                <w:rFonts w:ascii="Times New Roman"/>
                <w:sz w:val="18"/>
              </w:rPr>
              <w:t>42.70%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上升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6.55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45.41%</w:t>
            </w:r>
          </w:p>
        </w:tc>
      </w:tr>
    </w:tbl>
    <w:p>
      <w:pPr>
        <w:pStyle w:val="BodyText"/>
        <w:spacing w:line="331" w:lineRule="auto" w:before="75"/>
        <w:ind w:left="220" w:right="1060" w:firstLine="420"/>
        <w:jc w:val="left"/>
      </w:pPr>
      <w:r>
        <w:rPr/>
        <w:t>毛利率与上年同期相比上升了 </w:t>
      </w:r>
      <w:r>
        <w:rPr>
          <w:rFonts w:ascii="Times New Roman" w:hAnsi="Times New Roman" w:cs="Times New Roman" w:eastAsia="Times New Roman" w:hint="default"/>
        </w:rPr>
        <w:t>6.55</w:t>
      </w:r>
      <w:r>
        <w:rPr>
          <w:rFonts w:ascii="Times New Roman" w:hAnsi="Times New Roman" w:cs="Times New Roman" w:eastAsia="Times New Roman" w:hint="default"/>
          <w:spacing w:val="9"/>
        </w:rPr>
        <w:t> </w:t>
      </w:r>
      <w:r>
        <w:rPr/>
        <w:t>个百分点，主要是因为生产销售的增长及核心技术 的推广使用，使得产品成本下降，毛利率相应提升。</w:t>
      </w:r>
    </w:p>
    <w:p>
      <w:pPr>
        <w:pStyle w:val="BodyText"/>
        <w:spacing w:line="240" w:lineRule="auto" w:before="45"/>
        <w:ind w:left="640" w:right="963"/>
        <w:jc w:val="left"/>
      </w:pPr>
      <w:r>
        <w:rPr/>
        <w:t>（</w:t>
      </w:r>
      <w:r>
        <w:rPr>
          <w:rFonts w:ascii="Times New Roman" w:hAnsi="Times New Roman" w:cs="Times New Roman" w:eastAsia="Times New Roman" w:hint="default"/>
        </w:rPr>
        <w:t>9</w:t>
      </w:r>
      <w:r>
        <w:rPr/>
        <w:t>）主要供应商、客户情况</w:t>
      </w:r>
    </w:p>
    <w:p>
      <w:pPr>
        <w:pStyle w:val="BodyText"/>
        <w:spacing w:line="273" w:lineRule="exact"/>
        <w:ind w:left="0" w:right="1077"/>
        <w:jc w:val="right"/>
      </w:pPr>
      <w:r>
        <w:rPr/>
        <w:t>单位：元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40"/>
        <w:gridCol w:w="2626"/>
        <w:gridCol w:w="1528"/>
        <w:gridCol w:w="1080"/>
        <w:gridCol w:w="1375"/>
        <w:gridCol w:w="1237"/>
        <w:gridCol w:w="988"/>
      </w:tblGrid>
      <w:tr>
        <w:trPr>
          <w:trHeight w:val="82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9" w:right="15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5"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名供应商</w:t>
            </w:r>
            <w:r>
              <w:rPr>
                <w:rFonts w:ascii="宋体" w:hAnsi="宋体" w:cs="宋体" w:eastAsia="宋体" w:hint="default"/>
                <w:sz w:val="21"/>
                <w:szCs w:val="21"/>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b/>
                <w:bCs/>
                <w:sz w:val="21"/>
                <w:szCs w:val="21"/>
              </w:rPr>
              <w:t>采购金额</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占年度采</w:t>
            </w:r>
            <w:r>
              <w:rPr>
                <w:rFonts w:ascii="宋体" w:hAnsi="宋体" w:cs="宋体" w:eastAsia="宋体" w:hint="default"/>
                <w:sz w:val="21"/>
                <w:szCs w:val="21"/>
              </w:rPr>
            </w:r>
          </w:p>
          <w:p>
            <w:pPr>
              <w:pStyle w:val="TableParagraph"/>
              <w:spacing w:line="272" w:lineRule="exact" w:before="26"/>
              <w:ind w:left="218" w:right="110" w:hanging="106"/>
              <w:jc w:val="left"/>
              <w:rPr>
                <w:rFonts w:ascii="宋体" w:hAnsi="宋体" w:cs="宋体" w:eastAsia="宋体" w:hint="default"/>
                <w:sz w:val="21"/>
                <w:szCs w:val="21"/>
              </w:rPr>
            </w:pPr>
            <w:r>
              <w:rPr>
                <w:rFonts w:ascii="宋体" w:hAnsi="宋体" w:cs="宋体" w:eastAsia="宋体" w:hint="default"/>
                <w:b/>
                <w:bCs/>
                <w:sz w:val="21"/>
                <w:szCs w:val="21"/>
              </w:rPr>
              <w:t>购总金额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71" w:right="153" w:hanging="316"/>
              <w:jc w:val="left"/>
              <w:rPr>
                <w:rFonts w:ascii="宋体" w:hAnsi="宋体" w:cs="宋体" w:eastAsia="宋体" w:hint="default"/>
                <w:sz w:val="21"/>
                <w:szCs w:val="21"/>
              </w:rPr>
            </w:pPr>
            <w:r>
              <w:rPr>
                <w:rFonts w:ascii="宋体" w:hAnsi="宋体" w:cs="宋体" w:eastAsia="宋体" w:hint="default"/>
                <w:b/>
                <w:bCs/>
                <w:sz w:val="21"/>
                <w:szCs w:val="21"/>
              </w:rPr>
              <w:t>预付账款的</w:t>
            </w:r>
            <w:r>
              <w:rPr>
                <w:rFonts w:ascii="宋体" w:hAnsi="宋体" w:cs="宋体" w:eastAsia="宋体" w:hint="default"/>
                <w:b/>
                <w:bCs/>
                <w:w w:val="99"/>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2" w:right="0"/>
              <w:jc w:val="left"/>
              <w:rPr>
                <w:rFonts w:ascii="宋体" w:hAnsi="宋体" w:cs="宋体" w:eastAsia="宋体" w:hint="default"/>
                <w:sz w:val="21"/>
                <w:szCs w:val="21"/>
              </w:rPr>
            </w:pPr>
            <w:r>
              <w:rPr>
                <w:rFonts w:ascii="宋体" w:hAnsi="宋体" w:cs="宋体" w:eastAsia="宋体" w:hint="default"/>
                <w:b/>
                <w:bCs/>
                <w:sz w:val="21"/>
                <w:szCs w:val="21"/>
              </w:rPr>
              <w:t>占预付账</w:t>
            </w:r>
            <w:r>
              <w:rPr>
                <w:rFonts w:ascii="宋体" w:hAnsi="宋体" w:cs="宋体" w:eastAsia="宋体" w:hint="default"/>
                <w:sz w:val="21"/>
                <w:szCs w:val="21"/>
              </w:rPr>
            </w:r>
          </w:p>
          <w:p>
            <w:pPr>
              <w:pStyle w:val="TableParagraph"/>
              <w:spacing w:line="272" w:lineRule="exact" w:before="26"/>
              <w:ind w:left="297" w:right="188" w:hanging="106"/>
              <w:jc w:val="left"/>
              <w:rPr>
                <w:rFonts w:ascii="宋体" w:hAnsi="宋体" w:cs="宋体" w:eastAsia="宋体" w:hint="default"/>
                <w:sz w:val="21"/>
                <w:szCs w:val="21"/>
              </w:rPr>
            </w:pPr>
            <w:r>
              <w:rPr>
                <w:rFonts w:ascii="宋体" w:hAnsi="宋体" w:cs="宋体" w:eastAsia="宋体" w:hint="default"/>
                <w:b/>
                <w:bCs/>
                <w:sz w:val="21"/>
                <w:szCs w:val="21"/>
              </w:rPr>
              <w:t>款总余额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是否存</w:t>
            </w:r>
            <w:r>
              <w:rPr>
                <w:rFonts w:ascii="宋体" w:hAnsi="宋体" w:cs="宋体" w:eastAsia="宋体" w:hint="default"/>
                <w:sz w:val="21"/>
                <w:szCs w:val="21"/>
              </w:rPr>
            </w:r>
          </w:p>
          <w:p>
            <w:pPr>
              <w:pStyle w:val="TableParagraph"/>
              <w:spacing w:line="272" w:lineRule="exact" w:before="26"/>
              <w:ind w:left="277" w:right="169" w:hanging="105"/>
              <w:jc w:val="left"/>
              <w:rPr>
                <w:rFonts w:ascii="宋体" w:hAnsi="宋体" w:cs="宋体" w:eastAsia="宋体" w:hint="default"/>
                <w:sz w:val="21"/>
                <w:szCs w:val="21"/>
              </w:rPr>
            </w:pPr>
            <w:r>
              <w:rPr>
                <w:rFonts w:ascii="宋体" w:hAnsi="宋体" w:cs="宋体" w:eastAsia="宋体" w:hint="default"/>
                <w:b/>
                <w:bCs/>
                <w:sz w:val="21"/>
                <w:szCs w:val="21"/>
              </w:rPr>
              <w:t>在关联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Arial" w:hAnsi="Arial" w:cs="Arial" w:eastAsia="Arial" w:hint="default"/>
                <w:sz w:val="18"/>
                <w:szCs w:val="18"/>
              </w:rPr>
            </w:pPr>
            <w:r>
              <w:rPr>
                <w:rFonts w:ascii="Arial"/>
                <w:sz w:val="18"/>
              </w:rPr>
              <w:t>Hitachi Asia(Hong</w:t>
            </w:r>
            <w:r>
              <w:rPr>
                <w:rFonts w:ascii="Arial"/>
                <w:spacing w:val="-32"/>
                <w:sz w:val="18"/>
              </w:rPr>
              <w:t> </w:t>
            </w:r>
            <w:r>
              <w:rPr>
                <w:rFonts w:ascii="Arial"/>
                <w:sz w:val="18"/>
              </w:rPr>
              <w:t>Kong)Ltd.</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215,152,685.33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27.82%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10,055,648.23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金锋科技发展有限公司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102,683,346.08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13.28%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梅州国基精密制造有限公司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25,238,844.46</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3.26%</w:t>
            </w:r>
            <w:r>
              <w:rPr>
                <w:rFonts w:ascii="Arial"/>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深圳市巨潮科技有限公司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24,270,306.33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3.14%</w:t>
            </w:r>
            <w:r>
              <w:rPr>
                <w:rFonts w:ascii="Arial"/>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广州市研祥智能科技有限公司</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21,844,421.25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2.82%</w:t>
            </w:r>
            <w:r>
              <w:rPr>
                <w:rFonts w:ascii="Arial"/>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7"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389,189,603.44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50.32%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10,055,648.23</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exact"/>
        <w:ind w:left="220" w:right="963"/>
        <w:jc w:val="left"/>
      </w:pPr>
      <w:r>
        <w:rPr/>
        <w:t>注：预付款主要是信用证承兑货物未到公司。</w:t>
      </w:r>
    </w:p>
    <w:p>
      <w:pPr>
        <w:spacing w:after="0" w:line="240" w:lineRule="exact"/>
        <w:jc w:val="left"/>
        <w:sectPr>
          <w:pgSz w:w="11910" w:h="16840"/>
          <w:pgMar w:header="400" w:footer="982" w:top="1100" w:bottom="1180" w:left="1580" w:right="720"/>
        </w:sectPr>
      </w:pPr>
    </w:p>
    <w:p>
      <w:pPr>
        <w:spacing w:line="240" w:lineRule="auto" w:before="1"/>
        <w:rPr>
          <w:rFonts w:ascii="宋体" w:hAnsi="宋体" w:cs="宋体" w:eastAsia="宋体" w:hint="default"/>
          <w:sz w:val="19"/>
          <w:szCs w:val="19"/>
        </w:rPr>
      </w:pPr>
    </w:p>
    <w:p>
      <w:pPr>
        <w:pStyle w:val="BodyText"/>
        <w:spacing w:line="240" w:lineRule="auto" w:before="35"/>
        <w:ind w:left="0" w:right="857"/>
        <w:jc w:val="right"/>
      </w:pPr>
      <w:r>
        <w:rPr/>
        <w:t>单位：元</w:t>
      </w:r>
    </w:p>
    <w:p>
      <w:pPr>
        <w:spacing w:line="240" w:lineRule="auto" w:before="7"/>
        <w:rPr>
          <w:rFonts w:ascii="宋体" w:hAnsi="宋体" w:cs="宋体" w:eastAsia="宋体" w:hint="default"/>
          <w:sz w:val="2"/>
          <w:szCs w:val="2"/>
        </w:rPr>
      </w:pPr>
    </w:p>
    <w:tbl>
      <w:tblPr>
        <w:tblW w:w="0" w:type="auto"/>
        <w:jc w:val="left"/>
        <w:tblInd w:w="387" w:type="dxa"/>
        <w:tblLayout w:type="fixed"/>
        <w:tblCellMar>
          <w:top w:w="0" w:type="dxa"/>
          <w:left w:w="0" w:type="dxa"/>
          <w:bottom w:w="0" w:type="dxa"/>
          <w:right w:w="0" w:type="dxa"/>
        </w:tblCellMar>
        <w:tblLook w:val="01E0"/>
      </w:tblPr>
      <w:tblGrid>
        <w:gridCol w:w="540"/>
        <w:gridCol w:w="2495"/>
        <w:gridCol w:w="1476"/>
        <w:gridCol w:w="1085"/>
        <w:gridCol w:w="1500"/>
        <w:gridCol w:w="1186"/>
        <w:gridCol w:w="870"/>
      </w:tblGrid>
      <w:tr>
        <w:trPr>
          <w:trHeight w:val="730"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0"/>
              <w:ind w:left="216" w:right="102"/>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715"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名客户</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b/>
                <w:bCs/>
                <w:sz w:val="21"/>
                <w:szCs w:val="21"/>
              </w:rPr>
              <w:t>销售金额</w:t>
            </w:r>
            <w:r>
              <w:rPr>
                <w:rFonts w:ascii="宋体" w:hAnsi="宋体" w:cs="宋体" w:eastAsia="宋体" w:hint="default"/>
                <w:sz w:val="21"/>
                <w:szCs w:val="21"/>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113"/>
              <w:jc w:val="both"/>
              <w:rPr>
                <w:rFonts w:ascii="宋体" w:hAnsi="宋体" w:cs="宋体" w:eastAsia="宋体" w:hint="default"/>
                <w:sz w:val="21"/>
                <w:szCs w:val="21"/>
              </w:rPr>
            </w:pPr>
            <w:r>
              <w:rPr>
                <w:rFonts w:ascii="宋体" w:hAnsi="宋体" w:cs="宋体" w:eastAsia="宋体" w:hint="default"/>
                <w:b/>
                <w:bCs/>
                <w:sz w:val="21"/>
                <w:szCs w:val="21"/>
              </w:rPr>
              <w:t>占年度销</w:t>
            </w:r>
            <w:r>
              <w:rPr>
                <w:rFonts w:ascii="宋体" w:hAnsi="宋体" w:cs="宋体" w:eastAsia="宋体" w:hint="default"/>
                <w:b/>
                <w:bCs/>
                <w:spacing w:val="1"/>
                <w:w w:val="99"/>
                <w:sz w:val="21"/>
                <w:szCs w:val="21"/>
              </w:rPr>
              <w:t> </w:t>
            </w:r>
            <w:r>
              <w:rPr>
                <w:rFonts w:ascii="宋体" w:hAnsi="宋体" w:cs="宋体" w:eastAsia="宋体" w:hint="default"/>
                <w:b/>
                <w:bCs/>
                <w:sz w:val="21"/>
                <w:szCs w:val="21"/>
              </w:rPr>
              <w:t>售总金额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639" w:right="113" w:hanging="527"/>
              <w:jc w:val="left"/>
              <w:rPr>
                <w:rFonts w:ascii="宋体" w:hAnsi="宋体" w:cs="宋体" w:eastAsia="宋体" w:hint="default"/>
                <w:sz w:val="21"/>
                <w:szCs w:val="21"/>
              </w:rPr>
            </w:pPr>
            <w:r>
              <w:rPr>
                <w:rFonts w:ascii="宋体" w:hAnsi="宋体" w:cs="宋体" w:eastAsia="宋体" w:hint="default"/>
                <w:b/>
                <w:bCs/>
                <w:sz w:val="21"/>
                <w:szCs w:val="21"/>
              </w:rPr>
              <w:t>应收账款的余</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163"/>
              <w:jc w:val="both"/>
              <w:rPr>
                <w:rFonts w:ascii="宋体" w:hAnsi="宋体" w:cs="宋体" w:eastAsia="宋体" w:hint="default"/>
                <w:sz w:val="21"/>
                <w:szCs w:val="21"/>
              </w:rPr>
            </w:pPr>
            <w:r>
              <w:rPr>
                <w:rFonts w:ascii="宋体" w:hAnsi="宋体" w:cs="宋体" w:eastAsia="宋体" w:hint="default"/>
                <w:b/>
                <w:bCs/>
                <w:sz w:val="21"/>
                <w:szCs w:val="21"/>
              </w:rPr>
              <w:t>占应收账</w:t>
            </w:r>
            <w:r>
              <w:rPr>
                <w:rFonts w:ascii="宋体" w:hAnsi="宋体" w:cs="宋体" w:eastAsia="宋体" w:hint="default"/>
                <w:b/>
                <w:bCs/>
                <w:spacing w:val="1"/>
                <w:w w:val="99"/>
                <w:sz w:val="21"/>
                <w:szCs w:val="21"/>
              </w:rPr>
              <w:t> </w:t>
            </w:r>
            <w:r>
              <w:rPr>
                <w:rFonts w:ascii="宋体" w:hAnsi="宋体" w:cs="宋体" w:eastAsia="宋体" w:hint="default"/>
                <w:b/>
                <w:bCs/>
                <w:sz w:val="21"/>
                <w:szCs w:val="21"/>
              </w:rPr>
              <w:t>款总余额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ight="110"/>
              <w:jc w:val="both"/>
              <w:rPr>
                <w:rFonts w:ascii="宋体" w:hAnsi="宋体" w:cs="宋体" w:eastAsia="宋体" w:hint="default"/>
                <w:sz w:val="21"/>
                <w:szCs w:val="21"/>
              </w:rPr>
            </w:pPr>
            <w:r>
              <w:rPr>
                <w:rFonts w:ascii="宋体" w:hAnsi="宋体" w:cs="宋体" w:eastAsia="宋体" w:hint="default"/>
                <w:b/>
                <w:bCs/>
                <w:sz w:val="21"/>
                <w:szCs w:val="21"/>
              </w:rPr>
              <w:t>是否存</w:t>
            </w:r>
            <w:r>
              <w:rPr>
                <w:rFonts w:ascii="宋体" w:hAnsi="宋体" w:cs="宋体" w:eastAsia="宋体" w:hint="default"/>
                <w:b/>
                <w:bCs/>
                <w:spacing w:val="1"/>
                <w:w w:val="99"/>
                <w:sz w:val="21"/>
                <w:szCs w:val="21"/>
              </w:rPr>
              <w:t> </w:t>
            </w:r>
            <w:r>
              <w:rPr>
                <w:rFonts w:ascii="宋体" w:hAnsi="宋体" w:cs="宋体" w:eastAsia="宋体" w:hint="default"/>
                <w:b/>
                <w:bCs/>
                <w:sz w:val="21"/>
                <w:szCs w:val="21"/>
              </w:rPr>
              <w:t>在关联</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2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548,927,133.10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31.84%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400,645,287.67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40.27%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2</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222,717,166.77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12.92%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164,178,822.91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z w:val="18"/>
              </w:rPr>
              <w:t>16.50%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3</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中国交通银行股份有限公司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143,220,900.23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8.31%</w:t>
            </w:r>
            <w:r>
              <w:rPr>
                <w:rFonts w:ascii="Times New Roman"/>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22,383,325.29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w w:val="95"/>
                <w:sz w:val="18"/>
              </w:rPr>
              <w:t>2.25%</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4</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Times New Roman" w:hAnsi="Times New Roman" w:cs="Times New Roman" w:eastAsia="Times New Roman" w:hint="default"/>
                <w:sz w:val="18"/>
                <w:szCs w:val="18"/>
              </w:rPr>
            </w:pPr>
            <w:r>
              <w:rPr>
                <w:rFonts w:ascii="Times New Roman"/>
                <w:sz w:val="18"/>
              </w:rPr>
              <w:t>IRAN ARGHAM</w:t>
            </w:r>
            <w:r>
              <w:rPr>
                <w:rFonts w:ascii="Times New Roman"/>
                <w:spacing w:val="-10"/>
                <w:sz w:val="18"/>
              </w:rPr>
              <w:t> </w:t>
            </w:r>
            <w:r>
              <w:rPr>
                <w:rFonts w:ascii="Times New Roman"/>
                <w:sz w:val="18"/>
              </w:rPr>
              <w:t>CO</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92,520,429.21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w w:val="95"/>
                <w:sz w:val="18"/>
              </w:rPr>
              <w:t>5.37%</w:t>
            </w:r>
            <w:r>
              <w:rPr>
                <w:rFonts w:ascii="Times New Roman"/>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2,144,273.14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8"/>
                <w:szCs w:val="18"/>
              </w:rPr>
            </w:pPr>
            <w:r>
              <w:rPr>
                <w:rFonts w:ascii="Times New Roman"/>
                <w:sz w:val="18"/>
              </w:rPr>
              <w:t>5</w:t>
            </w: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中国邮政储蓄银行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57,933,779.72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3.36%</w:t>
            </w:r>
            <w:r>
              <w:rPr>
                <w:rFonts w:ascii="Times New Roman"/>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15,492,113.40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1" w:hRule="exact"/>
        </w:trPr>
        <w:tc>
          <w:tcPr>
            <w:tcW w:w="540" w:type="dxa"/>
            <w:tcBorders>
              <w:top w:val="single" w:sz="4" w:space="0" w:color="000000"/>
              <w:left w:val="single" w:sz="4" w:space="0" w:color="000000"/>
              <w:bottom w:val="single" w:sz="4" w:space="0" w:color="000000"/>
              <w:right w:val="single" w:sz="4" w:space="0" w:color="000000"/>
            </w:tcBorders>
          </w:tcPr>
          <w:p>
            <w:pPr/>
          </w:p>
        </w:tc>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1,065,319,409.03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z w:val="18"/>
              </w:rPr>
              <w:t>61.80%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604,843,822.41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sz w:val="18"/>
              </w:rPr>
              <w:t>60.80%</w:t>
            </w:r>
          </w:p>
        </w:tc>
        <w:tc>
          <w:tcPr>
            <w:tcW w:w="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920" w:right="745"/>
        <w:jc w:val="left"/>
      </w:pPr>
      <w:r>
        <w:rPr/>
        <w:t>注：以上前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名客户相关数据是按照法人单位将总行与各分行合并列示。</w:t>
      </w:r>
    </w:p>
    <w:p>
      <w:pPr>
        <w:pStyle w:val="BodyText"/>
        <w:spacing w:line="297" w:lineRule="auto" w:before="69"/>
        <w:ind w:left="499" w:right="745" w:firstLine="420"/>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3"/>
        </w:rPr>
        <w:t> </w:t>
      </w:r>
      <w:r>
        <w:rPr>
          <w:spacing w:val="-2"/>
        </w:rPr>
        <w:t>年末，公司前五名客户的应收账款不存在不能回收的风险。公司与前五名供应商、</w:t>
      </w:r>
      <w:r>
        <w:rPr/>
        <w:t> 客户之间不存在关联关系，公司董事、监事、高级管理人员、核心技术人员、持股</w:t>
      </w:r>
      <w:r>
        <w:rPr>
          <w:spacing w:val="-57"/>
        </w:rPr>
        <w:t> </w:t>
      </w:r>
      <w:r>
        <w:rPr>
          <w:rFonts w:ascii="Times New Roman" w:hAnsi="Times New Roman" w:cs="Times New Roman" w:eastAsia="Times New Roman" w:hint="default"/>
        </w:rPr>
        <w:t>5%</w:t>
      </w:r>
      <w:r>
        <w:rPr/>
        <w:t>以上 股东、实际控制人和其他关联方没有在前述供应商、客户中直接或间接拥有权益等。</w:t>
      </w:r>
    </w:p>
    <w:p>
      <w:pPr>
        <w:pStyle w:val="BodyText"/>
        <w:spacing w:line="297" w:lineRule="auto" w:before="34"/>
        <w:ind w:left="499" w:right="856" w:firstLine="420"/>
        <w:jc w:val="both"/>
      </w:pPr>
      <w:r>
        <w:rPr/>
        <w:t>公司来自前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名客户的销售收入为</w:t>
      </w:r>
      <w:r>
        <w:rPr>
          <w:spacing w:val="-46"/>
        </w:rPr>
        <w:t> </w:t>
      </w:r>
      <w:r>
        <w:rPr>
          <w:rFonts w:ascii="Times New Roman" w:hAnsi="Times New Roman" w:cs="Times New Roman" w:eastAsia="Times New Roman" w:hint="default"/>
        </w:rPr>
        <w:t>106,531.94</w:t>
      </w:r>
      <w:r>
        <w:rPr>
          <w:rFonts w:ascii="Times New Roman" w:hAnsi="Times New Roman" w:cs="Times New Roman" w:eastAsia="Times New Roman" w:hint="default"/>
          <w:spacing w:val="7"/>
        </w:rPr>
        <w:t> </w:t>
      </w:r>
      <w:r>
        <w:rPr/>
        <w:t>万元，占公司总营业收入的</w:t>
      </w:r>
      <w:r>
        <w:rPr>
          <w:spacing w:val="-46"/>
        </w:rPr>
        <w:t> </w:t>
      </w:r>
      <w:r>
        <w:rPr>
          <w:rFonts w:ascii="Times New Roman" w:hAnsi="Times New Roman" w:cs="Times New Roman" w:eastAsia="Times New Roman" w:hint="default"/>
        </w:rPr>
        <w:t>61.80%</w:t>
      </w:r>
      <w:r>
        <w:rPr/>
        <w:t>，其 中来自中国银行的销售收入为</w:t>
      </w:r>
      <w:r>
        <w:rPr>
          <w:spacing w:val="-52"/>
        </w:rPr>
        <w:t> </w:t>
      </w:r>
      <w:r>
        <w:rPr>
          <w:rFonts w:ascii="Times New Roman" w:hAnsi="Times New Roman" w:cs="Times New Roman" w:eastAsia="Times New Roman" w:hint="default"/>
        </w:rPr>
        <w:t>54,892.71</w:t>
      </w:r>
      <w:r>
        <w:rPr>
          <w:rFonts w:ascii="Times New Roman" w:hAnsi="Times New Roman" w:cs="Times New Roman" w:eastAsia="Times New Roman" w:hint="default"/>
          <w:spacing w:val="2"/>
        </w:rPr>
        <w:t> </w:t>
      </w:r>
      <w:r>
        <w:rPr>
          <w:spacing w:val="-3"/>
        </w:rPr>
        <w:t>万元，占公司总营业收入的</w:t>
      </w:r>
      <w:r>
        <w:rPr>
          <w:spacing w:val="-52"/>
        </w:rPr>
        <w:t> </w:t>
      </w:r>
      <w:r>
        <w:rPr>
          <w:rFonts w:ascii="Times New Roman" w:hAnsi="Times New Roman" w:cs="Times New Roman" w:eastAsia="Times New Roman" w:hint="default"/>
          <w:spacing w:val="-3"/>
        </w:rPr>
        <w:t>31.84%</w:t>
      </w:r>
      <w:r>
        <w:rPr>
          <w:spacing w:val="-3"/>
        </w:rPr>
        <w:t>；来自中国农业</w:t>
      </w:r>
      <w:r>
        <w:rPr/>
        <w:t> 银行的销售收入为</w:t>
      </w:r>
      <w:r>
        <w:rPr>
          <w:spacing w:val="-57"/>
        </w:rPr>
        <w:t> </w:t>
      </w:r>
      <w:r>
        <w:rPr>
          <w:rFonts w:ascii="Times New Roman" w:hAnsi="Times New Roman" w:cs="Times New Roman" w:eastAsia="Times New Roman" w:hint="default"/>
        </w:rPr>
        <w:t>22,271.72</w:t>
      </w:r>
      <w:r>
        <w:rPr>
          <w:rFonts w:ascii="Times New Roman" w:hAnsi="Times New Roman" w:cs="Times New Roman" w:eastAsia="Times New Roman" w:hint="default"/>
          <w:spacing w:val="-3"/>
        </w:rPr>
        <w:t> </w:t>
      </w:r>
      <w:r>
        <w:rPr/>
        <w:t>万元，占公司总营业收入的</w:t>
      </w:r>
      <w:r>
        <w:rPr>
          <w:spacing w:val="-57"/>
        </w:rPr>
        <w:t> </w:t>
      </w:r>
      <w:r>
        <w:rPr>
          <w:rFonts w:ascii="Times New Roman" w:hAnsi="Times New Roman" w:cs="Times New Roman" w:eastAsia="Times New Roman" w:hint="default"/>
        </w:rPr>
        <w:t>12.92%</w:t>
      </w:r>
      <w:r>
        <w:rPr/>
        <w:t>。</w:t>
      </w:r>
    </w:p>
    <w:p>
      <w:pPr>
        <w:pStyle w:val="BodyText"/>
        <w:spacing w:line="314" w:lineRule="auto" w:before="13"/>
        <w:ind w:left="499" w:right="856" w:firstLine="420"/>
        <w:jc w:val="both"/>
      </w:pPr>
      <w:r>
        <w:rPr>
          <w:spacing w:val="-3"/>
        </w:rPr>
        <w:t>从上表数据可以看出，公司大部分收入来自资金实力雄厚、信誉好、采购能力强的大型</w:t>
      </w:r>
      <w:r>
        <w:rPr/>
        <w:t> </w:t>
      </w:r>
      <w:r>
        <w:rPr>
          <w:spacing w:val="-3"/>
        </w:rPr>
        <w:t>国有控股银行，且随着公司行业地位的日益提升，公司逐渐改变了对单一客户过分依赖的局</w:t>
      </w:r>
      <w:r>
        <w:rPr>
          <w:spacing w:val="-79"/>
        </w:rPr>
        <w:t> </w:t>
      </w:r>
      <w:r>
        <w:rPr>
          <w:spacing w:val="-79"/>
        </w:rPr>
      </w:r>
      <w:r>
        <w:rPr>
          <w:spacing w:val="-3"/>
        </w:rPr>
        <w:t>面，以中行、农行和交行等大型国有控股银行为主，以农信市场、邮政储蓄、股份制银行等</w:t>
      </w:r>
      <w:r>
        <w:rPr>
          <w:spacing w:val="-83"/>
        </w:rPr>
        <w:t> </w:t>
      </w:r>
      <w:r>
        <w:rPr>
          <w:spacing w:val="-83"/>
        </w:rPr>
      </w:r>
      <w:r>
        <w:rPr/>
        <w:t>为有力补充的客户结构和国内外并举的市场结构日趋稳健。</w:t>
      </w:r>
    </w:p>
    <w:p>
      <w:pPr>
        <w:pStyle w:val="BodyText"/>
        <w:spacing w:line="240" w:lineRule="auto" w:before="20"/>
        <w:ind w:left="919" w:right="745"/>
        <w:jc w:val="left"/>
      </w:pPr>
      <w:r>
        <w:rPr/>
        <w:t>（</w:t>
      </w:r>
      <w:r>
        <w:rPr>
          <w:rFonts w:ascii="Times New Roman" w:hAnsi="Times New Roman" w:cs="Times New Roman" w:eastAsia="Times New Roman" w:hint="default"/>
        </w:rPr>
        <w:t>10</w:t>
      </w:r>
      <w:r>
        <w:rPr/>
        <w:t>）非经常性损益情况</w:t>
      </w:r>
    </w:p>
    <w:p>
      <w:pPr>
        <w:pStyle w:val="BodyText"/>
        <w:spacing w:line="266" w:lineRule="exact"/>
        <w:ind w:left="0" w:right="2022"/>
        <w:jc w:val="right"/>
      </w:pPr>
      <w:r>
        <w:rPr/>
        <w:t>单位：元</w:t>
      </w:r>
    </w:p>
    <w:p>
      <w:pPr>
        <w:spacing w:line="240" w:lineRule="auto" w:before="7"/>
        <w:rPr>
          <w:rFonts w:ascii="宋体" w:hAnsi="宋体" w:cs="宋体" w:eastAsia="宋体" w:hint="default"/>
          <w:sz w:val="2"/>
          <w:szCs w:val="2"/>
        </w:rPr>
      </w:pPr>
    </w:p>
    <w:tbl>
      <w:tblPr>
        <w:tblW w:w="0" w:type="auto"/>
        <w:jc w:val="left"/>
        <w:tblInd w:w="899" w:type="dxa"/>
        <w:tblLayout w:type="fixed"/>
        <w:tblCellMar>
          <w:top w:w="0" w:type="dxa"/>
          <w:left w:w="0" w:type="dxa"/>
          <w:bottom w:w="0" w:type="dxa"/>
          <w:right w:w="0" w:type="dxa"/>
        </w:tblCellMar>
        <w:tblLook w:val="01E0"/>
      </w:tblPr>
      <w:tblGrid>
        <w:gridCol w:w="5122"/>
        <w:gridCol w:w="2376"/>
      </w:tblGrid>
      <w:tr>
        <w:trPr>
          <w:trHeight w:val="282" w:hRule="exact"/>
        </w:trPr>
        <w:tc>
          <w:tcPr>
            <w:tcW w:w="5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244"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（一）非流动资产处置损益</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1,442,842.10</w:t>
            </w:r>
          </w:p>
        </w:tc>
      </w:tr>
      <w:tr>
        <w:trPr>
          <w:trHeight w:val="476"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（二）计入当期损益的政府补助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与企业业务密切相关，按照国家</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统一标准定额或定量享受的政府补助除外）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11,095,535.06</w:t>
            </w:r>
          </w:p>
        </w:tc>
      </w:tr>
      <w:tr>
        <w:trPr>
          <w:trHeight w:val="244"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（三）其他营业外收支净额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540,781.18</w:t>
            </w:r>
          </w:p>
        </w:tc>
      </w:tr>
      <w:tr>
        <w:trPr>
          <w:trHeight w:val="244"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（四）所得税影响数</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-1,817,257.36</w:t>
            </w:r>
          </w:p>
        </w:tc>
      </w:tr>
      <w:tr>
        <w:trPr>
          <w:trHeight w:val="244" w:hRule="exact"/>
        </w:trPr>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-4,411.91</w:t>
            </w:r>
          </w:p>
        </w:tc>
      </w:tr>
      <w:tr>
        <w:trPr>
          <w:trHeight w:val="300" w:hRule="exact"/>
        </w:trPr>
        <w:tc>
          <w:tcPr>
            <w:tcW w:w="51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Times New Roman" w:hAnsi="Times New Roman" w:cs="Times New Roman" w:eastAsia="Times New Roman" w:hint="default"/>
                <w:sz w:val="18"/>
                <w:szCs w:val="18"/>
              </w:rPr>
            </w:pPr>
            <w:r>
              <w:rPr>
                <w:rFonts w:ascii="Times New Roman"/>
                <w:spacing w:val="-1"/>
                <w:sz w:val="18"/>
              </w:rPr>
              <w:t>11,257,489.07</w:t>
            </w:r>
          </w:p>
        </w:tc>
      </w:tr>
    </w:tbl>
    <w:p>
      <w:pPr>
        <w:pStyle w:val="BodyText"/>
        <w:spacing w:line="240" w:lineRule="auto" w:before="85"/>
        <w:ind w:left="920" w:right="745"/>
        <w:jc w:val="left"/>
      </w:pPr>
      <w:r>
        <w:rPr>
          <w:rFonts w:ascii="Times New Roman" w:hAnsi="Times New Roman" w:cs="Times New Roman" w:eastAsia="Times New Roman" w:hint="default"/>
        </w:rPr>
        <w:t>3</w:t>
      </w:r>
      <w:r>
        <w:rPr/>
        <w:t>、报告期公司主要资产构成情况</w:t>
      </w:r>
    </w:p>
    <w:p>
      <w:pPr>
        <w:pStyle w:val="BodyText"/>
        <w:spacing w:line="240" w:lineRule="auto" w:before="50"/>
        <w:ind w:left="0" w:right="857"/>
        <w:jc w:val="right"/>
      </w:pPr>
      <w:r>
        <w:rPr/>
        <w:t>单位：元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22"/>
        <w:gridCol w:w="1714"/>
        <w:gridCol w:w="1306"/>
        <w:gridCol w:w="1686"/>
        <w:gridCol w:w="1427"/>
        <w:gridCol w:w="1096"/>
      </w:tblGrid>
      <w:tr>
        <w:trPr>
          <w:trHeight w:val="319" w:hRule="exact"/>
        </w:trPr>
        <w:tc>
          <w:tcPr>
            <w:tcW w:w="1822"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b/>
                <w:bCs/>
                <w:sz w:val="21"/>
                <w:szCs w:val="21"/>
              </w:rPr>
              <w:t>资产构成</w:t>
            </w:r>
            <w:r>
              <w:rPr>
                <w:rFonts w:ascii="宋体" w:hAnsi="宋体" w:cs="宋体" w:eastAsia="宋体" w:hint="default"/>
                <w:sz w:val="21"/>
                <w:szCs w:val="21"/>
              </w:rPr>
            </w:r>
          </w:p>
        </w:tc>
        <w:tc>
          <w:tcPr>
            <w:tcW w:w="30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3113" w:type="dxa"/>
            <w:gridSpan w:val="2"/>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096" w:type="dxa"/>
            <w:vMerge w:val="restart"/>
            <w:tcBorders>
              <w:top w:val="single" w:sz="8" w:space="0" w:color="000000"/>
              <w:left w:val="single" w:sz="8" w:space="0" w:color="000000"/>
              <w:right w:val="single" w:sz="8" w:space="0" w:color="000000"/>
            </w:tcBorders>
          </w:tcPr>
          <w:p>
            <w:pPr>
              <w:pStyle w:val="TableParagraph"/>
              <w:spacing w:line="274" w:lineRule="exact" w:before="112"/>
              <w:ind w:right="1"/>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559" w:hRule="exact"/>
        </w:trPr>
        <w:tc>
          <w:tcPr>
            <w:tcW w:w="1822" w:type="dxa"/>
            <w:vMerge/>
            <w:tcBorders>
              <w:left w:val="single" w:sz="8" w:space="0" w:color="000000"/>
              <w:bottom w:val="single" w:sz="8" w:space="0" w:color="000000"/>
              <w:right w:val="single" w:sz="8" w:space="0" w:color="000000"/>
            </w:tcBorders>
          </w:tcPr>
          <w:p>
            <w:pP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30"/>
              <w:ind w:left="116" w:right="114"/>
              <w:jc w:val="left"/>
              <w:rPr>
                <w:rFonts w:ascii="宋体" w:hAnsi="宋体" w:cs="宋体" w:eastAsia="宋体" w:hint="default"/>
                <w:sz w:val="21"/>
                <w:szCs w:val="21"/>
              </w:rPr>
            </w:pPr>
            <w:r>
              <w:rPr>
                <w:rFonts w:ascii="宋体" w:hAnsi="宋体" w:cs="宋体" w:eastAsia="宋体" w:hint="default"/>
                <w:b/>
                <w:bCs/>
                <w:sz w:val="21"/>
                <w:szCs w:val="21"/>
              </w:rPr>
              <w:t>占总资产的</w:t>
            </w:r>
            <w:r>
              <w:rPr>
                <w:rFonts w:ascii="宋体" w:hAnsi="宋体" w:cs="宋体" w:eastAsia="宋体" w:hint="default"/>
                <w:b/>
                <w:bCs/>
                <w:w w:val="99"/>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30"/>
              <w:ind w:left="176" w:right="175"/>
              <w:jc w:val="left"/>
              <w:rPr>
                <w:rFonts w:ascii="宋体" w:hAnsi="宋体" w:cs="宋体" w:eastAsia="宋体" w:hint="default"/>
                <w:sz w:val="21"/>
                <w:szCs w:val="21"/>
              </w:rPr>
            </w:pPr>
            <w:r>
              <w:rPr>
                <w:rFonts w:ascii="宋体" w:hAnsi="宋体" w:cs="宋体" w:eastAsia="宋体" w:hint="default"/>
                <w:b/>
                <w:bCs/>
                <w:sz w:val="21"/>
                <w:szCs w:val="21"/>
              </w:rPr>
              <w:t>占总资产的</w:t>
            </w:r>
            <w:r>
              <w:rPr>
                <w:rFonts w:ascii="宋体" w:hAnsi="宋体" w:cs="宋体" w:eastAsia="宋体" w:hint="default"/>
                <w:b/>
                <w:bCs/>
                <w:w w:val="99"/>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tc>
        <w:tc>
          <w:tcPr>
            <w:tcW w:w="1096" w:type="dxa"/>
            <w:vMerge/>
            <w:tcBorders>
              <w:left w:val="single" w:sz="8" w:space="0" w:color="000000"/>
              <w:bottom w:val="single" w:sz="8" w:space="0" w:color="000000"/>
              <w:right w:val="single" w:sz="8" w:space="0" w:color="000000"/>
            </w:tcBorders>
          </w:tcPr>
          <w:p>
            <w:pPr/>
          </w:p>
        </w:tc>
      </w:tr>
      <w:tr>
        <w:trPr>
          <w:trHeight w:val="293"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998,997,804.01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36.01%</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1,086,045,644.56</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48.96%</w:t>
            </w:r>
            <w:r>
              <w:rPr>
                <w:rFonts w:ascii="Times New Roman"/>
                <w:sz w:val="18"/>
              </w:rPr>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-8.02%</w:t>
            </w:r>
          </w:p>
        </w:tc>
      </w:tr>
      <w:tr>
        <w:trPr>
          <w:trHeight w:val="292"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979,491,643.96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w w:val="95"/>
                <w:sz w:val="18"/>
              </w:rPr>
              <w:t>35.31%</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409,280,151.25</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18.45%</w:t>
            </w:r>
            <w:r>
              <w:rPr>
                <w:rFonts w:ascii="Times New Roman"/>
                <w:sz w:val="18"/>
              </w:rPr>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139.32%</w:t>
            </w:r>
            <w:r>
              <w:rPr>
                <w:rFonts w:ascii="Times New Roman"/>
                <w:sz w:val="18"/>
              </w:rPr>
            </w:r>
          </w:p>
        </w:tc>
      </w:tr>
      <w:tr>
        <w:trPr>
          <w:trHeight w:val="293"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20,197,216.45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z w:val="18"/>
              </w:rPr>
              <w:t>0.73%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11,735,424.22</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72.10%</w:t>
            </w:r>
          </w:p>
        </w:tc>
      </w:tr>
      <w:tr>
        <w:trPr>
          <w:trHeight w:val="293"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23,279,458.94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z w:val="18"/>
              </w:rPr>
              <w:t>0.84%</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12,467,615.84</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0.56%</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86.72%</w:t>
            </w:r>
          </w:p>
        </w:tc>
      </w:tr>
      <w:tr>
        <w:trPr>
          <w:trHeight w:val="292"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399,064,330.36</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w w:val="95"/>
                <w:sz w:val="18"/>
              </w:rPr>
              <w:t>14.39%</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421,028,899.06</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18.98%</w:t>
            </w:r>
            <w:r>
              <w:rPr>
                <w:rFonts w:ascii="Times New Roman"/>
                <w:sz w:val="18"/>
              </w:rPr>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-5.22%</w:t>
            </w:r>
          </w:p>
        </w:tc>
      </w:tr>
      <w:tr>
        <w:trPr>
          <w:trHeight w:val="293"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301,493,115.70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w w:val="95"/>
                <w:sz w:val="18"/>
              </w:rPr>
              <w:t>10.87%</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5"/>
              <w:jc w:val="right"/>
              <w:rPr>
                <w:rFonts w:ascii="Times New Roman" w:hAnsi="Times New Roman" w:cs="Times New Roman" w:eastAsia="Times New Roman" w:hint="default"/>
                <w:sz w:val="18"/>
                <w:szCs w:val="18"/>
              </w:rPr>
            </w:pPr>
            <w:r>
              <w:rPr>
                <w:rFonts w:ascii="Times New Roman"/>
                <w:spacing w:val="-1"/>
                <w:sz w:val="18"/>
              </w:rPr>
              <w:t>214,233,495.24</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9.66%</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40.73%</w:t>
            </w:r>
          </w:p>
        </w:tc>
      </w:tr>
      <w:tr>
        <w:trPr>
          <w:trHeight w:val="292"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591,453.00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38,168,109.68</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1.72%</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-98.45%</w:t>
            </w:r>
            <w:r>
              <w:rPr>
                <w:rFonts w:ascii="Times New Roman"/>
                <w:sz w:val="18"/>
              </w:rPr>
            </w:r>
          </w:p>
        </w:tc>
      </w:tr>
      <w:tr>
        <w:trPr>
          <w:trHeight w:val="293"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19,004,959.17</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pacing w:val="-1"/>
                <w:sz w:val="18"/>
              </w:rPr>
              <w:t>9,882,807.02</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sz w:val="18"/>
              </w:rPr>
              <w:t>0.45%</w:t>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z w:val="18"/>
              </w:rPr>
              <w:t>92.30%</w:t>
            </w:r>
          </w:p>
        </w:tc>
      </w:tr>
      <w:tr>
        <w:trPr>
          <w:trHeight w:val="292" w:hRule="exact"/>
        </w:trPr>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481"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2,773,932,857.92</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2,218,405,326.16</w:t>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6"/>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0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sz w:val="18"/>
              </w:rPr>
              <w:t>25.04%</w:t>
            </w:r>
          </w:p>
        </w:tc>
      </w:tr>
    </w:tbl>
    <w:p>
      <w:pPr>
        <w:spacing w:line="240" w:lineRule="auto" w:before="7"/>
        <w:rPr>
          <w:rFonts w:ascii="宋体" w:hAnsi="宋体" w:cs="宋体" w:eastAsia="宋体" w:hint="default"/>
          <w:sz w:val="5"/>
          <w:szCs w:val="5"/>
        </w:rPr>
      </w:pPr>
    </w:p>
    <w:p>
      <w:pPr>
        <w:pStyle w:val="BodyText"/>
        <w:spacing w:line="240" w:lineRule="auto" w:before="35"/>
        <w:ind w:left="920" w:right="745"/>
        <w:jc w:val="left"/>
      </w:pPr>
      <w:r>
        <w:rPr/>
        <w:t>变动原因分析：</w:t>
      </w:r>
    </w:p>
    <w:p>
      <w:pPr>
        <w:spacing w:after="0" w:line="240" w:lineRule="auto"/>
        <w:jc w:val="left"/>
        <w:sectPr>
          <w:pgSz w:w="11910" w:h="16840"/>
          <w:pgMar w:header="400" w:footer="982" w:top="1100" w:bottom="1180" w:left="1300" w:right="940"/>
        </w:sectPr>
      </w:pPr>
    </w:p>
    <w:p>
      <w:pPr>
        <w:spacing w:line="240" w:lineRule="auto" w:before="12"/>
        <w:rPr>
          <w:rFonts w:ascii="宋体" w:hAnsi="宋体" w:cs="宋体" w:eastAsia="宋体" w:hint="default"/>
          <w:sz w:val="29"/>
          <w:szCs w:val="29"/>
        </w:rPr>
      </w:pPr>
    </w:p>
    <w:p>
      <w:pPr>
        <w:pStyle w:val="BodyText"/>
        <w:spacing w:line="240" w:lineRule="auto" w:before="35"/>
        <w:ind w:left="760"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年末货币资金</w:t>
      </w:r>
      <w:r>
        <w:rPr>
          <w:spacing w:val="-59"/>
        </w:rPr>
        <w:t> </w:t>
      </w:r>
      <w:r>
        <w:rPr>
          <w:rFonts w:ascii="Times New Roman" w:hAnsi="Times New Roman" w:cs="Times New Roman" w:eastAsia="Times New Roman" w:hint="default"/>
        </w:rPr>
        <w:t>99,899.78</w:t>
      </w:r>
      <w:r>
        <w:rPr>
          <w:rFonts w:ascii="Times New Roman" w:hAnsi="Times New Roman" w:cs="Times New Roman" w:eastAsia="Times New Roman" w:hint="default"/>
          <w:spacing w:val="-6"/>
        </w:rPr>
        <w:t> </w:t>
      </w:r>
      <w:r>
        <w:rPr/>
        <w:t>万元，占资产总额的</w:t>
      </w:r>
      <w:r>
        <w:rPr>
          <w:spacing w:val="-59"/>
        </w:rPr>
        <w:t> </w:t>
      </w:r>
      <w:r>
        <w:rPr>
          <w:rFonts w:ascii="Times New Roman" w:hAnsi="Times New Roman" w:cs="Times New Roman" w:eastAsia="Times New Roman" w:hint="default"/>
        </w:rPr>
        <w:t>36.01%</w:t>
      </w:r>
      <w:r>
        <w:rPr/>
        <w:t>，比上年同期减少</w:t>
      </w:r>
      <w:r>
        <w:rPr>
          <w:spacing w:val="-59"/>
        </w:rPr>
        <w:t> </w:t>
      </w:r>
      <w:r>
        <w:rPr>
          <w:rFonts w:ascii="Times New Roman" w:hAnsi="Times New Roman" w:cs="Times New Roman" w:eastAsia="Times New Roman" w:hint="default"/>
        </w:rPr>
        <w:t>8.02</w:t>
      </w:r>
    </w:p>
    <w:p>
      <w:pPr>
        <w:pStyle w:val="BodyText"/>
        <w:spacing w:line="240" w:lineRule="auto" w:before="149"/>
        <w:ind w:left="340" w:right="0"/>
        <w:jc w:val="left"/>
        <w:rPr>
          <w:rFonts w:ascii="Times New Roman" w:hAnsi="Times New Roman" w:cs="Times New Roman" w:eastAsia="Times New Roman" w:hint="default"/>
        </w:rPr>
      </w:pPr>
      <w:r>
        <w:rPr/>
        <w:t>％，主要是本年度销售收入增加，货款回收稍有滞后引起，资产负债表日后已收到</w:t>
      </w:r>
      <w:r>
        <w:rPr>
          <w:spacing w:val="49"/>
        </w:rPr>
        <w:t> </w:t>
      </w:r>
      <w:r>
        <w:rPr>
          <w:rFonts w:ascii="Times New Roman" w:hAnsi="Times New Roman" w:cs="Times New Roman" w:eastAsia="Times New Roman" w:hint="default"/>
        </w:rPr>
        <w:t>37,000</w:t>
      </w:r>
    </w:p>
    <w:p>
      <w:pPr>
        <w:pStyle w:val="BodyText"/>
        <w:spacing w:line="240" w:lineRule="auto" w:before="148"/>
        <w:ind w:left="340" w:right="0"/>
        <w:jc w:val="left"/>
      </w:pPr>
      <w:r>
        <w:rPr/>
        <w:t>万元；</w:t>
      </w:r>
    </w:p>
    <w:p>
      <w:pPr>
        <w:pStyle w:val="BodyText"/>
        <w:spacing w:line="362" w:lineRule="auto" w:before="165"/>
        <w:ind w:left="340" w:right="347" w:firstLine="420"/>
        <w:jc w:val="left"/>
      </w:pPr>
      <w:r>
        <w:rPr>
          <w:spacing w:val="-3"/>
        </w:rPr>
        <w:t>（</w:t>
      </w:r>
      <w:r>
        <w:rPr>
          <w:rFonts w:ascii="Times New Roman" w:hAnsi="Times New Roman" w:cs="Times New Roman" w:eastAsia="Times New Roman" w:hint="default"/>
          <w:spacing w:val="-3"/>
        </w:rPr>
        <w:t>2</w:t>
      </w:r>
      <w:r>
        <w:rPr>
          <w:spacing w:val="-3"/>
        </w:rPr>
        <w:t>）应收账款占总资产的</w:t>
      </w:r>
      <w:r>
        <w:rPr>
          <w:spacing w:val="-65"/>
        </w:rPr>
        <w:t> </w:t>
      </w:r>
      <w:r>
        <w:rPr>
          <w:rFonts w:ascii="Times New Roman" w:hAnsi="Times New Roman" w:cs="Times New Roman" w:eastAsia="Times New Roman" w:hint="default"/>
          <w:spacing w:val="-3"/>
        </w:rPr>
        <w:t>35.31</w:t>
      </w:r>
      <w:r>
        <w:rPr>
          <w:spacing w:val="-3"/>
        </w:rPr>
        <w:t>％，比上年同期增长</w:t>
      </w:r>
      <w:r>
        <w:rPr>
          <w:spacing w:val="-65"/>
        </w:rPr>
        <w:t> </w:t>
      </w:r>
      <w:r>
        <w:rPr>
          <w:rFonts w:ascii="Times New Roman" w:hAnsi="Times New Roman" w:cs="Times New Roman" w:eastAsia="Times New Roman" w:hint="default"/>
        </w:rPr>
        <w:t>139.32</w:t>
      </w:r>
      <w:r>
        <w:rPr/>
        <w:t>％，主要是因为销售额的增 加及大客户回款推迟；</w:t>
      </w:r>
    </w:p>
    <w:p>
      <w:pPr>
        <w:pStyle w:val="BodyText"/>
        <w:spacing w:line="240" w:lineRule="auto" w:before="57"/>
        <w:ind w:left="760" w:right="0"/>
        <w:jc w:val="left"/>
      </w:pPr>
      <w:r>
        <w:rPr/>
        <w:t>（</w:t>
      </w:r>
      <w:r>
        <w:rPr>
          <w:rFonts w:ascii="Times New Roman" w:hAnsi="Times New Roman" w:cs="Times New Roman" w:eastAsia="Times New Roman" w:hint="default"/>
        </w:rPr>
        <w:t>3</w:t>
      </w:r>
      <w:r>
        <w:rPr/>
        <w:t>）其他应收款比去年同期增加</w:t>
      </w:r>
      <w:r>
        <w:rPr>
          <w:spacing w:val="-59"/>
        </w:rPr>
        <w:t> </w:t>
      </w:r>
      <w:r>
        <w:rPr>
          <w:rFonts w:ascii="Times New Roman" w:hAnsi="Times New Roman" w:cs="Times New Roman" w:eastAsia="Times New Roman" w:hint="default"/>
        </w:rPr>
        <w:t>72.10%</w:t>
      </w:r>
      <w:r>
        <w:rPr/>
        <w:t>，主要是核心技术研发中测试用钞增加所致；</w:t>
      </w:r>
    </w:p>
    <w:p>
      <w:pPr>
        <w:pStyle w:val="BodyText"/>
        <w:spacing w:line="240" w:lineRule="auto" w:before="149"/>
        <w:ind w:left="760" w:right="0"/>
        <w:jc w:val="left"/>
      </w:pPr>
      <w:r>
        <w:rPr/>
        <w:t>（</w:t>
      </w:r>
      <w:r>
        <w:rPr>
          <w:rFonts w:ascii="Times New Roman" w:hAnsi="Times New Roman" w:cs="Times New Roman" w:eastAsia="Times New Roman" w:hint="default"/>
        </w:rPr>
        <w:t>4</w:t>
      </w:r>
      <w:r>
        <w:rPr/>
        <w:t>）预付款项比上年同期增长</w:t>
      </w:r>
      <w:r>
        <w:rPr>
          <w:spacing w:val="-58"/>
        </w:rPr>
        <w:t> </w:t>
      </w:r>
      <w:r>
        <w:rPr>
          <w:rFonts w:ascii="Times New Roman" w:hAnsi="Times New Roman" w:cs="Times New Roman" w:eastAsia="Times New Roman" w:hint="default"/>
        </w:rPr>
        <w:t>86.72</w:t>
      </w:r>
      <w:r>
        <w:rPr/>
        <w:t>％，主要是预付材料采购款的增加；</w:t>
      </w:r>
    </w:p>
    <w:p>
      <w:pPr>
        <w:pStyle w:val="BodyText"/>
        <w:spacing w:line="362" w:lineRule="auto" w:before="149"/>
        <w:ind w:left="340" w:right="344" w:firstLine="419"/>
        <w:jc w:val="left"/>
      </w:pPr>
      <w:r>
        <w:rPr/>
        <w:t>（</w:t>
      </w:r>
      <w:r>
        <w:rPr>
          <w:rFonts w:ascii="Times New Roman" w:hAnsi="Times New Roman" w:cs="Times New Roman" w:eastAsia="Times New Roman" w:hint="default"/>
        </w:rPr>
        <w:t>5</w:t>
      </w:r>
      <w:r>
        <w:rPr/>
        <w:t>）存货比上年同期减少</w:t>
      </w:r>
      <w:r>
        <w:rPr>
          <w:spacing w:val="-12"/>
        </w:rPr>
        <w:t> </w:t>
      </w:r>
      <w:r>
        <w:rPr>
          <w:rFonts w:ascii="Times New Roman" w:hAnsi="Times New Roman" w:cs="Times New Roman" w:eastAsia="Times New Roman" w:hint="default"/>
        </w:rPr>
        <w:t>5.22%</w:t>
      </w:r>
      <w:r>
        <w:rPr/>
        <w:t>，主要原因是公司加强库存商品管理，加快存货周转 速度；</w:t>
      </w:r>
    </w:p>
    <w:p>
      <w:pPr>
        <w:pStyle w:val="BodyText"/>
        <w:spacing w:line="362" w:lineRule="auto" w:before="58"/>
        <w:ind w:left="340" w:right="350" w:firstLine="420"/>
        <w:jc w:val="left"/>
      </w:pPr>
      <w:r>
        <w:rPr>
          <w:spacing w:val="-2"/>
        </w:rPr>
        <w:t>（</w:t>
      </w:r>
      <w:r>
        <w:rPr>
          <w:rFonts w:ascii="Times New Roman" w:hAnsi="Times New Roman" w:cs="Times New Roman" w:eastAsia="Times New Roman" w:hint="default"/>
          <w:spacing w:val="-2"/>
        </w:rPr>
        <w:t>6</w:t>
      </w:r>
      <w:r>
        <w:rPr>
          <w:spacing w:val="-2"/>
        </w:rPr>
        <w:t>）固定资产同比增长</w:t>
      </w:r>
      <w:r>
        <w:rPr>
          <w:spacing w:val="-42"/>
        </w:rPr>
        <w:t> </w:t>
      </w:r>
      <w:r>
        <w:rPr>
          <w:rFonts w:ascii="Times New Roman" w:hAnsi="Times New Roman" w:cs="Times New Roman" w:eastAsia="Times New Roman" w:hint="default"/>
          <w:spacing w:val="-2"/>
        </w:rPr>
        <w:t>40.73%</w:t>
      </w:r>
      <w:r>
        <w:rPr>
          <w:spacing w:val="-2"/>
        </w:rPr>
        <w:t>，主要是科学城产业园二期建成并投产，由在建工程转</w:t>
      </w:r>
      <w:r>
        <w:rPr/>
        <w:t> 入固定资产</w:t>
      </w:r>
      <w:r>
        <w:rPr>
          <w:spacing w:val="-56"/>
        </w:rPr>
        <w:t> </w:t>
      </w:r>
      <w:r>
        <w:rPr>
          <w:rFonts w:ascii="Times New Roman" w:hAnsi="Times New Roman" w:cs="Times New Roman" w:eastAsia="Times New Roman" w:hint="default"/>
        </w:rPr>
        <w:t>8,491</w:t>
      </w:r>
      <w:r>
        <w:rPr>
          <w:rFonts w:ascii="Times New Roman" w:hAnsi="Times New Roman" w:cs="Times New Roman" w:eastAsia="Times New Roman" w:hint="default"/>
          <w:spacing w:val="-3"/>
        </w:rPr>
        <w:t> </w:t>
      </w:r>
      <w:r>
        <w:rPr/>
        <w:t>万元，另外核心技术产业化专用设备有所增加；</w:t>
      </w:r>
    </w:p>
    <w:p>
      <w:pPr>
        <w:pStyle w:val="BodyText"/>
        <w:spacing w:line="362" w:lineRule="auto" w:before="30"/>
        <w:ind w:left="340" w:right="351" w:firstLine="420"/>
        <w:jc w:val="left"/>
      </w:pPr>
      <w:r>
        <w:rPr/>
        <w:t>（</w:t>
      </w:r>
      <w:r>
        <w:rPr>
          <w:rFonts w:ascii="Times New Roman" w:hAnsi="Times New Roman" w:cs="Times New Roman" w:eastAsia="Times New Roman" w:hint="default"/>
        </w:rPr>
        <w:t>7</w:t>
      </w:r>
      <w:r>
        <w:rPr/>
        <w:t>）在建工程比去年同期减少</w:t>
      </w:r>
      <w:r>
        <w:rPr>
          <w:spacing w:val="16"/>
        </w:rPr>
        <w:t> </w:t>
      </w:r>
      <w:r>
        <w:rPr>
          <w:rFonts w:ascii="Times New Roman" w:hAnsi="Times New Roman" w:cs="Times New Roman" w:eastAsia="Times New Roman" w:hint="default"/>
        </w:rPr>
        <w:t>98.45%</w:t>
      </w:r>
      <w:r>
        <w:rPr/>
        <w:t>，主要是募集资金投资项目</w:t>
      </w:r>
      <w:r>
        <w:rPr>
          <w:rFonts w:ascii="Times New Roman" w:hAnsi="Times New Roman" w:cs="Times New Roman" w:eastAsia="Times New Roman" w:hint="default"/>
        </w:rPr>
        <w:t>-</w:t>
      </w:r>
      <w:r>
        <w:rPr/>
        <w:t>科学城产业园二期</w:t>
      </w:r>
      <w:r>
        <w:rPr>
          <w:spacing w:val="1"/>
        </w:rPr>
        <w:t> </w:t>
      </w:r>
      <w:r>
        <w:rPr/>
        <w:t>完工；</w:t>
      </w:r>
    </w:p>
    <w:p>
      <w:pPr>
        <w:pStyle w:val="BodyText"/>
        <w:spacing w:line="362" w:lineRule="auto" w:before="58"/>
        <w:ind w:left="340" w:right="347" w:firstLine="419"/>
        <w:jc w:val="left"/>
      </w:pPr>
      <w:r>
        <w:rPr>
          <w:spacing w:val="-2"/>
        </w:rPr>
        <w:t>（</w:t>
      </w:r>
      <w:r>
        <w:rPr>
          <w:rFonts w:ascii="Times New Roman" w:hAnsi="Times New Roman" w:cs="Times New Roman" w:eastAsia="Times New Roman" w:hint="default"/>
          <w:spacing w:val="-2"/>
        </w:rPr>
        <w:t>8</w:t>
      </w:r>
      <w:r>
        <w:rPr>
          <w:spacing w:val="-2"/>
        </w:rPr>
        <w:t>）递延所得税资产比去年同期增加</w:t>
      </w:r>
      <w:r>
        <w:rPr>
          <w:spacing w:val="-38"/>
        </w:rPr>
        <w:t> </w:t>
      </w:r>
      <w:r>
        <w:rPr>
          <w:rFonts w:ascii="Times New Roman" w:hAnsi="Times New Roman" w:cs="Times New Roman" w:eastAsia="Times New Roman" w:hint="default"/>
          <w:spacing w:val="-2"/>
        </w:rPr>
        <w:t>92.30%</w:t>
      </w:r>
      <w:r>
        <w:rPr>
          <w:spacing w:val="-2"/>
        </w:rPr>
        <w:t>，主要是预提费用及职工薪酬增加引起的</w:t>
      </w:r>
      <w:r>
        <w:rPr/>
        <w:t> 可抵扣暂时性差异增加。</w:t>
      </w:r>
    </w:p>
    <w:p>
      <w:pPr>
        <w:pStyle w:val="BodyText"/>
        <w:spacing w:line="240" w:lineRule="auto" w:before="58"/>
        <w:ind w:left="923" w:right="0"/>
        <w:jc w:val="left"/>
      </w:pPr>
      <w:r>
        <w:rPr>
          <w:rFonts w:ascii="Times New Roman" w:hAnsi="Times New Roman" w:cs="Times New Roman" w:eastAsia="Times New Roman" w:hint="default"/>
        </w:rPr>
        <w:t>4</w:t>
      </w:r>
      <w:r>
        <w:rPr/>
        <w:t>、主要费用情况</w:t>
      </w:r>
    </w:p>
    <w:p>
      <w:pPr>
        <w:pStyle w:val="BodyText"/>
        <w:spacing w:line="240" w:lineRule="auto" w:before="8"/>
        <w:ind w:left="0" w:right="357"/>
        <w:jc w:val="right"/>
      </w:pPr>
      <w:r>
        <w:rPr/>
        <w:t>单位：元</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45"/>
        <w:gridCol w:w="1555"/>
        <w:gridCol w:w="1351"/>
        <w:gridCol w:w="1414"/>
        <w:gridCol w:w="1440"/>
        <w:gridCol w:w="1260"/>
      </w:tblGrid>
      <w:tr>
        <w:trPr>
          <w:trHeight w:val="282" w:hRule="exact"/>
        </w:trPr>
        <w:tc>
          <w:tcPr>
            <w:tcW w:w="174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tabs>
                <w:tab w:pos="971" w:val="left" w:leader="none"/>
              </w:tabs>
              <w:spacing w:line="240" w:lineRule="auto"/>
              <w:ind w:left="549"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290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8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60" w:type="dxa"/>
            <w:vMerge w:val="restart"/>
            <w:tcBorders>
              <w:top w:val="single" w:sz="4" w:space="0" w:color="000000"/>
              <w:left w:val="single" w:sz="4" w:space="0" w:color="000000"/>
              <w:right w:val="single" w:sz="4" w:space="0" w:color="000000"/>
            </w:tcBorders>
            <w:shd w:val="clear" w:color="auto" w:fill="E0E0E0"/>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554" w:hRule="exact"/>
        </w:trPr>
        <w:tc>
          <w:tcPr>
            <w:tcW w:w="1745" w:type="dxa"/>
            <w:vMerge/>
            <w:tcBorders>
              <w:left w:val="single" w:sz="4" w:space="0" w:color="000000"/>
              <w:bottom w:val="single" w:sz="4" w:space="0" w:color="000000"/>
              <w:right w:val="single" w:sz="4" w:space="0" w:color="000000"/>
            </w:tcBorders>
            <w:shd w:val="clear" w:color="auto" w:fill="D9D9D9"/>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sz w:val="21"/>
                <w:szCs w:val="21"/>
              </w:rPr>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sz w:val="21"/>
                <w:szCs w:val="21"/>
              </w:rPr>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260" w:type="dxa"/>
            <w:vMerge/>
            <w:tcBorders>
              <w:left w:val="single" w:sz="4" w:space="0" w:color="000000"/>
              <w:bottom w:val="single" w:sz="4" w:space="0" w:color="000000"/>
              <w:right w:val="single" w:sz="4" w:space="0" w:color="000000"/>
            </w:tcBorders>
            <w:shd w:val="clear" w:color="auto" w:fill="E0E0E0"/>
          </w:tcPr>
          <w:p>
            <w:pPr/>
          </w:p>
        </w:tc>
      </w:tr>
      <w:tr>
        <w:trPr>
          <w:trHeight w:val="31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874,983,893.11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50.75%</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853,051,747.18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57.30%</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2.57%</w:t>
            </w:r>
            <w:r>
              <w:rPr>
                <w:rFonts w:ascii="Times New Roman"/>
                <w:sz w:val="18"/>
              </w:rPr>
            </w:r>
          </w:p>
        </w:tc>
      </w:tr>
      <w:tr>
        <w:trPr>
          <w:trHeight w:val="31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23,318,202.50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1.35%</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16,004,398.04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45.70%</w:t>
            </w:r>
          </w:p>
        </w:tc>
      </w:tr>
      <w:tr>
        <w:trPr>
          <w:trHeight w:val="31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212,427,778.48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12.32%</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163,831,289.01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2"/>
                <w:sz w:val="18"/>
              </w:rPr>
              <w:t>11.00%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29.66%</w:t>
            </w:r>
          </w:p>
        </w:tc>
      </w:tr>
      <w:tr>
        <w:trPr>
          <w:trHeight w:val="31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154,191,940.23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8.94%</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121,499,332.85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8.16%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26.91%</w:t>
            </w:r>
          </w:p>
        </w:tc>
      </w:tr>
      <w:tr>
        <w:trPr>
          <w:trHeight w:val="31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-2,001,712.70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-8,697,707.70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76.99%</w:t>
            </w:r>
          </w:p>
        </w:tc>
      </w:tr>
      <w:tr>
        <w:trPr>
          <w:trHeight w:val="31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7,465,248.48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0.43%</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4,608,540.15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61.99%</w:t>
            </w:r>
          </w:p>
        </w:tc>
      </w:tr>
      <w:tr>
        <w:trPr>
          <w:trHeight w:val="310"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72,866,089.01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85,346,393.10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-14.62%</w:t>
            </w:r>
            <w:r>
              <w:rPr>
                <w:rFonts w:ascii="Times New Roman"/>
                <w:sz w:val="18"/>
              </w:rPr>
            </w:r>
          </w:p>
        </w:tc>
      </w:tr>
      <w:tr>
        <w:trPr>
          <w:trHeight w:val="31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49,855,769.35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2.89%</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35,723,215.33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39.56%</w:t>
            </w:r>
          </w:p>
        </w:tc>
      </w:tr>
    </w:tbl>
    <w:p>
      <w:pPr>
        <w:pStyle w:val="BodyText"/>
        <w:spacing w:line="240" w:lineRule="auto" w:before="84"/>
        <w:ind w:left="760" w:right="0"/>
        <w:jc w:val="left"/>
      </w:pPr>
      <w:r>
        <w:rPr/>
        <w:t>变动原因分析：</w:t>
      </w:r>
    </w:p>
    <w:p>
      <w:pPr>
        <w:spacing w:line="240" w:lineRule="auto" w:before="3"/>
        <w:rPr>
          <w:rFonts w:ascii="宋体" w:hAnsi="宋体" w:cs="宋体" w:eastAsia="宋体" w:hint="default"/>
          <w:sz w:val="14"/>
          <w:szCs w:val="14"/>
        </w:rPr>
      </w:pPr>
    </w:p>
    <w:p>
      <w:pPr>
        <w:pStyle w:val="BodyText"/>
        <w:spacing w:line="280" w:lineRule="auto"/>
        <w:ind w:left="339" w:right="0" w:firstLine="420"/>
        <w:jc w:val="left"/>
      </w:pPr>
      <w:r>
        <w:rPr>
          <w:spacing w:val="-12"/>
        </w:rPr>
        <w:t>（</w:t>
      </w:r>
      <w:r>
        <w:rPr>
          <w:rFonts w:ascii="Times New Roman" w:hAnsi="Times New Roman" w:cs="Times New Roman" w:eastAsia="Times New Roman" w:hint="default"/>
          <w:spacing w:val="-12"/>
        </w:rPr>
        <w:t>1</w:t>
      </w:r>
      <w:r>
        <w:rPr>
          <w:spacing w:val="-12"/>
        </w:rPr>
        <w:t>）报告期内，公司营业成本为</w:t>
      </w:r>
      <w:r>
        <w:rPr>
          <w:spacing w:val="-50"/>
        </w:rPr>
        <w:t> </w:t>
      </w:r>
      <w:r>
        <w:rPr>
          <w:rFonts w:ascii="Times New Roman" w:hAnsi="Times New Roman" w:cs="Times New Roman" w:eastAsia="Times New Roman" w:hint="default"/>
          <w:spacing w:val="-1"/>
        </w:rPr>
        <w:t>87,498.39</w:t>
      </w:r>
      <w:r>
        <w:rPr>
          <w:rFonts w:ascii="Times New Roman" w:hAnsi="Times New Roman" w:cs="Times New Roman" w:eastAsia="Times New Roman" w:hint="default"/>
          <w:spacing w:val="4"/>
        </w:rPr>
        <w:t> </w:t>
      </w:r>
      <w:r>
        <w:rPr>
          <w:spacing w:val="-12"/>
        </w:rPr>
        <w:t>万元，比去年同期</w:t>
      </w:r>
      <w:r>
        <w:rPr>
          <w:spacing w:val="-50"/>
        </w:rPr>
        <w:t> </w:t>
      </w:r>
      <w:r>
        <w:rPr>
          <w:rFonts w:ascii="Times New Roman" w:hAnsi="Times New Roman" w:cs="Times New Roman" w:eastAsia="Times New Roman" w:hint="default"/>
          <w:spacing w:val="-1"/>
        </w:rPr>
        <w:t>85,305.17</w:t>
      </w:r>
      <w:r>
        <w:rPr>
          <w:rFonts w:ascii="Times New Roman" w:hAnsi="Times New Roman" w:cs="Times New Roman" w:eastAsia="Times New Roman" w:hint="default"/>
          <w:spacing w:val="3"/>
        </w:rPr>
        <w:t> </w:t>
      </w:r>
      <w:r>
        <w:rPr>
          <w:spacing w:val="-1"/>
        </w:rPr>
        <w:t>万元增长</w:t>
      </w:r>
      <w:r>
        <w:rPr>
          <w:spacing w:val="-50"/>
        </w:rPr>
        <w:t> </w:t>
      </w:r>
      <w:r>
        <w:rPr>
          <w:rFonts w:ascii="Times New Roman" w:hAnsi="Times New Roman" w:cs="Times New Roman" w:eastAsia="Times New Roman" w:hint="default"/>
          <w:spacing w:val="-1"/>
        </w:rPr>
        <w:t>2.57%</w:t>
      </w:r>
      <w:r>
        <w:rPr>
          <w:spacing w:val="-1"/>
        </w:rPr>
        <w:t>，</w:t>
      </w:r>
      <w:r>
        <w:rPr/>
        <w:t> 营业成本增长幅度低于营业收入增长幅度；</w:t>
      </w:r>
    </w:p>
    <w:p>
      <w:pPr>
        <w:spacing w:line="240" w:lineRule="auto" w:before="3"/>
        <w:rPr>
          <w:rFonts w:ascii="宋体" w:hAnsi="宋体" w:cs="宋体" w:eastAsia="宋体" w:hint="default"/>
          <w:sz w:val="22"/>
          <w:szCs w:val="22"/>
        </w:rPr>
      </w:pPr>
    </w:p>
    <w:p>
      <w:pPr>
        <w:pStyle w:val="BodyText"/>
        <w:spacing w:line="240" w:lineRule="auto"/>
        <w:ind w:left="75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年，公司营业成本占营业收入</w:t>
      </w:r>
      <w:r>
        <w:rPr>
          <w:spacing w:val="-39"/>
        </w:rPr>
        <w:t> </w:t>
      </w:r>
      <w:r>
        <w:rPr>
          <w:rFonts w:ascii="Times New Roman" w:hAnsi="Times New Roman" w:cs="Times New Roman" w:eastAsia="Times New Roman" w:hint="default"/>
        </w:rPr>
        <w:t>50.75%</w:t>
      </w:r>
      <w:r>
        <w:rPr/>
        <w:t>，比上年同期</w:t>
      </w:r>
      <w:r>
        <w:rPr>
          <w:spacing w:val="-39"/>
        </w:rPr>
        <w:t> </w:t>
      </w:r>
      <w:r>
        <w:rPr>
          <w:rFonts w:ascii="Times New Roman" w:hAnsi="Times New Roman" w:cs="Times New Roman" w:eastAsia="Times New Roman" w:hint="default"/>
        </w:rPr>
        <w:t>57.30%</w:t>
      </w:r>
      <w:r>
        <w:rPr/>
        <w:t>下降</w:t>
      </w:r>
      <w:r>
        <w:rPr>
          <w:spacing w:val="-39"/>
        </w:rPr>
        <w:t> </w:t>
      </w:r>
      <w:r>
        <w:rPr>
          <w:rFonts w:ascii="Times New Roman" w:hAnsi="Times New Roman" w:cs="Times New Roman" w:eastAsia="Times New Roman" w:hint="default"/>
        </w:rPr>
        <w:t>6.55</w:t>
      </w:r>
      <w:r>
        <w:rPr>
          <w:rFonts w:ascii="Times New Roman" w:hAnsi="Times New Roman" w:cs="Times New Roman" w:eastAsia="Times New Roman" w:hint="default"/>
          <w:spacing w:val="13"/>
        </w:rPr>
        <w:t> </w:t>
      </w:r>
      <w:r>
        <w:rPr/>
        <w:t>个百分点，</w:t>
      </w:r>
    </w:p>
    <w:p>
      <w:pPr>
        <w:pStyle w:val="BodyText"/>
        <w:spacing w:line="240" w:lineRule="auto" w:before="149"/>
        <w:ind w:left="339" w:right="0"/>
        <w:jc w:val="left"/>
      </w:pPr>
      <w:r>
        <w:rPr/>
        <w:t>即综合毛利率上升</w:t>
      </w:r>
      <w:r>
        <w:rPr>
          <w:spacing w:val="-54"/>
        </w:rPr>
        <w:t> </w:t>
      </w:r>
      <w:r>
        <w:rPr>
          <w:rFonts w:ascii="Times New Roman" w:hAnsi="Times New Roman" w:cs="Times New Roman" w:eastAsia="Times New Roman" w:hint="default"/>
        </w:rPr>
        <w:t>6.55</w:t>
      </w:r>
      <w:r>
        <w:rPr>
          <w:rFonts w:ascii="Times New Roman" w:hAnsi="Times New Roman" w:cs="Times New Roman" w:eastAsia="Times New Roman" w:hint="default"/>
          <w:spacing w:val="-2"/>
        </w:rPr>
        <w:t> </w:t>
      </w:r>
      <w:r>
        <w:rPr/>
        <w:t>个百分点；</w:t>
      </w:r>
    </w:p>
    <w:p>
      <w:pPr>
        <w:pStyle w:val="BodyText"/>
        <w:spacing w:line="362" w:lineRule="auto" w:before="149"/>
        <w:ind w:left="339" w:right="346" w:firstLine="420"/>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设备销售毛利率上升</w:t>
      </w:r>
      <w:r>
        <w:rPr>
          <w:spacing w:val="-59"/>
        </w:rPr>
        <w:t> </w:t>
      </w:r>
      <w:r>
        <w:rPr>
          <w:rFonts w:ascii="Times New Roman" w:hAnsi="Times New Roman" w:cs="Times New Roman" w:eastAsia="Times New Roman" w:hint="default"/>
        </w:rPr>
        <w:t>7.68</w:t>
      </w:r>
      <w:r>
        <w:rPr>
          <w:rFonts w:ascii="Times New Roman" w:hAnsi="Times New Roman" w:cs="Times New Roman" w:eastAsia="Times New Roman" w:hint="default"/>
          <w:spacing w:val="-6"/>
        </w:rPr>
        <w:t> </w:t>
      </w:r>
      <w:r>
        <w:rPr/>
        <w:t>个百分点，主要是生产销售的增长及核心技术的推广使 用使得产品销售成本较去年同期有所下降；</w:t>
      </w:r>
    </w:p>
    <w:p>
      <w:pPr>
        <w:spacing w:after="0" w:line="362" w:lineRule="auto"/>
        <w:jc w:val="left"/>
        <w:sectPr>
          <w:pgSz w:w="11910" w:h="16840"/>
          <w:pgMar w:header="400" w:footer="982" w:top="1100" w:bottom="1180" w:left="1460" w:right="1440"/>
        </w:sectPr>
      </w:pPr>
    </w:p>
    <w:p>
      <w:pPr>
        <w:spacing w:line="240" w:lineRule="auto" w:before="12"/>
        <w:rPr>
          <w:rFonts w:ascii="宋体" w:hAnsi="宋体" w:cs="宋体" w:eastAsia="宋体" w:hint="default"/>
          <w:sz w:val="29"/>
          <w:szCs w:val="29"/>
        </w:rPr>
      </w:pPr>
    </w:p>
    <w:p>
      <w:pPr>
        <w:pStyle w:val="BodyText"/>
        <w:spacing w:line="240" w:lineRule="auto" w:before="35"/>
        <w:ind w:left="560" w:right="122"/>
        <w:jc w:val="left"/>
      </w:pPr>
      <w:r>
        <w:rPr/>
        <w:t>主要配件价格有所下降导致产品配件销售毛利率同比下降了</w:t>
      </w:r>
      <w:r>
        <w:rPr>
          <w:spacing w:val="-55"/>
        </w:rPr>
        <w:t> </w:t>
      </w:r>
      <w:r>
        <w:rPr>
          <w:rFonts w:ascii="Times New Roman" w:hAnsi="Times New Roman" w:cs="Times New Roman" w:eastAsia="Times New Roman" w:hint="default"/>
        </w:rPr>
        <w:t>5.97</w:t>
      </w:r>
      <w:r>
        <w:rPr>
          <w:rFonts w:ascii="Times New Roman" w:hAnsi="Times New Roman" w:cs="Times New Roman" w:eastAsia="Times New Roman" w:hint="default"/>
          <w:spacing w:val="-2"/>
        </w:rPr>
        <w:t> </w:t>
      </w:r>
      <w:r>
        <w:rPr/>
        <w:t>个百分点；</w:t>
      </w:r>
    </w:p>
    <w:p>
      <w:pPr>
        <w:pStyle w:val="BodyText"/>
        <w:spacing w:line="362" w:lineRule="auto" w:before="149"/>
        <w:ind w:left="560" w:right="122"/>
        <w:jc w:val="left"/>
      </w:pP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维护规模效益日益显现，设备维护及服务毛利率同比上升</w:t>
      </w:r>
      <w:r>
        <w:rPr>
          <w:spacing w:val="-54"/>
        </w:rPr>
        <w:t> </w:t>
      </w:r>
      <w:r>
        <w:rPr>
          <w:rFonts w:ascii="Times New Roman" w:hAnsi="Times New Roman" w:cs="Times New Roman" w:eastAsia="Times New Roman" w:hint="default"/>
        </w:rPr>
        <w:t>3.04</w:t>
      </w:r>
      <w:r>
        <w:rPr>
          <w:rFonts w:ascii="Times New Roman" w:hAnsi="Times New Roman" w:cs="Times New Roman" w:eastAsia="Times New Roman" w:hint="default"/>
          <w:spacing w:val="-1"/>
        </w:rPr>
        <w:t> </w:t>
      </w:r>
      <w:r>
        <w:rPr/>
        <w:t>个百分点； 部分营运项目应客户要求实行了整合出售，使得运营毛利率同比下降</w:t>
      </w:r>
      <w:r>
        <w:rPr>
          <w:spacing w:val="-56"/>
        </w:rPr>
        <w:t> </w:t>
      </w:r>
      <w:r>
        <w:rPr>
          <w:rFonts w:ascii="Times New Roman" w:hAnsi="Times New Roman" w:cs="Times New Roman" w:eastAsia="Times New Roman" w:hint="default"/>
        </w:rPr>
        <w:t>21.57</w:t>
      </w:r>
      <w:r>
        <w:rPr>
          <w:rFonts w:ascii="Times New Roman" w:hAnsi="Times New Roman" w:cs="Times New Roman" w:eastAsia="Times New Roman" w:hint="default"/>
          <w:spacing w:val="-2"/>
        </w:rPr>
        <w:t> </w:t>
      </w:r>
      <w:r>
        <w:rPr/>
        <w:t>个百分点。</w:t>
      </w:r>
    </w:p>
    <w:p>
      <w:pPr>
        <w:pStyle w:val="BodyText"/>
        <w:spacing w:line="374" w:lineRule="auto" w:before="31"/>
        <w:ind w:right="177"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2010 </w:t>
      </w:r>
      <w:r>
        <w:rPr/>
        <w:t>年，销售费用和管理费用同比分别增长</w:t>
      </w:r>
      <w:r>
        <w:rPr>
          <w:spacing w:val="-33"/>
        </w:rPr>
        <w:t> </w:t>
      </w:r>
      <w:r>
        <w:rPr>
          <w:rFonts w:ascii="Times New Roman" w:hAnsi="Times New Roman" w:cs="Times New Roman" w:eastAsia="Times New Roman" w:hint="default"/>
        </w:rPr>
        <w:t>29.66%</w:t>
      </w:r>
      <w:r>
        <w:rPr/>
        <w:t>、</w:t>
      </w:r>
      <w:r>
        <w:rPr>
          <w:rFonts w:ascii="Times New Roman" w:hAnsi="Times New Roman" w:cs="Times New Roman" w:eastAsia="Times New Roman" w:hint="default"/>
        </w:rPr>
        <w:t>26.91%</w:t>
      </w:r>
      <w:r>
        <w:rPr/>
        <w:t>，上述两项费用合 计增长</w:t>
      </w:r>
      <w:r>
        <w:rPr>
          <w:spacing w:val="-9"/>
        </w:rPr>
        <w:t> </w:t>
      </w:r>
      <w:r>
        <w:rPr>
          <w:rFonts w:ascii="Times New Roman" w:hAnsi="Times New Roman" w:cs="Times New Roman" w:eastAsia="Times New Roman" w:hint="default"/>
        </w:rPr>
        <w:t>28.49%</w:t>
      </w:r>
      <w:r>
        <w:rPr/>
        <w:t>，主要是由于销售额大幅增加，使得直接与销售量和销售额相关的工资、运 </w:t>
      </w:r>
      <w:r>
        <w:rPr>
          <w:spacing w:val="-3"/>
        </w:rPr>
        <w:t>输费、服务费、差旅费等销售费用随之增加；管理费用中，随公司规模扩大及核心技术研发</w:t>
      </w:r>
      <w:r>
        <w:rPr>
          <w:spacing w:val="-80"/>
        </w:rPr>
        <w:t> </w:t>
      </w:r>
      <w:r>
        <w:rPr>
          <w:spacing w:val="-80"/>
        </w:rPr>
      </w:r>
      <w:r>
        <w:rPr>
          <w:spacing w:val="-3"/>
        </w:rPr>
        <w:t>投入的加大，工资性费用、研究开发费均有较大的增长。管理及销售费用占营业收入比重为</w:t>
      </w:r>
      <w:r>
        <w:rPr>
          <w:spacing w:val="-81"/>
        </w:rPr>
        <w:t> </w:t>
      </w:r>
      <w:r>
        <w:rPr>
          <w:spacing w:val="-81"/>
        </w:rPr>
      </w:r>
      <w:r>
        <w:rPr>
          <w:rFonts w:ascii="Times New Roman" w:hAnsi="Times New Roman" w:cs="Times New Roman" w:eastAsia="Times New Roman" w:hint="default"/>
        </w:rPr>
        <w:t>21.26%</w:t>
      </w:r>
      <w:r>
        <w:rPr/>
        <w:t>，比上年同期上升</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个百分点；</w:t>
      </w:r>
    </w:p>
    <w:p>
      <w:pPr>
        <w:pStyle w:val="BodyText"/>
        <w:spacing w:line="374" w:lineRule="auto" w:before="18"/>
        <w:ind w:left="139" w:right="176" w:firstLine="420"/>
        <w:jc w:val="both"/>
      </w:pPr>
      <w:r>
        <w:rPr/>
        <w:t>（</w:t>
      </w:r>
      <w:r>
        <w:rPr>
          <w:rFonts w:ascii="Times New Roman" w:hAnsi="Times New Roman" w:cs="Times New Roman" w:eastAsia="Times New Roman" w:hint="default"/>
        </w:rPr>
        <w:t>3</w:t>
      </w:r>
      <w:r>
        <w:rPr/>
        <w:t>）公司财务费用为</w:t>
      </w:r>
      <w:r>
        <w:rPr>
          <w:rFonts w:ascii="Times New Roman" w:hAnsi="Times New Roman" w:cs="Times New Roman" w:eastAsia="Times New Roman" w:hint="default"/>
        </w:rPr>
        <w:t>-200.17</w:t>
      </w:r>
      <w:r>
        <w:rPr>
          <w:rFonts w:ascii="Times New Roman" w:hAnsi="Times New Roman" w:cs="Times New Roman" w:eastAsia="Times New Roman" w:hint="default"/>
          <w:spacing w:val="-8"/>
        </w:rPr>
        <w:t> </w:t>
      </w:r>
      <w:r>
        <w:rPr/>
        <w:t>万元，比上年同期</w:t>
      </w:r>
      <w:r>
        <w:rPr>
          <w:rFonts w:ascii="Times New Roman" w:hAnsi="Times New Roman" w:cs="Times New Roman" w:eastAsia="Times New Roman" w:hint="default"/>
        </w:rPr>
        <w:t>-869.77</w:t>
      </w:r>
      <w:r>
        <w:rPr>
          <w:rFonts w:ascii="Times New Roman" w:hAnsi="Times New Roman" w:cs="Times New Roman" w:eastAsia="Times New Roman" w:hint="default"/>
          <w:spacing w:val="-8"/>
        </w:rPr>
        <w:t> </w:t>
      </w:r>
      <w:r>
        <w:rPr/>
        <w:t>万元上升</w:t>
      </w:r>
      <w:r>
        <w:rPr>
          <w:spacing w:val="-62"/>
        </w:rPr>
        <w:t> </w:t>
      </w:r>
      <w:r>
        <w:rPr>
          <w:rFonts w:ascii="Times New Roman" w:hAnsi="Times New Roman" w:cs="Times New Roman" w:eastAsia="Times New Roman" w:hint="default"/>
        </w:rPr>
        <w:t>76.99</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w:t>
      </w:r>
      <w:r>
        <w:rPr>
          <w:spacing w:val="-3"/>
        </w:rPr>
        <w:t>，主要是人民</w:t>
      </w:r>
      <w:r>
        <w:rPr/>
        <w:t> </w:t>
      </w:r>
      <w:r>
        <w:rPr>
          <w:spacing w:val="-3"/>
        </w:rPr>
        <w:t>币汇率升值使汇兑收益比上年同期减少，另由于工程款项的支付，存款利息较上年同期有所</w:t>
      </w:r>
      <w:r>
        <w:rPr>
          <w:spacing w:val="-79"/>
        </w:rPr>
        <w:t> </w:t>
      </w:r>
      <w:r>
        <w:rPr>
          <w:spacing w:val="-79"/>
        </w:rPr>
      </w:r>
      <w:r>
        <w:rPr/>
        <w:t>下降；</w:t>
      </w:r>
    </w:p>
    <w:p>
      <w:pPr>
        <w:pStyle w:val="BodyText"/>
        <w:spacing w:line="240" w:lineRule="auto" w:before="46"/>
        <w:ind w:left="559" w:right="122"/>
        <w:jc w:val="left"/>
      </w:pPr>
      <w:r>
        <w:rPr/>
        <w:t>（</w:t>
      </w:r>
      <w:r>
        <w:rPr>
          <w:rFonts w:ascii="Times New Roman" w:hAnsi="Times New Roman" w:cs="Times New Roman" w:eastAsia="Times New Roman" w:hint="default"/>
        </w:rPr>
        <w:t>4</w:t>
      </w:r>
      <w:r>
        <w:rPr/>
        <w:t>）公司营业外收入</w:t>
      </w:r>
      <w:r>
        <w:rPr>
          <w:spacing w:val="-60"/>
        </w:rPr>
        <w:t> </w:t>
      </w:r>
      <w:r>
        <w:rPr>
          <w:rFonts w:ascii="Times New Roman" w:hAnsi="Times New Roman" w:cs="Times New Roman" w:eastAsia="Times New Roman" w:hint="default"/>
        </w:rPr>
        <w:t>7,286.61</w:t>
      </w:r>
      <w:r>
        <w:rPr>
          <w:rFonts w:ascii="Times New Roman" w:hAnsi="Times New Roman" w:cs="Times New Roman" w:eastAsia="Times New Roman" w:hint="default"/>
          <w:spacing w:val="-7"/>
        </w:rPr>
        <w:t> </w:t>
      </w:r>
      <w:r>
        <w:rPr/>
        <w:t>万元，比上年同期减少</w:t>
      </w:r>
      <w:r>
        <w:rPr>
          <w:spacing w:val="-60"/>
        </w:rPr>
        <w:t> </w:t>
      </w:r>
      <w:r>
        <w:rPr>
          <w:rFonts w:ascii="Times New Roman" w:hAnsi="Times New Roman" w:cs="Times New Roman" w:eastAsia="Times New Roman" w:hint="default"/>
        </w:rPr>
        <w:t>1,248.03</w:t>
      </w:r>
      <w:r>
        <w:rPr>
          <w:rFonts w:ascii="Times New Roman" w:hAnsi="Times New Roman" w:cs="Times New Roman" w:eastAsia="Times New Roman" w:hint="default"/>
          <w:spacing w:val="-7"/>
        </w:rPr>
        <w:t> </w:t>
      </w:r>
      <w:r>
        <w:rPr>
          <w:spacing w:val="-4"/>
        </w:rPr>
        <w:t>万元，下降</w:t>
      </w:r>
      <w:r>
        <w:rPr>
          <w:spacing w:val="-60"/>
        </w:rPr>
        <w:t> </w:t>
      </w:r>
      <w:r>
        <w:rPr>
          <w:rFonts w:ascii="Times New Roman" w:hAnsi="Times New Roman" w:cs="Times New Roman" w:eastAsia="Times New Roman" w:hint="default"/>
          <w:spacing w:val="-5"/>
        </w:rPr>
        <w:t>14.62%</w:t>
      </w:r>
      <w:r>
        <w:rPr>
          <w:spacing w:val="-5"/>
        </w:rPr>
        <w:t>，主</w:t>
      </w:r>
      <w:r>
        <w:rPr/>
      </w:r>
    </w:p>
    <w:p>
      <w:pPr>
        <w:pStyle w:val="BodyText"/>
        <w:spacing w:line="240" w:lineRule="auto" w:before="149"/>
        <w:ind w:left="139" w:right="122"/>
        <w:jc w:val="left"/>
      </w:pPr>
      <w:r>
        <w:rPr/>
        <w:t>要原因为上年取得</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年度企业所得税奖励资金</w:t>
      </w:r>
      <w:r>
        <w:rPr>
          <w:spacing w:val="-55"/>
        </w:rPr>
        <w:t> </w:t>
      </w:r>
      <w:r>
        <w:rPr>
          <w:rFonts w:ascii="Times New Roman" w:hAnsi="Times New Roman" w:cs="Times New Roman" w:eastAsia="Times New Roman" w:hint="default"/>
        </w:rPr>
        <w:t>958.66</w:t>
      </w:r>
      <w:r>
        <w:rPr>
          <w:rFonts w:ascii="Times New Roman" w:hAnsi="Times New Roman" w:cs="Times New Roman" w:eastAsia="Times New Roman" w:hint="default"/>
          <w:spacing w:val="-2"/>
        </w:rPr>
        <w:t> </w:t>
      </w:r>
      <w:r>
        <w:rPr/>
        <w:t>万元；</w:t>
      </w:r>
    </w:p>
    <w:p>
      <w:pPr>
        <w:pStyle w:val="BodyText"/>
        <w:spacing w:line="345" w:lineRule="auto" w:before="149"/>
        <w:ind w:left="559" w:right="944"/>
        <w:jc w:val="left"/>
      </w:pPr>
      <w:r>
        <w:rPr/>
        <w:t>（</w:t>
      </w:r>
      <w:r>
        <w:rPr>
          <w:rFonts w:ascii="Times New Roman" w:hAnsi="Times New Roman" w:cs="Times New Roman" w:eastAsia="Times New Roman" w:hint="default"/>
        </w:rPr>
        <w:t>5</w:t>
      </w:r>
      <w:r>
        <w:rPr/>
        <w:t>）所得税费用因利润的增加及永久性差异的调整比上年同期增长</w:t>
      </w:r>
      <w:r>
        <w:rPr>
          <w:spacing w:val="-57"/>
        </w:rPr>
        <w:t> </w:t>
      </w:r>
      <w:r>
        <w:rPr>
          <w:rFonts w:ascii="Times New Roman" w:hAnsi="Times New Roman" w:cs="Times New Roman" w:eastAsia="Times New Roman" w:hint="default"/>
        </w:rPr>
        <w:t>39.56%</w:t>
      </w:r>
      <w:r>
        <w:rPr/>
        <w:t>。 </w:t>
      </w:r>
      <w:r>
        <w:rPr>
          <w:rFonts w:ascii="Times New Roman" w:hAnsi="Times New Roman" w:cs="Times New Roman" w:eastAsia="Times New Roman" w:hint="default"/>
        </w:rPr>
        <w:t>5</w:t>
      </w:r>
      <w:r>
        <w:rPr/>
        <w:t>、公司经营活动、投资活动和筹资活动产生的现金流量的构成情况</w:t>
      </w:r>
    </w:p>
    <w:p>
      <w:pPr>
        <w:pStyle w:val="BodyText"/>
        <w:spacing w:line="240" w:lineRule="auto" w:before="67"/>
        <w:ind w:left="0" w:right="177"/>
        <w:jc w:val="right"/>
      </w:pPr>
      <w:r>
        <w:rPr/>
        <w:t>单位</w:t>
      </w:r>
      <w:r>
        <w:rPr>
          <w:spacing w:val="-93"/>
        </w:rPr>
        <w:t>：</w:t>
      </w:r>
      <w:r>
        <w:rPr/>
        <w:t>元</w:t>
      </w:r>
    </w:p>
    <w:p>
      <w:pPr>
        <w:spacing w:line="240" w:lineRule="auto" w:before="12"/>
        <w:rPr>
          <w:rFonts w:ascii="宋体" w:hAnsi="宋体" w:cs="宋体" w:eastAsia="宋体" w:hint="default"/>
          <w:sz w:val="16"/>
          <w:szCs w:val="16"/>
        </w:rPr>
      </w:pPr>
    </w:p>
    <w:tbl>
      <w:tblPr>
        <w:tblW w:w="0" w:type="auto"/>
        <w:jc w:val="left"/>
        <w:tblInd w:w="294" w:type="dxa"/>
        <w:tblLayout w:type="fixed"/>
        <w:tblCellMar>
          <w:top w:w="0" w:type="dxa"/>
          <w:left w:w="0" w:type="dxa"/>
          <w:bottom w:w="0" w:type="dxa"/>
          <w:right w:w="0" w:type="dxa"/>
        </w:tblCellMar>
        <w:tblLook w:val="01E0"/>
      </w:tblPr>
      <w:tblGrid>
        <w:gridCol w:w="3264"/>
        <w:gridCol w:w="1686"/>
        <w:gridCol w:w="1734"/>
        <w:gridCol w:w="1303"/>
      </w:tblGrid>
      <w:tr>
        <w:trPr>
          <w:trHeight w:val="55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1,495,021,168.22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1,582,972,283.97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-5.56%</w:t>
            </w:r>
            <w:r>
              <w:rPr>
                <w:rFonts w:ascii="Times New Roman"/>
                <w:sz w:val="21"/>
              </w:rPr>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1,376,098,809.18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1,328,221,491.11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3.60%</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118,922,359.04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254,750,792.86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-53.32%</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4,288,162.06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6,505,342.43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-34.08%</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72,016,691.59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91,534,038.61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-21.32%</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pacing w:val="-1"/>
                <w:sz w:val="21"/>
              </w:rPr>
              <w:t>-67,728,529.53</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-85,028,696.18</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20.35%</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3,720,000.00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136,994,942.74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57,974,668.50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136.30%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-133,274,942.74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-57,974,668.50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-129.88%</w:t>
            </w:r>
          </w:p>
        </w:tc>
      </w:tr>
      <w:tr>
        <w:trPr>
          <w:trHeight w:val="28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-87,047,840.55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2"/>
                <w:sz w:val="21"/>
              </w:rPr>
              <w:t>111,978,896.21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-177.74%</w:t>
            </w:r>
          </w:p>
        </w:tc>
      </w:tr>
    </w:tbl>
    <w:p>
      <w:pPr>
        <w:spacing w:line="240" w:lineRule="auto" w:before="11"/>
        <w:rPr>
          <w:rFonts w:ascii="宋体" w:hAnsi="宋体" w:cs="宋体" w:eastAsia="宋体" w:hint="default"/>
          <w:sz w:val="23"/>
          <w:szCs w:val="23"/>
        </w:rPr>
      </w:pPr>
    </w:p>
    <w:p>
      <w:pPr>
        <w:pStyle w:val="BodyText"/>
        <w:spacing w:line="240" w:lineRule="auto" w:before="35"/>
        <w:ind w:left="559" w:right="122"/>
        <w:jc w:val="left"/>
      </w:pPr>
      <w:r>
        <w:rPr/>
        <w:t>（</w:t>
      </w:r>
      <w:r>
        <w:rPr>
          <w:rFonts w:ascii="Times New Roman" w:hAnsi="Times New Roman" w:cs="Times New Roman" w:eastAsia="Times New Roman" w:hint="default"/>
        </w:rPr>
        <w:t>1</w:t>
      </w:r>
      <w:r>
        <w:rPr/>
        <w:t>）经营活动现金流量</w:t>
      </w:r>
    </w:p>
    <w:p>
      <w:pPr>
        <w:pStyle w:val="BodyText"/>
        <w:spacing w:line="362" w:lineRule="auto" w:before="149"/>
        <w:ind w:right="122"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年，公司经营活动产生的现金流入为</w:t>
      </w:r>
      <w:r>
        <w:rPr>
          <w:spacing w:val="-44"/>
        </w:rPr>
        <w:t> </w:t>
      </w:r>
      <w:r>
        <w:rPr>
          <w:rFonts w:ascii="Times New Roman" w:hAnsi="Times New Roman" w:cs="Times New Roman" w:eastAsia="Times New Roman" w:hint="default"/>
        </w:rPr>
        <w:t>149,502.12</w:t>
      </w:r>
      <w:r>
        <w:rPr>
          <w:rFonts w:ascii="Times New Roman" w:hAnsi="Times New Roman" w:cs="Times New Roman" w:eastAsia="Times New Roman" w:hint="default"/>
          <w:spacing w:val="9"/>
        </w:rPr>
        <w:t> </w:t>
      </w:r>
      <w:r>
        <w:rPr/>
        <w:t>万元，比上年同期</w:t>
      </w:r>
      <w:r>
        <w:rPr>
          <w:spacing w:val="-44"/>
        </w:rPr>
        <w:t> </w:t>
      </w:r>
      <w:r>
        <w:rPr>
          <w:rFonts w:ascii="Times New Roman" w:hAnsi="Times New Roman" w:cs="Times New Roman" w:eastAsia="Times New Roman" w:hint="default"/>
        </w:rPr>
        <w:t>158,297.72</w:t>
      </w:r>
      <w:r>
        <w:rPr>
          <w:rFonts w:ascii="Times New Roman" w:hAnsi="Times New Roman" w:cs="Times New Roman" w:eastAsia="Times New Roman" w:hint="default"/>
          <w:spacing w:val="9"/>
        </w:rPr>
        <w:t> </w:t>
      </w:r>
      <w:r>
        <w:rPr/>
        <w:t>万 元下降</w:t>
      </w:r>
      <w:r>
        <w:rPr>
          <w:spacing w:val="-55"/>
        </w:rPr>
        <w:t> </w:t>
      </w:r>
      <w:r>
        <w:rPr>
          <w:rFonts w:ascii="Times New Roman" w:hAnsi="Times New Roman" w:cs="Times New Roman" w:eastAsia="Times New Roman" w:hint="default"/>
        </w:rPr>
        <w:t>5.56%</w:t>
      </w:r>
      <w:r>
        <w:rPr/>
        <w:t>，主要是因为主要客户推迟付款，收到的货款相应存在一定程度的减少。</w:t>
      </w:r>
    </w:p>
    <w:p>
      <w:pPr>
        <w:pStyle w:val="BodyText"/>
        <w:spacing w:line="362" w:lineRule="auto" w:before="30"/>
        <w:ind w:right="115" w:firstLine="420"/>
        <w:jc w:val="left"/>
      </w:pPr>
      <w:r>
        <w:rPr/>
        <w:t>经营活动产生的现金流出为</w:t>
      </w:r>
      <w:r>
        <w:rPr>
          <w:spacing w:val="-56"/>
        </w:rPr>
        <w:t> </w:t>
      </w:r>
      <w:r>
        <w:rPr>
          <w:rFonts w:ascii="Times New Roman" w:hAnsi="Times New Roman" w:cs="Times New Roman" w:eastAsia="Times New Roman" w:hint="default"/>
        </w:rPr>
        <w:t>137,609.88</w:t>
      </w:r>
      <w:r>
        <w:rPr>
          <w:rFonts w:ascii="Times New Roman" w:hAnsi="Times New Roman" w:cs="Times New Roman" w:eastAsia="Times New Roman" w:hint="default"/>
          <w:spacing w:val="-3"/>
        </w:rPr>
        <w:t> </w:t>
      </w:r>
      <w:r>
        <w:rPr/>
        <w:t>万元，比上年同期</w:t>
      </w:r>
      <w:r>
        <w:rPr>
          <w:spacing w:val="-56"/>
        </w:rPr>
        <w:t> </w:t>
      </w:r>
      <w:r>
        <w:rPr>
          <w:rFonts w:ascii="Times New Roman" w:hAnsi="Times New Roman" w:cs="Times New Roman" w:eastAsia="Times New Roman" w:hint="default"/>
        </w:rPr>
        <w:t>132,822.15</w:t>
      </w:r>
      <w:r>
        <w:rPr>
          <w:rFonts w:ascii="Times New Roman" w:hAnsi="Times New Roman" w:cs="Times New Roman" w:eastAsia="Times New Roman" w:hint="default"/>
          <w:spacing w:val="-3"/>
        </w:rPr>
        <w:t> </w:t>
      </w:r>
      <w:r>
        <w:rPr/>
        <w:t>万元增长</w:t>
      </w:r>
      <w:r>
        <w:rPr>
          <w:spacing w:val="-56"/>
        </w:rPr>
        <w:t> </w:t>
      </w:r>
      <w:r>
        <w:rPr>
          <w:rFonts w:ascii="Times New Roman" w:hAnsi="Times New Roman" w:cs="Times New Roman" w:eastAsia="Times New Roman" w:hint="default"/>
        </w:rPr>
        <w:t>3.60%</w:t>
      </w:r>
      <w:r>
        <w:rPr/>
        <w:t>， 主要是支付给职工以及为职工支付的现金及支付其他与经营活动有关的现金增加。</w:t>
      </w:r>
    </w:p>
    <w:p>
      <w:pPr>
        <w:pStyle w:val="BodyText"/>
        <w:spacing w:line="240" w:lineRule="auto" w:before="58"/>
        <w:ind w:left="560" w:right="122"/>
        <w:jc w:val="left"/>
      </w:pPr>
      <w:r>
        <w:rPr>
          <w:spacing w:val="11"/>
        </w:rPr>
        <w:t>经营活动产生的现金流量净额为 </w:t>
      </w:r>
      <w:r>
        <w:rPr>
          <w:rFonts w:ascii="Times New Roman" w:hAnsi="Times New Roman" w:cs="Times New Roman" w:eastAsia="Times New Roman" w:hint="default"/>
        </w:rPr>
        <w:t>11,892.24  </w:t>
      </w:r>
      <w:r>
        <w:rPr>
          <w:spacing w:val="10"/>
        </w:rPr>
        <w:t>万元，比上年同期 </w:t>
      </w:r>
      <w:r>
        <w:rPr>
          <w:rFonts w:ascii="Times New Roman" w:hAnsi="Times New Roman" w:cs="Times New Roman" w:eastAsia="Times New Roman" w:hint="default"/>
        </w:rPr>
        <w:t>25,475.08 </w:t>
      </w:r>
      <w:r>
        <w:rPr>
          <w:rFonts w:ascii="Times New Roman" w:hAnsi="Times New Roman" w:cs="Times New Roman" w:eastAsia="Times New Roman" w:hint="default"/>
          <w:spacing w:val="24"/>
        </w:rPr>
        <w:t> </w:t>
      </w:r>
      <w:r>
        <w:rPr>
          <w:spacing w:val="12"/>
        </w:rPr>
        <w:t>万元减少</w:t>
      </w:r>
      <w:r>
        <w:rPr/>
      </w:r>
    </w:p>
    <w:p>
      <w:pPr>
        <w:pStyle w:val="BodyText"/>
        <w:spacing w:line="240" w:lineRule="auto" w:before="148"/>
        <w:ind w:right="122"/>
        <w:jc w:val="left"/>
      </w:pPr>
      <w:r>
        <w:rPr>
          <w:rFonts w:ascii="Times New Roman" w:hAnsi="Times New Roman" w:cs="Times New Roman" w:eastAsia="Times New Roman" w:hint="default"/>
        </w:rPr>
        <w:t>13,582.84 </w:t>
      </w:r>
      <w:r>
        <w:rPr/>
        <w:t>万元，下降</w:t>
      </w:r>
      <w:r>
        <w:rPr>
          <w:spacing w:val="-70"/>
        </w:rPr>
        <w:t> </w:t>
      </w:r>
      <w:r>
        <w:rPr>
          <w:rFonts w:ascii="Times New Roman" w:hAnsi="Times New Roman" w:cs="Times New Roman" w:eastAsia="Times New Roman" w:hint="default"/>
        </w:rPr>
        <w:t>53.32%</w:t>
      </w:r>
      <w:r>
        <w:rPr/>
        <w:t>，主要是报告期内经营活动产生现金流入减少，而现金流出增</w:t>
      </w:r>
    </w:p>
    <w:p>
      <w:pPr>
        <w:spacing w:after="0" w:line="240" w:lineRule="auto"/>
        <w:jc w:val="left"/>
        <w:sectPr>
          <w:footerReference w:type="default" r:id="rId12"/>
          <w:pgSz w:w="11910" w:h="16840"/>
          <w:pgMar w:footer="982" w:header="400" w:top="1100" w:bottom="1180" w:left="1660" w:right="1620"/>
          <w:pgNumType w:start="26"/>
        </w:sectPr>
      </w:pPr>
    </w:p>
    <w:p>
      <w:pPr>
        <w:spacing w:line="240" w:lineRule="auto" w:before="12"/>
        <w:rPr>
          <w:rFonts w:ascii="宋体" w:hAnsi="宋体" w:cs="宋体" w:eastAsia="宋体" w:hint="default"/>
          <w:sz w:val="29"/>
          <w:szCs w:val="29"/>
        </w:rPr>
      </w:pPr>
    </w:p>
    <w:p>
      <w:pPr>
        <w:pStyle w:val="BodyText"/>
        <w:spacing w:line="384" w:lineRule="auto" w:before="35"/>
        <w:ind w:left="420" w:right="304"/>
        <w:jc w:val="left"/>
      </w:pPr>
      <w:r>
        <w:rPr/>
        <w:t>加所致。但资产负债表日后公司收回了主要客户的部分货款，公司正常经营活动未受影响， 存量现金能够满足经营所需。</w:t>
      </w:r>
    </w:p>
    <w:p>
      <w:pPr>
        <w:pStyle w:val="BodyText"/>
        <w:spacing w:line="240" w:lineRule="auto" w:before="38"/>
        <w:ind w:left="840" w:right="304"/>
        <w:jc w:val="left"/>
      </w:pPr>
      <w:r>
        <w:rPr/>
        <w:t>（</w:t>
      </w:r>
      <w:r>
        <w:rPr>
          <w:rFonts w:ascii="Times New Roman" w:hAnsi="Times New Roman" w:cs="Times New Roman" w:eastAsia="Times New Roman" w:hint="default"/>
        </w:rPr>
        <w:t>2</w:t>
      </w:r>
      <w:r>
        <w:rPr/>
        <w:t>）投资活动现金流量</w:t>
      </w:r>
    </w:p>
    <w:p>
      <w:pPr>
        <w:pStyle w:val="BodyText"/>
        <w:spacing w:line="369" w:lineRule="auto" w:before="149"/>
        <w:ind w:left="420" w:right="304" w:firstLine="420"/>
        <w:jc w:val="left"/>
      </w:pPr>
      <w:r>
        <w:rPr>
          <w:rFonts w:ascii="Times New Roman" w:hAnsi="Times New Roman" w:cs="Times New Roman" w:eastAsia="Times New Roman" w:hint="default"/>
        </w:rPr>
        <w:t>2010 </w:t>
      </w:r>
      <w:r>
        <w:rPr/>
        <w:t>年，公司投资活动产生的现金净流量</w:t>
      </w:r>
      <w:r>
        <w:rPr>
          <w:rFonts w:ascii="Times New Roman" w:hAnsi="Times New Roman" w:cs="Times New Roman" w:eastAsia="Times New Roman" w:hint="default"/>
        </w:rPr>
        <w:t>-6,772.85 </w:t>
      </w:r>
      <w:r>
        <w:rPr/>
        <w:t>万元，比上年同期增长</w:t>
      </w:r>
      <w:r>
        <w:rPr>
          <w:spacing w:val="-65"/>
        </w:rPr>
        <w:t> </w:t>
      </w:r>
      <w:r>
        <w:rPr>
          <w:rFonts w:ascii="Times New Roman" w:hAnsi="Times New Roman" w:cs="Times New Roman" w:eastAsia="Times New Roman" w:hint="default"/>
          <w:spacing w:val="-3"/>
        </w:rPr>
        <w:t>20.35%</w:t>
      </w:r>
      <w:r>
        <w:rPr>
          <w:spacing w:val="-3"/>
        </w:rPr>
        <w:t>，主</w:t>
      </w:r>
      <w:r>
        <w:rPr>
          <w:spacing w:val="-9"/>
        </w:rPr>
        <w:t> </w:t>
      </w:r>
      <w:r>
        <w:rPr/>
        <w:t>要是因为科学城生产基地一期已完成建设，本年度资金主要用于科学城生产基地二期建设、</w:t>
      </w:r>
      <w:r>
        <w:rPr/>
        <w:t> 购买设备及无形资产；投资支付的现金</w:t>
      </w:r>
      <w:r>
        <w:rPr>
          <w:spacing w:val="-65"/>
        </w:rPr>
        <w:t> </w:t>
      </w:r>
      <w:r>
        <w:rPr>
          <w:rFonts w:ascii="Times New Roman" w:hAnsi="Times New Roman" w:cs="Times New Roman" w:eastAsia="Times New Roman" w:hint="default"/>
        </w:rPr>
        <w:t>661.6</w:t>
      </w:r>
      <w:r>
        <w:rPr>
          <w:rFonts w:ascii="Times New Roman" w:hAnsi="Times New Roman" w:cs="Times New Roman" w:eastAsia="Times New Roman" w:hint="default"/>
          <w:spacing w:val="-12"/>
        </w:rPr>
        <w:t> </w:t>
      </w:r>
      <w:r>
        <w:rPr/>
        <w:t>万元，是公司全资子公司运通国际用于投资澳 大利亚</w:t>
      </w:r>
      <w:r>
        <w:rPr>
          <w:spacing w:val="-55"/>
        </w:rPr>
        <w:t> </w:t>
      </w:r>
      <w:r>
        <w:rPr>
          <w:rFonts w:ascii="Times New Roman" w:hAnsi="Times New Roman" w:cs="Times New Roman" w:eastAsia="Times New Roman" w:hint="default"/>
        </w:rPr>
        <w:t>GRGI</w:t>
      </w:r>
      <w:r>
        <w:rPr>
          <w:rFonts w:ascii="Times New Roman" w:hAnsi="Times New Roman" w:cs="Times New Roman" w:eastAsia="Times New Roman" w:hint="default"/>
          <w:spacing w:val="-2"/>
        </w:rPr>
        <w:t> </w:t>
      </w:r>
      <w:r>
        <w:rPr/>
        <w:t>公司所致。</w:t>
      </w:r>
    </w:p>
    <w:p>
      <w:pPr>
        <w:pStyle w:val="BodyText"/>
        <w:spacing w:line="240" w:lineRule="auto" w:before="24"/>
        <w:ind w:left="839" w:right="304"/>
        <w:jc w:val="left"/>
      </w:pPr>
      <w:r>
        <w:rPr/>
        <w:t>（</w:t>
      </w:r>
      <w:r>
        <w:rPr>
          <w:rFonts w:ascii="Times New Roman" w:hAnsi="Times New Roman" w:cs="Times New Roman" w:eastAsia="Times New Roman" w:hint="default"/>
        </w:rPr>
        <w:t>3</w:t>
      </w:r>
      <w:r>
        <w:rPr/>
        <w:t>）筹资活动现金流量</w:t>
      </w:r>
    </w:p>
    <w:p>
      <w:pPr>
        <w:pStyle w:val="BodyText"/>
        <w:spacing w:line="240" w:lineRule="auto" w:before="148"/>
        <w:ind w:left="840" w:right="304"/>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年，公司筹资活动产生的现金净流量为</w:t>
      </w:r>
      <w:r>
        <w:rPr>
          <w:rFonts w:ascii="Times New Roman" w:hAnsi="Times New Roman" w:cs="Times New Roman" w:eastAsia="Times New Roman" w:hint="default"/>
        </w:rPr>
        <w:t>-13,327.49  </w:t>
      </w:r>
      <w:r>
        <w:rPr/>
        <w:t>万元，主要是因实施公司</w:t>
      </w:r>
      <w:r>
        <w:rPr>
          <w:spacing w:val="-69"/>
        </w:rPr>
        <w:t> </w:t>
      </w:r>
      <w:r>
        <w:rPr>
          <w:rFonts w:ascii="Times New Roman" w:hAnsi="Times New Roman" w:cs="Times New Roman" w:eastAsia="Times New Roman" w:hint="default"/>
        </w:rPr>
        <w:t>2009</w:t>
      </w:r>
    </w:p>
    <w:p>
      <w:pPr>
        <w:pStyle w:val="BodyText"/>
        <w:spacing w:line="240" w:lineRule="auto" w:before="149"/>
        <w:ind w:left="420" w:right="304"/>
        <w:jc w:val="left"/>
      </w:pPr>
      <w:r>
        <w:rPr/>
        <w:t>年度利润分配支付现金</w:t>
      </w:r>
      <w:r>
        <w:rPr>
          <w:spacing w:val="-50"/>
        </w:rPr>
        <w:t> </w:t>
      </w:r>
      <w:r>
        <w:rPr>
          <w:rFonts w:ascii="Times New Roman" w:hAnsi="Times New Roman" w:cs="Times New Roman" w:eastAsia="Times New Roman" w:hint="default"/>
        </w:rPr>
        <w:t>13,685.66</w:t>
      </w:r>
      <w:r>
        <w:rPr>
          <w:rFonts w:ascii="Times New Roman" w:hAnsi="Times New Roman" w:cs="Times New Roman" w:eastAsia="Times New Roman" w:hint="default"/>
          <w:spacing w:val="3"/>
        </w:rPr>
        <w:t> </w:t>
      </w:r>
      <w:r>
        <w:rPr/>
        <w:t>万元。另外，公司全资子公司深圳银通投资设立深圳鹏通</w:t>
      </w:r>
    </w:p>
    <w:p>
      <w:pPr>
        <w:pStyle w:val="BodyText"/>
        <w:spacing w:line="240" w:lineRule="auto" w:before="149"/>
        <w:ind w:left="420" w:right="304"/>
        <w:jc w:val="left"/>
      </w:pPr>
      <w:r>
        <w:rPr/>
        <w:t>金融服务有限公司和江苏保通金融外包服务有限公司，吸收投资</w:t>
      </w:r>
      <w:r>
        <w:rPr>
          <w:spacing w:val="-54"/>
        </w:rPr>
        <w:t> </w:t>
      </w:r>
      <w:r>
        <w:rPr>
          <w:rFonts w:ascii="Times New Roman" w:hAnsi="Times New Roman" w:cs="Times New Roman" w:eastAsia="Times New Roman" w:hint="default"/>
        </w:rPr>
        <w:t>372</w:t>
      </w:r>
      <w:r>
        <w:rPr>
          <w:rFonts w:ascii="Times New Roman" w:hAnsi="Times New Roman" w:cs="Times New Roman" w:eastAsia="Times New Roman" w:hint="default"/>
          <w:spacing w:val="-2"/>
        </w:rPr>
        <w:t> </w:t>
      </w:r>
      <w:r>
        <w:rPr/>
        <w:t>万元；</w:t>
      </w:r>
    </w:p>
    <w:p>
      <w:pPr>
        <w:pStyle w:val="BodyText"/>
        <w:spacing w:line="240" w:lineRule="auto" w:before="148"/>
        <w:ind w:left="840" w:right="304"/>
        <w:jc w:val="left"/>
      </w:pPr>
      <w:r>
        <w:rPr>
          <w:rFonts w:ascii="Times New Roman" w:hAnsi="Times New Roman" w:cs="Times New Roman" w:eastAsia="Times New Roman" w:hint="default"/>
        </w:rPr>
        <w:t>2010 </w:t>
      </w:r>
      <w:r>
        <w:rPr/>
        <w:t>年，现金及现金等价物净增加额为</w:t>
      </w:r>
      <w:r>
        <w:rPr>
          <w:rFonts w:ascii="Times New Roman" w:hAnsi="Times New Roman" w:cs="Times New Roman" w:eastAsia="Times New Roman" w:hint="default"/>
        </w:rPr>
        <w:t>-8,704.78</w:t>
      </w:r>
      <w:r>
        <w:rPr>
          <w:rFonts w:ascii="Times New Roman" w:hAnsi="Times New Roman" w:cs="Times New Roman" w:eastAsia="Times New Roman" w:hint="default"/>
          <w:spacing w:val="-6"/>
        </w:rPr>
        <w:t> </w:t>
      </w:r>
      <w:r>
        <w:rPr/>
        <w:t>万元。</w:t>
      </w:r>
    </w:p>
    <w:p>
      <w:pPr>
        <w:pStyle w:val="BodyText"/>
        <w:spacing w:line="240" w:lineRule="auto" w:before="128"/>
        <w:ind w:left="840" w:right="304"/>
        <w:jc w:val="left"/>
      </w:pPr>
      <w:r>
        <w:rPr>
          <w:rFonts w:ascii="Times New Roman" w:hAnsi="Times New Roman" w:cs="Times New Roman" w:eastAsia="Times New Roman" w:hint="default"/>
        </w:rPr>
        <w:t>6</w:t>
      </w:r>
      <w:r>
        <w:rPr/>
        <w:t>、存货情况</w:t>
      </w:r>
    </w:p>
    <w:p>
      <w:pPr>
        <w:pStyle w:val="BodyText"/>
        <w:spacing w:line="240" w:lineRule="auto" w:before="170"/>
        <w:ind w:left="0" w:right="835"/>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948"/>
        <w:gridCol w:w="1582"/>
        <w:gridCol w:w="1358"/>
        <w:gridCol w:w="896"/>
        <w:gridCol w:w="1328"/>
        <w:gridCol w:w="1289"/>
        <w:gridCol w:w="1517"/>
      </w:tblGrid>
      <w:tr>
        <w:trPr>
          <w:trHeight w:val="55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7"/>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年末余额</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7" w:right="0" w:hanging="45"/>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p>
            <w:pPr>
              <w:pStyle w:val="TableParagraph"/>
              <w:spacing w:line="282" w:lineRule="exact"/>
              <w:ind w:left="14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总资产的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6" w:right="0" w:firstLine="1"/>
              <w:jc w:val="left"/>
              <w:rPr>
                <w:rFonts w:ascii="宋体" w:hAnsi="宋体" w:cs="宋体" w:eastAsia="宋体" w:hint="default"/>
                <w:sz w:val="21"/>
                <w:szCs w:val="21"/>
              </w:rPr>
            </w:pPr>
            <w:r>
              <w:rPr>
                <w:rFonts w:ascii="宋体" w:hAnsi="宋体" w:cs="宋体" w:eastAsia="宋体" w:hint="default"/>
                <w:b/>
                <w:bCs/>
                <w:sz w:val="21"/>
                <w:szCs w:val="21"/>
              </w:rPr>
              <w:t>市场供</w:t>
            </w:r>
            <w:r>
              <w:rPr>
                <w:rFonts w:ascii="宋体" w:hAnsi="宋体" w:cs="宋体" w:eastAsia="宋体" w:hint="default"/>
                <w:sz w:val="21"/>
                <w:szCs w:val="21"/>
              </w:rPr>
            </w:r>
          </w:p>
          <w:p>
            <w:pPr>
              <w:pStyle w:val="TableParagraph"/>
              <w:spacing w:line="274" w:lineRule="exact"/>
              <w:ind w:left="126" w:right="0"/>
              <w:jc w:val="left"/>
              <w:rPr>
                <w:rFonts w:ascii="宋体" w:hAnsi="宋体" w:cs="宋体" w:eastAsia="宋体" w:hint="default"/>
                <w:sz w:val="21"/>
                <w:szCs w:val="21"/>
              </w:rPr>
            </w:pPr>
            <w:r>
              <w:rPr>
                <w:rFonts w:ascii="宋体" w:hAnsi="宋体" w:cs="宋体" w:eastAsia="宋体" w:hint="default"/>
                <w:b/>
                <w:bCs/>
                <w:sz w:val="21"/>
                <w:szCs w:val="21"/>
              </w:rPr>
              <w:t>求情况</w:t>
            </w:r>
            <w:r>
              <w:rPr>
                <w:rFonts w:ascii="宋体" w:hAnsi="宋体" w:cs="宋体" w:eastAsia="宋体" w:hint="default"/>
                <w:sz w:val="21"/>
                <w:szCs w:val="21"/>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产品销售价</w:t>
            </w:r>
            <w:r>
              <w:rPr>
                <w:rFonts w:ascii="宋体" w:hAnsi="宋体" w:cs="宋体" w:eastAsia="宋体" w:hint="default"/>
                <w:sz w:val="21"/>
                <w:szCs w:val="21"/>
              </w:rPr>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格变动情况</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原材料价格</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变动情况</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的计提情况</w:t>
            </w:r>
            <w:r>
              <w:rPr>
                <w:rFonts w:ascii="宋体" w:hAnsi="宋体" w:cs="宋体" w:eastAsia="宋体" w:hint="default"/>
                <w:sz w:val="21"/>
                <w:szCs w:val="21"/>
              </w:rPr>
            </w:r>
          </w:p>
        </w:tc>
      </w:tr>
      <w:tr>
        <w:trPr>
          <w:trHeight w:val="2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89,948,736.42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9" w:right="0"/>
              <w:jc w:val="left"/>
              <w:rPr>
                <w:rFonts w:ascii="Arial" w:hAnsi="Arial" w:cs="Arial" w:eastAsia="Arial" w:hint="default"/>
                <w:sz w:val="20"/>
                <w:szCs w:val="20"/>
              </w:rPr>
            </w:pPr>
            <w:r>
              <w:rPr>
                <w:rFonts w:ascii="Arial"/>
                <w:sz w:val="20"/>
              </w:rPr>
              <w:t>3.24%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36,972,342.58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9" w:right="0"/>
              <w:jc w:val="left"/>
              <w:rPr>
                <w:rFonts w:ascii="Arial" w:hAnsi="Arial" w:cs="Arial" w:eastAsia="Arial" w:hint="default"/>
                <w:sz w:val="20"/>
                <w:szCs w:val="20"/>
              </w:rPr>
            </w:pPr>
            <w:r>
              <w:rPr>
                <w:rFonts w:ascii="Arial"/>
                <w:sz w:val="20"/>
              </w:rPr>
              <w:t>1.33%</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3"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272,143,251.36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9" w:right="0"/>
              <w:jc w:val="left"/>
              <w:rPr>
                <w:rFonts w:ascii="Arial" w:hAnsi="Arial" w:cs="Arial" w:eastAsia="Arial" w:hint="default"/>
                <w:sz w:val="20"/>
                <w:szCs w:val="20"/>
              </w:rPr>
            </w:pPr>
            <w:r>
              <w:rPr>
                <w:rFonts w:ascii="Arial"/>
                <w:sz w:val="20"/>
              </w:rPr>
              <w:t>9.81%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稳定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较小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较小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未提</w:t>
            </w:r>
          </w:p>
        </w:tc>
      </w:tr>
      <w:tr>
        <w:trPr>
          <w:trHeight w:val="28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399,064,330.36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4" w:right="0"/>
              <w:jc w:val="left"/>
              <w:rPr>
                <w:rFonts w:ascii="Arial" w:hAnsi="Arial" w:cs="Arial" w:eastAsia="Arial" w:hint="default"/>
                <w:sz w:val="20"/>
                <w:szCs w:val="20"/>
              </w:rPr>
            </w:pPr>
            <w:r>
              <w:rPr>
                <w:rFonts w:ascii="Arial"/>
                <w:sz w:val="20"/>
              </w:rPr>
              <w:t>14.39%</w:t>
            </w:r>
          </w:p>
        </w:tc>
        <w:tc>
          <w:tcPr>
            <w:tcW w:w="8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3"/>
          <w:szCs w:val="23"/>
        </w:rPr>
      </w:pPr>
    </w:p>
    <w:p>
      <w:pPr>
        <w:pStyle w:val="BodyText"/>
        <w:spacing w:line="362" w:lineRule="auto" w:before="35"/>
        <w:ind w:left="420" w:right="409" w:firstLine="420"/>
        <w:jc w:val="left"/>
      </w:pPr>
      <w:r>
        <w:rPr/>
        <w:t>（</w:t>
      </w:r>
      <w:r>
        <w:rPr>
          <w:rFonts w:ascii="Times New Roman" w:hAnsi="Times New Roman" w:cs="Times New Roman" w:eastAsia="Times New Roman" w:hint="default"/>
        </w:rPr>
        <w:t>1</w:t>
      </w:r>
      <w:r>
        <w:rPr/>
        <w:t>）公司存货主要由原材料、产成品和在产品构成，其中产成品占比相对较大，但均 属于正常范围内，系根据市场订单所做的正常储备。</w:t>
      </w:r>
    </w:p>
    <w:p>
      <w:pPr>
        <w:pStyle w:val="BodyText"/>
        <w:spacing w:line="362" w:lineRule="auto" w:before="58"/>
        <w:ind w:left="420" w:right="409" w:firstLine="420"/>
        <w:jc w:val="left"/>
      </w:pPr>
      <w:r>
        <w:rPr/>
        <w:t>（</w:t>
      </w:r>
      <w:r>
        <w:rPr>
          <w:rFonts w:ascii="Times New Roman" w:hAnsi="Times New Roman" w:cs="Times New Roman" w:eastAsia="Times New Roman" w:hint="default"/>
        </w:rPr>
        <w:t>2</w:t>
      </w:r>
      <w:r>
        <w:rPr/>
        <w:t>）公司的年末存货按账面成本与可变现净值孰低法计价，按单项比较存货的账面成 本与可变现净值，</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年末存货没有发生跌价。</w:t>
      </w:r>
    </w:p>
    <w:p>
      <w:pPr>
        <w:pStyle w:val="BodyText"/>
        <w:spacing w:line="240" w:lineRule="auto" w:before="8"/>
        <w:ind w:left="840" w:right="304"/>
        <w:jc w:val="left"/>
      </w:pPr>
      <w:r>
        <w:rPr>
          <w:rFonts w:ascii="Times New Roman" w:hAnsi="Times New Roman" w:cs="Times New Roman" w:eastAsia="Times New Roman" w:hint="default"/>
        </w:rPr>
        <w:t>7</w:t>
      </w:r>
      <w:r>
        <w:rPr/>
        <w:t>、重要资产情况</w:t>
      </w:r>
    </w:p>
    <w:p>
      <w:pPr>
        <w:spacing w:line="240" w:lineRule="auto" w:before="9"/>
        <w:rPr>
          <w:rFonts w:ascii="宋体" w:hAnsi="宋体" w:cs="宋体" w:eastAsia="宋体" w:hint="default"/>
          <w:sz w:val="15"/>
          <w:szCs w:val="15"/>
        </w:rPr>
      </w:pPr>
    </w:p>
    <w:tbl>
      <w:tblPr>
        <w:tblW w:w="0" w:type="auto"/>
        <w:jc w:val="left"/>
        <w:tblInd w:w="420" w:type="dxa"/>
        <w:tblLayout w:type="fixed"/>
        <w:tblCellMar>
          <w:top w:w="0" w:type="dxa"/>
          <w:left w:w="0" w:type="dxa"/>
          <w:bottom w:w="0" w:type="dxa"/>
          <w:right w:w="0" w:type="dxa"/>
        </w:tblCellMar>
        <w:tblLook w:val="01E0"/>
      </w:tblPr>
      <w:tblGrid>
        <w:gridCol w:w="1949"/>
        <w:gridCol w:w="2191"/>
        <w:gridCol w:w="1980"/>
        <w:gridCol w:w="2166"/>
      </w:tblGrid>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2" w:val="left" w:leader="none"/>
              </w:tabs>
              <w:spacing w:line="26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年初账面价值</w:t>
            </w:r>
            <w:r>
              <w:rPr>
                <w:rFonts w:ascii="宋体" w:hAnsi="宋体" w:cs="宋体" w:eastAsia="宋体" w:hint="default"/>
                <w:sz w:val="21"/>
                <w:szCs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sz w:val="21"/>
                <w:szCs w:val="21"/>
              </w:rPr>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b/>
                <w:bCs/>
                <w:sz w:val="21"/>
                <w:szCs w:val="21"/>
              </w:rPr>
              <w:t>占固定资产比率％</w:t>
            </w:r>
            <w:r>
              <w:rPr>
                <w:rFonts w:ascii="宋体" w:hAnsi="宋体" w:cs="宋体" w:eastAsia="宋体" w:hint="default"/>
                <w:sz w:val="21"/>
                <w:szCs w:val="21"/>
              </w:rPr>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136,763,297.99</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21"/>
                <w:szCs w:val="21"/>
              </w:rPr>
            </w:pPr>
            <w:r>
              <w:rPr>
                <w:rFonts w:ascii="Times New Roman"/>
                <w:spacing w:val="-1"/>
                <w:sz w:val="21"/>
              </w:rPr>
              <w:t>221,805,712.47</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21"/>
                <w:szCs w:val="21"/>
              </w:rPr>
            </w:pPr>
            <w:r>
              <w:rPr>
                <w:rFonts w:ascii="Times New Roman"/>
                <w:spacing w:val="-1"/>
                <w:sz w:val="21"/>
              </w:rPr>
              <w:t>73.57%</w:t>
            </w:r>
          </w:p>
        </w:tc>
      </w:tr>
      <w:tr>
        <w:trPr>
          <w:trHeight w:val="335"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7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21"/>
                <w:szCs w:val="21"/>
              </w:rPr>
            </w:pPr>
            <w:r>
              <w:rPr>
                <w:rFonts w:ascii="Times New Roman"/>
                <w:spacing w:val="-1"/>
                <w:sz w:val="21"/>
              </w:rPr>
              <w:t>43,591,548.99</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21"/>
                <w:szCs w:val="21"/>
              </w:rPr>
            </w:pPr>
            <w:r>
              <w:rPr>
                <w:rFonts w:ascii="Times New Roman"/>
                <w:spacing w:val="-1"/>
                <w:sz w:val="21"/>
              </w:rPr>
              <w:t>36,323,415.15</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21"/>
                <w:szCs w:val="21"/>
              </w:rPr>
            </w:pPr>
            <w:r>
              <w:rPr>
                <w:rFonts w:ascii="Times New Roman"/>
                <w:spacing w:val="-1"/>
                <w:sz w:val="21"/>
              </w:rPr>
              <w:t>12.05%</w:t>
            </w:r>
          </w:p>
        </w:tc>
      </w:tr>
      <w:tr>
        <w:trPr>
          <w:trHeight w:val="336"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tabs>
                <w:tab w:pos="421" w:val="left" w:leader="none"/>
              </w:tabs>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w:t>
              <w:tab/>
              <w:t>他</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21"/>
                <w:szCs w:val="21"/>
              </w:rPr>
            </w:pPr>
            <w:r>
              <w:rPr>
                <w:rFonts w:ascii="Times New Roman"/>
                <w:spacing w:val="-1"/>
                <w:sz w:val="21"/>
              </w:rPr>
              <w:t>33,878,648.26</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21"/>
                <w:szCs w:val="21"/>
              </w:rPr>
            </w:pPr>
            <w:r>
              <w:rPr>
                <w:rFonts w:ascii="Times New Roman"/>
                <w:spacing w:val="-1"/>
                <w:sz w:val="21"/>
              </w:rPr>
              <w:t>43,363,988.08</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21"/>
                <w:szCs w:val="21"/>
              </w:rPr>
            </w:pPr>
            <w:r>
              <w:rPr>
                <w:rFonts w:ascii="Times New Roman"/>
                <w:spacing w:val="-1"/>
                <w:sz w:val="21"/>
              </w:rPr>
              <w:t>14.38%</w:t>
            </w:r>
          </w:p>
        </w:tc>
      </w:tr>
      <w:tr>
        <w:trPr>
          <w:trHeight w:val="334" w:hRule="exact"/>
        </w:trPr>
        <w:tc>
          <w:tcPr>
            <w:tcW w:w="194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固定资产合计</w:t>
            </w:r>
          </w:p>
        </w:tc>
        <w:tc>
          <w:tcPr>
            <w:tcW w:w="2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7"/>
              <w:jc w:val="right"/>
              <w:rPr>
                <w:rFonts w:ascii="Times New Roman" w:hAnsi="Times New Roman" w:cs="Times New Roman" w:eastAsia="Times New Roman" w:hint="default"/>
                <w:sz w:val="21"/>
                <w:szCs w:val="21"/>
              </w:rPr>
            </w:pPr>
            <w:r>
              <w:rPr>
                <w:rFonts w:ascii="Times New Roman"/>
                <w:spacing w:val="-1"/>
                <w:sz w:val="21"/>
              </w:rPr>
              <w:t>214,233,495.24</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21"/>
                <w:szCs w:val="21"/>
              </w:rPr>
            </w:pPr>
            <w:r>
              <w:rPr>
                <w:rFonts w:ascii="Times New Roman"/>
                <w:spacing w:val="-1"/>
                <w:sz w:val="21"/>
              </w:rPr>
              <w:t>301,493,115.70</w:t>
            </w:r>
          </w:p>
        </w:tc>
        <w:tc>
          <w:tcPr>
            <w:tcW w:w="21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7"/>
        <w:rPr>
          <w:rFonts w:ascii="宋体" w:hAnsi="宋体" w:cs="宋体" w:eastAsia="宋体" w:hint="default"/>
          <w:sz w:val="5"/>
          <w:szCs w:val="5"/>
        </w:rPr>
      </w:pPr>
    </w:p>
    <w:p>
      <w:pPr>
        <w:pStyle w:val="BodyText"/>
        <w:spacing w:line="362" w:lineRule="auto" w:before="35"/>
        <w:ind w:left="420" w:right="409" w:firstLine="420"/>
        <w:jc w:val="left"/>
      </w:pPr>
      <w:r>
        <w:rPr/>
        <w:t>（</w:t>
      </w:r>
      <w:r>
        <w:rPr>
          <w:rFonts w:ascii="Times New Roman" w:hAnsi="Times New Roman" w:cs="Times New Roman" w:eastAsia="Times New Roman" w:hint="default"/>
        </w:rPr>
        <w:t>1</w:t>
      </w:r>
      <w:r>
        <w:rPr/>
        <w:t>）报告期内，公司核心资产的盈利能力没有发生变动，也未出现替代资产或资产升 级换代导致公司核心资产盈利能力降低情形。</w:t>
      </w:r>
    </w:p>
    <w:p>
      <w:pPr>
        <w:pStyle w:val="BodyText"/>
        <w:spacing w:line="362" w:lineRule="auto" w:before="58"/>
        <w:ind w:left="420" w:right="407" w:firstLine="419"/>
        <w:jc w:val="left"/>
      </w:pPr>
      <w:r>
        <w:rPr/>
        <w:t>（</w:t>
      </w:r>
      <w:r>
        <w:rPr>
          <w:rFonts w:ascii="Times New Roman" w:hAnsi="Times New Roman" w:cs="Times New Roman" w:eastAsia="Times New Roman" w:hint="default"/>
        </w:rPr>
        <w:t>2</w:t>
      </w:r>
      <w:r>
        <w:rPr/>
        <w:t>）报告期内，公司的核心资产主要包括厂房和 </w:t>
      </w:r>
      <w:r>
        <w:rPr>
          <w:rFonts w:ascii="Times New Roman" w:hAnsi="Times New Roman" w:cs="Times New Roman" w:eastAsia="Times New Roman" w:hint="default"/>
          <w:spacing w:val="-8"/>
        </w:rPr>
        <w:t>ATM </w:t>
      </w:r>
      <w:r>
        <w:rPr/>
        <w:t>营运设备，均为在用，资产成 新率（即固定资产净值</w:t>
      </w:r>
      <w:r>
        <w:rPr>
          <w:rFonts w:ascii="Times New Roman" w:hAnsi="Times New Roman" w:cs="Times New Roman" w:eastAsia="Times New Roman" w:hint="default"/>
        </w:rPr>
        <w:t>/</w:t>
      </w:r>
      <w:r>
        <w:rPr/>
        <w:t>固定资产原值）约为</w:t>
      </w:r>
      <w:r>
        <w:rPr>
          <w:spacing w:val="-72"/>
        </w:rPr>
        <w:t> </w:t>
      </w:r>
      <w:r>
        <w:rPr>
          <w:rFonts w:ascii="Times New Roman" w:hAnsi="Times New Roman" w:cs="Times New Roman" w:eastAsia="Times New Roman" w:hint="default"/>
        </w:rPr>
        <w:t>81%</w:t>
      </w:r>
      <w:r>
        <w:rPr/>
        <w:t>。房屋及建筑物占比</w:t>
      </w:r>
      <w:r>
        <w:rPr>
          <w:spacing w:val="-72"/>
        </w:rPr>
        <w:t> </w:t>
      </w:r>
      <w:r>
        <w:rPr>
          <w:rFonts w:ascii="Times New Roman" w:hAnsi="Times New Roman" w:cs="Times New Roman" w:eastAsia="Times New Roman" w:hint="default"/>
        </w:rPr>
        <w:t>73.57%</w:t>
      </w:r>
      <w:r>
        <w:rPr/>
        <w:t>，为公司科学</w:t>
      </w:r>
    </w:p>
    <w:p>
      <w:pPr>
        <w:spacing w:after="0" w:line="362" w:lineRule="auto"/>
        <w:jc w:val="left"/>
        <w:sectPr>
          <w:footerReference w:type="default" r:id="rId13"/>
          <w:pgSz w:w="11910" w:h="16840"/>
          <w:pgMar w:footer="982" w:header="400" w:top="1100" w:bottom="1180" w:left="1380" w:right="1380"/>
          <w:pgNumType w:start="27"/>
        </w:sectPr>
      </w:pPr>
    </w:p>
    <w:p>
      <w:pPr>
        <w:spacing w:line="240" w:lineRule="auto" w:before="12"/>
        <w:rPr>
          <w:rFonts w:ascii="宋体" w:hAnsi="宋体" w:cs="宋体" w:eastAsia="宋体" w:hint="default"/>
          <w:sz w:val="29"/>
          <w:szCs w:val="29"/>
        </w:rPr>
      </w:pPr>
    </w:p>
    <w:p>
      <w:pPr>
        <w:pStyle w:val="BodyText"/>
        <w:spacing w:line="463" w:lineRule="auto" w:before="35"/>
        <w:ind w:left="559" w:right="97" w:hanging="420"/>
        <w:jc w:val="left"/>
      </w:pPr>
      <w:r>
        <w:rPr>
          <w:spacing w:val="-3"/>
        </w:rPr>
        <w:t>城产业园房产；</w:t>
      </w:r>
      <w:r>
        <w:rPr>
          <w:rFonts w:ascii="Times New Roman" w:hAnsi="Times New Roman" w:cs="Times New Roman" w:eastAsia="Times New Roman" w:hint="default"/>
          <w:spacing w:val="-3"/>
        </w:rPr>
        <w:t>ATM </w:t>
      </w:r>
      <w:r>
        <w:rPr/>
        <w:t>营运设备占比</w:t>
      </w:r>
      <w:r>
        <w:rPr>
          <w:spacing w:val="-51"/>
        </w:rPr>
        <w:t> </w:t>
      </w:r>
      <w:r>
        <w:rPr>
          <w:rFonts w:ascii="Times New Roman" w:hAnsi="Times New Roman" w:cs="Times New Roman" w:eastAsia="Times New Roman" w:hint="default"/>
        </w:rPr>
        <w:t>12.05%</w:t>
      </w:r>
      <w:r>
        <w:rPr/>
        <w:t>，设备处于正常营运状态，不存在减值的情况。 </w:t>
      </w:r>
      <w:r>
        <w:rPr>
          <w:rFonts w:ascii="Times New Roman" w:hAnsi="Times New Roman" w:cs="Times New Roman" w:eastAsia="Times New Roman" w:hint="default"/>
        </w:rPr>
        <w:t>8</w:t>
      </w:r>
      <w:r>
        <w:rPr/>
        <w:t>、主要会计政策、会计估计及核算方法变更情况和重大前期会计差错情况 </w:t>
      </w:r>
      <w:r>
        <w:rPr>
          <w:spacing w:val="-3"/>
        </w:rPr>
        <w:t>报告期内，公司不存在主要会计政策、会计估计及核算方法变更情况和重大前期会计差</w:t>
      </w:r>
    </w:p>
    <w:p>
      <w:pPr>
        <w:pStyle w:val="BodyText"/>
        <w:spacing w:line="245" w:lineRule="exact"/>
        <w:ind w:right="128"/>
        <w:jc w:val="left"/>
      </w:pPr>
      <w:r>
        <w:rPr/>
        <w:t>错情况。</w:t>
      </w:r>
    </w:p>
    <w:p>
      <w:pPr>
        <w:spacing w:line="240" w:lineRule="auto" w:before="11"/>
        <w:rPr>
          <w:rFonts w:ascii="宋体" w:hAnsi="宋体" w:cs="宋体" w:eastAsia="宋体" w:hint="default"/>
          <w:sz w:val="21"/>
          <w:szCs w:val="21"/>
        </w:rPr>
      </w:pPr>
    </w:p>
    <w:p>
      <w:pPr>
        <w:pStyle w:val="BodyText"/>
        <w:spacing w:line="240" w:lineRule="auto"/>
        <w:ind w:left="560" w:right="128"/>
        <w:jc w:val="left"/>
      </w:pPr>
      <w:r>
        <w:rPr>
          <w:rFonts w:ascii="Times New Roman" w:hAnsi="Times New Roman" w:cs="Times New Roman" w:eastAsia="Times New Roman" w:hint="default"/>
        </w:rPr>
        <w:t>9</w:t>
      </w:r>
      <w:r>
        <w:rPr/>
        <w:t>、金融资产投资情况</w:t>
      </w:r>
    </w:p>
    <w:p>
      <w:pPr>
        <w:spacing w:line="240" w:lineRule="auto" w:before="7"/>
        <w:rPr>
          <w:rFonts w:ascii="宋体" w:hAnsi="宋体" w:cs="宋体" w:eastAsia="宋体" w:hint="default"/>
          <w:sz w:val="20"/>
          <w:szCs w:val="20"/>
        </w:rPr>
      </w:pPr>
    </w:p>
    <w:p>
      <w:pPr>
        <w:pStyle w:val="BodyText"/>
        <w:spacing w:line="240" w:lineRule="auto"/>
        <w:ind w:left="560" w:right="118"/>
        <w:jc w:val="left"/>
        <w:rPr>
          <w:rFonts w:ascii="Times New Roman" w:hAnsi="Times New Roman" w:cs="Times New Roman" w:eastAsia="Times New Roman" w:hint="default"/>
        </w:rPr>
      </w:pPr>
      <w:r>
        <w:rPr/>
        <w:t>报告期末</w:t>
      </w:r>
      <w:r>
        <w:rPr>
          <w:spacing w:val="-105"/>
        </w:rPr>
        <w:t>，</w:t>
      </w:r>
      <w:r>
        <w:rPr>
          <w:spacing w:val="-2"/>
        </w:rPr>
        <w:t>本</w:t>
      </w:r>
      <w:r>
        <w:rPr/>
        <w:t>公司的子公司</w:t>
      </w:r>
      <w:r>
        <w:rPr>
          <w:spacing w:val="-77"/>
        </w:rPr>
        <w:t> </w:t>
      </w:r>
      <w:r>
        <w:rPr>
          <w:rFonts w:ascii="Times New Roman" w:hAnsi="Times New Roman" w:cs="Times New Roman" w:eastAsia="Times New Roman" w:hint="default"/>
          <w:spacing w:val="-1"/>
          <w:w w:val="99"/>
        </w:rPr>
        <w:t>G</w:t>
      </w:r>
      <w:r>
        <w:rPr>
          <w:rFonts w:ascii="Times New Roman" w:hAnsi="Times New Roman" w:cs="Times New Roman" w:eastAsia="Times New Roman" w:hint="default"/>
        </w:rPr>
        <w:t>R</w:t>
      </w:r>
      <w:r>
        <w:rPr>
          <w:rFonts w:ascii="Times New Roman" w:hAnsi="Times New Roman" w:cs="Times New Roman" w:eastAsia="Times New Roman" w:hint="default"/>
          <w:w w:val="99"/>
        </w:rPr>
        <w:t>G</w:t>
      </w:r>
      <w:r>
        <w:rPr>
          <w:rFonts w:ascii="Times New Roman" w:hAnsi="Times New Roman" w:cs="Times New Roman" w:eastAsia="Times New Roman" w:hint="default"/>
          <w:spacing w:val="-1"/>
        </w:rPr>
        <w:t> </w:t>
      </w:r>
      <w:r>
        <w:rPr>
          <w:rFonts w:ascii="Times New Roman" w:hAnsi="Times New Roman" w:cs="Times New Roman" w:eastAsia="Times New Roman" w:hint="default"/>
        </w:rPr>
        <w:t>Ban</w:t>
      </w:r>
      <w:r>
        <w:rPr>
          <w:rFonts w:ascii="Times New Roman" w:hAnsi="Times New Roman" w:cs="Times New Roman" w:eastAsia="Times New Roman" w:hint="default"/>
          <w:spacing w:val="-1"/>
        </w:rPr>
        <w:t>k</w:t>
      </w:r>
      <w:r>
        <w:rPr>
          <w:rFonts w:ascii="Times New Roman" w:hAnsi="Times New Roman" w:cs="Times New Roman" w:eastAsia="Times New Roman" w:hint="default"/>
        </w:rPr>
        <w:t>ing</w:t>
      </w:r>
      <w:r>
        <w:rPr>
          <w:rFonts w:ascii="Times New Roman" w:hAnsi="Times New Roman" w:cs="Times New Roman" w:eastAsia="Times New Roman" w:hint="default"/>
          <w:spacing w:val="-1"/>
        </w:rPr>
        <w:t> </w:t>
      </w:r>
      <w:r>
        <w:rPr>
          <w:rFonts w:ascii="Times New Roman" w:hAnsi="Times New Roman" w:cs="Times New Roman" w:eastAsia="Times New Roman" w:hint="default"/>
        </w:rPr>
        <w:t>E</w:t>
      </w:r>
      <w:r>
        <w:rPr>
          <w:rFonts w:ascii="Times New Roman" w:hAnsi="Times New Roman" w:cs="Times New Roman" w:eastAsia="Times New Roman" w:hint="default"/>
          <w:spacing w:val="-1"/>
        </w:rPr>
        <w:t>q</w:t>
      </w:r>
      <w:r>
        <w:rPr>
          <w:rFonts w:ascii="Times New Roman" w:hAnsi="Times New Roman" w:cs="Times New Roman" w:eastAsia="Times New Roman" w:hint="default"/>
        </w:rPr>
        <w:t>u</w:t>
      </w:r>
      <w:r>
        <w:rPr>
          <w:rFonts w:ascii="Times New Roman" w:hAnsi="Times New Roman" w:cs="Times New Roman" w:eastAsia="Times New Roman" w:hint="default"/>
          <w:spacing w:val="-1"/>
        </w:rPr>
        <w:t>i</w:t>
      </w:r>
      <w:r>
        <w:rPr>
          <w:rFonts w:ascii="Times New Roman" w:hAnsi="Times New Roman" w:cs="Times New Roman" w:eastAsia="Times New Roman" w:hint="default"/>
        </w:rPr>
        <w:t>p</w:t>
      </w:r>
      <w:r>
        <w:rPr>
          <w:rFonts w:ascii="Times New Roman" w:hAnsi="Times New Roman" w:cs="Times New Roman" w:eastAsia="Times New Roman" w:hint="default"/>
          <w:spacing w:val="-3"/>
        </w:rPr>
        <w:t>m</w:t>
      </w:r>
      <w:r>
        <w:rPr>
          <w:rFonts w:ascii="Times New Roman" w:hAnsi="Times New Roman" w:cs="Times New Roman" w:eastAsia="Times New Roman" w:hint="default"/>
        </w:rPr>
        <w:t>e</w:t>
      </w:r>
      <w:r>
        <w:rPr>
          <w:rFonts w:ascii="Times New Roman" w:hAnsi="Times New Roman" w:cs="Times New Roman" w:eastAsia="Times New Roman" w:hint="default"/>
          <w:spacing w:val="1"/>
        </w:rPr>
        <w:t>n</w:t>
      </w:r>
      <w:r>
        <w:rPr>
          <w:rFonts w:ascii="Times New Roman" w:hAnsi="Times New Roman" w:cs="Times New Roman" w:eastAsia="Times New Roman" w:hint="default"/>
        </w:rPr>
        <w:t>t </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HK</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Co.,L</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2"/>
          <w:w w:val="99"/>
        </w:rPr>
        <w:t>m</w:t>
      </w:r>
      <w:r>
        <w:rPr>
          <w:rFonts w:ascii="Times New Roman" w:hAnsi="Times New Roman" w:cs="Times New Roman" w:eastAsia="Times New Roman" w:hint="default"/>
          <w:w w:val="99"/>
        </w:rPr>
        <w:t>ited  </w:t>
      </w:r>
      <w:r>
        <w:rPr>
          <w:w w:val="99"/>
        </w:rPr>
        <w:t>在本</w:t>
      </w:r>
      <w:r>
        <w:rPr>
          <w:spacing w:val="-2"/>
          <w:w w:val="99"/>
        </w:rPr>
        <w:t>年</w:t>
      </w:r>
      <w:r>
        <w:rPr>
          <w:w w:val="99"/>
        </w:rPr>
        <w:t>持有</w:t>
      </w:r>
      <w:r>
        <w:rPr>
          <w:spacing w:val="-77"/>
          <w:w w:val="99"/>
        </w:rPr>
        <w:t> </w:t>
      </w:r>
      <w:r>
        <w:rPr>
          <w:rFonts w:ascii="Times New Roman" w:hAnsi="Times New Roman" w:cs="Times New Roman" w:eastAsia="Times New Roman" w:hint="default"/>
          <w:spacing w:val="-1"/>
          <w:w w:val="99"/>
        </w:rPr>
        <w:t>GRGI</w:t>
      </w:r>
      <w:r>
        <w:rPr>
          <w:rFonts w:ascii="Times New Roman" w:hAnsi="Times New Roman" w:cs="Times New Roman" w:eastAsia="Times New Roman" w:hint="default"/>
        </w:rPr>
      </w:r>
    </w:p>
    <w:p>
      <w:pPr>
        <w:pStyle w:val="BodyText"/>
        <w:spacing w:line="240" w:lineRule="auto" w:before="149"/>
        <w:ind w:right="97"/>
        <w:jc w:val="left"/>
        <w:rPr>
          <w:rFonts w:ascii="Times New Roman" w:hAnsi="Times New Roman" w:cs="Times New Roman" w:eastAsia="Times New Roman" w:hint="default"/>
        </w:rPr>
      </w:pPr>
      <w:r>
        <w:rPr/>
        <w:t>（澳大利亚上市公司）</w:t>
      </w:r>
      <w:r>
        <w:rPr>
          <w:spacing w:val="-4"/>
        </w:rPr>
        <w:t> </w:t>
      </w:r>
      <w:r>
        <w:rPr/>
        <w:t>股份</w:t>
      </w:r>
      <w:r>
        <w:rPr>
          <w:spacing w:val="-44"/>
        </w:rPr>
        <w:t> </w:t>
      </w:r>
      <w:r>
        <w:rPr>
          <w:rFonts w:ascii="Times New Roman" w:hAnsi="Times New Roman" w:cs="Times New Roman" w:eastAsia="Times New Roman" w:hint="default"/>
        </w:rPr>
        <w:t>8,897,282</w:t>
      </w:r>
      <w:r>
        <w:rPr>
          <w:rFonts w:ascii="Times New Roman" w:hAnsi="Times New Roman" w:cs="Times New Roman" w:eastAsia="Times New Roman" w:hint="default"/>
          <w:spacing w:val="9"/>
        </w:rPr>
        <w:t> </w:t>
      </w:r>
      <w:r>
        <w:rPr/>
        <w:t>股，持有成本为人民币</w:t>
      </w:r>
      <w:r>
        <w:rPr>
          <w:spacing w:val="-44"/>
        </w:rPr>
        <w:t> </w:t>
      </w:r>
      <w:r>
        <w:rPr>
          <w:rFonts w:ascii="Times New Roman" w:hAnsi="Times New Roman" w:cs="Times New Roman" w:eastAsia="Times New Roman" w:hint="default"/>
        </w:rPr>
        <w:t>6,616,010.69</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p>
    <w:p>
      <w:pPr>
        <w:pStyle w:val="BodyText"/>
        <w:spacing w:line="240" w:lineRule="auto" w:before="149"/>
        <w:ind w:right="97"/>
        <w:jc w:val="left"/>
      </w:pPr>
      <w:r>
        <w:rPr/>
        <w:t>月</w:t>
      </w:r>
      <w:r>
        <w:rPr>
          <w:spacing w:val="-52"/>
        </w:rPr>
        <w:t> </w:t>
      </w:r>
      <w:r>
        <w:rPr>
          <w:rFonts w:ascii="Times New Roman" w:hAnsi="Times New Roman" w:cs="Times New Roman" w:eastAsia="Times New Roman" w:hint="default"/>
        </w:rPr>
        <w:t>29 </w:t>
      </w:r>
      <w:r>
        <w:rPr/>
        <w:t>日该公司股票收市价为每股</w:t>
      </w:r>
      <w:r>
        <w:rPr>
          <w:spacing w:val="-52"/>
        </w:rPr>
        <w:t> </w:t>
      </w:r>
      <w:r>
        <w:rPr>
          <w:rFonts w:ascii="Times New Roman" w:hAnsi="Times New Roman" w:cs="Times New Roman" w:eastAsia="Times New Roman" w:hint="default"/>
        </w:rPr>
        <w:t>0.265 </w:t>
      </w:r>
      <w:r>
        <w:rPr/>
        <w:t>澳元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按</w:t>
      </w:r>
      <w:r>
        <w:rPr>
          <w:spacing w:val="-54"/>
        </w:rPr>
        <w:t> </w:t>
      </w:r>
      <w:r>
        <w:rPr>
          <w:rFonts w:ascii="Times New Roman" w:hAnsi="Times New Roman" w:cs="Times New Roman" w:eastAsia="Times New Roman" w:hint="default"/>
        </w:rPr>
        <w:t>2010 </w:t>
      </w:r>
      <w:r>
        <w:rPr/>
        <w:t>月</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日汇率折算人民币期末公</w:t>
      </w:r>
    </w:p>
    <w:p>
      <w:pPr>
        <w:pStyle w:val="BodyText"/>
        <w:spacing w:line="240" w:lineRule="auto" w:before="148"/>
        <w:ind w:left="139" w:right="128"/>
        <w:jc w:val="left"/>
      </w:pPr>
      <w:r>
        <w:rPr/>
        <w:t>允价值为人民币</w:t>
      </w:r>
      <w:r>
        <w:rPr>
          <w:spacing w:val="-57"/>
        </w:rPr>
        <w:t> </w:t>
      </w:r>
      <w:r>
        <w:rPr>
          <w:rFonts w:ascii="Times New Roman" w:hAnsi="Times New Roman" w:cs="Times New Roman" w:eastAsia="Times New Roman" w:hint="default"/>
        </w:rPr>
        <w:t>15,823,315.12</w:t>
      </w:r>
      <w:r>
        <w:rPr>
          <w:rFonts w:ascii="Times New Roman" w:hAnsi="Times New Roman" w:cs="Times New Roman" w:eastAsia="Times New Roman" w:hint="default"/>
          <w:spacing w:val="-4"/>
        </w:rPr>
        <w:t> </w:t>
      </w:r>
      <w:r>
        <w:rPr/>
        <w:t>元，公允价值增加人民币</w:t>
      </w:r>
      <w:r>
        <w:rPr>
          <w:spacing w:val="-57"/>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4"/>
        </w:rPr>
        <w:t> </w:t>
      </w:r>
      <w:r>
        <w:rPr/>
        <w:t>元转入资本公积。</w:t>
      </w:r>
    </w:p>
    <w:p>
      <w:pPr>
        <w:spacing w:line="240" w:lineRule="auto" w:before="8"/>
        <w:rPr>
          <w:rFonts w:ascii="宋体" w:hAnsi="宋体" w:cs="宋体" w:eastAsia="宋体" w:hint="default"/>
          <w:sz w:val="20"/>
          <w:szCs w:val="20"/>
        </w:rPr>
      </w:pPr>
    </w:p>
    <w:p>
      <w:pPr>
        <w:pStyle w:val="BodyText"/>
        <w:spacing w:line="362" w:lineRule="auto"/>
        <w:ind w:left="139" w:right="128" w:firstLine="420"/>
        <w:jc w:val="left"/>
      </w:pPr>
      <w:r>
        <w:rPr>
          <w:rFonts w:ascii="Times New Roman" w:hAnsi="Times New Roman" w:cs="Times New Roman" w:eastAsia="Times New Roman" w:hint="default"/>
          <w:spacing w:val="-3"/>
        </w:rPr>
        <w:t>10</w:t>
      </w:r>
      <w:r>
        <w:rPr>
          <w:spacing w:val="-3"/>
        </w:rPr>
        <w:t>、主要资产的计量：报告期内公司主要资产采用实际成本计量；主要资产计量属性在</w:t>
      </w:r>
      <w:r>
        <w:rPr/>
        <w:t> 报告期内未发生重大变化。</w:t>
      </w:r>
    </w:p>
    <w:p>
      <w:pPr>
        <w:pStyle w:val="BodyText"/>
        <w:spacing w:line="240" w:lineRule="auto" w:before="177"/>
        <w:ind w:left="559" w:right="128"/>
        <w:jc w:val="left"/>
      </w:pPr>
      <w:r>
        <w:rPr>
          <w:rFonts w:ascii="Times New Roman" w:hAnsi="Times New Roman" w:cs="Times New Roman" w:eastAsia="Times New Roman" w:hint="default"/>
        </w:rPr>
        <w:t>11</w:t>
      </w:r>
      <w:r>
        <w:rPr/>
        <w:t>、公司不存在 </w:t>
      </w:r>
      <w:r>
        <w:rPr>
          <w:rFonts w:ascii="Times New Roman" w:hAnsi="Times New Roman" w:cs="Times New Roman" w:eastAsia="Times New Roman" w:hint="default"/>
        </w:rPr>
        <w:t>PE</w:t>
      </w:r>
      <w:r>
        <w:rPr>
          <w:rFonts w:ascii="Times New Roman" w:hAnsi="Times New Roman" w:cs="Times New Roman" w:eastAsia="Times New Roman" w:hint="default"/>
          <w:spacing w:val="-14"/>
        </w:rPr>
        <w:t> </w:t>
      </w:r>
      <w:r>
        <w:rPr/>
        <w:t>投资的情况。</w:t>
      </w:r>
    </w:p>
    <w:p>
      <w:pPr>
        <w:spacing w:line="240" w:lineRule="auto" w:before="8"/>
        <w:rPr>
          <w:rFonts w:ascii="宋体" w:hAnsi="宋体" w:cs="宋体" w:eastAsia="宋体" w:hint="default"/>
          <w:sz w:val="20"/>
          <w:szCs w:val="20"/>
        </w:rPr>
      </w:pPr>
    </w:p>
    <w:p>
      <w:pPr>
        <w:pStyle w:val="BodyText"/>
        <w:spacing w:line="240" w:lineRule="auto"/>
        <w:ind w:left="559" w:right="128"/>
        <w:jc w:val="left"/>
      </w:pPr>
      <w:r>
        <w:rPr>
          <w:rFonts w:ascii="Times New Roman" w:hAnsi="Times New Roman" w:cs="Times New Roman" w:eastAsia="Times New Roman" w:hint="default"/>
        </w:rPr>
        <w:t>12</w:t>
      </w:r>
      <w:r>
        <w:rPr/>
        <w:t>、负债及股东权益变动分析</w:t>
      </w:r>
    </w:p>
    <w:p>
      <w:pPr>
        <w:spacing w:line="240" w:lineRule="auto" w:before="6"/>
        <w:rPr>
          <w:rFonts w:ascii="宋体" w:hAnsi="宋体" w:cs="宋体" w:eastAsia="宋体" w:hint="default"/>
          <w:sz w:val="12"/>
          <w:szCs w:val="12"/>
        </w:rPr>
      </w:pPr>
    </w:p>
    <w:tbl>
      <w:tblPr>
        <w:tblW w:w="0" w:type="auto"/>
        <w:jc w:val="left"/>
        <w:tblInd w:w="528" w:type="dxa"/>
        <w:tblLayout w:type="fixed"/>
        <w:tblCellMar>
          <w:top w:w="0" w:type="dxa"/>
          <w:left w:w="0" w:type="dxa"/>
          <w:bottom w:w="0" w:type="dxa"/>
          <w:right w:w="0" w:type="dxa"/>
        </w:tblCellMar>
        <w:tblLook w:val="01E0"/>
      </w:tblPr>
      <w:tblGrid>
        <w:gridCol w:w="2306"/>
        <w:gridCol w:w="1800"/>
        <w:gridCol w:w="1800"/>
        <w:gridCol w:w="1613"/>
      </w:tblGrid>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6"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74"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r>
      <w:tr>
        <w:trPr>
          <w:trHeight w:val="29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166,671,556.08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167,643,737.51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-0.58%</w:t>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48,447,248.07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56,713,622.39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-14.58%</w:t>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239,169,544.54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127,093,760.36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88.18%</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75,056,381.65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72,023,214.26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4.21%</w:t>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60,627,457.69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34,831,989.25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74.06%</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106,190,057.43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52,230,387.74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103.31%</w:t>
            </w:r>
            <w:r>
              <w:rPr>
                <w:rFonts w:ascii="Times New Roman"/>
                <w:sz w:val="18"/>
              </w:rPr>
            </w:r>
          </w:p>
        </w:tc>
      </w:tr>
      <w:tr>
        <w:trPr>
          <w:trHeight w:val="294"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35,009,075.23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22,609,461.98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w w:val="95"/>
                <w:sz w:val="18"/>
              </w:rPr>
              <w:t>54.84%</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16,579,442.22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10,354,622.01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60.12%</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152,095,250.24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103,987,649.57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46.26%</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1,146,422,224.77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856,254,785.41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33.89%</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-626,888.12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-129,082.64</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w w:val="95"/>
                <w:sz w:val="18"/>
              </w:rPr>
              <w:t>-385.65%</w:t>
            </w:r>
            <w:r>
              <w:rPr>
                <w:rFonts w:ascii="Times New Roman"/>
                <w:sz w:val="18"/>
              </w:rPr>
            </w:r>
          </w:p>
        </w:tc>
      </w:tr>
      <w:tr>
        <w:trPr>
          <w:trHeight w:val="295"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18,330,736.13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pacing w:val="-1"/>
                <w:sz w:val="18"/>
              </w:rPr>
              <w:t>14,037,710.76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w w:val="95"/>
                <w:sz w:val="18"/>
              </w:rPr>
              <w:t>30.58%</w:t>
            </w:r>
            <w:r>
              <w:rPr>
                <w:rFonts w:ascii="Times New Roman"/>
                <w:sz w:val="18"/>
              </w:rPr>
            </w:r>
          </w:p>
        </w:tc>
      </w:tr>
    </w:tbl>
    <w:p>
      <w:pPr>
        <w:spacing w:line="240" w:lineRule="auto" w:before="6"/>
        <w:rPr>
          <w:rFonts w:ascii="宋体" w:hAnsi="宋体" w:cs="宋体" w:eastAsia="宋体" w:hint="default"/>
          <w:sz w:val="5"/>
          <w:szCs w:val="5"/>
        </w:rPr>
      </w:pPr>
    </w:p>
    <w:p>
      <w:pPr>
        <w:pStyle w:val="BodyText"/>
        <w:spacing w:line="240" w:lineRule="auto" w:before="35"/>
        <w:ind w:left="560" w:right="128"/>
        <w:jc w:val="left"/>
      </w:pPr>
      <w:r>
        <w:rPr/>
        <w:t>（</w:t>
      </w:r>
      <w:r>
        <w:rPr>
          <w:rFonts w:ascii="Times New Roman" w:hAnsi="Times New Roman" w:cs="Times New Roman" w:eastAsia="Times New Roman" w:hint="default"/>
        </w:rPr>
        <w:t>1</w:t>
      </w:r>
      <w:r>
        <w:rPr/>
        <w:t>）应付账款同比增长</w:t>
      </w:r>
      <w:r>
        <w:rPr>
          <w:spacing w:val="-60"/>
        </w:rPr>
        <w:t> </w:t>
      </w:r>
      <w:r>
        <w:rPr>
          <w:rFonts w:ascii="Times New Roman" w:hAnsi="Times New Roman" w:cs="Times New Roman" w:eastAsia="Times New Roman" w:hint="default"/>
        </w:rPr>
        <w:t>88.18</w:t>
      </w:r>
      <w:r>
        <w:rPr/>
        <w:t>％，主要是购买材料款增加；</w:t>
      </w:r>
    </w:p>
    <w:p>
      <w:pPr>
        <w:pStyle w:val="BodyText"/>
        <w:spacing w:line="362" w:lineRule="auto" w:before="149"/>
        <w:ind w:right="127" w:firstLine="419"/>
        <w:jc w:val="left"/>
      </w:pPr>
      <w:r>
        <w:rPr>
          <w:spacing w:val="-4"/>
        </w:rPr>
        <w:t>（</w:t>
      </w:r>
      <w:r>
        <w:rPr>
          <w:rFonts w:ascii="Times New Roman" w:hAnsi="Times New Roman" w:cs="Times New Roman" w:eastAsia="Times New Roman" w:hint="default"/>
          <w:spacing w:val="-4"/>
        </w:rPr>
        <w:t>2</w:t>
      </w:r>
      <w:r>
        <w:rPr>
          <w:spacing w:val="-4"/>
        </w:rPr>
        <w:t>）应付职工薪酬同比增长</w:t>
      </w:r>
      <w:r>
        <w:rPr>
          <w:spacing w:val="-47"/>
        </w:rPr>
        <w:t> </w:t>
      </w:r>
      <w:r>
        <w:rPr>
          <w:rFonts w:ascii="Times New Roman" w:hAnsi="Times New Roman" w:cs="Times New Roman" w:eastAsia="Times New Roman" w:hint="default"/>
          <w:spacing w:val="-2"/>
        </w:rPr>
        <w:t>74.06</w:t>
      </w:r>
      <w:r>
        <w:rPr>
          <w:spacing w:val="-2"/>
        </w:rPr>
        <w:t>％，主要是由于公司业绩增长引起的绩效工资及奖金</w:t>
      </w:r>
      <w:r>
        <w:rPr/>
        <w:t> 预提数的增加；</w:t>
      </w:r>
    </w:p>
    <w:p>
      <w:pPr>
        <w:pStyle w:val="BodyText"/>
        <w:spacing w:line="362" w:lineRule="auto" w:before="58"/>
        <w:ind w:right="123" w:firstLine="420"/>
        <w:jc w:val="left"/>
      </w:pPr>
      <w:r>
        <w:rPr/>
        <w:t>（</w:t>
      </w:r>
      <w:r>
        <w:rPr>
          <w:rFonts w:ascii="Times New Roman" w:hAnsi="Times New Roman" w:cs="Times New Roman" w:eastAsia="Times New Roman" w:hint="default"/>
        </w:rPr>
        <w:t>3</w:t>
      </w:r>
      <w:r>
        <w:rPr/>
        <w:t>）应交税费同比增长</w:t>
      </w:r>
      <w:r>
        <w:rPr>
          <w:spacing w:val="-47"/>
        </w:rPr>
        <w:t> </w:t>
      </w:r>
      <w:r>
        <w:rPr>
          <w:rFonts w:ascii="Times New Roman" w:hAnsi="Times New Roman" w:cs="Times New Roman" w:eastAsia="Times New Roman" w:hint="default"/>
        </w:rPr>
        <w:t>103.31</w:t>
      </w:r>
      <w:r>
        <w:rPr/>
        <w:t>％，主要是年末税收收入增加引起的应交增值税增加及 企业利润增加引起的企业所得税增加。</w:t>
      </w:r>
    </w:p>
    <w:p>
      <w:pPr>
        <w:pStyle w:val="BodyText"/>
        <w:spacing w:line="240" w:lineRule="auto" w:before="57"/>
        <w:ind w:left="560" w:right="128"/>
        <w:jc w:val="left"/>
      </w:pPr>
      <w:r>
        <w:rPr/>
        <w:t>（</w:t>
      </w:r>
      <w:r>
        <w:rPr>
          <w:rFonts w:ascii="Times New Roman" w:hAnsi="Times New Roman" w:cs="Times New Roman" w:eastAsia="Times New Roman" w:hint="default"/>
        </w:rPr>
        <w:t>4</w:t>
      </w:r>
      <w:r>
        <w:rPr/>
        <w:t>）其他应付款同比增长</w:t>
      </w:r>
      <w:r>
        <w:rPr>
          <w:spacing w:val="-59"/>
        </w:rPr>
        <w:t> </w:t>
      </w:r>
      <w:r>
        <w:rPr>
          <w:rFonts w:ascii="Times New Roman" w:hAnsi="Times New Roman" w:cs="Times New Roman" w:eastAsia="Times New Roman" w:hint="default"/>
        </w:rPr>
        <w:t>54.84</w:t>
      </w:r>
      <w:r>
        <w:rPr/>
        <w:t>％，主要是按合同计提的技术服务费及代理费增加。</w:t>
      </w:r>
    </w:p>
    <w:p>
      <w:pPr>
        <w:pStyle w:val="BodyText"/>
        <w:spacing w:line="240" w:lineRule="auto" w:before="149"/>
        <w:ind w:left="560" w:right="97"/>
        <w:jc w:val="left"/>
      </w:pPr>
      <w:r>
        <w:rPr>
          <w:spacing w:val="-4"/>
        </w:rPr>
        <w:t>（</w:t>
      </w:r>
      <w:r>
        <w:rPr>
          <w:rFonts w:ascii="Times New Roman" w:hAnsi="Times New Roman" w:cs="Times New Roman" w:eastAsia="Times New Roman" w:hint="default"/>
          <w:spacing w:val="-4"/>
        </w:rPr>
        <w:t>5</w:t>
      </w:r>
      <w:r>
        <w:rPr>
          <w:spacing w:val="-4"/>
        </w:rPr>
        <w:t>）其他非流动负债同比增长</w:t>
      </w:r>
      <w:r>
        <w:rPr>
          <w:spacing w:val="-42"/>
        </w:rPr>
        <w:t> </w:t>
      </w:r>
      <w:r>
        <w:rPr>
          <w:rFonts w:ascii="Times New Roman" w:hAnsi="Times New Roman" w:cs="Times New Roman" w:eastAsia="Times New Roman" w:hint="default"/>
          <w:spacing w:val="-2"/>
        </w:rPr>
        <w:t>60.12</w:t>
      </w:r>
      <w:r>
        <w:rPr>
          <w:spacing w:val="-2"/>
        </w:rPr>
        <w:t>％，主要是研发项目政府拨款形成的递延收益的增</w:t>
      </w:r>
    </w:p>
    <w:p>
      <w:pPr>
        <w:spacing w:after="0" w:line="240" w:lineRule="auto"/>
        <w:jc w:val="left"/>
        <w:sectPr>
          <w:pgSz w:w="11910" w:h="16840"/>
          <w:pgMar w:header="400" w:footer="982" w:top="1100" w:bottom="1180" w:left="1660" w:right="1660"/>
        </w:sectPr>
      </w:pPr>
    </w:p>
    <w:p>
      <w:pPr>
        <w:spacing w:line="240" w:lineRule="auto" w:before="12"/>
        <w:rPr>
          <w:rFonts w:ascii="宋体" w:hAnsi="宋体" w:cs="宋体" w:eastAsia="宋体" w:hint="default"/>
          <w:sz w:val="29"/>
          <w:szCs w:val="29"/>
        </w:rPr>
      </w:pPr>
    </w:p>
    <w:p>
      <w:pPr>
        <w:pStyle w:val="BodyText"/>
        <w:spacing w:line="240" w:lineRule="auto" w:before="35"/>
        <w:ind w:left="220" w:right="207"/>
        <w:jc w:val="left"/>
      </w:pPr>
      <w:r>
        <w:rPr/>
        <w:t>加。</w:t>
      </w:r>
    </w:p>
    <w:p>
      <w:pPr>
        <w:pStyle w:val="BodyText"/>
        <w:spacing w:line="362" w:lineRule="auto" w:before="165"/>
        <w:ind w:left="220" w:right="207" w:firstLine="420"/>
        <w:jc w:val="left"/>
      </w:pPr>
      <w:r>
        <w:rPr/>
        <w:t>（</w:t>
      </w:r>
      <w:r>
        <w:rPr>
          <w:rFonts w:ascii="Times New Roman" w:hAnsi="Times New Roman" w:cs="Times New Roman" w:eastAsia="Times New Roman" w:hint="default"/>
        </w:rPr>
        <w:t>6</w:t>
      </w:r>
      <w:r>
        <w:rPr/>
        <w:t>）未分配利润和盈余公积分别比去年同期增加 </w:t>
      </w:r>
      <w:r>
        <w:rPr>
          <w:rFonts w:ascii="Times New Roman" w:hAnsi="Times New Roman" w:cs="Times New Roman" w:eastAsia="Times New Roman" w:hint="default"/>
        </w:rPr>
        <w:t>33.89%</w:t>
      </w:r>
      <w:r>
        <w:rPr/>
        <w:t>和</w:t>
      </w:r>
      <w:r>
        <w:rPr>
          <w:spacing w:val="-33"/>
        </w:rPr>
        <w:t> </w:t>
      </w:r>
      <w:r>
        <w:rPr>
          <w:rFonts w:ascii="Times New Roman" w:hAnsi="Times New Roman" w:cs="Times New Roman" w:eastAsia="Times New Roman" w:hint="default"/>
        </w:rPr>
        <w:t>46.26%</w:t>
      </w:r>
      <w:r>
        <w:rPr/>
        <w:t>，主要是公司经营 业绩增加；</w:t>
      </w:r>
    </w:p>
    <w:p>
      <w:pPr>
        <w:pStyle w:val="BodyText"/>
        <w:spacing w:line="240" w:lineRule="auto" w:before="58"/>
        <w:ind w:left="640" w:right="207"/>
        <w:jc w:val="left"/>
      </w:pPr>
      <w:r>
        <w:rPr/>
        <w:t>（</w:t>
      </w:r>
      <w:r>
        <w:rPr>
          <w:rFonts w:ascii="Times New Roman" w:hAnsi="Times New Roman" w:cs="Times New Roman" w:eastAsia="Times New Roman" w:hint="default"/>
        </w:rPr>
        <w:t>7</w:t>
      </w:r>
      <w:r>
        <w:rPr/>
        <w:t>）外币报表折算差比去年同期减少</w:t>
      </w:r>
      <w:r>
        <w:rPr>
          <w:spacing w:val="-59"/>
        </w:rPr>
        <w:t> </w:t>
      </w:r>
      <w:r>
        <w:rPr>
          <w:rFonts w:ascii="Times New Roman" w:hAnsi="Times New Roman" w:cs="Times New Roman" w:eastAsia="Times New Roman" w:hint="default"/>
        </w:rPr>
        <w:t>385.65%</w:t>
      </w:r>
      <w:r>
        <w:rPr/>
        <w:t>，主要是人民币汇率升值；</w:t>
      </w:r>
    </w:p>
    <w:p>
      <w:pPr>
        <w:pStyle w:val="BodyText"/>
        <w:spacing w:line="362" w:lineRule="auto" w:before="149"/>
        <w:ind w:left="220" w:right="209" w:firstLine="419"/>
        <w:jc w:val="left"/>
      </w:pPr>
      <w:r>
        <w:rPr>
          <w:spacing w:val="-2"/>
        </w:rPr>
        <w:t>（</w:t>
      </w:r>
      <w:r>
        <w:rPr>
          <w:rFonts w:ascii="Times New Roman" w:hAnsi="Times New Roman" w:cs="Times New Roman" w:eastAsia="Times New Roman" w:hint="default"/>
          <w:spacing w:val="-2"/>
        </w:rPr>
        <w:t>8</w:t>
      </w:r>
      <w:r>
        <w:rPr>
          <w:spacing w:val="-2"/>
        </w:rPr>
        <w:t>）少数股东权益比去年同期增加</w:t>
      </w:r>
      <w:r>
        <w:rPr>
          <w:spacing w:val="-40"/>
        </w:rPr>
        <w:t> </w:t>
      </w:r>
      <w:r>
        <w:rPr>
          <w:rFonts w:ascii="Times New Roman" w:hAnsi="Times New Roman" w:cs="Times New Roman" w:eastAsia="Times New Roman" w:hint="default"/>
          <w:spacing w:val="-2"/>
        </w:rPr>
        <w:t>30.58%</w:t>
      </w:r>
      <w:r>
        <w:rPr>
          <w:spacing w:val="-2"/>
        </w:rPr>
        <w:t>，主要是全资子公司深圳银通新设投资公司</w:t>
      </w:r>
      <w:r>
        <w:rPr/>
        <w:t> 形成的。</w:t>
      </w:r>
    </w:p>
    <w:p>
      <w:pPr>
        <w:pStyle w:val="BodyText"/>
        <w:spacing w:line="240" w:lineRule="auto" w:before="37"/>
        <w:ind w:left="640" w:right="207"/>
        <w:jc w:val="left"/>
      </w:pPr>
      <w:r>
        <w:rPr>
          <w:rFonts w:ascii="Times New Roman" w:hAnsi="Times New Roman" w:cs="Times New Roman" w:eastAsia="Times New Roman" w:hint="default"/>
        </w:rPr>
        <w:t>13</w:t>
      </w:r>
      <w:r>
        <w:rPr/>
        <w:t>、偿债能力分析</w:t>
      </w:r>
    </w:p>
    <w:p>
      <w:pPr>
        <w:spacing w:line="240" w:lineRule="auto" w:before="9"/>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448"/>
        <w:gridCol w:w="1093"/>
        <w:gridCol w:w="1364"/>
        <w:gridCol w:w="2220"/>
        <w:gridCol w:w="1397"/>
      </w:tblGrid>
      <w:tr>
        <w:trPr>
          <w:trHeight w:val="310"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96" w:right="0"/>
              <w:jc w:val="left"/>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9"/>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2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368"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流动比率（倍）</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3.64</w:t>
            </w:r>
            <w:r>
              <w:rPr>
                <w:rFonts w:ascii="Times New Roman"/>
                <w:sz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-9.07%</w:t>
            </w:r>
            <w:r>
              <w:rPr>
                <w:rFonts w:ascii="Times New Roman"/>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2.58</w:t>
            </w:r>
            <w:r>
              <w:rPr>
                <w:rFonts w:ascii="Times New Roman"/>
                <w:sz w:val="21"/>
              </w:rPr>
            </w:r>
          </w:p>
        </w:tc>
      </w:tr>
      <w:tr>
        <w:trPr>
          <w:trHeight w:val="4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速动比率（倍）</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2.85</w:t>
            </w:r>
            <w:r>
              <w:rPr>
                <w:rFonts w:ascii="Times New Roman"/>
                <w:sz w:val="21"/>
              </w:rPr>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-3.16%</w:t>
            </w:r>
            <w:r>
              <w:rPr>
                <w:rFonts w:ascii="Times New Roman"/>
                <w:sz w:val="21"/>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1.87</w:t>
            </w:r>
            <w:r>
              <w:rPr>
                <w:rFonts w:ascii="Times New Roman"/>
                <w:sz w:val="21"/>
              </w:rPr>
            </w:r>
          </w:p>
        </w:tc>
      </w:tr>
      <w:tr>
        <w:trPr>
          <w:trHeight w:val="50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3"/>
              <w:jc w:val="left"/>
              <w:rPr>
                <w:rFonts w:ascii="宋体" w:hAnsi="宋体" w:cs="宋体" w:eastAsia="宋体" w:hint="default"/>
                <w:sz w:val="21"/>
                <w:szCs w:val="21"/>
              </w:rPr>
            </w:pPr>
            <w:r>
              <w:rPr>
                <w:rFonts w:ascii="宋体" w:hAnsi="宋体" w:cs="宋体" w:eastAsia="宋体" w:hint="default"/>
                <w:sz w:val="21"/>
                <w:szCs w:val="21"/>
              </w:rPr>
              <w:t>资产负债</w:t>
            </w:r>
            <w:r>
              <w:rPr>
                <w:rFonts w:ascii="宋体" w:hAnsi="宋体" w:cs="宋体" w:eastAsia="宋体" w:hint="default"/>
                <w:spacing w:val="-96"/>
                <w:sz w:val="21"/>
                <w:szCs w:val="21"/>
              </w:rPr>
              <w:t>率</w:t>
            </w:r>
            <w:r>
              <w:rPr>
                <w:rFonts w:ascii="宋体" w:hAnsi="宋体" w:cs="宋体" w:eastAsia="宋体" w:hint="default"/>
                <w:sz w:val="21"/>
                <w:szCs w:val="21"/>
              </w:rPr>
              <w:t>（母公司</w:t>
            </w:r>
            <w:r>
              <w:rPr>
                <w:rFonts w:ascii="宋体" w:hAnsi="宋体" w:cs="宋体" w:eastAsia="宋体" w:hint="default"/>
                <w:spacing w:val="-192"/>
                <w:sz w:val="21"/>
                <w:szCs w:val="21"/>
              </w:rPr>
              <w:t>）</w:t>
            </w:r>
            <w:r>
              <w:rPr>
                <w:rFonts w:ascii="宋体" w:hAnsi="宋体" w:cs="宋体" w:eastAsia="宋体" w:hint="default"/>
                <w:sz w:val="21"/>
                <w:szCs w:val="21"/>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01"/>
              <w:jc w:val="right"/>
              <w:rPr>
                <w:rFonts w:ascii="宋体" w:hAnsi="宋体" w:cs="宋体" w:eastAsia="宋体" w:hint="default"/>
                <w:sz w:val="21"/>
                <w:szCs w:val="21"/>
              </w:rPr>
            </w:pPr>
            <w:r>
              <w:rPr>
                <w:rFonts w:ascii="宋体" w:hAnsi="宋体" w:cs="宋体" w:eastAsia="宋体" w:hint="default"/>
                <w:sz w:val="21"/>
                <w:szCs w:val="21"/>
              </w:rPr>
              <w:t>同比上升</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个百分点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36.20%</w:t>
            </w:r>
          </w:p>
        </w:tc>
      </w:tr>
      <w:tr>
        <w:trPr>
          <w:trHeight w:val="49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3,801.34</w:t>
            </w:r>
            <w:r>
              <w:rPr>
                <w:rFonts w:ascii="Times New Roman"/>
                <w:sz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445.76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752.78%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150.74</w:t>
            </w:r>
          </w:p>
        </w:tc>
      </w:tr>
    </w:tbl>
    <w:p>
      <w:pPr>
        <w:spacing w:line="240" w:lineRule="auto" w:before="6"/>
        <w:rPr>
          <w:rFonts w:ascii="宋体" w:hAnsi="宋体" w:cs="宋体" w:eastAsia="宋体" w:hint="default"/>
          <w:sz w:val="5"/>
          <w:szCs w:val="5"/>
        </w:rPr>
      </w:pPr>
    </w:p>
    <w:p>
      <w:pPr>
        <w:pStyle w:val="BodyText"/>
        <w:spacing w:line="369" w:lineRule="auto" w:before="35"/>
        <w:ind w:left="220" w:right="215" w:firstLine="420"/>
        <w:jc w:val="both"/>
      </w:pPr>
      <w:r>
        <w:rPr/>
        <w:t>报告期内，公司流动比率、速动比率与 </w:t>
      </w:r>
      <w:r>
        <w:rPr>
          <w:rFonts w:ascii="Times New Roman" w:hAnsi="Times New Roman" w:cs="Times New Roman" w:eastAsia="Times New Roman" w:hint="default"/>
        </w:rPr>
        <w:t>2009 </w:t>
      </w:r>
      <w:r>
        <w:rPr/>
        <w:t>年相比略有下降，但流动比率超过</w:t>
      </w:r>
      <w:r>
        <w:rPr>
          <w:spacing w:val="-45"/>
        </w:rPr>
        <w:t> </w:t>
      </w:r>
      <w:r>
        <w:rPr>
          <w:rFonts w:ascii="Times New Roman" w:hAnsi="Times New Roman" w:cs="Times New Roman" w:eastAsia="Times New Roman" w:hint="default"/>
        </w:rPr>
        <w:t>3</w:t>
      </w:r>
      <w:r>
        <w:rPr/>
        <w:t>，速 动比率超过</w:t>
      </w:r>
      <w:r>
        <w:rPr>
          <w:spacing w:val="-31"/>
        </w:rPr>
        <w:t> </w:t>
      </w:r>
      <w:r>
        <w:rPr>
          <w:rFonts w:ascii="Times New Roman" w:hAnsi="Times New Roman" w:cs="Times New Roman" w:eastAsia="Times New Roman" w:hint="default"/>
          <w:spacing w:val="-2"/>
        </w:rPr>
        <w:t>2</w:t>
      </w:r>
      <w:r>
        <w:rPr>
          <w:spacing w:val="-2"/>
        </w:rPr>
        <w:t>，仍显示公司具备良好的资产流动性和短期偿债能力；资产负债率有所上升主</w:t>
      </w:r>
      <w:r>
        <w:rPr>
          <w:spacing w:val="-101"/>
        </w:rPr>
        <w:t> </w:t>
      </w:r>
      <w:r>
        <w:rPr>
          <w:spacing w:val="-101"/>
        </w:rPr>
      </w:r>
      <w:r>
        <w:rPr>
          <w:spacing w:val="-3"/>
        </w:rPr>
        <w:t>要是应付材料款和应交税金增加；利息保障倍数因报告期利润增长，且不存在支付银行贷款</w:t>
      </w:r>
      <w:r>
        <w:rPr>
          <w:spacing w:val="-79"/>
        </w:rPr>
        <w:t> </w:t>
      </w:r>
      <w:r>
        <w:rPr>
          <w:spacing w:val="-79"/>
        </w:rPr>
      </w:r>
      <w:r>
        <w:rPr/>
        <w:t>利息（只有少量押汇利息）而大幅度提高。</w:t>
      </w:r>
    </w:p>
    <w:p>
      <w:pPr>
        <w:pStyle w:val="BodyText"/>
        <w:spacing w:line="384" w:lineRule="auto" w:before="52"/>
        <w:ind w:left="220" w:right="217" w:firstLine="420"/>
        <w:jc w:val="both"/>
      </w:pPr>
      <w:r>
        <w:rPr>
          <w:spacing w:val="-3"/>
        </w:rPr>
        <w:t>报告期，公司资金充裕，盈利能力较强，且公司与银行保持着良好的合作关系，不存在</w:t>
      </w:r>
      <w:r>
        <w:rPr/>
        <w:t> 偿债能力风险。公司连续多年荣获“全国守合同重信用企业”的称号。</w:t>
      </w:r>
    </w:p>
    <w:p>
      <w:pPr>
        <w:spacing w:line="240" w:lineRule="auto" w:before="5"/>
        <w:rPr>
          <w:rFonts w:ascii="宋体" w:hAnsi="宋体" w:cs="宋体" w:eastAsia="宋体" w:hint="default"/>
          <w:sz w:val="9"/>
          <w:szCs w:val="9"/>
        </w:rPr>
      </w:pPr>
    </w:p>
    <w:p>
      <w:pPr>
        <w:pStyle w:val="BodyText"/>
        <w:spacing w:line="240" w:lineRule="auto" w:before="35"/>
        <w:ind w:left="640" w:right="207"/>
        <w:jc w:val="left"/>
      </w:pPr>
      <w:r>
        <w:rPr>
          <w:rFonts w:ascii="Times New Roman" w:hAnsi="Times New Roman" w:cs="Times New Roman" w:eastAsia="Times New Roman" w:hint="default"/>
        </w:rPr>
        <w:t>14</w:t>
      </w:r>
      <w:r>
        <w:rPr/>
        <w:t>、资产营运能力分析</w:t>
      </w:r>
    </w:p>
    <w:p>
      <w:pPr>
        <w:pStyle w:val="BodyText"/>
        <w:spacing w:line="240" w:lineRule="auto" w:before="128"/>
        <w:ind w:left="0" w:right="217"/>
        <w:jc w:val="right"/>
      </w:pPr>
      <w:r>
        <w:rPr/>
        <w:t>单位：次</w:t>
      </w:r>
      <w:r>
        <w:rPr>
          <w:rFonts w:ascii="Times New Roman" w:hAnsi="Times New Roman" w:cs="Times New Roman" w:eastAsia="Times New Roman" w:hint="default"/>
        </w:rPr>
        <w:t>/</w:t>
      </w:r>
      <w:r>
        <w:rPr/>
        <w:t>年</w:t>
      </w:r>
    </w:p>
    <w:tbl>
      <w:tblPr>
        <w:tblW w:w="0" w:type="auto"/>
        <w:jc w:val="left"/>
        <w:tblInd w:w="107"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2.48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3.93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-36.90%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3.76</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2.13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1.83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16.39%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1.42</w:t>
            </w:r>
          </w:p>
        </w:tc>
      </w:tr>
    </w:tbl>
    <w:p>
      <w:pPr>
        <w:spacing w:line="240" w:lineRule="auto" w:before="10"/>
        <w:rPr>
          <w:rFonts w:ascii="宋体" w:hAnsi="宋体" w:cs="宋体" w:eastAsia="宋体" w:hint="default"/>
          <w:sz w:val="6"/>
          <w:szCs w:val="6"/>
        </w:rPr>
      </w:pPr>
    </w:p>
    <w:p>
      <w:pPr>
        <w:pStyle w:val="BodyText"/>
        <w:spacing w:line="376" w:lineRule="auto" w:before="35"/>
        <w:ind w:left="220" w:right="216" w:firstLine="420"/>
        <w:jc w:val="both"/>
      </w:pPr>
      <w:r>
        <w:rPr/>
        <w:t>（</w:t>
      </w:r>
      <w:r>
        <w:rPr>
          <w:rFonts w:ascii="Times New Roman" w:hAnsi="Times New Roman" w:cs="Times New Roman" w:eastAsia="Times New Roman" w:hint="default"/>
        </w:rPr>
        <w:t>1</w:t>
      </w:r>
      <w:r>
        <w:rPr/>
        <w:t>）报告期内由于主要客户推迟付款，应收账款周转率较去年同期有所下降。由于客 </w:t>
      </w:r>
      <w:r>
        <w:rPr>
          <w:spacing w:val="-3"/>
        </w:rPr>
        <w:t>户主要为大型金融企业，具有良好的财务状况和经济实力，信用状况较好，而资产负债表日</w:t>
      </w:r>
      <w:r>
        <w:rPr>
          <w:spacing w:val="-81"/>
        </w:rPr>
        <w:t> </w:t>
      </w:r>
      <w:r>
        <w:rPr>
          <w:spacing w:val="-81"/>
        </w:rPr>
      </w:r>
      <w:r>
        <w:rPr>
          <w:spacing w:val="-3"/>
        </w:rPr>
        <w:t>后已收回部分货款，因此公司应收账款可收回性良好。从公司历年的账款回收情况来看，出</w:t>
      </w:r>
      <w:r>
        <w:rPr>
          <w:spacing w:val="-81"/>
        </w:rPr>
        <w:t> </w:t>
      </w:r>
      <w:r>
        <w:rPr>
          <w:spacing w:val="-81"/>
        </w:rPr>
      </w:r>
      <w:r>
        <w:rPr/>
        <w:t>现坏账损失的情况极少。</w:t>
      </w:r>
    </w:p>
    <w:p>
      <w:pPr>
        <w:pStyle w:val="BodyText"/>
        <w:spacing w:line="362" w:lineRule="auto" w:before="46"/>
        <w:ind w:left="220" w:right="217" w:firstLine="420"/>
        <w:jc w:val="both"/>
      </w:pPr>
      <w:r>
        <w:rPr/>
        <w:t>（</w:t>
      </w:r>
      <w:r>
        <w:rPr>
          <w:rFonts w:ascii="Times New Roman" w:hAnsi="Times New Roman" w:cs="Times New Roman" w:eastAsia="Times New Roman" w:hint="default"/>
        </w:rPr>
        <w:t>2</w:t>
      </w:r>
      <w:r>
        <w:rPr/>
        <w:t>）报告期内公司加强计划物控，严格控制订单领料管理，加强采购生产发货的计划 性，存货周转率较去年同期提高</w:t>
      </w:r>
      <w:r>
        <w:rPr>
          <w:spacing w:val="-55"/>
        </w:rPr>
        <w:t> </w:t>
      </w:r>
      <w:r>
        <w:rPr>
          <w:rFonts w:ascii="Times New Roman" w:hAnsi="Times New Roman" w:cs="Times New Roman" w:eastAsia="Times New Roman" w:hint="default"/>
        </w:rPr>
        <w:t>16.39%</w:t>
      </w:r>
      <w:r>
        <w:rPr/>
        <w:t>。</w:t>
      </w:r>
    </w:p>
    <w:p>
      <w:pPr>
        <w:pStyle w:val="BodyText"/>
        <w:spacing w:line="381" w:lineRule="auto" w:before="9"/>
        <w:ind w:left="640" w:right="5144"/>
        <w:jc w:val="left"/>
      </w:pPr>
      <w:r>
        <w:rPr>
          <w:rFonts w:ascii="Times New Roman" w:hAnsi="Times New Roman" w:cs="Times New Roman" w:eastAsia="Times New Roman" w:hint="default"/>
        </w:rPr>
        <w:t>15</w:t>
      </w:r>
      <w:r>
        <w:rPr/>
        <w:t>、研发情况 公司近三年研发投入情况如下：</w:t>
      </w:r>
    </w:p>
    <w:p>
      <w:pPr>
        <w:pStyle w:val="BodyText"/>
        <w:spacing w:line="240" w:lineRule="auto" w:before="61"/>
        <w:ind w:left="0" w:right="217"/>
        <w:jc w:val="right"/>
      </w:pPr>
      <w:r>
        <w:rPr/>
        <w:t>单位：元</w:t>
      </w:r>
    </w:p>
    <w:p>
      <w:pPr>
        <w:spacing w:after="0" w:line="240" w:lineRule="auto"/>
        <w:jc w:val="right"/>
        <w:sectPr>
          <w:pgSz w:w="11910" w:h="16840"/>
          <w:pgMar w:header="400" w:footer="982" w:top="1100" w:bottom="1180" w:left="1580" w:right="158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840"/>
        <w:gridCol w:w="2840"/>
        <w:gridCol w:w="2842"/>
      </w:tblGrid>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b/>
                <w:bCs/>
                <w:w w:val="95"/>
                <w:sz w:val="21"/>
                <w:szCs w:val="21"/>
              </w:rPr>
              <w:t>年</w:t>
              <w:tab/>
            </w:r>
            <w:r>
              <w:rPr>
                <w:rFonts w:ascii="宋体" w:hAnsi="宋体" w:cs="宋体" w:eastAsia="宋体" w:hint="default"/>
                <w:b/>
                <w:bCs/>
                <w:sz w:val="21"/>
                <w:szCs w:val="21"/>
              </w:rPr>
              <w:t>限</w:t>
            </w:r>
            <w:r>
              <w:rPr>
                <w:rFonts w:ascii="宋体" w:hAnsi="宋体" w:cs="宋体" w:eastAsia="宋体" w:hint="default"/>
                <w:sz w:val="21"/>
                <w:szCs w:val="21"/>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研发支出</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占营业收入的比（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Times New Roman"/>
                <w:sz w:val="21"/>
              </w:rPr>
              <w:t>105,377,868.03</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6.11%</w:t>
            </w:r>
          </w:p>
        </w:tc>
      </w:tr>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82,768,990.96</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5.56%</w:t>
            </w:r>
          </w:p>
        </w:tc>
      </w:tr>
      <w:tr>
        <w:trPr>
          <w:trHeight w:val="35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21"/>
                <w:szCs w:val="21"/>
              </w:rPr>
            </w:pPr>
            <w:r>
              <w:rPr>
                <w:rFonts w:ascii="Times New Roman"/>
                <w:sz w:val="21"/>
              </w:rPr>
              <w:t>70,638,703.80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1"/>
                <w:szCs w:val="21"/>
              </w:rPr>
            </w:pPr>
            <w:r>
              <w:rPr>
                <w:rFonts w:ascii="Times New Roman"/>
                <w:sz w:val="21"/>
              </w:rPr>
              <w:t>5.89%</w:t>
            </w:r>
          </w:p>
        </w:tc>
      </w:tr>
    </w:tbl>
    <w:p>
      <w:pPr>
        <w:pStyle w:val="BodyText"/>
        <w:spacing w:line="297" w:lineRule="auto" w:before="84"/>
        <w:ind w:left="220" w:right="217" w:firstLine="420"/>
        <w:jc w:val="both"/>
      </w:pPr>
      <w:r>
        <w:rPr>
          <w:spacing w:val="-3"/>
        </w:rPr>
        <w:t>一直以来，公司高度重视技术研发，把研发放在战略高度，将其视为公司发展的“永动</w:t>
      </w:r>
      <w:r>
        <w:rPr/>
        <w:t> </w:t>
      </w:r>
      <w:r>
        <w:rPr>
          <w:spacing w:val="-3"/>
        </w:rPr>
        <w:t>机”，始终秉承“比竞争对手看远一点，为用户多做一点”竞争理念，坚持研发高投入，以</w:t>
      </w:r>
      <w:r>
        <w:rPr>
          <w:spacing w:val="-84"/>
        </w:rPr>
        <w:t> </w:t>
      </w:r>
      <w:r>
        <w:rPr>
          <w:spacing w:val="-84"/>
        </w:rPr>
      </w:r>
      <w:r>
        <w:rPr>
          <w:spacing w:val="-3"/>
        </w:rPr>
        <w:t>市场为导向，不断开发新产品，完善核心技术，升级产品结构，并以研发为龙头制订产品成</w:t>
      </w:r>
      <w:r>
        <w:rPr>
          <w:spacing w:val="-80"/>
        </w:rPr>
        <w:t> </w:t>
      </w:r>
      <w:r>
        <w:rPr>
          <w:spacing w:val="-80"/>
        </w:rPr>
      </w:r>
      <w:r>
        <w:rPr/>
        <w:t>本下降规划，全面提升公司综合竞争力。</w:t>
      </w:r>
    </w:p>
    <w:p>
      <w:pPr>
        <w:pStyle w:val="BodyText"/>
        <w:spacing w:line="285" w:lineRule="auto" w:before="134"/>
        <w:ind w:left="220" w:right="214" w:firstLine="420"/>
        <w:jc w:val="both"/>
      </w:pPr>
      <w:r>
        <w:rPr>
          <w:spacing w:val="-3"/>
        </w:rPr>
        <w:t>报告期内，公司在核心技术产业化方面取得突破性进展，新装设备运行良好，取得客户</w:t>
      </w:r>
      <w:r>
        <w:rPr/>
        <w:t> 高度认可；在全球率先推出</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安全主动安防策略，为持卡人提供更加安全、便利的交易 环境，全面升级持卡人的安全用卡体验；共完成</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多款新产品发布，并在全球市场上推广 应用，使中国</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成为国际市场新起之秀；公司产品获得国内外各类产品认证，软件产品 线不断完善，软件工程顺利实施，有效支持了公司业务发展；全年确认申请专利</w:t>
      </w:r>
      <w:r>
        <w:rPr>
          <w:spacing w:val="-48"/>
        </w:rPr>
        <w:t> </w:t>
      </w:r>
      <w:r>
        <w:rPr>
          <w:rFonts w:ascii="Times New Roman" w:hAnsi="Times New Roman" w:cs="Times New Roman" w:eastAsia="Times New Roman" w:hint="default"/>
        </w:rPr>
        <w:t>64</w:t>
      </w:r>
      <w:r>
        <w:rPr>
          <w:rFonts w:ascii="Times New Roman" w:hAnsi="Times New Roman" w:cs="Times New Roman" w:eastAsia="Times New Roman" w:hint="default"/>
          <w:spacing w:val="5"/>
        </w:rPr>
        <w:t> </w:t>
      </w:r>
      <w:r>
        <w:rPr/>
        <w:t>项，其</w:t>
      </w:r>
    </w:p>
    <w:p>
      <w:pPr>
        <w:pStyle w:val="BodyText"/>
        <w:spacing w:line="240" w:lineRule="auto" w:before="6"/>
        <w:ind w:left="220" w:right="0"/>
        <w:jc w:val="both"/>
      </w:pPr>
      <w:r>
        <w:rPr/>
        <w:t>中</w:t>
      </w:r>
      <w:r>
        <w:rPr>
          <w:spacing w:val="-49"/>
        </w:rPr>
        <w:t> </w:t>
      </w:r>
      <w:r>
        <w:rPr>
          <w:rFonts w:ascii="Times New Roman" w:hAnsi="Times New Roman" w:cs="Times New Roman" w:eastAsia="Times New Roman" w:hint="default"/>
        </w:rPr>
        <w:t>pct</w:t>
      </w:r>
      <w:r>
        <w:rPr>
          <w:rFonts w:ascii="Times New Roman" w:hAnsi="Times New Roman" w:cs="Times New Roman" w:eastAsia="Times New Roman" w:hint="default"/>
          <w:spacing w:val="4"/>
        </w:rPr>
        <w:t> </w:t>
      </w:r>
      <w:r>
        <w:rPr/>
        <w:t>国际申请</w:t>
      </w:r>
      <w:r>
        <w:rPr>
          <w:spacing w:val="-49"/>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项，伊朗发明申请</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项，发明</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项、实用新型</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项、外观设计</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项；</w:t>
      </w:r>
    </w:p>
    <w:p>
      <w:pPr>
        <w:pStyle w:val="BodyText"/>
        <w:spacing w:line="240" w:lineRule="auto" w:before="50"/>
        <w:ind w:left="220" w:right="0"/>
        <w:jc w:val="both"/>
      </w:pPr>
      <w:r>
        <w:rPr/>
        <w:t>获得专项授权</w:t>
      </w:r>
      <w:r>
        <w:rPr>
          <w:spacing w:val="-53"/>
        </w:rPr>
        <w:t> </w:t>
      </w:r>
      <w:r>
        <w:rPr>
          <w:rFonts w:ascii="Times New Roman" w:hAnsi="Times New Roman" w:cs="Times New Roman" w:eastAsia="Times New Roman" w:hint="default"/>
        </w:rPr>
        <w:t>40 </w:t>
      </w:r>
      <w:r>
        <w:rPr>
          <w:spacing w:val="-4"/>
        </w:rPr>
        <w:t>项，其中发明</w:t>
      </w:r>
      <w:r>
        <w:rPr>
          <w:spacing w:val="-53"/>
        </w:rPr>
        <w:t> </w:t>
      </w:r>
      <w:r>
        <w:rPr>
          <w:rFonts w:ascii="Times New Roman" w:hAnsi="Times New Roman" w:cs="Times New Roman" w:eastAsia="Times New Roman" w:hint="default"/>
        </w:rPr>
        <w:t>16 </w:t>
      </w:r>
      <w:r>
        <w:rPr>
          <w:spacing w:val="-5"/>
        </w:rPr>
        <w:t>项、实用新型</w:t>
      </w:r>
      <w:r>
        <w:rPr>
          <w:spacing w:val="-53"/>
        </w:rPr>
        <w:t> </w:t>
      </w:r>
      <w:r>
        <w:rPr>
          <w:rFonts w:ascii="Times New Roman" w:hAnsi="Times New Roman" w:cs="Times New Roman" w:eastAsia="Times New Roman" w:hint="default"/>
        </w:rPr>
        <w:t>14 </w:t>
      </w:r>
      <w:r>
        <w:rPr>
          <w:spacing w:val="-4"/>
        </w:rPr>
        <w:t>项、外观设计</w:t>
      </w:r>
      <w:r>
        <w:rPr>
          <w:spacing w:val="-53"/>
        </w:rPr>
        <w:t> </w:t>
      </w:r>
      <w:r>
        <w:rPr>
          <w:rFonts w:ascii="Times New Roman" w:hAnsi="Times New Roman" w:cs="Times New Roman" w:eastAsia="Times New Roman" w:hint="default"/>
        </w:rPr>
        <w:t>10 </w:t>
      </w:r>
      <w:r>
        <w:rPr>
          <w:spacing w:val="-3"/>
        </w:rPr>
        <w:t>项；办理软件著作权登</w:t>
      </w:r>
    </w:p>
    <w:p>
      <w:pPr>
        <w:pStyle w:val="BodyText"/>
        <w:spacing w:line="290" w:lineRule="auto" w:before="49"/>
        <w:ind w:left="219" w:right="217"/>
        <w:jc w:val="both"/>
      </w:pPr>
      <w:r>
        <w:rPr/>
        <w:t>记</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项，软件产品登记</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spacing w:val="-3"/>
        </w:rPr>
        <w:t>项。</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6"/>
        </w:rPr>
        <w:t> </w:t>
      </w:r>
      <w:r>
        <w:rPr/>
        <w:t>年，公司在继</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年之后连续三年被评为“国家规划布 </w:t>
      </w:r>
      <w:r>
        <w:rPr>
          <w:spacing w:val="-8"/>
        </w:rPr>
        <w:t>局内重点软件企业”；被列入“广东省创新型企业”；入选“广州市首批进出口知识产权优势</w:t>
      </w:r>
      <w:r>
        <w:rPr>
          <w:spacing w:val="-83"/>
        </w:rPr>
        <w:t> </w:t>
      </w:r>
      <w:r>
        <w:rPr>
          <w:spacing w:val="-83"/>
        </w:rPr>
      </w:r>
      <w:r>
        <w:rPr/>
        <w:t>企业”名单。</w:t>
      </w:r>
    </w:p>
    <w:p>
      <w:pPr>
        <w:pStyle w:val="BodyText"/>
        <w:spacing w:line="240" w:lineRule="auto" w:before="140"/>
        <w:ind w:left="640" w:right="207"/>
        <w:jc w:val="left"/>
      </w:pPr>
      <w:r>
        <w:rPr/>
        <w:t>报告期内，公司获取专利授权情况如下：</w:t>
      </w:r>
    </w:p>
    <w:p>
      <w:pPr>
        <w:spacing w:line="240" w:lineRule="auto" w:before="12"/>
        <w:rPr>
          <w:rFonts w:ascii="宋体" w:hAnsi="宋体" w:cs="宋体" w:eastAsia="宋体" w:hint="default"/>
          <w:sz w:val="16"/>
          <w:szCs w:val="16"/>
        </w:rPr>
      </w:pPr>
    </w:p>
    <w:tbl>
      <w:tblPr>
        <w:tblW w:w="0" w:type="auto"/>
        <w:jc w:val="left"/>
        <w:tblInd w:w="343" w:type="dxa"/>
        <w:tblLayout w:type="fixed"/>
        <w:tblCellMar>
          <w:top w:w="0" w:type="dxa"/>
          <w:left w:w="0" w:type="dxa"/>
          <w:bottom w:w="0" w:type="dxa"/>
          <w:right w:w="0" w:type="dxa"/>
        </w:tblCellMar>
        <w:tblLook w:val="01E0"/>
      </w:tblPr>
      <w:tblGrid>
        <w:gridCol w:w="602"/>
        <w:gridCol w:w="1722"/>
        <w:gridCol w:w="4760"/>
        <w:gridCol w:w="955"/>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CN200910037734.6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扇形门闸机的阻挡机构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CN200810220016.8</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成叠出票装置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CN200710028800.4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整扎出钞机</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CN200910040104.4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一种防尘键盘</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CN200710032453.2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有价票据真伪鉴别方法及系统</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CN200910037420.6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具有薄片介质堆叠和遗漏回收功能的闸门装置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CN200610036151.8</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币类票处理装置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CN200810219145.5</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暂存装置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CN200710031384.3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一种闸机通道系统、闸机通道的通行目标识别方法及系统</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CN200610032746.6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薄片类介质激光检测设备</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pacing w:val="-4"/>
                <w:sz w:val="18"/>
              </w:rPr>
              <w:t>11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CN200510121473.8</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暂存器机构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CN200810027225.0</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一种薄片类介质处理装置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CN200610033641.2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现金出纳机</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CN200610033001.1</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磁性锁扣及一种使用该磁性锁扣的钱箱</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CN200610032852.4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薄片类介质分离装置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CN200510121217.9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卷闸门及异型材</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CN201020112697.9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钱箱状态检测器</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CN200920236621.4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介质分离装置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19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CN200920194047.0</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薄片类介质传输通道中光学传感器的保护机构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CN200920236654.9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一种防钻防刺探键粒</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4"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CN200920062768.6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存取款机及其钱箱</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bl>
    <w:p>
      <w:pPr>
        <w:spacing w:after="0" w:line="207" w:lineRule="exact"/>
        <w:jc w:val="left"/>
        <w:rPr>
          <w:rFonts w:ascii="宋体" w:hAnsi="宋体" w:cs="宋体" w:eastAsia="宋体" w:hint="default"/>
          <w:sz w:val="18"/>
          <w:szCs w:val="18"/>
        </w:rPr>
        <w:sectPr>
          <w:pgSz w:w="11910" w:h="16840"/>
          <w:pgMar w:header="400" w:footer="982" w:top="1100" w:bottom="1180" w:left="1580" w:right="1580"/>
        </w:sectPr>
      </w:pPr>
    </w:p>
    <w:p>
      <w:pPr>
        <w:spacing w:line="240" w:lineRule="auto" w:before="6"/>
        <w:rPr>
          <w:rFonts w:ascii="宋体" w:hAnsi="宋体" w:cs="宋体" w:eastAsia="宋体" w:hint="default"/>
          <w:sz w:val="24"/>
          <w:szCs w:val="24"/>
        </w:rPr>
      </w:pPr>
    </w:p>
    <w:tbl>
      <w:tblPr>
        <w:tblW w:w="0" w:type="auto"/>
        <w:jc w:val="left"/>
        <w:tblInd w:w="263" w:type="dxa"/>
        <w:tblLayout w:type="fixed"/>
        <w:tblCellMar>
          <w:top w:w="0" w:type="dxa"/>
          <w:left w:w="0" w:type="dxa"/>
          <w:bottom w:w="0" w:type="dxa"/>
          <w:right w:w="0" w:type="dxa"/>
        </w:tblCellMar>
        <w:tblLook w:val="01E0"/>
      </w:tblPr>
      <w:tblGrid>
        <w:gridCol w:w="602"/>
        <w:gridCol w:w="1722"/>
        <w:gridCol w:w="4760"/>
        <w:gridCol w:w="955"/>
      </w:tblGrid>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CN200920193640.3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金融自助服务设备及其钱箱</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CN200920062769.0</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存取款机及其纸币回收箱</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CN200920062365.1</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密码防窥装置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CN200920168007.9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具有凭条回收功能的凭条打印装置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CN200920168006.4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一种凭条打印装置</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CN200920166059.2</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加密键盘及其刺探检测保护结构</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CN200920057869.4</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一种自动存款保险柜</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29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CN200920058095.7</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一种键盘及其键盘弹片绑定层</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CN200920057394.9</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保险柜</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CN201030248342.8</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自助封包存储机（</w:t>
            </w:r>
            <w:r>
              <w:rPr>
                <w:rFonts w:ascii="Times New Roman" w:hAnsi="Times New Roman" w:cs="Times New Roman" w:eastAsia="Times New Roman" w:hint="default"/>
                <w:sz w:val="18"/>
                <w:szCs w:val="18"/>
              </w:rPr>
              <w:t>H90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32</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CN200930080072.1</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H46N</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33</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CN200930077625.8</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闸机（</w:t>
            </w:r>
            <w:r>
              <w:rPr>
                <w:rFonts w:ascii="Times New Roman" w:hAnsi="Times New Roman" w:cs="Times New Roman" w:eastAsia="Times New Roman" w:hint="default"/>
                <w:sz w:val="18"/>
                <w:szCs w:val="18"/>
              </w:rPr>
              <w:t>M720A</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34</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CN200930249488.1</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自助缴费机（</w:t>
            </w:r>
            <w:r>
              <w:rPr>
                <w:rFonts w:ascii="Times New Roman" w:hAnsi="Times New Roman" w:cs="Times New Roman" w:eastAsia="Times New Roman" w:hint="default"/>
                <w:sz w:val="18"/>
                <w:szCs w:val="18"/>
              </w:rPr>
              <w:t>K20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35</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CN200930077650.6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自助售票机（</w:t>
            </w:r>
            <w:r>
              <w:rPr>
                <w:rFonts w:ascii="Times New Roman" w:hAnsi="Times New Roman" w:cs="Times New Roman" w:eastAsia="Times New Roman" w:hint="default"/>
                <w:sz w:val="18"/>
                <w:szCs w:val="18"/>
              </w:rPr>
              <w:t>M875</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6"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36</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CN200930072915.3</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网点现金循环机（</w:t>
            </w:r>
            <w:r>
              <w:rPr>
                <w:rFonts w:ascii="Times New Roman" w:hAnsi="Times New Roman" w:cs="Times New Roman" w:eastAsia="Times New Roman" w:hint="default"/>
                <w:sz w:val="18"/>
                <w:szCs w:val="18"/>
              </w:rPr>
              <w:t>BCR5600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37</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CN200930072905.X</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网点现金循环机（</w:t>
            </w:r>
            <w:r>
              <w:rPr>
                <w:rFonts w:ascii="Times New Roman" w:hAnsi="Times New Roman" w:cs="Times New Roman" w:eastAsia="Times New Roman" w:hint="default"/>
                <w:sz w:val="18"/>
                <w:szCs w:val="18"/>
              </w:rPr>
              <w:t>BCR5500</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CN200930080074.0</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H68NL</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39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CN200930080071.7</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H22NL</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r>
        <w:trPr>
          <w:trHeight w:val="305" w:hRule="exact"/>
        </w:trPr>
        <w:tc>
          <w:tcPr>
            <w:tcW w:w="60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40</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CN200930080073.6</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ind w:left="98" w:right="0"/>
              <w:jc w:val="left"/>
              <w:rPr>
                <w:rFonts w:ascii="宋体" w:hAnsi="宋体" w:cs="宋体" w:eastAsia="宋体" w:hint="default"/>
                <w:sz w:val="18"/>
                <w:szCs w:val="18"/>
              </w:rPr>
            </w:pPr>
            <w:r>
              <w:rPr>
                <w:rFonts w:ascii="宋体" w:hAnsi="宋体" w:cs="宋体" w:eastAsia="宋体" w:hint="default"/>
                <w:sz w:val="18"/>
                <w:szCs w:val="18"/>
              </w:rPr>
              <w:t>自动柜员机（</w:t>
            </w:r>
            <w:r>
              <w:rPr>
                <w:rFonts w:ascii="Times New Roman" w:hAnsi="Times New Roman" w:cs="Times New Roman" w:eastAsia="Times New Roman" w:hint="default"/>
                <w:sz w:val="18"/>
                <w:szCs w:val="18"/>
              </w:rPr>
              <w:t>H22N</w:t>
            </w:r>
            <w:r>
              <w:rPr>
                <w:rFonts w:ascii="宋体" w:hAnsi="宋体" w:cs="宋体" w:eastAsia="宋体" w:hint="default"/>
                <w:sz w:val="18"/>
                <w:szCs w:val="18"/>
              </w:rPr>
              <w:t>）</w:t>
            </w:r>
          </w:p>
        </w:tc>
        <w:tc>
          <w:tcPr>
            <w:tcW w:w="955"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r>
    </w:tbl>
    <w:p>
      <w:pPr>
        <w:spacing w:line="240" w:lineRule="auto" w:before="4"/>
        <w:rPr>
          <w:rFonts w:ascii="宋体" w:hAnsi="宋体" w:cs="宋体" w:eastAsia="宋体" w:hint="default"/>
          <w:sz w:val="22"/>
          <w:szCs w:val="22"/>
        </w:rPr>
      </w:pPr>
    </w:p>
    <w:p>
      <w:pPr>
        <w:pStyle w:val="BodyText"/>
        <w:spacing w:line="240" w:lineRule="auto" w:before="35"/>
        <w:ind w:left="560" w:right="0"/>
        <w:jc w:val="left"/>
      </w:pPr>
      <w:r>
        <w:rPr>
          <w:rFonts w:ascii="Times New Roman" w:hAnsi="Times New Roman" w:cs="Times New Roman" w:eastAsia="Times New Roman" w:hint="default"/>
        </w:rPr>
        <w:t>16</w:t>
      </w:r>
      <w:r>
        <w:rPr/>
        <w:t>、报告期内，公司没有发生并购重组事项</w:t>
      </w:r>
    </w:p>
    <w:p>
      <w:pPr>
        <w:pStyle w:val="BodyText"/>
        <w:spacing w:line="240" w:lineRule="auto" w:before="170"/>
        <w:ind w:left="560" w:right="0"/>
        <w:jc w:val="left"/>
      </w:pPr>
      <w:r>
        <w:rPr>
          <w:rFonts w:ascii="Times New Roman" w:hAnsi="Times New Roman" w:cs="Times New Roman" w:eastAsia="Times New Roman" w:hint="default"/>
        </w:rPr>
        <w:t>17</w:t>
      </w:r>
      <w:r>
        <w:rPr/>
        <w:t>、主要控股公司及参股公司的经营情况及业绩</w:t>
      </w:r>
    </w:p>
    <w:p>
      <w:pPr>
        <w:pStyle w:val="BodyText"/>
        <w:spacing w:line="240" w:lineRule="auto" w:before="169"/>
        <w:ind w:left="560" w:right="0"/>
        <w:jc w:val="left"/>
      </w:pPr>
      <w:r>
        <w:rPr/>
        <w:t>（</w:t>
      </w:r>
      <w:r>
        <w:rPr>
          <w:rFonts w:ascii="Times New Roman" w:hAnsi="Times New Roman" w:cs="Times New Roman" w:eastAsia="Times New Roman" w:hint="default"/>
        </w:rPr>
        <w:t>1</w:t>
      </w:r>
      <w:r>
        <w:rPr/>
        <w:t>）全资子公司——深圳银通</w:t>
      </w:r>
    </w:p>
    <w:p>
      <w:pPr>
        <w:pStyle w:val="BodyText"/>
        <w:spacing w:line="240" w:lineRule="auto" w:before="170"/>
        <w:ind w:left="560" w:right="0"/>
        <w:jc w:val="left"/>
      </w:pPr>
      <w:r>
        <w:rPr/>
        <w:t>深圳银通成立于</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3"/>
        </w:rPr>
        <w:t>日，注册资本为人民币</w:t>
      </w:r>
      <w:r>
        <w:rPr>
          <w:spacing w:val="-56"/>
        </w:rPr>
        <w:t> </w:t>
      </w:r>
      <w:r>
        <w:rPr>
          <w:rFonts w:ascii="Times New Roman" w:hAnsi="Times New Roman" w:cs="Times New Roman" w:eastAsia="Times New Roman" w:hint="default"/>
        </w:rPr>
        <w:t>6,500</w:t>
      </w:r>
      <w:r>
        <w:rPr>
          <w:rFonts w:ascii="Times New Roman" w:hAnsi="Times New Roman" w:cs="Times New Roman" w:eastAsia="Times New Roman" w:hint="default"/>
          <w:spacing w:val="-4"/>
        </w:rPr>
        <w:t> </w:t>
      </w:r>
      <w:r>
        <w:rPr/>
        <w:t>万元，注册地为深圳市福</w:t>
      </w:r>
    </w:p>
    <w:p>
      <w:pPr>
        <w:pStyle w:val="BodyText"/>
        <w:spacing w:line="292" w:lineRule="auto" w:before="50"/>
        <w:ind w:left="139" w:right="100"/>
        <w:jc w:val="left"/>
      </w:pPr>
      <w:r>
        <w:rPr/>
        <w:t>田区深南路竹子林博园商务大厦</w:t>
      </w:r>
      <w:r>
        <w:rPr>
          <w:spacing w:val="-49"/>
        </w:rPr>
        <w:t> </w:t>
      </w:r>
      <w:r>
        <w:rPr>
          <w:rFonts w:ascii="Times New Roman" w:hAnsi="Times New Roman" w:cs="Times New Roman" w:eastAsia="Times New Roman" w:hint="default"/>
        </w:rPr>
        <w:t>805</w:t>
      </w:r>
      <w:r>
        <w:rPr>
          <w:rFonts w:ascii="Times New Roman" w:hAnsi="Times New Roman" w:cs="Times New Roman" w:eastAsia="Times New Roman" w:hint="default"/>
          <w:spacing w:val="4"/>
        </w:rPr>
        <w:t> </w:t>
      </w:r>
      <w:r>
        <w:rPr>
          <w:spacing w:val="-5"/>
        </w:rPr>
        <w:t>房，法定代表人为叶子瑜，经营范围为研发、生产经营</w:t>
      </w:r>
      <w:r>
        <w:rPr>
          <w:spacing w:val="-94"/>
        </w:rPr>
        <w:t> </w:t>
      </w:r>
      <w:r>
        <w:rPr>
          <w:spacing w:val="-94"/>
        </w:rPr>
      </w:r>
      <w:r>
        <w:rPr>
          <w:spacing w:val="-5"/>
        </w:rPr>
        <w:t>金融电子设备；计算机软件开发，计算机系统集成，计算机设备、金融电子设备、办公设备、</w:t>
      </w:r>
      <w:r>
        <w:rPr>
          <w:spacing w:val="-100"/>
        </w:rPr>
        <w:t> </w:t>
      </w:r>
      <w:r>
        <w:rPr>
          <w:spacing w:val="-100"/>
        </w:rPr>
      </w:r>
      <w:r>
        <w:rPr>
          <w:spacing w:val="-3"/>
        </w:rPr>
        <w:t>税控设备的技术开发、技术咨询、技术服务及租赁；货物及技术进出口；接受合法委托对现</w:t>
      </w:r>
      <w:r>
        <w:rPr>
          <w:spacing w:val="-80"/>
        </w:rPr>
        <w:t> </w:t>
      </w:r>
      <w:r>
        <w:rPr>
          <w:spacing w:val="-80"/>
        </w:rPr>
      </w:r>
      <w:r>
        <w:rPr/>
        <w:t>金及有价证券提供清分处理服务。目前，深圳银通主要从事货币自动处理设备的维护服务、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营运业务以及金融服务全外包业务。</w:t>
      </w:r>
    </w:p>
    <w:p>
      <w:pPr>
        <w:pStyle w:val="BodyText"/>
        <w:spacing w:line="290" w:lineRule="auto" w:before="117"/>
        <w:ind w:left="139" w:right="111" w:firstLine="420"/>
        <w:jc w:val="both"/>
      </w:pPr>
      <w:r>
        <w:rPr>
          <w:spacing w:val="-3"/>
        </w:rPr>
        <w:t>报告期内，深圳银通借助信息化创新服务管理方法，提升管理效率；积极探索服务模式</w:t>
      </w:r>
      <w:r>
        <w:rPr/>
        <w:t> </w:t>
      </w:r>
      <w:r>
        <w:rPr>
          <w:spacing w:val="-3"/>
        </w:rPr>
        <w:t>创新，开拓新业务模式，服务产品链不断延伸；整合业务资源，完善服务产品组合，全力开</w:t>
      </w:r>
      <w:r>
        <w:rPr>
          <w:spacing w:val="-84"/>
        </w:rPr>
        <w:t> </w:t>
      </w:r>
      <w:r>
        <w:rPr>
          <w:spacing w:val="-84"/>
        </w:rPr>
      </w:r>
      <w:r>
        <w:rPr/>
        <w:t>拓市场，公司在</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维保市场的占有率持续提高；加强服务网络和品牌建设，服务体系进 </w:t>
      </w:r>
      <w:r>
        <w:rPr>
          <w:spacing w:val="-3"/>
        </w:rPr>
        <w:t>一步完善，经受住了上海世博会、亚运、国庆等重大服务保障工作的考验，赢得了客户高度</w:t>
      </w:r>
      <w:r>
        <w:rPr>
          <w:spacing w:val="-80"/>
        </w:rPr>
        <w:t> </w:t>
      </w:r>
      <w:r>
        <w:rPr>
          <w:spacing w:val="-80"/>
        </w:rPr>
      </w:r>
      <w:r>
        <w:rPr/>
        <w:t>好评。报告期内，深圳银通新增服务网点</w:t>
      </w:r>
      <w:r>
        <w:rPr>
          <w:spacing w:val="-52"/>
        </w:rPr>
        <w:t> </w:t>
      </w:r>
      <w:r>
        <w:rPr>
          <w:rFonts w:ascii="Times New Roman" w:hAnsi="Times New Roman" w:cs="Times New Roman" w:eastAsia="Times New Roman" w:hint="default"/>
        </w:rPr>
        <w:t>47</w:t>
      </w:r>
      <w:r>
        <w:rPr>
          <w:rFonts w:ascii="Times New Roman" w:hAnsi="Times New Roman" w:cs="Times New Roman" w:eastAsia="Times New Roman" w:hint="default"/>
          <w:spacing w:val="1"/>
        </w:rPr>
        <w:t> </w:t>
      </w:r>
      <w:r>
        <w:rPr/>
        <w:t>个，使其网点由年初的</w:t>
      </w:r>
      <w:r>
        <w:rPr>
          <w:spacing w:val="-52"/>
        </w:rPr>
        <w:t> </w:t>
      </w:r>
      <w:r>
        <w:rPr>
          <w:rFonts w:ascii="Times New Roman" w:hAnsi="Times New Roman" w:cs="Times New Roman" w:eastAsia="Times New Roman" w:hint="default"/>
        </w:rPr>
        <w:t>235</w:t>
      </w:r>
      <w:r>
        <w:rPr>
          <w:rFonts w:ascii="Times New Roman" w:hAnsi="Times New Roman" w:cs="Times New Roman" w:eastAsia="Times New Roman" w:hint="default"/>
          <w:spacing w:val="1"/>
        </w:rPr>
        <w:t> </w:t>
      </w:r>
      <w:r>
        <w:rPr/>
        <w:t>个增加至</w:t>
      </w:r>
      <w:r>
        <w:rPr>
          <w:spacing w:val="-52"/>
        </w:rPr>
        <w:t> </w:t>
      </w:r>
      <w:r>
        <w:rPr>
          <w:rFonts w:ascii="Times New Roman" w:hAnsi="Times New Roman" w:cs="Times New Roman" w:eastAsia="Times New Roman" w:hint="default"/>
        </w:rPr>
        <w:t>282</w:t>
      </w:r>
      <w:r>
        <w:rPr>
          <w:rFonts w:ascii="Times New Roman" w:hAnsi="Times New Roman" w:cs="Times New Roman" w:eastAsia="Times New Roman" w:hint="default"/>
          <w:spacing w:val="1"/>
        </w:rPr>
        <w:t> </w:t>
      </w:r>
      <w:r>
        <w:rPr/>
        <w:t>个， </w:t>
      </w:r>
      <w:r>
        <w:rPr>
          <w:spacing w:val="-5"/>
        </w:rPr>
        <w:t>保持服务网点与服务规模同步发展，快速响应用户需求；金融服务外包业务也取得较大进展。</w:t>
      </w:r>
    </w:p>
    <w:p>
      <w:pPr>
        <w:pStyle w:val="BodyText"/>
        <w:spacing w:line="285" w:lineRule="auto" w:before="140"/>
        <w:ind w:left="139" w:right="216" w:firstLine="420"/>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7"/>
        </w:rPr>
        <w:t>日，深圳银通投资成立江苏保通金融外包服务有限公司，注册资本为</w:t>
      </w:r>
      <w:r>
        <w:rPr>
          <w:spacing w:val="-51"/>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rPr>
        <w:t> </w:t>
      </w:r>
      <w:r>
        <w:rPr/>
        <w:t>万元人民币（深圳银通占比</w:t>
      </w:r>
      <w:r>
        <w:rPr>
          <w:spacing w:val="-32"/>
        </w:rPr>
        <w:t> </w:t>
      </w:r>
      <w:r>
        <w:rPr>
          <w:rFonts w:ascii="Times New Roman" w:hAnsi="Times New Roman" w:cs="Times New Roman" w:eastAsia="Times New Roman" w:hint="default"/>
          <w:spacing w:val="-6"/>
        </w:rPr>
        <w:t>55</w:t>
      </w:r>
      <w:r>
        <w:rPr>
          <w:spacing w:val="-6"/>
        </w:rPr>
        <w:t>％），注册地为南京市秦淮区七里街</w:t>
      </w:r>
      <w:r>
        <w:rPr>
          <w:spacing w:val="-32"/>
        </w:rPr>
        <w:t> </w:t>
      </w:r>
      <w:r>
        <w:rPr>
          <w:rFonts w:ascii="Times New Roman" w:hAnsi="Times New Roman" w:cs="Times New Roman" w:eastAsia="Times New Roman" w:hint="default"/>
        </w:rPr>
        <w:t>96</w:t>
      </w:r>
      <w:r>
        <w:rPr>
          <w:rFonts w:ascii="Times New Roman" w:hAnsi="Times New Roman" w:cs="Times New Roman" w:eastAsia="Times New Roman" w:hint="default"/>
          <w:spacing w:val="21"/>
        </w:rPr>
        <w:t> </w:t>
      </w:r>
      <w:r>
        <w:rPr/>
        <w:t>号，法定代表人为陈 </w:t>
      </w:r>
      <w:r>
        <w:rPr>
          <w:spacing w:val="-3"/>
        </w:rPr>
        <w:t>振光，经营范围为提供对银行自动柜员机进行日常运行及管理服务、现金及有价证券的清分</w:t>
      </w:r>
      <w:r>
        <w:rPr>
          <w:spacing w:val="-79"/>
        </w:rPr>
        <w:t> </w:t>
      </w:r>
      <w:r>
        <w:rPr>
          <w:spacing w:val="-79"/>
        </w:rPr>
      </w:r>
      <w:r>
        <w:rPr/>
        <w:t>处理服务、对银行自动柜员机的咨询服务、贵重物品保管服务。</w:t>
      </w:r>
    </w:p>
    <w:p>
      <w:pPr>
        <w:pStyle w:val="BodyText"/>
        <w:spacing w:line="240" w:lineRule="auto" w:before="145"/>
        <w:ind w:left="559" w:right="0"/>
        <w:jc w:val="left"/>
        <w:rPr>
          <w:rFonts w:ascii="Times New Roman" w:hAnsi="Times New Roman" w:cs="Times New Roman" w:eastAsia="Times New Roman" w:hint="default"/>
        </w:rPr>
      </w:pPr>
      <w:r>
        <w:rPr>
          <w:rFonts w:ascii="Times New Roman" w:hAnsi="Times New Roman" w:cs="Times New Roman" w:eastAsia="Times New Roman" w:hint="default"/>
        </w:rPr>
        <w:t>2010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29 </w:t>
      </w:r>
      <w:r>
        <w:rPr/>
        <w:t>日，深圳银通投资成立深圳鹏通金融服务有限公司，注册资本为</w:t>
      </w:r>
      <w:r>
        <w:rPr>
          <w:spacing w:val="-35"/>
        </w:rPr>
        <w:t> </w:t>
      </w:r>
      <w:r>
        <w:rPr>
          <w:rFonts w:ascii="Times New Roman" w:hAnsi="Times New Roman" w:cs="Times New Roman" w:eastAsia="Times New Roman" w:hint="default"/>
        </w:rPr>
        <w:t>498</w:t>
      </w:r>
    </w:p>
    <w:p>
      <w:pPr>
        <w:spacing w:after="0" w:line="240" w:lineRule="auto"/>
        <w:jc w:val="left"/>
        <w:rPr>
          <w:rFonts w:ascii="Times New Roman" w:hAnsi="Times New Roman" w:cs="Times New Roman" w:eastAsia="Times New Roman" w:hint="default"/>
        </w:rPr>
        <w:sectPr>
          <w:pgSz w:w="11910" w:h="16840"/>
          <w:pgMar w:header="400" w:footer="982" w:top="1100" w:bottom="1180" w:left="1660" w:right="1580"/>
        </w:sectPr>
      </w:pPr>
    </w:p>
    <w:p>
      <w:pPr>
        <w:spacing w:line="240" w:lineRule="auto" w:before="8"/>
        <w:rPr>
          <w:rFonts w:ascii="Times New Roman" w:hAnsi="Times New Roman" w:cs="Times New Roman" w:eastAsia="Times New Roman" w:hint="default"/>
          <w:sz w:val="21"/>
          <w:szCs w:val="21"/>
        </w:rPr>
      </w:pPr>
    </w:p>
    <w:p>
      <w:pPr>
        <w:pStyle w:val="BodyText"/>
        <w:spacing w:line="288" w:lineRule="auto" w:before="35"/>
        <w:ind w:right="197"/>
        <w:jc w:val="both"/>
      </w:pPr>
      <w:r>
        <w:rPr>
          <w:spacing w:val="-2"/>
        </w:rPr>
        <w:t>万元人民币（深圳银通占比</w:t>
      </w:r>
      <w:r>
        <w:rPr>
          <w:spacing w:val="-50"/>
        </w:rPr>
        <w:t> </w:t>
      </w:r>
      <w:r>
        <w:rPr>
          <w:rFonts w:ascii="Times New Roman" w:hAnsi="Times New Roman" w:cs="Times New Roman" w:eastAsia="Times New Roman" w:hint="default"/>
          <w:spacing w:val="-7"/>
        </w:rPr>
        <w:t>51</w:t>
      </w:r>
      <w:r>
        <w:rPr>
          <w:spacing w:val="-7"/>
        </w:rPr>
        <w:t>％），注册地为深圳市福田区商报路</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1"/>
        </w:rPr>
        <w:t>号天健公寓</w:t>
      </w:r>
      <w:r>
        <w:rPr>
          <w:spacing w:val="-50"/>
        </w:rPr>
        <w:t> </w:t>
      </w:r>
      <w:r>
        <w:rPr>
          <w:rFonts w:ascii="Times New Roman" w:hAnsi="Times New Roman" w:cs="Times New Roman" w:eastAsia="Times New Roman" w:hint="default"/>
          <w:spacing w:val="-1"/>
        </w:rPr>
        <w:t>614</w:t>
      </w:r>
      <w:r>
        <w:rPr>
          <w:rFonts w:ascii="Times New Roman" w:hAnsi="Times New Roman" w:cs="Times New Roman" w:eastAsia="Times New Roman" w:hint="default"/>
          <w:spacing w:val="3"/>
        </w:rPr>
        <w:t> </w:t>
      </w:r>
      <w:r>
        <w:rPr>
          <w:spacing w:val="-5"/>
        </w:rPr>
        <w:t>室，法</w:t>
      </w:r>
      <w:r>
        <w:rPr/>
        <w:t> </w:t>
      </w:r>
      <w:r>
        <w:rPr>
          <w:spacing w:val="-3"/>
        </w:rPr>
        <w:t>定代表人为陈振光，经营范围为受银行委托对自动柜员机设备进行日常运行及管理服务、对</w:t>
      </w:r>
      <w:r>
        <w:rPr>
          <w:spacing w:val="-79"/>
        </w:rPr>
        <w:t> </w:t>
      </w:r>
      <w:r>
        <w:rPr>
          <w:spacing w:val="-79"/>
        </w:rPr>
      </w:r>
      <w:r>
        <w:rPr/>
        <w:t>现金及有价证券提供清分处理服务。</w:t>
      </w:r>
    </w:p>
    <w:p>
      <w:pPr>
        <w:pStyle w:val="BodyText"/>
        <w:spacing w:line="240" w:lineRule="auto" w:before="144"/>
        <w:ind w:left="451" w:right="102"/>
        <w:jc w:val="center"/>
      </w:pPr>
      <w:r>
        <w:rPr/>
        <w:t>截止</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日，深圳银通总资产为</w:t>
      </w:r>
      <w:r>
        <w:rPr>
          <w:spacing w:val="-56"/>
        </w:rPr>
        <w:t> </w:t>
      </w:r>
      <w:r>
        <w:rPr>
          <w:rFonts w:ascii="Times New Roman" w:hAnsi="Times New Roman" w:cs="Times New Roman" w:eastAsia="Times New Roman" w:hint="default"/>
        </w:rPr>
        <w:t>19,421.85</w:t>
      </w:r>
      <w:r>
        <w:rPr>
          <w:rFonts w:ascii="Times New Roman" w:hAnsi="Times New Roman" w:cs="Times New Roman" w:eastAsia="Times New Roman" w:hint="default"/>
          <w:spacing w:val="-3"/>
        </w:rPr>
        <w:t> </w:t>
      </w:r>
      <w:r>
        <w:rPr/>
        <w:t>万元，净资产为</w:t>
      </w:r>
      <w:r>
        <w:rPr>
          <w:spacing w:val="-56"/>
        </w:rPr>
        <w:t> </w:t>
      </w:r>
      <w:r>
        <w:rPr>
          <w:rFonts w:ascii="Times New Roman" w:hAnsi="Times New Roman" w:cs="Times New Roman" w:eastAsia="Times New Roman" w:hint="default"/>
        </w:rPr>
        <w:t>16,826.07</w:t>
      </w:r>
      <w:r>
        <w:rPr>
          <w:rFonts w:ascii="Times New Roman" w:hAnsi="Times New Roman" w:cs="Times New Roman" w:eastAsia="Times New Roman" w:hint="default"/>
          <w:spacing w:val="-3"/>
        </w:rPr>
        <w:t> </w:t>
      </w:r>
      <w:r>
        <w:rPr/>
        <w:t>万元，</w:t>
      </w:r>
    </w:p>
    <w:p>
      <w:pPr>
        <w:pStyle w:val="BodyText"/>
        <w:spacing w:line="280" w:lineRule="auto" w:before="50"/>
        <w:ind w:left="139" w:right="197"/>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spacing w:val="-1"/>
        </w:rPr>
        <w:t>年度净利润为</w:t>
      </w:r>
      <w:r>
        <w:rPr/>
        <w:t> </w:t>
      </w:r>
      <w:r>
        <w:rPr>
          <w:rFonts w:ascii="Times New Roman" w:hAnsi="Times New Roman" w:cs="Times New Roman" w:eastAsia="Times New Roman" w:hint="default"/>
          <w:spacing w:val="-1"/>
        </w:rPr>
        <w:t>3,452.33</w:t>
      </w:r>
      <w:r>
        <w:rPr>
          <w:rFonts w:ascii="Times New Roman" w:hAnsi="Times New Roman" w:cs="Times New Roman" w:eastAsia="Times New Roman" w:hint="default"/>
        </w:rPr>
        <w:t> </w:t>
      </w:r>
      <w:r>
        <w:rPr>
          <w:spacing w:val="-5"/>
        </w:rPr>
        <w:t>万元（经立信羊城会计师事务所有限公司审计），比</w:t>
      </w:r>
      <w:r>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5"/>
        </w:rPr>
        <w:t> </w:t>
      </w:r>
      <w:r>
        <w:rPr/>
        <w:t>年度 增长</w:t>
      </w:r>
      <w:r>
        <w:rPr>
          <w:spacing w:val="-56"/>
        </w:rPr>
        <w:t> </w:t>
      </w:r>
      <w:r>
        <w:rPr>
          <w:rFonts w:ascii="Times New Roman" w:hAnsi="Times New Roman" w:cs="Times New Roman" w:eastAsia="Times New Roman" w:hint="default"/>
        </w:rPr>
        <w:t>24.95%</w:t>
      </w:r>
      <w:r>
        <w:rPr/>
        <w:t>。</w:t>
      </w:r>
    </w:p>
    <w:p>
      <w:pPr>
        <w:pStyle w:val="BodyText"/>
        <w:spacing w:line="460" w:lineRule="exact" w:before="8"/>
        <w:ind w:left="559" w:right="188"/>
        <w:jc w:val="left"/>
      </w:pPr>
      <w:r>
        <w:rPr>
          <w:spacing w:val="-4"/>
        </w:rPr>
        <w:t>（</w:t>
      </w:r>
      <w:r>
        <w:rPr>
          <w:rFonts w:ascii="Times New Roman" w:hAnsi="Times New Roman" w:cs="Times New Roman" w:eastAsia="Times New Roman" w:hint="default"/>
          <w:spacing w:val="-4"/>
        </w:rPr>
        <w:t>2</w:t>
      </w:r>
      <w:r>
        <w:rPr>
          <w:spacing w:val="-4"/>
        </w:rPr>
        <w:t>）全资子公司——广电运通国际有限公司（以下简称“运通国际”）</w:t>
      </w:r>
      <w:r>
        <w:rPr>
          <w:spacing w:val="-84"/>
        </w:rPr>
        <w:t> </w:t>
      </w:r>
      <w:r>
        <w:rPr>
          <w:spacing w:val="-84"/>
        </w:rPr>
      </w:r>
      <w:r>
        <w:rPr/>
        <w:t>运通国际成立于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日，注册资本为</w:t>
      </w:r>
      <w:r>
        <w:rPr>
          <w:spacing w:val="-52"/>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t>万美元，地址为香港上环德辅道</w:t>
      </w:r>
    </w:p>
    <w:p>
      <w:pPr>
        <w:pStyle w:val="BodyText"/>
        <w:spacing w:line="240" w:lineRule="auto" w:before="3"/>
        <w:ind w:left="139" w:right="0"/>
        <w:jc w:val="both"/>
      </w:pPr>
      <w:r>
        <w:rPr/>
        <w:t>中</w:t>
      </w:r>
      <w:r>
        <w:rPr>
          <w:spacing w:val="-55"/>
        </w:rPr>
        <w:t> </w:t>
      </w:r>
      <w:r>
        <w:rPr>
          <w:rFonts w:ascii="Times New Roman" w:hAnsi="Times New Roman" w:cs="Times New Roman" w:eastAsia="Times New Roman" w:hint="default"/>
        </w:rPr>
        <w:t>248</w:t>
      </w:r>
      <w:r>
        <w:rPr>
          <w:rFonts w:ascii="Times New Roman" w:hAnsi="Times New Roman" w:cs="Times New Roman" w:eastAsia="Times New Roman" w:hint="default"/>
          <w:spacing w:val="-2"/>
        </w:rPr>
        <w:t> </w:t>
      </w:r>
      <w:r>
        <w:rPr/>
        <w:t>号东协商业大厦</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楼</w:t>
      </w:r>
      <w:r>
        <w:rPr>
          <w:spacing w:val="-56"/>
        </w:rPr>
        <w:t> </w:t>
      </w:r>
      <w:r>
        <w:rPr>
          <w:rFonts w:ascii="Times New Roman" w:hAnsi="Times New Roman" w:cs="Times New Roman" w:eastAsia="Times New Roman" w:hint="default"/>
        </w:rPr>
        <w:t>1702</w:t>
      </w:r>
      <w:r>
        <w:rPr>
          <w:rFonts w:ascii="Times New Roman" w:hAnsi="Times New Roman" w:cs="Times New Roman" w:eastAsia="Times New Roman" w:hint="default"/>
          <w:spacing w:val="-2"/>
        </w:rPr>
        <w:t> </w:t>
      </w:r>
      <w:r>
        <w:rPr/>
        <w:t>室。</w:t>
      </w:r>
    </w:p>
    <w:p>
      <w:pPr>
        <w:pStyle w:val="BodyText"/>
        <w:spacing w:line="280" w:lineRule="auto" w:before="169"/>
        <w:ind w:left="139" w:right="196" w:firstLine="420"/>
        <w:jc w:val="both"/>
      </w:pPr>
      <w:r>
        <w:rPr/>
        <w:t>运通国际的全资子公司墨西哥</w:t>
      </w:r>
      <w:r>
        <w:rPr>
          <w:spacing w:val="-55"/>
        </w:rPr>
        <w:t> </w:t>
      </w:r>
      <w:r>
        <w:rPr>
          <w:rFonts w:ascii="Times New Roman" w:hAnsi="Times New Roman" w:cs="Times New Roman" w:eastAsia="Times New Roman" w:hint="default"/>
        </w:rPr>
        <w:t>GRG Hongkong</w:t>
      </w:r>
      <w:r>
        <w:rPr>
          <w:rFonts w:ascii="Times New Roman" w:hAnsi="Times New Roman" w:cs="Times New Roman" w:eastAsia="Times New Roman" w:hint="default"/>
          <w:spacing w:val="1"/>
        </w:rPr>
        <w:t> </w:t>
      </w:r>
      <w:r>
        <w:rPr>
          <w:rFonts w:ascii="Times New Roman" w:hAnsi="Times New Roman" w:cs="Times New Roman" w:eastAsia="Times New Roman" w:hint="default"/>
        </w:rPr>
        <w:t>Mexico,</w:t>
      </w:r>
      <w:r>
        <w:rPr>
          <w:rFonts w:ascii="Times New Roman" w:hAnsi="Times New Roman" w:cs="Times New Roman" w:eastAsia="Times New Roman" w:hint="default"/>
          <w:spacing w:val="1"/>
        </w:rPr>
        <w:t> </w:t>
      </w:r>
      <w:r>
        <w:rPr>
          <w:rFonts w:ascii="Times New Roman" w:hAnsi="Times New Roman" w:cs="Times New Roman" w:eastAsia="Times New Roman" w:hint="default"/>
        </w:rPr>
        <w:t>S.A.</w:t>
      </w:r>
      <w:r>
        <w:rPr>
          <w:rFonts w:ascii="Times New Roman" w:hAnsi="Times New Roman" w:cs="Times New Roman" w:eastAsia="Times New Roman" w:hint="default"/>
          <w:spacing w:val="1"/>
        </w:rPr>
        <w:t> </w:t>
      </w:r>
      <w:r>
        <w:rPr>
          <w:rFonts w:ascii="Times New Roman" w:hAnsi="Times New Roman" w:cs="Times New Roman" w:eastAsia="Times New Roman" w:hint="default"/>
        </w:rPr>
        <w:t>DE</w:t>
      </w:r>
      <w:r>
        <w:rPr/>
        <w:t>，注册资本</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万比索， 主要开展当地市场业务。</w:t>
      </w:r>
    </w:p>
    <w:p>
      <w:pPr>
        <w:pStyle w:val="BodyText"/>
        <w:spacing w:line="285" w:lineRule="auto" w:before="150"/>
        <w:ind w:left="139" w:right="196" w:firstLine="42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14 </w:t>
      </w:r>
      <w:r>
        <w:rPr/>
        <w:t>日，运通国际投资参股的 </w:t>
      </w:r>
      <w:r>
        <w:rPr>
          <w:rFonts w:ascii="Times New Roman" w:hAnsi="Times New Roman" w:cs="Times New Roman" w:eastAsia="Times New Roman" w:hint="default"/>
        </w:rPr>
        <w:t>GRG </w:t>
      </w:r>
      <w:r>
        <w:rPr>
          <w:rFonts w:ascii="Times New Roman" w:hAnsi="Times New Roman" w:cs="Times New Roman" w:eastAsia="Times New Roman" w:hint="default"/>
          <w:spacing w:val="-3"/>
        </w:rPr>
        <w:t>INTERNATIONAL</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3"/>
        </w:rPr>
        <w:t>LTD</w:t>
      </w:r>
      <w:r>
        <w:rPr>
          <w:spacing w:val="-3"/>
        </w:rPr>
        <w:t>（以下简称</w:t>
      </w:r>
      <w:r>
        <w:rPr/>
        <w:t> </w:t>
      </w:r>
      <w:r>
        <w:rPr>
          <w:spacing w:val="-5"/>
          <w:w w:val="99"/>
        </w:rPr>
        <w:t>“</w:t>
      </w:r>
      <w:r>
        <w:rPr>
          <w:rFonts w:ascii="Times New Roman" w:hAnsi="Times New Roman" w:cs="Times New Roman" w:eastAsia="Times New Roman" w:hint="default"/>
          <w:spacing w:val="-5"/>
          <w:w w:val="99"/>
        </w:rPr>
        <w:t>GRGI</w:t>
      </w:r>
      <w:r>
        <w:rPr>
          <w:spacing w:val="-5"/>
          <w:w w:val="99"/>
        </w:rPr>
        <w:t>”）在澳大利亚证券交易所挂牌上市（占比</w:t>
      </w:r>
      <w:r>
        <w:rPr>
          <w:spacing w:val="-40"/>
          <w:w w:val="99"/>
        </w:rPr>
        <w:t> </w:t>
      </w:r>
      <w:r>
        <w:rPr>
          <w:rFonts w:ascii="Times New Roman" w:hAnsi="Times New Roman" w:cs="Times New Roman" w:eastAsia="Times New Roman" w:hint="default"/>
          <w:spacing w:val="-12"/>
        </w:rPr>
        <w:t>8.40%</w:t>
      </w:r>
      <w:r>
        <w:rPr>
          <w:spacing w:val="-12"/>
        </w:rPr>
        <w:t>）。目前</w:t>
      </w:r>
      <w:r>
        <w:rPr>
          <w:spacing w:val="-40"/>
        </w:rPr>
        <w:t> </w:t>
      </w:r>
      <w:r>
        <w:rPr>
          <w:rFonts w:ascii="Times New Roman" w:hAnsi="Times New Roman" w:cs="Times New Roman" w:eastAsia="Times New Roman" w:hint="default"/>
          <w:spacing w:val="-1"/>
          <w:w w:val="99"/>
        </w:rPr>
        <w:t>GRGI</w:t>
      </w:r>
      <w:r>
        <w:rPr>
          <w:rFonts w:ascii="Times New Roman" w:hAnsi="Times New Roman" w:cs="Times New Roman" w:eastAsia="Times New Roman" w:hint="default"/>
          <w:spacing w:val="9"/>
          <w:w w:val="99"/>
        </w:rPr>
        <w:t> </w:t>
      </w:r>
      <w:r>
        <w:rPr>
          <w:spacing w:val="-1"/>
        </w:rPr>
        <w:t>将公司产品打入澳</w:t>
      </w:r>
      <w:r>
        <w:rPr/>
        <w:t> </w:t>
      </w:r>
      <w:r>
        <w:rPr>
          <w:spacing w:val="-3"/>
        </w:rPr>
        <w:t>大利亚、美国等发达国家市场，并取得一定的市场成效。该公司的成功上市将为其后续运作</w:t>
      </w:r>
      <w:r>
        <w:rPr>
          <w:spacing w:val="-81"/>
        </w:rPr>
        <w:t> </w:t>
      </w:r>
      <w:r>
        <w:rPr>
          <w:spacing w:val="-81"/>
        </w:rPr>
      </w:r>
      <w:r>
        <w:rPr/>
        <w:t>打造一个很好的资本平台，有助于公司产品在全球市场的推广应用。</w:t>
      </w:r>
    </w:p>
    <w:p>
      <w:pPr>
        <w:pStyle w:val="BodyText"/>
        <w:spacing w:line="280" w:lineRule="auto" w:before="145"/>
        <w:ind w:left="139" w:right="194" w:firstLine="420"/>
        <w:jc w:val="both"/>
      </w:pPr>
      <w:r>
        <w:rPr/>
        <w:t>运通国际的全资子公司</w:t>
      </w:r>
      <w:r>
        <w:rPr>
          <w:spacing w:val="-54"/>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18"/>
        </w:rPr>
        <w:t> </w:t>
      </w:r>
      <w:r>
        <w:rPr>
          <w:rFonts w:ascii="Times New Roman" w:hAnsi="Times New Roman" w:cs="Times New Roman" w:eastAsia="Times New Roman" w:hint="default"/>
        </w:rPr>
        <w:t>Parts</w:t>
      </w:r>
      <w:r>
        <w:rPr>
          <w:rFonts w:ascii="Times New Roman" w:hAnsi="Times New Roman" w:cs="Times New Roman" w:eastAsia="Times New Roman" w:hint="default"/>
          <w:spacing w:val="20"/>
        </w:rPr>
        <w:t> </w:t>
      </w:r>
      <w:r>
        <w:rPr>
          <w:rFonts w:ascii="Times New Roman" w:hAnsi="Times New Roman" w:cs="Times New Roman" w:eastAsia="Times New Roman" w:hint="default"/>
        </w:rPr>
        <w:t>Co.,</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成立于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日，注册 资本为</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13"/>
        </w:rPr>
        <w:t>万港元，投资总额为</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13"/>
        </w:rPr>
        <w:t>万港元。注册地址为</w:t>
      </w:r>
      <w:r>
        <w:rPr>
          <w:spacing w:val="-65"/>
        </w:rPr>
        <w:t> </w:t>
      </w:r>
      <w:r>
        <w:rPr>
          <w:rFonts w:ascii="Times New Roman" w:hAnsi="Times New Roman" w:cs="Times New Roman" w:eastAsia="Times New Roman" w:hint="default"/>
        </w:rPr>
        <w:t>Unit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w w:val="99"/>
        </w:rPr>
        <w:t>10B,25/F,Cable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TV</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4"/>
          <w:w w:val="99"/>
        </w:rPr>
        <w:t>Tower,9</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w w:val="99"/>
        </w:rPr>
        <w:t>Hoi</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Shing</w:t>
      </w:r>
      <w:r>
        <w:rPr>
          <w:rFonts w:ascii="Times New Roman" w:hAnsi="Times New Roman" w:cs="Times New Roman" w:eastAsia="Times New Roman" w:hint="default"/>
        </w:rPr>
        <w:t> Road,Tsuen </w:t>
      </w:r>
      <w:r>
        <w:rPr>
          <w:rFonts w:ascii="Times New Roman" w:hAnsi="Times New Roman" w:cs="Times New Roman" w:eastAsia="Times New Roman" w:hint="default"/>
          <w:spacing w:val="-3"/>
        </w:rPr>
        <w:t>Wan,N.T.,Hong </w:t>
      </w:r>
      <w:r>
        <w:rPr>
          <w:rFonts w:ascii="Times New Roman" w:hAnsi="Times New Roman" w:cs="Times New Roman" w:eastAsia="Times New Roman" w:hint="default"/>
        </w:rPr>
        <w:t>Kong</w:t>
      </w:r>
      <w:r>
        <w:rPr/>
        <w:t>，取得香港公司注册处签发注册号为</w:t>
      </w:r>
      <w:r>
        <w:rPr>
          <w:spacing w:val="-30"/>
        </w:rPr>
        <w:t> </w:t>
      </w:r>
      <w:r>
        <w:rPr>
          <w:rFonts w:ascii="Times New Roman" w:hAnsi="Times New Roman" w:cs="Times New Roman" w:eastAsia="Times New Roman" w:hint="default"/>
        </w:rPr>
        <w:t>52881985-000-08-10-5 </w:t>
      </w:r>
      <w:r>
        <w:rPr/>
        <w:t>的公司注册证书，经营范围为：专注开展</w:t>
      </w:r>
      <w:r>
        <w:rPr>
          <w:spacing w:val="-60"/>
        </w:rPr>
        <w:t> </w:t>
      </w:r>
      <w:r>
        <w:rPr>
          <w:rFonts w:ascii="Times New Roman" w:hAnsi="Times New Roman" w:cs="Times New Roman" w:eastAsia="Times New Roman" w:hint="default"/>
          <w:spacing w:val="-8"/>
        </w:rPr>
        <w:t>ATM </w:t>
      </w:r>
      <w:r>
        <w:rPr/>
        <w:t>备件等服务。目前，尚未实际出资，公司尚 未正式营运。</w:t>
      </w:r>
    </w:p>
    <w:p>
      <w:pPr>
        <w:pStyle w:val="BodyText"/>
        <w:spacing w:line="280" w:lineRule="auto" w:before="150"/>
        <w:ind w:left="139" w:right="197" w:firstLine="420"/>
        <w:jc w:val="both"/>
      </w:pPr>
      <w:r>
        <w:rPr/>
        <w:t>截止</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日，运通国际总资产为</w:t>
      </w:r>
      <w:r>
        <w:rPr>
          <w:spacing w:val="-47"/>
        </w:rPr>
        <w:t> </w:t>
      </w:r>
      <w:r>
        <w:rPr>
          <w:rFonts w:ascii="Times New Roman" w:hAnsi="Times New Roman" w:cs="Times New Roman" w:eastAsia="Times New Roman" w:hint="default"/>
        </w:rPr>
        <w:t>8,492.31</w:t>
      </w:r>
      <w:r>
        <w:rPr>
          <w:rFonts w:ascii="Times New Roman" w:hAnsi="Times New Roman" w:cs="Times New Roman" w:eastAsia="Times New Roman" w:hint="default"/>
          <w:spacing w:val="6"/>
        </w:rPr>
        <w:t> </w:t>
      </w:r>
      <w:r>
        <w:rPr/>
        <w:t>万元人民币，净资产为</w:t>
      </w:r>
      <w:r>
        <w:rPr>
          <w:spacing w:val="-47"/>
        </w:rPr>
        <w:t> </w:t>
      </w:r>
      <w:r>
        <w:rPr>
          <w:rFonts w:ascii="Times New Roman" w:hAnsi="Times New Roman" w:cs="Times New Roman" w:eastAsia="Times New Roman" w:hint="default"/>
        </w:rPr>
        <w:t>2,240.61 </w:t>
      </w:r>
      <w:r>
        <w:rPr/>
        <w:t>万元人民币，</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年实现净利润</w:t>
      </w:r>
      <w:r>
        <w:rPr>
          <w:spacing w:val="-52"/>
        </w:rPr>
        <w:t> </w:t>
      </w:r>
      <w:r>
        <w:rPr>
          <w:rFonts w:ascii="Times New Roman" w:hAnsi="Times New Roman" w:cs="Times New Roman" w:eastAsia="Times New Roman" w:hint="default"/>
        </w:rPr>
        <w:t>124.92</w:t>
      </w:r>
      <w:r>
        <w:rPr>
          <w:rFonts w:ascii="Times New Roman" w:hAnsi="Times New Roman" w:cs="Times New Roman" w:eastAsia="Times New Roman" w:hint="default"/>
          <w:spacing w:val="1"/>
        </w:rPr>
        <w:t> </w:t>
      </w:r>
      <w:r>
        <w:rPr/>
        <w:t>万元人民币（经羊城（香港）会计师事务所有限公 </w:t>
      </w:r>
      <w:r>
        <w:rPr>
          <w:spacing w:val="-21"/>
        </w:rPr>
        <w:t>司审计）。</w:t>
      </w:r>
    </w:p>
    <w:p>
      <w:pPr>
        <w:pStyle w:val="BodyText"/>
        <w:spacing w:line="460" w:lineRule="exact" w:before="27"/>
        <w:ind w:left="560" w:right="211"/>
        <w:jc w:val="left"/>
      </w:pPr>
      <w:r>
        <w:rPr/>
        <w:t>（</w:t>
      </w:r>
      <w:r>
        <w:rPr>
          <w:rFonts w:ascii="Times New Roman" w:hAnsi="Times New Roman" w:cs="Times New Roman" w:eastAsia="Times New Roman" w:hint="default"/>
        </w:rPr>
        <w:t>3</w:t>
      </w:r>
      <w:r>
        <w:rPr/>
        <w:t>）控股</w:t>
      </w:r>
      <w:r>
        <w:rPr>
          <w:spacing w:val="-2"/>
        </w:rPr>
        <w:t>子</w:t>
      </w:r>
      <w:r>
        <w:rPr/>
        <w:t>公司——广州穗通金融服务有限公司（以下简称“穗通公司</w:t>
      </w:r>
      <w:r>
        <w:rPr>
          <w:spacing w:val="-105"/>
        </w:rPr>
        <w:t>”</w:t>
      </w:r>
      <w:r>
        <w:rPr/>
        <w:t>）</w:t>
      </w:r>
      <w:r>
        <w:rPr/>
        <w:t> 穗通公司成立于</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t>日</w:t>
      </w:r>
      <w:r>
        <w:rPr>
          <w:spacing w:val="-21"/>
        </w:rPr>
        <w:t>，</w:t>
      </w:r>
      <w:r>
        <w:rPr/>
        <w:t>注册资本为人民币</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w:t>
      </w:r>
      <w:r>
        <w:rPr>
          <w:spacing w:val="-20"/>
        </w:rPr>
        <w:t>元</w:t>
      </w:r>
      <w:r>
        <w:rPr/>
        <w:t>（公司占</w:t>
      </w:r>
      <w:r>
        <w:rPr>
          <w:spacing w:val="-53"/>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spacing w:val="-105"/>
        </w:rPr>
        <w:t>）</w:t>
      </w:r>
      <w:r>
        <w:rPr>
          <w:spacing w:val="-20"/>
        </w:rPr>
        <w:t>，注</w:t>
      </w:r>
      <w:r>
        <w:rPr/>
      </w:r>
    </w:p>
    <w:p>
      <w:pPr>
        <w:pStyle w:val="BodyText"/>
        <w:spacing w:line="290" w:lineRule="auto" w:before="2"/>
        <w:ind w:left="139" w:right="196"/>
        <w:jc w:val="both"/>
      </w:pPr>
      <w:r>
        <w:rPr/>
        <w:t>册地为广州市天河区黄埔大道西平云路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t>号通讯车间大楼七楼东面，法定代表人为赵友 </w:t>
      </w:r>
      <w:r>
        <w:rPr>
          <w:spacing w:val="-3"/>
        </w:rPr>
        <w:t>永，经营范围为受银行委托对自动柜员机进行日常维护及管理，对现金及有价证券提供清分</w:t>
      </w:r>
      <w:r>
        <w:rPr>
          <w:spacing w:val="-79"/>
        </w:rPr>
        <w:t> </w:t>
      </w:r>
      <w:r>
        <w:rPr>
          <w:spacing w:val="-79"/>
        </w:rPr>
      </w:r>
      <w:r>
        <w:rPr/>
        <w:t>处理服务。</w:t>
      </w:r>
    </w:p>
    <w:p>
      <w:pPr>
        <w:pStyle w:val="BodyText"/>
        <w:spacing w:line="292" w:lineRule="auto" w:before="140"/>
        <w:ind w:left="139" w:right="194" w:firstLine="420"/>
        <w:jc w:val="both"/>
      </w:pPr>
      <w:r>
        <w:rPr>
          <w:spacing w:val="-3"/>
        </w:rPr>
        <w:t>报告期内，穗通公司强化经营管理，优化业务流程，加强队伍建设，规划安防系统，推</w:t>
      </w:r>
      <w:r>
        <w:rPr/>
        <w:t> </w:t>
      </w:r>
      <w:r>
        <w:rPr>
          <w:spacing w:val="-3"/>
        </w:rPr>
        <w:t>进技术创新，提升公司整体素质，增强公司竞争力，顺利与中国工商银行广东省分行、浦发</w:t>
      </w:r>
      <w:r>
        <w:rPr>
          <w:spacing w:val="-80"/>
        </w:rPr>
        <w:t> </w:t>
      </w:r>
      <w:r>
        <w:rPr>
          <w:spacing w:val="-80"/>
        </w:rPr>
      </w:r>
      <w:r>
        <w:rPr>
          <w:spacing w:val="-3"/>
        </w:rPr>
        <w:t>银行广州分行、光大银行广州分行以及招商银行广州分行续约并增加服务规模，有效巩固了</w:t>
      </w:r>
      <w:r>
        <w:rPr>
          <w:spacing w:val="-79"/>
        </w:rPr>
        <w:t> </w:t>
      </w:r>
      <w:r>
        <w:rPr>
          <w:spacing w:val="-79"/>
        </w:rPr>
      </w:r>
      <w:r>
        <w:rPr>
          <w:spacing w:val="-3"/>
        </w:rPr>
        <w:t>原有市场成果，还新增中国银行广州分行、华夏银行广州分行以及深发展广州分行等</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家客 户，为公司实现规模化发展奠定了较好的基础。</w:t>
      </w:r>
    </w:p>
    <w:p>
      <w:pPr>
        <w:pStyle w:val="BodyText"/>
        <w:spacing w:line="240" w:lineRule="auto" w:before="139"/>
        <w:ind w:left="559" w:right="84"/>
        <w:jc w:val="left"/>
      </w:pPr>
      <w:r>
        <w:rPr/>
        <w:t>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日，穗通公司总资产为</w:t>
      </w:r>
      <w:r>
        <w:rPr>
          <w:spacing w:val="-55"/>
        </w:rPr>
        <w:t> </w:t>
      </w:r>
      <w:r>
        <w:rPr>
          <w:rFonts w:ascii="Times New Roman" w:hAnsi="Times New Roman" w:cs="Times New Roman" w:eastAsia="Times New Roman" w:hint="default"/>
        </w:rPr>
        <w:t>3,117.94</w:t>
      </w:r>
      <w:r>
        <w:rPr>
          <w:rFonts w:ascii="Times New Roman" w:hAnsi="Times New Roman" w:cs="Times New Roman" w:eastAsia="Times New Roman" w:hint="default"/>
          <w:spacing w:val="47"/>
        </w:rPr>
        <w:t> </w:t>
      </w:r>
      <w:r>
        <w:rPr/>
        <w:t>万元，净资产为</w:t>
      </w:r>
      <w:r>
        <w:rPr>
          <w:spacing w:val="-55"/>
        </w:rPr>
        <w:t> </w:t>
      </w:r>
      <w:r>
        <w:rPr>
          <w:rFonts w:ascii="Times New Roman" w:hAnsi="Times New Roman" w:cs="Times New Roman" w:eastAsia="Times New Roman" w:hint="default"/>
        </w:rPr>
        <w:t>2,994.95</w:t>
      </w:r>
      <w:r>
        <w:rPr>
          <w:rFonts w:ascii="Times New Roman" w:hAnsi="Times New Roman" w:cs="Times New Roman" w:eastAsia="Times New Roman" w:hint="default"/>
          <w:spacing w:val="-2"/>
        </w:rPr>
        <w:t> </w:t>
      </w:r>
      <w:r>
        <w:rPr/>
        <w:t>万元，</w:t>
      </w:r>
    </w:p>
    <w:p>
      <w:pPr>
        <w:pStyle w:val="BodyText"/>
        <w:spacing w:line="280" w:lineRule="auto" w:before="50"/>
        <w:ind w:left="139" w:right="196"/>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年实现净利润</w:t>
      </w:r>
      <w:r>
        <w:rPr>
          <w:spacing w:val="-42"/>
        </w:rPr>
        <w:t> </w:t>
      </w:r>
      <w:r>
        <w:rPr>
          <w:rFonts w:ascii="Times New Roman" w:hAnsi="Times New Roman" w:cs="Times New Roman" w:eastAsia="Times New Roman" w:hint="default"/>
        </w:rPr>
        <w:t>130.11</w:t>
      </w:r>
      <w:r>
        <w:rPr>
          <w:rFonts w:ascii="Times New Roman" w:hAnsi="Times New Roman" w:cs="Times New Roman" w:eastAsia="Times New Roman" w:hint="default"/>
          <w:spacing w:val="11"/>
        </w:rPr>
        <w:t> </w:t>
      </w:r>
      <w:r>
        <w:rPr/>
        <w:t>万元，归属于母公司净利润为</w:t>
      </w:r>
      <w:r>
        <w:rPr>
          <w:spacing w:val="-42"/>
        </w:rPr>
        <w:t> </w:t>
      </w:r>
      <w:r>
        <w:rPr>
          <w:rFonts w:ascii="Times New Roman" w:hAnsi="Times New Roman" w:cs="Times New Roman" w:eastAsia="Times New Roman" w:hint="default"/>
        </w:rPr>
        <w:t>66.36</w:t>
      </w:r>
      <w:r>
        <w:rPr>
          <w:rFonts w:ascii="Times New Roman" w:hAnsi="Times New Roman" w:cs="Times New Roman" w:eastAsia="Times New Roman" w:hint="default"/>
          <w:spacing w:val="11"/>
        </w:rPr>
        <w:t> </w:t>
      </w:r>
      <w:r>
        <w:rPr/>
        <w:t>万元（经立信羊城会计师事 </w:t>
      </w:r>
      <w:r>
        <w:rPr>
          <w:spacing w:val="-11"/>
        </w:rPr>
        <w:t>务所有限公司审计）。</w:t>
      </w:r>
    </w:p>
    <w:p>
      <w:pPr>
        <w:spacing w:after="0" w:line="280" w:lineRule="auto"/>
        <w:jc w:val="both"/>
        <w:sectPr>
          <w:pgSz w:w="11910" w:h="16840"/>
          <w:pgMar w:header="400" w:footer="982" w:top="1100" w:bottom="1180" w:left="1660" w:right="160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t>（二）对公司未来发展的展望</w:t>
      </w:r>
    </w:p>
    <w:p>
      <w:pPr>
        <w:spacing w:line="240" w:lineRule="auto" w:before="3"/>
        <w:rPr>
          <w:rFonts w:ascii="宋体" w:hAnsi="宋体" w:cs="宋体" w:eastAsia="宋体" w:hint="default"/>
          <w:sz w:val="14"/>
          <w:szCs w:val="14"/>
        </w:rPr>
      </w:pPr>
    </w:p>
    <w:p>
      <w:pPr>
        <w:pStyle w:val="BodyText"/>
        <w:spacing w:line="240" w:lineRule="auto"/>
        <w:ind w:left="560" w:right="0"/>
        <w:jc w:val="left"/>
      </w:pPr>
      <w:r>
        <w:rPr>
          <w:rFonts w:ascii="Times New Roman" w:hAnsi="Times New Roman" w:cs="Times New Roman" w:eastAsia="Times New Roman" w:hint="default"/>
        </w:rPr>
        <w:t>1</w:t>
      </w:r>
      <w:r>
        <w:rPr/>
        <w:t>、行业发展趋势及市场竞争格局</w:t>
      </w:r>
    </w:p>
    <w:p>
      <w:pPr>
        <w:pStyle w:val="BodyText"/>
        <w:spacing w:line="240" w:lineRule="auto" w:before="169"/>
        <w:ind w:left="560" w:right="0"/>
        <w:jc w:val="left"/>
      </w:pPr>
      <w:r>
        <w:rPr/>
        <w:t>（</w:t>
      </w:r>
      <w:r>
        <w:rPr>
          <w:rFonts w:ascii="Times New Roman" w:hAnsi="Times New Roman" w:cs="Times New Roman" w:eastAsia="Times New Roman" w:hint="default"/>
        </w:rPr>
        <w:t>1</w:t>
      </w:r>
      <w:r>
        <w:rPr/>
        <w:t>）行业发展趋势</w:t>
      </w:r>
    </w:p>
    <w:p>
      <w:pPr>
        <w:pStyle w:val="BodyText"/>
        <w:spacing w:line="460" w:lineRule="atLeast" w:before="1"/>
        <w:ind w:left="560" w:right="202"/>
        <w:jc w:val="left"/>
        <w:rPr>
          <w:rFonts w:ascii="Times New Roman" w:hAnsi="Times New Roman" w:cs="Times New Roman" w:eastAsia="Times New Roman" w:hint="default"/>
        </w:rPr>
      </w:pPr>
      <w:r>
        <w:rPr>
          <w:rFonts w:ascii="新宋体" w:hAnsi="新宋体" w:cs="新宋体" w:eastAsia="新宋体" w:hint="default"/>
          <w:spacing w:val="-7"/>
        </w:rPr>
        <w:t>①</w:t>
      </w:r>
      <w:r>
        <w:rPr>
          <w:rFonts w:ascii="Times New Roman" w:hAnsi="Times New Roman" w:cs="Times New Roman" w:eastAsia="Times New Roman" w:hint="default"/>
          <w:spacing w:val="-7"/>
        </w:rPr>
        <w:t>ATM</w:t>
      </w:r>
      <w:r>
        <w:rPr>
          <w:rFonts w:ascii="Times New Roman" w:hAnsi="Times New Roman" w:cs="Times New Roman" w:eastAsia="Times New Roman" w:hint="default"/>
        </w:rPr>
        <w:t> </w:t>
      </w:r>
      <w:r>
        <w:rPr/>
        <w:t>市场发展趋势 </w:t>
      </w:r>
      <w:r>
        <w:rPr>
          <w:spacing w:val="-5"/>
        </w:rPr>
        <w:t>根据英国独立调查公司“零售银行研究（</w:t>
      </w:r>
      <w:r>
        <w:rPr>
          <w:rFonts w:ascii="Times New Roman" w:hAnsi="Times New Roman" w:cs="Times New Roman" w:eastAsia="Times New Roman" w:hint="default"/>
          <w:spacing w:val="-5"/>
        </w:rPr>
        <w:t>RBR</w:t>
      </w:r>
      <w:r>
        <w:rPr>
          <w:spacing w:val="-5"/>
        </w:rPr>
        <w:t>）”发布的一份权威报告——《全球</w:t>
      </w:r>
      <w:r>
        <w:rPr>
          <w:spacing w:val="-41"/>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8"/>
        </w:rPr>
      </w:r>
    </w:p>
    <w:p>
      <w:pPr>
        <w:pStyle w:val="BodyText"/>
        <w:spacing w:line="285" w:lineRule="auto" w:before="49"/>
        <w:ind w:left="139" w:right="216"/>
        <w:jc w:val="both"/>
      </w:pPr>
      <w:r>
        <w:rPr/>
        <w:t>市场及至</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spacing w:val="-14"/>
        </w:rPr>
        <w:t>年的预测》指出：</w:t>
      </w:r>
      <w:r>
        <w:rPr>
          <w:rFonts w:ascii="Times New Roman" w:hAnsi="Times New Roman" w:cs="Times New Roman" w:eastAsia="Times New Roman" w:hint="default"/>
          <w:spacing w:val="-14"/>
        </w:rPr>
        <w:t>ATM</w:t>
      </w:r>
      <w:r>
        <w:rPr>
          <w:rFonts w:ascii="Times New Roman" w:hAnsi="Times New Roman" w:cs="Times New Roman" w:eastAsia="Times New Roman" w:hint="default"/>
          <w:spacing w:val="3"/>
        </w:rPr>
        <w:t> </w:t>
      </w:r>
      <w:r>
        <w:rPr>
          <w:spacing w:val="-5"/>
        </w:rPr>
        <w:t>市场在全球增长迅速，预计到</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1"/>
        </w:rPr>
        <w:t>年年度，全球</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w w:val="99"/>
        </w:rPr>
        <w:t> </w:t>
      </w:r>
      <w:r>
        <w:rPr/>
        <w:t>保有量将达到</w:t>
      </w:r>
      <w:r>
        <w:rPr>
          <w:spacing w:val="-70"/>
        </w:rPr>
        <w:t> </w:t>
      </w:r>
      <w:r>
        <w:rPr>
          <w:rFonts w:ascii="Times New Roman" w:hAnsi="Times New Roman" w:cs="Times New Roman" w:eastAsia="Times New Roman" w:hint="default"/>
        </w:rPr>
        <w:t>200</w:t>
      </w:r>
      <w:r>
        <w:rPr>
          <w:rFonts w:ascii="Times New Roman" w:hAnsi="Times New Roman" w:cs="Times New Roman" w:eastAsia="Times New Roman" w:hint="default"/>
          <w:spacing w:val="-17"/>
        </w:rPr>
        <w:t> </w:t>
      </w:r>
      <w:r>
        <w:rPr>
          <w:spacing w:val="-6"/>
        </w:rPr>
        <w:t>万台左右。而亚太地区已经成为全球最大的</w:t>
      </w:r>
      <w:r>
        <w:rPr>
          <w:spacing w:val="-70"/>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17"/>
          <w:w w:val="99"/>
        </w:rPr>
        <w:t> </w:t>
      </w:r>
      <w:r>
        <w:rPr>
          <w:spacing w:val="-12"/>
        </w:rPr>
        <w:t>市场之一，约占全球</w:t>
      </w:r>
      <w:r>
        <w:rPr>
          <w:spacing w:val="-70"/>
        </w:rPr>
        <w:t> </w:t>
      </w:r>
      <w:r>
        <w:rPr>
          <w:rFonts w:ascii="Times New Roman" w:hAnsi="Times New Roman" w:cs="Times New Roman" w:eastAsia="Times New Roman" w:hint="default"/>
          <w:spacing w:val="-9"/>
          <w:w w:val="99"/>
        </w:rPr>
        <w:t>ATM</w:t>
      </w:r>
      <w:r>
        <w:rPr>
          <w:rFonts w:ascii="Times New Roman" w:hAnsi="Times New Roman" w:cs="Times New Roman" w:eastAsia="Times New Roman" w:hint="default"/>
          <w:w w:val="99"/>
        </w:rPr>
        <w:t> </w:t>
      </w:r>
      <w:r>
        <w:rPr>
          <w:spacing w:val="-3"/>
        </w:rPr>
        <w:t>市场的三分之一。特别是中国市场，近年来始终保持两位数的增长，其增长速度已位居亚太</w:t>
      </w:r>
      <w:r>
        <w:rPr>
          <w:spacing w:val="-81"/>
        </w:rPr>
        <w:t> </w:t>
      </w:r>
      <w:r>
        <w:rPr>
          <w:spacing w:val="-81"/>
        </w:rPr>
      </w:r>
      <w:r>
        <w:rPr/>
        <w:t>地区之首，未来</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市场潜力非常巨大。</w:t>
      </w:r>
    </w:p>
    <w:p>
      <w:pPr>
        <w:pStyle w:val="BodyText"/>
        <w:spacing w:line="460" w:lineRule="exact" w:before="2"/>
        <w:ind w:left="559" w:right="202"/>
        <w:jc w:val="left"/>
      </w:pPr>
      <w:r>
        <w:rPr/>
        <w:t>央行发布的《</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年支付体系运行总体情况》显示： 银行卡发卡量继续稳定增长，同比增速小幅加快。截至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年末，全国累计发行银行</w:t>
      </w:r>
    </w:p>
    <w:p>
      <w:pPr>
        <w:pStyle w:val="BodyText"/>
        <w:spacing w:line="288" w:lineRule="auto" w:before="3"/>
        <w:ind w:left="139" w:right="217"/>
        <w:jc w:val="both"/>
      </w:pPr>
      <w:r>
        <w:rPr/>
        <w:t>卡</w:t>
      </w:r>
      <w:r>
        <w:rPr>
          <w:spacing w:val="-46"/>
        </w:rPr>
        <w:t> </w:t>
      </w:r>
      <w:r>
        <w:rPr>
          <w:rFonts w:ascii="Times New Roman" w:hAnsi="Times New Roman" w:cs="Times New Roman" w:eastAsia="Times New Roman" w:hint="default"/>
        </w:rPr>
        <w:t>24.15</w:t>
      </w:r>
      <w:r>
        <w:rPr>
          <w:rFonts w:ascii="Times New Roman" w:hAnsi="Times New Roman" w:cs="Times New Roman" w:eastAsia="Times New Roman" w:hint="default"/>
          <w:spacing w:val="7"/>
        </w:rPr>
        <w:t> </w:t>
      </w:r>
      <w:r>
        <w:rPr/>
        <w:t>亿张，同比增长</w:t>
      </w:r>
      <w:r>
        <w:rPr>
          <w:spacing w:val="-46"/>
        </w:rPr>
        <w:t> </w:t>
      </w:r>
      <w:r>
        <w:rPr>
          <w:rFonts w:ascii="Times New Roman" w:hAnsi="Times New Roman" w:cs="Times New Roman" w:eastAsia="Times New Roman" w:hint="default"/>
        </w:rPr>
        <w:t>16.9%</w:t>
      </w:r>
      <w:r>
        <w:rPr/>
        <w:t>，增速较上年同期加快</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个百分点。随着银行卡受理环境 </w:t>
      </w:r>
      <w:r>
        <w:rPr>
          <w:spacing w:val="-3"/>
        </w:rPr>
        <w:t>的不断改善，银行卡作为我国居民使用的最广泛的非现金支付工具，其发卡量还将保持增长</w:t>
      </w:r>
      <w:r>
        <w:rPr>
          <w:spacing w:val="-79"/>
        </w:rPr>
        <w:t> </w:t>
      </w:r>
      <w:r>
        <w:rPr>
          <w:spacing w:val="-79"/>
        </w:rPr>
      </w:r>
      <w:r>
        <w:rPr/>
        <w:t>趋势。</w:t>
      </w:r>
    </w:p>
    <w:p>
      <w:pPr>
        <w:pStyle w:val="BodyText"/>
        <w:spacing w:line="280" w:lineRule="auto" w:before="144"/>
        <w:ind w:right="101" w:firstLine="419"/>
        <w:jc w:val="left"/>
      </w:pPr>
      <w:r>
        <w:rPr/>
        <w:t>银行卡受理环境明显改善。截至</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年末，银行卡跨行支付系统联网商户</w:t>
      </w:r>
      <w:r>
        <w:rPr>
          <w:spacing w:val="-65"/>
        </w:rPr>
        <w:t> </w:t>
      </w:r>
      <w:r>
        <w:rPr>
          <w:rFonts w:ascii="Times New Roman" w:hAnsi="Times New Roman" w:cs="Times New Roman" w:eastAsia="Times New Roman" w:hint="default"/>
        </w:rPr>
        <w:t>218.3</w:t>
      </w:r>
      <w:r>
        <w:rPr>
          <w:rFonts w:ascii="Times New Roman" w:hAnsi="Times New Roman" w:cs="Times New Roman" w:eastAsia="Times New Roman" w:hint="default"/>
          <w:spacing w:val="-12"/>
        </w:rPr>
        <w:t> </w:t>
      </w:r>
      <w:r>
        <w:rPr/>
        <w:t>万户， 联网</w:t>
      </w:r>
      <w:r>
        <w:rPr>
          <w:spacing w:val="-51"/>
        </w:rPr>
        <w:t> </w:t>
      </w:r>
      <w:r>
        <w:rPr>
          <w:rFonts w:ascii="Times New Roman" w:hAnsi="Times New Roman" w:cs="Times New Roman" w:eastAsia="Times New Roman" w:hint="default"/>
        </w:rPr>
        <w:t>POS</w:t>
      </w:r>
      <w:r>
        <w:rPr>
          <w:rFonts w:ascii="Times New Roman" w:hAnsi="Times New Roman" w:cs="Times New Roman" w:eastAsia="Times New Roman" w:hint="default"/>
          <w:spacing w:val="1"/>
        </w:rPr>
        <w:t> </w:t>
      </w:r>
      <w:r>
        <w:rPr/>
        <w:t>机具</w:t>
      </w:r>
      <w:r>
        <w:rPr>
          <w:spacing w:val="-51"/>
        </w:rPr>
        <w:t> </w:t>
      </w:r>
      <w:r>
        <w:rPr>
          <w:rFonts w:ascii="Times New Roman" w:hAnsi="Times New Roman" w:cs="Times New Roman" w:eastAsia="Times New Roman" w:hint="default"/>
        </w:rPr>
        <w:t>333.4</w:t>
      </w:r>
      <w:r>
        <w:rPr>
          <w:rFonts w:ascii="Times New Roman" w:hAnsi="Times New Roman" w:cs="Times New Roman" w:eastAsia="Times New Roman" w:hint="default"/>
          <w:spacing w:val="2"/>
        </w:rPr>
        <w:t> </w:t>
      </w:r>
      <w:r>
        <w:rPr>
          <w:spacing w:val="-3"/>
        </w:rPr>
        <w:t>万台，</w:t>
      </w:r>
      <w:r>
        <w:rPr>
          <w:rFonts w:ascii="Times New Roman" w:hAnsi="Times New Roman" w:cs="Times New Roman" w:eastAsia="Times New Roman" w:hint="default"/>
          <w:spacing w:val="-3"/>
        </w:rPr>
        <w:t>ATM27.10</w:t>
      </w:r>
      <w:r>
        <w:rPr>
          <w:rFonts w:ascii="Times New Roman" w:hAnsi="Times New Roman" w:cs="Times New Roman" w:eastAsia="Times New Roman" w:hint="default"/>
          <w:spacing w:val="1"/>
        </w:rPr>
        <w:t> </w:t>
      </w:r>
      <w:r>
        <w:rPr/>
        <w:t>万台，较</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年末分别增加</w:t>
      </w:r>
      <w:r>
        <w:rPr>
          <w:spacing w:val="-51"/>
        </w:rPr>
        <w:t> </w:t>
      </w:r>
      <w:r>
        <w:rPr>
          <w:rFonts w:ascii="Times New Roman" w:hAnsi="Times New Roman" w:cs="Times New Roman" w:eastAsia="Times New Roman" w:hint="default"/>
        </w:rPr>
        <w:t>61.65</w:t>
      </w:r>
      <w:r>
        <w:rPr>
          <w:rFonts w:ascii="Times New Roman" w:hAnsi="Times New Roman" w:cs="Times New Roman" w:eastAsia="Times New Roman" w:hint="default"/>
          <w:spacing w:val="2"/>
        </w:rPr>
        <w:t> </w:t>
      </w:r>
      <w:r>
        <w:rPr/>
        <w:t>万户、</w:t>
      </w:r>
      <w:r>
        <w:rPr>
          <w:rFonts w:ascii="Times New Roman" w:hAnsi="Times New Roman" w:cs="Times New Roman" w:eastAsia="Times New Roman" w:hint="default"/>
        </w:rPr>
        <w:t>92.57</w:t>
      </w:r>
      <w:r>
        <w:rPr>
          <w:rFonts w:ascii="Times New Roman" w:hAnsi="Times New Roman" w:cs="Times New Roman" w:eastAsia="Times New Roman" w:hint="default"/>
          <w:spacing w:val="2"/>
        </w:rPr>
        <w:t> </w:t>
      </w:r>
      <w:r>
        <w:rPr/>
        <w:t>万台 和</w:t>
      </w:r>
      <w:r>
        <w:rPr>
          <w:spacing w:val="-51"/>
        </w:rPr>
        <w:t> </w:t>
      </w:r>
      <w:r>
        <w:rPr>
          <w:rFonts w:ascii="Times New Roman" w:hAnsi="Times New Roman" w:cs="Times New Roman" w:eastAsia="Times New Roman" w:hint="default"/>
          <w:spacing w:val="-1"/>
        </w:rPr>
        <w:t>5.61</w:t>
      </w:r>
      <w:r>
        <w:rPr>
          <w:rFonts w:ascii="Times New Roman" w:hAnsi="Times New Roman" w:cs="Times New Roman" w:eastAsia="Times New Roman" w:hint="default"/>
          <w:spacing w:val="2"/>
        </w:rPr>
        <w:t> </w:t>
      </w:r>
      <w:r>
        <w:rPr>
          <w:spacing w:val="-20"/>
        </w:rPr>
        <w:t>万台。截至</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spacing w:val="-15"/>
        </w:rPr>
        <w:t>年末，我国每台</w:t>
      </w:r>
      <w:r>
        <w:rPr>
          <w:spacing w:val="-51"/>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2"/>
          <w:w w:val="99"/>
        </w:rPr>
        <w:t> </w:t>
      </w:r>
      <w:r>
        <w:rPr>
          <w:spacing w:val="-1"/>
        </w:rPr>
        <w:t>对应的银行卡数量为</w:t>
      </w:r>
      <w:r>
        <w:rPr>
          <w:spacing w:val="-51"/>
        </w:rPr>
        <w:t> </w:t>
      </w:r>
      <w:r>
        <w:rPr>
          <w:rFonts w:ascii="Times New Roman" w:hAnsi="Times New Roman" w:cs="Times New Roman" w:eastAsia="Times New Roman" w:hint="default"/>
          <w:spacing w:val="-1"/>
        </w:rPr>
        <w:t>8,913</w:t>
      </w:r>
      <w:r>
        <w:rPr>
          <w:rFonts w:ascii="Times New Roman" w:hAnsi="Times New Roman" w:cs="Times New Roman" w:eastAsia="Times New Roman" w:hint="default"/>
          <w:spacing w:val="2"/>
        </w:rPr>
        <w:t> </w:t>
      </w:r>
      <w:r>
        <w:rPr>
          <w:spacing w:val="-17"/>
        </w:rPr>
        <w:t>张，同比减少</w:t>
      </w:r>
      <w:r>
        <w:rPr>
          <w:spacing w:val="-51"/>
        </w:rPr>
        <w:t> </w:t>
      </w:r>
      <w:r>
        <w:rPr>
          <w:rFonts w:ascii="Times New Roman" w:hAnsi="Times New Roman" w:cs="Times New Roman" w:eastAsia="Times New Roman" w:hint="default"/>
          <w:spacing w:val="-1"/>
        </w:rPr>
        <w:t>7.3%</w:t>
      </w:r>
      <w:r>
        <w:rPr>
          <w:spacing w:val="-1"/>
        </w:rPr>
        <w:t>；</w:t>
      </w:r>
      <w:r>
        <w:rPr/>
        <w:t> 每台</w:t>
      </w:r>
      <w:r>
        <w:rPr>
          <w:spacing w:val="-38"/>
        </w:rPr>
        <w:t> </w:t>
      </w:r>
      <w:r>
        <w:rPr>
          <w:rFonts w:ascii="Times New Roman" w:hAnsi="Times New Roman" w:cs="Times New Roman" w:eastAsia="Times New Roman" w:hint="default"/>
        </w:rPr>
        <w:t>POS</w:t>
      </w:r>
      <w:r>
        <w:rPr>
          <w:rFonts w:ascii="Times New Roman" w:hAnsi="Times New Roman" w:cs="Times New Roman" w:eastAsia="Times New Roman" w:hint="default"/>
          <w:spacing w:val="14"/>
        </w:rPr>
        <w:t> </w:t>
      </w:r>
      <w:r>
        <w:rPr/>
        <w:t>对应的银行卡数量为</w:t>
      </w:r>
      <w:r>
        <w:rPr>
          <w:spacing w:val="-38"/>
        </w:rPr>
        <w:t> </w:t>
      </w:r>
      <w:r>
        <w:rPr>
          <w:rFonts w:ascii="Times New Roman" w:hAnsi="Times New Roman" w:cs="Times New Roman" w:eastAsia="Times New Roman" w:hint="default"/>
        </w:rPr>
        <w:t>724</w:t>
      </w:r>
      <w:r>
        <w:rPr>
          <w:rFonts w:ascii="Times New Roman" w:hAnsi="Times New Roman" w:cs="Times New Roman" w:eastAsia="Times New Roman" w:hint="default"/>
          <w:spacing w:val="14"/>
        </w:rPr>
        <w:t> </w:t>
      </w:r>
      <w:r>
        <w:rPr/>
        <w:t>张，同比减少</w:t>
      </w:r>
      <w:r>
        <w:rPr>
          <w:spacing w:val="-38"/>
        </w:rPr>
        <w:t> </w:t>
      </w:r>
      <w:r>
        <w:rPr>
          <w:rFonts w:ascii="Times New Roman" w:hAnsi="Times New Roman" w:cs="Times New Roman" w:eastAsia="Times New Roman" w:hint="default"/>
        </w:rPr>
        <w:t>15.6%</w:t>
      </w:r>
      <w:r>
        <w:rPr/>
        <w:t>。银行卡受理市场建设成效不断显 现。</w:t>
      </w:r>
    </w:p>
    <w:p>
      <w:pPr>
        <w:pStyle w:val="BodyText"/>
        <w:spacing w:line="280" w:lineRule="auto" w:before="150"/>
        <w:ind w:right="206" w:firstLine="420"/>
        <w:jc w:val="left"/>
        <w:rPr>
          <w:rFonts w:ascii="Times New Roman" w:hAnsi="Times New Roman" w:cs="Times New Roman" w:eastAsia="Times New Roman" w:hint="default"/>
        </w:rPr>
      </w:pPr>
      <w:r>
        <w:rPr/>
        <w:t>社会公众持卡用卡意识不断增强，银行卡业务量保持大幅增长。</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年，发生银行卡 业务</w:t>
      </w:r>
      <w:r>
        <w:rPr>
          <w:spacing w:val="-46"/>
        </w:rPr>
        <w:t> </w:t>
      </w:r>
      <w:r>
        <w:rPr>
          <w:rFonts w:ascii="Times New Roman" w:hAnsi="Times New Roman" w:cs="Times New Roman" w:eastAsia="Times New Roman" w:hint="default"/>
        </w:rPr>
        <w:t>257.56</w:t>
      </w:r>
      <w:r>
        <w:rPr>
          <w:rFonts w:ascii="Times New Roman" w:hAnsi="Times New Roman" w:cs="Times New Roman" w:eastAsia="Times New Roman" w:hint="default"/>
          <w:spacing w:val="5"/>
        </w:rPr>
        <w:t> </w:t>
      </w:r>
      <w:r>
        <w:rPr/>
        <w:t>亿笔，同比增长</w:t>
      </w:r>
      <w:r>
        <w:rPr>
          <w:spacing w:val="-46"/>
        </w:rPr>
        <w:t> </w:t>
      </w:r>
      <w:r>
        <w:rPr>
          <w:rFonts w:ascii="Times New Roman" w:hAnsi="Times New Roman" w:cs="Times New Roman" w:eastAsia="Times New Roman" w:hint="default"/>
        </w:rPr>
        <w:t>30.8%</w:t>
      </w:r>
      <w:r>
        <w:rPr/>
        <w:t>，增速较上年同期加快</w:t>
      </w:r>
      <w:r>
        <w:rPr>
          <w:spacing w:val="-46"/>
        </w:rPr>
        <w:t> </w:t>
      </w:r>
      <w:r>
        <w:rPr>
          <w:rFonts w:ascii="Times New Roman" w:hAnsi="Times New Roman" w:cs="Times New Roman" w:eastAsia="Times New Roman" w:hint="default"/>
        </w:rPr>
        <w:t>12.7</w:t>
      </w:r>
      <w:r>
        <w:rPr>
          <w:rFonts w:ascii="Times New Roman" w:hAnsi="Times New Roman" w:cs="Times New Roman" w:eastAsia="Times New Roman" w:hint="default"/>
          <w:spacing w:val="7"/>
        </w:rPr>
        <w:t> </w:t>
      </w:r>
      <w:r>
        <w:rPr/>
        <w:t>个百分点；业务金额</w:t>
      </w:r>
      <w:r>
        <w:rPr>
          <w:spacing w:val="-46"/>
        </w:rPr>
        <w:t> </w:t>
      </w:r>
      <w:r>
        <w:rPr>
          <w:rFonts w:ascii="Times New Roman" w:hAnsi="Times New Roman" w:cs="Times New Roman" w:eastAsia="Times New Roman" w:hint="default"/>
        </w:rPr>
        <w:t>246.76</w:t>
      </w:r>
    </w:p>
    <w:p>
      <w:pPr>
        <w:pStyle w:val="BodyText"/>
        <w:spacing w:line="240" w:lineRule="auto" w:before="10"/>
        <w:ind w:right="0"/>
        <w:jc w:val="both"/>
      </w:pPr>
      <w:r>
        <w:rPr/>
        <w:t>万亿元，同比增长</w:t>
      </w:r>
      <w:r>
        <w:rPr>
          <w:spacing w:val="-35"/>
        </w:rPr>
        <w:t> </w:t>
      </w:r>
      <w:r>
        <w:rPr>
          <w:rFonts w:ascii="Times New Roman" w:hAnsi="Times New Roman" w:cs="Times New Roman" w:eastAsia="Times New Roman" w:hint="default"/>
        </w:rPr>
        <w:t>48.7%</w:t>
      </w:r>
      <w:r>
        <w:rPr/>
        <w:t>，增速较上年同期回落</w:t>
      </w:r>
      <w:r>
        <w:rPr>
          <w:spacing w:val="-35"/>
        </w:rPr>
        <w:t> </w:t>
      </w:r>
      <w:r>
        <w:rPr>
          <w:rFonts w:ascii="Times New Roman" w:hAnsi="Times New Roman" w:cs="Times New Roman" w:eastAsia="Times New Roman" w:hint="default"/>
        </w:rPr>
        <w:t>18.2</w:t>
      </w:r>
      <w:r>
        <w:rPr>
          <w:rFonts w:ascii="Times New Roman" w:hAnsi="Times New Roman" w:cs="Times New Roman" w:eastAsia="Times New Roman" w:hint="default"/>
          <w:spacing w:val="18"/>
        </w:rPr>
        <w:t> </w:t>
      </w:r>
      <w:r>
        <w:rPr/>
        <w:t>个百分点。日均</w:t>
      </w:r>
      <w:r>
        <w:rPr>
          <w:spacing w:val="-35"/>
        </w:rPr>
        <w:t> </w:t>
      </w:r>
      <w:r>
        <w:rPr>
          <w:rFonts w:ascii="Times New Roman" w:hAnsi="Times New Roman" w:cs="Times New Roman" w:eastAsia="Times New Roman" w:hint="default"/>
        </w:rPr>
        <w:t>7,056.63</w:t>
      </w:r>
      <w:r>
        <w:rPr>
          <w:rFonts w:ascii="Times New Roman" w:hAnsi="Times New Roman" w:cs="Times New Roman" w:eastAsia="Times New Roman" w:hint="default"/>
          <w:spacing w:val="17"/>
        </w:rPr>
        <w:t> </w:t>
      </w:r>
      <w:r>
        <w:rPr/>
        <w:t>万笔，金额</w:t>
      </w:r>
    </w:p>
    <w:p>
      <w:pPr>
        <w:pStyle w:val="BodyText"/>
        <w:spacing w:line="240" w:lineRule="auto" w:before="49"/>
        <w:ind w:right="0"/>
        <w:jc w:val="both"/>
      </w:pPr>
      <w:r>
        <w:rPr>
          <w:rFonts w:ascii="Times New Roman" w:hAnsi="Times New Roman" w:cs="Times New Roman" w:eastAsia="Times New Roman" w:hint="default"/>
        </w:rPr>
        <w:t>6,760.63 </w:t>
      </w:r>
      <w:r>
        <w:rPr/>
        <w:t>亿元。其中，银行卡存现 </w:t>
      </w:r>
      <w:r>
        <w:rPr>
          <w:rFonts w:ascii="Times New Roman" w:hAnsi="Times New Roman" w:cs="Times New Roman" w:eastAsia="Times New Roman" w:hint="default"/>
        </w:rPr>
        <w:t>46.84 </w:t>
      </w:r>
      <w:r>
        <w:rPr/>
        <w:t>亿笔，金额 </w:t>
      </w:r>
      <w:r>
        <w:rPr>
          <w:rFonts w:ascii="Times New Roman" w:hAnsi="Times New Roman" w:cs="Times New Roman" w:eastAsia="Times New Roman" w:hint="default"/>
        </w:rPr>
        <w:t>44.86 </w:t>
      </w:r>
      <w:r>
        <w:rPr/>
        <w:t>万亿元，同比分别增长</w:t>
      </w:r>
      <w:r>
        <w:rPr>
          <w:spacing w:val="-74"/>
        </w:rPr>
        <w:t> </w:t>
      </w:r>
      <w:r>
        <w:rPr>
          <w:rFonts w:ascii="Times New Roman" w:hAnsi="Times New Roman" w:cs="Times New Roman" w:eastAsia="Times New Roman" w:hint="default"/>
        </w:rPr>
        <w:t>25.0%</w:t>
      </w:r>
      <w:r>
        <w:rPr/>
        <w:t>和</w:t>
      </w:r>
    </w:p>
    <w:p>
      <w:pPr>
        <w:pStyle w:val="BodyText"/>
        <w:spacing w:line="240" w:lineRule="auto" w:before="50"/>
        <w:ind w:right="0"/>
        <w:jc w:val="both"/>
        <w:rPr>
          <w:rFonts w:ascii="Times New Roman" w:hAnsi="Times New Roman" w:cs="Times New Roman" w:eastAsia="Times New Roman" w:hint="default"/>
        </w:rPr>
      </w:pPr>
      <w:r>
        <w:rPr>
          <w:rFonts w:ascii="Times New Roman" w:hAnsi="Times New Roman" w:cs="Times New Roman" w:eastAsia="Times New Roman" w:hint="default"/>
        </w:rPr>
        <w:t>30.0%</w:t>
      </w:r>
      <w:r>
        <w:rPr/>
        <w:t>；取现</w:t>
      </w:r>
      <w:r>
        <w:rPr>
          <w:spacing w:val="-31"/>
        </w:rPr>
        <w:t> </w:t>
      </w:r>
      <w:r>
        <w:rPr>
          <w:rFonts w:ascii="Times New Roman" w:hAnsi="Times New Roman" w:cs="Times New Roman" w:eastAsia="Times New Roman" w:hint="default"/>
        </w:rPr>
        <w:t>117.87</w:t>
      </w:r>
      <w:r>
        <w:rPr>
          <w:rFonts w:ascii="Times New Roman" w:hAnsi="Times New Roman" w:cs="Times New Roman" w:eastAsia="Times New Roman" w:hint="default"/>
          <w:spacing w:val="21"/>
        </w:rPr>
        <w:t> </w:t>
      </w:r>
      <w:r>
        <w:rPr/>
        <w:t>亿笔，金额</w:t>
      </w:r>
      <w:r>
        <w:rPr>
          <w:spacing w:val="-31"/>
        </w:rPr>
        <w:t> </w:t>
      </w:r>
      <w:r>
        <w:rPr>
          <w:rFonts w:ascii="Times New Roman" w:hAnsi="Times New Roman" w:cs="Times New Roman" w:eastAsia="Times New Roman" w:hint="default"/>
        </w:rPr>
        <w:t>50.98</w:t>
      </w:r>
      <w:r>
        <w:rPr>
          <w:rFonts w:ascii="Times New Roman" w:hAnsi="Times New Roman" w:cs="Times New Roman" w:eastAsia="Times New Roman" w:hint="default"/>
          <w:spacing w:val="22"/>
        </w:rPr>
        <w:t> </w:t>
      </w:r>
      <w:r>
        <w:rPr/>
        <w:t>万亿元，同比分别增长</w:t>
      </w:r>
      <w:r>
        <w:rPr>
          <w:spacing w:val="-31"/>
        </w:rPr>
        <w:t> </w:t>
      </w:r>
      <w:r>
        <w:rPr>
          <w:rFonts w:ascii="Times New Roman" w:hAnsi="Times New Roman" w:cs="Times New Roman" w:eastAsia="Times New Roman" w:hint="default"/>
        </w:rPr>
        <w:t>25.0%</w:t>
      </w:r>
      <w:r>
        <w:rPr/>
        <w:t>和</w:t>
      </w:r>
      <w:r>
        <w:rPr>
          <w:spacing w:val="-33"/>
        </w:rPr>
        <w:t> </w:t>
      </w:r>
      <w:r>
        <w:rPr>
          <w:rFonts w:ascii="Times New Roman" w:hAnsi="Times New Roman" w:cs="Times New Roman" w:eastAsia="Times New Roman" w:hint="default"/>
        </w:rPr>
        <w:t>37.1%</w:t>
      </w:r>
      <w:r>
        <w:rPr/>
        <w:t>；消费</w:t>
      </w:r>
      <w:r>
        <w:rPr>
          <w:spacing w:val="-33"/>
        </w:rPr>
        <w:t> </w:t>
      </w:r>
      <w:r>
        <w:rPr>
          <w:rFonts w:ascii="Times New Roman" w:hAnsi="Times New Roman" w:cs="Times New Roman" w:eastAsia="Times New Roman" w:hint="default"/>
        </w:rPr>
        <w:t>48.49</w:t>
      </w:r>
    </w:p>
    <w:p>
      <w:pPr>
        <w:pStyle w:val="BodyText"/>
        <w:spacing w:line="280" w:lineRule="auto" w:before="50"/>
        <w:ind w:right="215" w:hanging="1"/>
        <w:jc w:val="both"/>
      </w:pPr>
      <w:r>
        <w:rPr/>
        <w:t>亿笔，金额</w:t>
      </w:r>
      <w:r>
        <w:rPr>
          <w:spacing w:val="-52"/>
        </w:rPr>
        <w:t> </w:t>
      </w:r>
      <w:r>
        <w:rPr>
          <w:rFonts w:ascii="Times New Roman" w:hAnsi="Times New Roman" w:cs="Times New Roman" w:eastAsia="Times New Roman" w:hint="default"/>
        </w:rPr>
        <w:t>10.43</w:t>
      </w:r>
      <w:r>
        <w:rPr>
          <w:rFonts w:ascii="Times New Roman" w:hAnsi="Times New Roman" w:cs="Times New Roman" w:eastAsia="Times New Roman" w:hint="default"/>
          <w:spacing w:val="1"/>
        </w:rPr>
        <w:t> </w:t>
      </w:r>
      <w:r>
        <w:rPr/>
        <w:t>万亿元，同比分别增长</w:t>
      </w:r>
      <w:r>
        <w:rPr>
          <w:spacing w:val="-52"/>
        </w:rPr>
        <w:t> </w:t>
      </w:r>
      <w:r>
        <w:rPr>
          <w:rFonts w:ascii="Times New Roman" w:hAnsi="Times New Roman" w:cs="Times New Roman" w:eastAsia="Times New Roman" w:hint="default"/>
        </w:rPr>
        <w:t>38.9%</w:t>
      </w:r>
      <w:r>
        <w:rPr/>
        <w:t>和</w:t>
      </w:r>
      <w:r>
        <w:rPr>
          <w:spacing w:val="-52"/>
        </w:rPr>
        <w:t> </w:t>
      </w:r>
      <w:r>
        <w:rPr>
          <w:rFonts w:ascii="Times New Roman" w:hAnsi="Times New Roman" w:cs="Times New Roman" w:eastAsia="Times New Roman" w:hint="default"/>
        </w:rPr>
        <w:t>52.0%</w:t>
      </w:r>
      <w:r>
        <w:rPr/>
        <w:t>；转账</w:t>
      </w:r>
      <w:r>
        <w:rPr>
          <w:spacing w:val="-52"/>
        </w:rPr>
        <w:t> </w:t>
      </w:r>
      <w:r>
        <w:rPr>
          <w:rFonts w:ascii="Times New Roman" w:hAnsi="Times New Roman" w:cs="Times New Roman" w:eastAsia="Times New Roman" w:hint="default"/>
        </w:rPr>
        <w:t>44.36</w:t>
      </w:r>
      <w:r>
        <w:rPr>
          <w:rFonts w:ascii="Times New Roman" w:hAnsi="Times New Roman" w:cs="Times New Roman" w:eastAsia="Times New Roman" w:hint="default"/>
          <w:spacing w:val="1"/>
        </w:rPr>
        <w:t> </w:t>
      </w:r>
      <w:r>
        <w:rPr/>
        <w:t>亿笔，金额</w:t>
      </w:r>
      <w:r>
        <w:rPr>
          <w:spacing w:val="-52"/>
        </w:rPr>
        <w:t> </w:t>
      </w:r>
      <w:r>
        <w:rPr>
          <w:rFonts w:ascii="Times New Roman" w:hAnsi="Times New Roman" w:cs="Times New Roman" w:eastAsia="Times New Roman" w:hint="default"/>
        </w:rPr>
        <w:t>140.49</w:t>
      </w:r>
      <w:r>
        <w:rPr>
          <w:rFonts w:ascii="Times New Roman" w:hAnsi="Times New Roman" w:cs="Times New Roman" w:eastAsia="Times New Roman" w:hint="default"/>
          <w:spacing w:val="1"/>
        </w:rPr>
        <w:t> </w:t>
      </w:r>
      <w:r>
        <w:rPr/>
        <w:t>万 亿元，同比分别增长</w:t>
      </w:r>
      <w:r>
        <w:rPr>
          <w:spacing w:val="-56"/>
        </w:rPr>
        <w:t> </w:t>
      </w:r>
      <w:r>
        <w:rPr>
          <w:rFonts w:ascii="Times New Roman" w:hAnsi="Times New Roman" w:cs="Times New Roman" w:eastAsia="Times New Roman" w:hint="default"/>
        </w:rPr>
        <w:t>46.7%</w:t>
      </w:r>
      <w:r>
        <w:rPr/>
        <w:t>和</w:t>
      </w:r>
      <w:r>
        <w:rPr>
          <w:spacing w:val="-56"/>
        </w:rPr>
        <w:t> </w:t>
      </w:r>
      <w:r>
        <w:rPr>
          <w:rFonts w:ascii="Times New Roman" w:hAnsi="Times New Roman" w:cs="Times New Roman" w:eastAsia="Times New Roman" w:hint="default"/>
        </w:rPr>
        <w:t>60.6%</w:t>
      </w:r>
      <w:r>
        <w:rPr/>
        <w:t>。</w:t>
      </w:r>
    </w:p>
    <w:p>
      <w:pPr>
        <w:pStyle w:val="BodyText"/>
        <w:spacing w:line="288" w:lineRule="auto" w:before="130"/>
        <w:ind w:right="215" w:firstLine="420"/>
        <w:jc w:val="both"/>
      </w:pPr>
      <w:r>
        <w:rPr>
          <w:spacing w:val="-3"/>
        </w:rPr>
        <w:t>上述数据表明，庞大的银行卡市场势必加剧银行业之间的竞争。在提高银行竞争力的进</w:t>
      </w:r>
      <w:r>
        <w:rPr/>
        <w:t> 程中，向零售银行转型、扩大银行网点数量、布放更多的</w:t>
      </w:r>
      <w:r>
        <w:rPr>
          <w:spacing w:val="-61"/>
        </w:rPr>
        <w:t> </w:t>
      </w:r>
      <w:r>
        <w:rPr>
          <w:rFonts w:ascii="Times New Roman" w:hAnsi="Times New Roman" w:cs="Times New Roman" w:eastAsia="Times New Roman" w:hint="default"/>
          <w:spacing w:val="-8"/>
        </w:rPr>
        <w:t>ATM </w:t>
      </w:r>
      <w:r>
        <w:rPr/>
        <w:t>等措施，是银行发展的必由 之路。伴随着我国银行业的进一步发展，</w:t>
      </w:r>
      <w:r>
        <w:rPr>
          <w:rFonts w:ascii="Times New Roman" w:hAnsi="Times New Roman" w:cs="Times New Roman" w:eastAsia="Times New Roman" w:hint="default"/>
        </w:rPr>
        <w:t>ATM</w:t>
      </w:r>
      <w:r>
        <w:rPr>
          <w:rFonts w:ascii="Times New Roman" w:hAnsi="Times New Roman" w:cs="Times New Roman" w:eastAsia="Times New Roman" w:hint="default"/>
          <w:spacing w:val="-26"/>
        </w:rPr>
        <w:t> </w:t>
      </w:r>
      <w:r>
        <w:rPr/>
        <w:t>市场也将继续保持当前快速增长的势头。</w:t>
      </w:r>
    </w:p>
    <w:p>
      <w:pPr>
        <w:pStyle w:val="BodyText"/>
        <w:spacing w:line="460" w:lineRule="exact" w:before="1"/>
        <w:ind w:left="560" w:right="0"/>
        <w:jc w:val="left"/>
      </w:pPr>
      <w:r>
        <w:rPr>
          <w:rFonts w:ascii="新宋体" w:hAnsi="新宋体" w:cs="新宋体" w:eastAsia="新宋体" w:hint="default"/>
        </w:rPr>
        <w:t>②</w:t>
      </w:r>
      <w:r>
        <w:rPr/>
        <w:t>城市轨道交通业发展趋势 </w:t>
      </w:r>
      <w:r>
        <w:rPr>
          <w:spacing w:val="-3"/>
        </w:rPr>
        <w:t>近几年，我国轨道交通，特别是高速铁路，依靠自主创新，一次次刷新世界铁路高速记</w:t>
      </w:r>
    </w:p>
    <w:p>
      <w:pPr>
        <w:pStyle w:val="BodyText"/>
        <w:spacing w:line="297" w:lineRule="auto" w:before="2"/>
        <w:ind w:right="217"/>
        <w:jc w:val="both"/>
      </w:pPr>
      <w:r>
        <w:rPr>
          <w:spacing w:val="-3"/>
        </w:rPr>
        <w:t>录，风驰电掣般向前飞奔，使中国成为世界上高速铁路发展最快、系统技术最全、集成能力</w:t>
      </w:r>
      <w:r>
        <w:rPr>
          <w:spacing w:val="-80"/>
        </w:rPr>
        <w:t> </w:t>
      </w:r>
      <w:r>
        <w:rPr>
          <w:spacing w:val="-80"/>
        </w:rPr>
      </w:r>
      <w:r>
        <w:rPr/>
        <w:t>最强、营运里程最长、运行速度最快、在建规模最大的国家。</w:t>
      </w:r>
    </w:p>
    <w:p>
      <w:pPr>
        <w:pStyle w:val="BodyText"/>
        <w:spacing w:line="240" w:lineRule="auto" w:before="135"/>
        <w:ind w:left="560" w:right="0"/>
        <w:jc w:val="left"/>
      </w:pPr>
      <w:r>
        <w:rPr/>
        <w:t>按照铁道部提出的规划，到</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4"/>
        </w:rPr>
        <w:t>年底，中国将基本建成“四纵四横”的高速铁路网络，</w:t>
      </w:r>
    </w:p>
    <w:p>
      <w:pPr>
        <w:pStyle w:val="BodyText"/>
        <w:spacing w:line="240" w:lineRule="auto" w:before="50"/>
        <w:ind w:right="0"/>
        <w:jc w:val="both"/>
      </w:pPr>
      <w:r>
        <w:rPr/>
        <w:t>我国客运专线和城际铁路的营业里程将达到</w:t>
      </w:r>
      <w:r>
        <w:rPr>
          <w:spacing w:val="-39"/>
        </w:rPr>
        <w:t> </w:t>
      </w:r>
      <w:r>
        <w:rPr>
          <w:rFonts w:ascii="Times New Roman" w:hAnsi="Times New Roman" w:cs="Times New Roman" w:eastAsia="Times New Roman" w:hint="default"/>
        </w:rPr>
        <w:t>1.3</w:t>
      </w:r>
      <w:r>
        <w:rPr>
          <w:rFonts w:ascii="Times New Roman" w:hAnsi="Times New Roman" w:cs="Times New Roman" w:eastAsia="Times New Roman" w:hint="default"/>
          <w:spacing w:val="14"/>
        </w:rPr>
        <w:t> </w:t>
      </w:r>
      <w:r>
        <w:rPr/>
        <w:t>万公里。到</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年，我国将建设客运专线</w:t>
      </w:r>
    </w:p>
    <w:p>
      <w:pPr>
        <w:pStyle w:val="BodyText"/>
        <w:spacing w:line="240" w:lineRule="auto" w:before="49"/>
        <w:ind w:right="0"/>
        <w:jc w:val="both"/>
      </w:pPr>
      <w:r>
        <w:rPr>
          <w:rFonts w:ascii="Times New Roman" w:hAnsi="Times New Roman" w:cs="Times New Roman" w:eastAsia="Times New Roman" w:hint="default"/>
        </w:rPr>
        <w:t>1.6 </w:t>
      </w:r>
      <w:r>
        <w:rPr>
          <w:spacing w:val="-3"/>
        </w:rPr>
        <w:t>万公里以上。未来三年客运专线新线投产将达到 </w:t>
      </w:r>
      <w:r>
        <w:rPr>
          <w:rFonts w:ascii="Times New Roman" w:hAnsi="Times New Roman" w:cs="Times New Roman" w:eastAsia="Times New Roman" w:hint="default"/>
        </w:rPr>
        <w:t>9200</w:t>
      </w:r>
      <w:r>
        <w:rPr>
          <w:rFonts w:ascii="Times New Roman" w:hAnsi="Times New Roman" w:cs="Times New Roman" w:eastAsia="Times New Roman" w:hint="default"/>
          <w:spacing w:val="-28"/>
        </w:rPr>
        <w:t> </w:t>
      </w:r>
      <w:r>
        <w:rPr>
          <w:spacing w:val="-4"/>
        </w:rPr>
        <w:t>公里，按照客运专线每公里造价一</w:t>
      </w:r>
    </w:p>
    <w:p>
      <w:pPr>
        <w:spacing w:after="0" w:line="24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right="0"/>
        <w:jc w:val="both"/>
      </w:pPr>
      <w:r>
        <w:rPr/>
        <w:t>亿元计算</w:t>
      </w:r>
      <w:r>
        <w:rPr>
          <w:spacing w:val="-100"/>
        </w:rPr>
        <w:t>，</w:t>
      </w:r>
      <w:r>
        <w:rPr/>
        <w:t>未来三年高速铁路的投资额度将达到</w:t>
      </w:r>
      <w:r>
        <w:rPr>
          <w:spacing w:val="-53"/>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亿以上</w:t>
      </w:r>
      <w:r>
        <w:rPr>
          <w:spacing w:val="-101"/>
        </w:rPr>
        <w:t>，</w:t>
      </w:r>
      <w:r>
        <w:rPr/>
        <w:t>年均投资额将超过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亿元。</w:t>
      </w:r>
    </w:p>
    <w:p>
      <w:pPr>
        <w:pStyle w:val="BodyText"/>
        <w:spacing w:line="240" w:lineRule="auto" w:before="170"/>
        <w:ind w:left="559" w:right="0"/>
        <w:jc w:val="left"/>
      </w:pPr>
      <w:r>
        <w:rPr>
          <w:rFonts w:ascii="新宋体" w:hAnsi="新宋体" w:cs="新宋体" w:eastAsia="新宋体" w:hint="default"/>
        </w:rPr>
        <w:t>③</w:t>
      </w:r>
      <w:r>
        <w:rPr/>
        <w:t>金融服务外包产业发展趋势</w:t>
      </w:r>
    </w:p>
    <w:p>
      <w:pPr>
        <w:spacing w:line="240" w:lineRule="auto" w:before="2"/>
        <w:rPr>
          <w:rFonts w:ascii="宋体" w:hAnsi="宋体" w:cs="宋体" w:eastAsia="宋体" w:hint="default"/>
          <w:sz w:val="14"/>
          <w:szCs w:val="14"/>
        </w:rPr>
      </w:pPr>
    </w:p>
    <w:p>
      <w:pPr>
        <w:pStyle w:val="BodyText"/>
        <w:spacing w:line="285" w:lineRule="auto"/>
        <w:ind w:left="139" w:right="216" w:firstLine="420"/>
        <w:jc w:val="both"/>
      </w:pPr>
      <w:r>
        <w:rPr/>
        <w:t>金融服务外包发源于</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世纪</w:t>
      </w:r>
      <w:r>
        <w:rPr>
          <w:spacing w:val="-54"/>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 </w:t>
      </w:r>
      <w:r>
        <w:rPr>
          <w:spacing w:val="-4"/>
        </w:rPr>
        <w:t>年代欧美国家。从最初证券公司将文书性事务外包，到</w:t>
      </w:r>
      <w:r>
        <w:rPr/>
        <w:t> </w:t>
      </w:r>
      <w:r>
        <w:rPr>
          <w:spacing w:val="-3"/>
        </w:rPr>
        <w:t>大型跨国金融机构将后台业务集中处理，再到专业外包服务商兴起及跨国经营与并购，金融</w:t>
      </w:r>
      <w:r>
        <w:rPr>
          <w:spacing w:val="-79"/>
        </w:rPr>
        <w:t> </w:t>
      </w:r>
      <w:r>
        <w:rPr>
          <w:spacing w:val="-79"/>
        </w:rPr>
      </w:r>
      <w:r>
        <w:rPr/>
        <w:t>服务外包产业逐步发展壮大。当前全球金融服务外包规模达到</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万亿美元，已经发展成为</w:t>
      </w:r>
      <w:r>
        <w:rPr/>
        <w:t> 具有相当规模的新兴产业。</w:t>
      </w:r>
    </w:p>
    <w:p>
      <w:pPr>
        <w:pStyle w:val="BodyText"/>
        <w:spacing w:line="285" w:lineRule="auto" w:before="146"/>
        <w:ind w:left="139" w:right="216" w:firstLine="420"/>
        <w:jc w:val="both"/>
      </w:pPr>
      <w:r>
        <w:rPr/>
        <w:t>我国金融服务外包刚刚起步，产值规模较小。</w:t>
      </w:r>
      <w:r>
        <w:rPr>
          <w:rFonts w:ascii="Times New Roman" w:hAnsi="Times New Roman" w:cs="Times New Roman" w:eastAsia="Times New Roman" w:hint="default"/>
        </w:rPr>
        <w:t>20</w:t>
      </w:r>
      <w:r>
        <w:rPr>
          <w:rFonts w:ascii="Times New Roman" w:hAnsi="Times New Roman" w:cs="Times New Roman" w:eastAsia="Times New Roman" w:hint="default"/>
          <w:spacing w:val="-15"/>
        </w:rPr>
        <w:t> </w:t>
      </w:r>
      <w:r>
        <w:rPr/>
        <w:t>世纪</w:t>
      </w:r>
      <w:r>
        <w:rPr>
          <w:spacing w:val="-68"/>
        </w:rPr>
        <w:t> </w:t>
      </w:r>
      <w:r>
        <w:rPr>
          <w:rFonts w:ascii="Times New Roman" w:hAnsi="Times New Roman" w:cs="Times New Roman" w:eastAsia="Times New Roman" w:hint="default"/>
        </w:rPr>
        <w:t>90</w:t>
      </w:r>
      <w:r>
        <w:rPr>
          <w:rFonts w:ascii="Times New Roman" w:hAnsi="Times New Roman" w:cs="Times New Roman" w:eastAsia="Times New Roman" w:hint="default"/>
          <w:spacing w:val="-15"/>
        </w:rPr>
        <w:t> </w:t>
      </w:r>
      <w:r>
        <w:rPr/>
        <w:t>年代，中国部分银行、保险机 </w:t>
      </w:r>
      <w:r>
        <w:rPr>
          <w:spacing w:val="-3"/>
        </w:rPr>
        <w:t>构逐渐开始数据和后台业务的大集中。到</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4"/>
        </w:rPr>
        <w:t>年底，中国金融服务外包业规模达</w:t>
      </w:r>
      <w:r>
        <w:rPr>
          <w:spacing w:val="-49"/>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亿元人 </w:t>
      </w:r>
      <w:r>
        <w:rPr>
          <w:spacing w:val="-3"/>
        </w:rPr>
        <w:t>民币。与国外相比，中国金融服务外包产业发展仍处在较低水平，金融服务外包支出仅占整</w:t>
      </w:r>
      <w:r>
        <w:rPr>
          <w:spacing w:val="-81"/>
        </w:rPr>
        <w:t> </w:t>
      </w:r>
      <w:r>
        <w:rPr>
          <w:spacing w:val="-81"/>
        </w:rPr>
      </w:r>
      <w:r>
        <w:rPr/>
        <w:t>体金融业运营支出的</w:t>
      </w:r>
      <w:r>
        <w:rPr>
          <w:spacing w:val="-56"/>
        </w:rPr>
        <w:t> </w:t>
      </w:r>
      <w:r>
        <w:rPr>
          <w:rFonts w:ascii="Times New Roman" w:hAnsi="Times New Roman" w:cs="Times New Roman" w:eastAsia="Times New Roman" w:hint="default"/>
        </w:rPr>
        <w:t>0.53%</w:t>
      </w:r>
      <w:r>
        <w:rPr/>
        <w:t>，而同期美国金融服务外包支出占其金融运营支出的</w:t>
      </w:r>
      <w:r>
        <w:rPr>
          <w:spacing w:val="-56"/>
        </w:rPr>
        <w:t> </w:t>
      </w:r>
      <w:r>
        <w:rPr>
          <w:rFonts w:ascii="Times New Roman" w:hAnsi="Times New Roman" w:cs="Times New Roman" w:eastAsia="Times New Roman" w:hint="default"/>
        </w:rPr>
        <w:t>1.86%</w:t>
      </w:r>
      <w:r>
        <w:rPr/>
        <w:t>。</w:t>
      </w:r>
    </w:p>
    <w:p>
      <w:pPr>
        <w:pStyle w:val="BodyText"/>
        <w:spacing w:line="292" w:lineRule="auto" w:before="126"/>
        <w:ind w:left="139" w:right="216" w:firstLine="420"/>
        <w:jc w:val="both"/>
      </w:pPr>
      <w:r>
        <w:rPr>
          <w:spacing w:val="-3"/>
        </w:rPr>
        <w:t>随着经济金融发展、金融改革深化以及政府对服务外包支持力度加大，金融机构对服务</w:t>
      </w:r>
      <w:r>
        <w:rPr/>
        <w:t> </w:t>
      </w:r>
      <w:r>
        <w:rPr>
          <w:spacing w:val="-3"/>
        </w:rPr>
        <w:t>外包的需求将不断扩大，发达国家部分金融服务外包也将向中国转移，我国金融服务外包产</w:t>
      </w:r>
      <w:r>
        <w:rPr>
          <w:spacing w:val="-79"/>
        </w:rPr>
        <w:t> </w:t>
      </w:r>
      <w:r>
        <w:rPr>
          <w:spacing w:val="-79"/>
        </w:rPr>
      </w:r>
      <w:r>
        <w:rPr>
          <w:spacing w:val="-3"/>
        </w:rPr>
        <w:t>业前景广阔。从未来市场规模来看，国内金融机构的需求将逐步扩大，港澳台、国际金融机</w:t>
      </w:r>
      <w:r>
        <w:rPr>
          <w:spacing w:val="-80"/>
        </w:rPr>
        <w:t> </w:t>
      </w:r>
      <w:r>
        <w:rPr>
          <w:spacing w:val="-80"/>
        </w:rPr>
      </w:r>
      <w:r>
        <w:rPr/>
        <w:t>构的服务外包需求也会不断向中国内地转移。据测算，</w:t>
      </w:r>
      <w:r>
        <w:rPr>
          <w:rFonts w:ascii="Times New Roman" w:hAnsi="Times New Roman" w:cs="Times New Roman" w:eastAsia="Times New Roman" w:hint="default"/>
        </w:rPr>
        <w:t>2010 </w:t>
      </w:r>
      <w:r>
        <w:rPr>
          <w:spacing w:val="-3"/>
        </w:rPr>
        <w:t>年、</w:t>
      </w:r>
      <w:r>
        <w:rPr>
          <w:rFonts w:ascii="Times New Roman" w:hAnsi="Times New Roman" w:cs="Times New Roman" w:eastAsia="Times New Roman" w:hint="default"/>
          <w:spacing w:val="-3"/>
        </w:rPr>
        <w:t>2015 </w:t>
      </w:r>
      <w:r>
        <w:rPr>
          <w:spacing w:val="-2"/>
        </w:rPr>
        <w:t>年、</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16"/>
        </w:rPr>
        <w:t> </w:t>
      </w:r>
      <w:r>
        <w:rPr/>
        <w:t>年中国金融 服务外包市场规模分别为</w:t>
      </w:r>
      <w:r>
        <w:rPr>
          <w:spacing w:val="-56"/>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亿元人民币、</w:t>
      </w:r>
      <w:r>
        <w:rPr>
          <w:rFonts w:ascii="Times New Roman" w:hAnsi="Times New Roman" w:cs="Times New Roman" w:eastAsia="Times New Roman" w:hint="default"/>
        </w:rPr>
        <w:t>2100</w:t>
      </w:r>
      <w:r>
        <w:rPr>
          <w:rFonts w:ascii="Times New Roman" w:hAnsi="Times New Roman" w:cs="Times New Roman" w:eastAsia="Times New Roman" w:hint="default"/>
          <w:spacing w:val="-3"/>
        </w:rPr>
        <w:t> </w:t>
      </w:r>
      <w:r>
        <w:rPr/>
        <w:t>亿元人民币、</w:t>
      </w:r>
      <w:r>
        <w:rPr>
          <w:rFonts w:ascii="Times New Roman" w:hAnsi="Times New Roman" w:cs="Times New Roman" w:eastAsia="Times New Roman" w:hint="default"/>
        </w:rPr>
        <w:t>4700</w:t>
      </w:r>
      <w:r>
        <w:rPr>
          <w:rFonts w:ascii="Times New Roman" w:hAnsi="Times New Roman" w:cs="Times New Roman" w:eastAsia="Times New Roman" w:hint="default"/>
          <w:spacing w:val="-3"/>
        </w:rPr>
        <w:t> </w:t>
      </w:r>
      <w:r>
        <w:rPr/>
        <w:t>亿元人民币。</w:t>
      </w:r>
    </w:p>
    <w:p>
      <w:pPr>
        <w:pStyle w:val="BodyText"/>
        <w:spacing w:line="240" w:lineRule="auto" w:before="117"/>
        <w:ind w:left="559" w:right="0"/>
        <w:jc w:val="left"/>
      </w:pPr>
      <w:r>
        <w:rPr/>
        <w:t>（</w:t>
      </w:r>
      <w:r>
        <w:rPr>
          <w:rFonts w:ascii="Times New Roman" w:hAnsi="Times New Roman" w:cs="Times New Roman" w:eastAsia="Times New Roman" w:hint="default"/>
        </w:rPr>
        <w:t>2</w:t>
      </w:r>
      <w:r>
        <w:rPr/>
        <w:t>）市场竞争格局</w:t>
      </w:r>
    </w:p>
    <w:p>
      <w:pPr>
        <w:pStyle w:val="BodyText"/>
        <w:spacing w:line="280" w:lineRule="auto" w:before="170"/>
        <w:ind w:left="139" w:right="214" w:firstLine="420"/>
        <w:jc w:val="both"/>
        <w:rPr>
          <w:rFonts w:ascii="Times New Roman" w:hAnsi="Times New Roman" w:cs="Times New Roman" w:eastAsia="Times New Roman" w:hint="default"/>
        </w:rPr>
      </w:pPr>
      <w:r>
        <w:rPr/>
        <w:t>在</w:t>
      </w:r>
      <w:r>
        <w:rPr>
          <w:spacing w:val="-6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领域，由于市场进入壁垒较高，国际市场仍维持原有垄断竞争格局，公司主要 竞争对手依然是</w:t>
      </w:r>
      <w:r>
        <w:rPr>
          <w:spacing w:val="-55"/>
        </w:rPr>
        <w:t> </w:t>
      </w:r>
      <w:r>
        <w:rPr>
          <w:rFonts w:ascii="Times New Roman" w:hAnsi="Times New Roman" w:cs="Times New Roman" w:eastAsia="Times New Roman" w:hint="default"/>
        </w:rPr>
        <w:t>Diebold</w:t>
      </w:r>
      <w:r>
        <w:rPr/>
        <w:t>、</w:t>
      </w:r>
      <w:r>
        <w:rPr>
          <w:spacing w:val="-74"/>
        </w:rPr>
        <w:t> </w:t>
      </w:r>
      <w:r>
        <w:rPr>
          <w:rFonts w:ascii="Times New Roman" w:hAnsi="Times New Roman" w:cs="Times New Roman" w:eastAsia="Times New Roman" w:hint="default"/>
          <w:spacing w:val="-7"/>
        </w:rPr>
        <w:t>Hitachi</w:t>
      </w:r>
      <w:r>
        <w:rPr>
          <w:spacing w:val="-7"/>
        </w:rPr>
        <w:t>、</w:t>
      </w:r>
      <w:r>
        <w:rPr>
          <w:rFonts w:ascii="Times New Roman" w:hAnsi="Times New Roman" w:cs="Times New Roman" w:eastAsia="Times New Roman" w:hint="default"/>
          <w:spacing w:val="-7"/>
        </w:rPr>
        <w:t>NCR</w:t>
      </w:r>
      <w:r>
        <w:rPr>
          <w:spacing w:val="-7"/>
        </w:rPr>
        <w:t>、</w:t>
      </w:r>
      <w:r>
        <w:rPr>
          <w:spacing w:val="-74"/>
        </w:rPr>
        <w:t> </w:t>
      </w:r>
      <w:r>
        <w:rPr>
          <w:rFonts w:ascii="Times New Roman" w:hAnsi="Times New Roman" w:cs="Times New Roman" w:eastAsia="Times New Roman" w:hint="default"/>
        </w:rPr>
        <w:t>Nautilus</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9"/>
        </w:rPr>
        <w:t>Hyosung</w:t>
      </w:r>
      <w:r>
        <w:rPr>
          <w:spacing w:val="-9"/>
        </w:rPr>
        <w:t>、</w:t>
      </w:r>
      <w:r>
        <w:rPr>
          <w:rFonts w:ascii="Times New Roman" w:hAnsi="Times New Roman" w:cs="Times New Roman" w:eastAsia="Times New Roman" w:hint="default"/>
          <w:spacing w:val="-9"/>
        </w:rPr>
        <w:t>OKI</w:t>
      </w:r>
      <w:r>
        <w:rPr>
          <w:spacing w:val="-9"/>
        </w:rPr>
        <w:t>、</w:t>
      </w:r>
      <w:r>
        <w:rPr>
          <w:rFonts w:ascii="Times New Roman" w:hAnsi="Times New Roman" w:cs="Times New Roman" w:eastAsia="Times New Roman" w:hint="default"/>
          <w:spacing w:val="-9"/>
        </w:rPr>
        <w:t>Triton</w:t>
      </w:r>
      <w:r>
        <w:rPr>
          <w:rFonts w:ascii="Times New Roman" w:hAnsi="Times New Roman" w:cs="Times New Roman" w:eastAsia="Times New Roman" w:hint="default"/>
          <w:spacing w:val="-3"/>
        </w:rPr>
        <w:t> </w:t>
      </w:r>
      <w:r>
        <w:rPr>
          <w:rFonts w:ascii="Times New Roman" w:hAnsi="Times New Roman" w:cs="Times New Roman" w:eastAsia="Times New Roman" w:hint="default"/>
        </w:rPr>
        <w:t>and</w:t>
      </w:r>
      <w:r>
        <w:rPr>
          <w:rFonts w:ascii="Times New Roman" w:hAnsi="Times New Roman" w:cs="Times New Roman" w:eastAsia="Times New Roman" w:hint="default"/>
          <w:spacing w:val="-5"/>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2"/>
        </w:rPr>
        <w:t> </w:t>
      </w:r>
      <w:r>
        <w:rPr>
          <w:rFonts w:ascii="Times New Roman" w:hAnsi="Times New Roman" w:cs="Times New Roman" w:eastAsia="Times New Roman" w:hint="default"/>
        </w:rPr>
        <w:t>Nixdorf</w:t>
      </w:r>
    </w:p>
    <w:p>
      <w:pPr>
        <w:pStyle w:val="BodyText"/>
        <w:spacing w:line="280" w:lineRule="auto" w:before="9"/>
        <w:ind w:left="139" w:right="163"/>
        <w:jc w:val="both"/>
      </w:pPr>
      <w:r>
        <w:rPr>
          <w:spacing w:val="-7"/>
        </w:rPr>
        <w:t>（按字母顺序）。在国内市场上，根据</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3 </w:t>
      </w:r>
      <w:r>
        <w:rPr>
          <w:spacing w:val="-1"/>
        </w:rPr>
        <w:t>月《金融时报》发布的《</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spacing w:val="-1"/>
        </w:rPr>
        <w:t>年我国</w:t>
      </w:r>
      <w:r>
        <w:rPr>
          <w:spacing w:val="-52"/>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50"/>
          <w:w w:val="99"/>
        </w:rPr>
        <w:t> </w:t>
      </w:r>
      <w:r>
        <w:rPr>
          <w:rFonts w:ascii="Times New Roman" w:hAnsi="Times New Roman" w:cs="Times New Roman" w:eastAsia="Times New Roman" w:hint="default"/>
          <w:spacing w:val="-50"/>
          <w:w w:val="99"/>
        </w:rPr>
      </w:r>
      <w:r>
        <w:rPr>
          <w:spacing w:val="-12"/>
        </w:rPr>
        <w:t>市场报告》，公司以</w:t>
      </w:r>
      <w:r>
        <w:rPr>
          <w:spacing w:val="-45"/>
        </w:rPr>
        <w:t> </w:t>
      </w:r>
      <w:r>
        <w:rPr>
          <w:rFonts w:ascii="Times New Roman" w:hAnsi="Times New Roman" w:cs="Times New Roman" w:eastAsia="Times New Roman" w:hint="default"/>
          <w:spacing w:val="-1"/>
        </w:rPr>
        <w:t>12000</w:t>
      </w:r>
      <w:r>
        <w:rPr>
          <w:rFonts w:ascii="Times New Roman" w:hAnsi="Times New Roman" w:cs="Times New Roman" w:eastAsia="Times New Roman" w:hint="default"/>
          <w:spacing w:val="8"/>
        </w:rPr>
        <w:t> </w:t>
      </w:r>
      <w:r>
        <w:rPr>
          <w:spacing w:val="-1"/>
        </w:rPr>
        <w:t>台的销售量继续保持市场占有率第一的位置，后续依次为</w:t>
      </w:r>
      <w:r>
        <w:rPr>
          <w:spacing w:val="-45"/>
        </w:rPr>
        <w:t> </w:t>
      </w:r>
      <w:r>
        <w:rPr>
          <w:rFonts w:ascii="Times New Roman" w:hAnsi="Times New Roman" w:cs="Times New Roman" w:eastAsia="Times New Roman" w:hint="default"/>
          <w:spacing w:val="-1"/>
        </w:rPr>
        <w:t>NCR</w:t>
      </w:r>
      <w:r>
        <w:rPr>
          <w:spacing w:val="-1"/>
        </w:rPr>
        <w:t>、</w:t>
      </w:r>
      <w:r>
        <w:rPr>
          <w:spacing w:val="-103"/>
        </w:rPr>
        <w:t> </w:t>
      </w:r>
      <w:r>
        <w:rPr>
          <w:rFonts w:ascii="Times New Roman" w:hAnsi="Times New Roman" w:cs="Times New Roman" w:eastAsia="Times New Roman" w:hint="default"/>
        </w:rPr>
        <w:t>Hitachi</w:t>
      </w:r>
      <w:r>
        <w:rPr/>
        <w:t>、</w:t>
      </w:r>
      <w:r>
        <w:rPr>
          <w:rFonts w:ascii="Times New Roman" w:hAnsi="Times New Roman" w:cs="Times New Roman" w:eastAsia="Times New Roman" w:hint="default"/>
        </w:rPr>
        <w:t>Diebold</w:t>
      </w:r>
      <w:r>
        <w:rPr/>
        <w:t>、怡化和</w:t>
      </w:r>
      <w:r>
        <w:rPr>
          <w:spacing w:val="-57"/>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26"/>
        </w:rPr>
        <w:t> </w:t>
      </w:r>
      <w:r>
        <w:rPr>
          <w:rFonts w:ascii="Times New Roman" w:hAnsi="Times New Roman" w:cs="Times New Roman" w:eastAsia="Times New Roman" w:hint="default"/>
        </w:rPr>
        <w:t>Nixdorf</w:t>
      </w:r>
      <w:r>
        <w:rPr/>
        <w:t>。为适应市场需求，银行在</w:t>
      </w:r>
      <w:r>
        <w:rPr>
          <w:spacing w:val="-5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4"/>
        </w:rPr>
        <w:t> </w:t>
      </w:r>
      <w:r>
        <w:rPr/>
        <w:t>采购中，逐年加 </w:t>
      </w:r>
      <w:r>
        <w:rPr>
          <w:spacing w:val="-4"/>
        </w:rPr>
        <w:t>大对存取款一体机的采购力度，因此专做存取款一体机的</w:t>
      </w:r>
      <w:r>
        <w:rPr>
          <w:spacing w:val="-51"/>
        </w:rPr>
        <w:t> </w:t>
      </w:r>
      <w:r>
        <w:rPr>
          <w:rFonts w:ascii="Times New Roman" w:hAnsi="Times New Roman" w:cs="Times New Roman" w:eastAsia="Times New Roman" w:hint="default"/>
        </w:rPr>
        <w:t>Hitachi</w:t>
      </w:r>
      <w:r>
        <w:rPr>
          <w:rFonts w:ascii="Times New Roman" w:hAnsi="Times New Roman" w:cs="Times New Roman" w:eastAsia="Times New Roman" w:hint="default"/>
          <w:spacing w:val="2"/>
        </w:rPr>
        <w:t> </w:t>
      </w:r>
      <w:r>
        <w:rPr/>
        <w:t>和怡化</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年市场销售量</w:t>
      </w:r>
      <w:r>
        <w:rPr>
          <w:spacing w:val="-102"/>
        </w:rPr>
        <w:t> </w:t>
      </w:r>
      <w:r>
        <w:rPr>
          <w:spacing w:val="-102"/>
        </w:rPr>
      </w:r>
      <w:r>
        <w:rPr/>
        <w:t>增加，市场排名提升。</w:t>
      </w:r>
    </w:p>
    <w:p>
      <w:pPr>
        <w:pStyle w:val="BodyText"/>
        <w:spacing w:line="292" w:lineRule="auto" w:before="150"/>
        <w:ind w:left="139" w:right="100" w:firstLine="420"/>
        <w:jc w:val="left"/>
      </w:pPr>
      <w:r>
        <w:rPr>
          <w:spacing w:val="-3"/>
        </w:rPr>
        <w:t>我国城市轨道交通的投资主体是各个城市的地方政府，行政上互不隶属，对于当地城市</w:t>
      </w:r>
      <w:r>
        <w:rPr/>
        <w:t> </w:t>
      </w:r>
      <w:r>
        <w:rPr>
          <w:spacing w:val="-3"/>
        </w:rPr>
        <w:t>轨道交通建设都拥有充分的自主权，这就使得参与该行业竞争的商家很多，如国内厂商除广</w:t>
      </w:r>
      <w:r>
        <w:rPr>
          <w:spacing w:val="-79"/>
        </w:rPr>
        <w:t> </w:t>
      </w:r>
      <w:r>
        <w:rPr>
          <w:spacing w:val="-79"/>
        </w:rPr>
      </w:r>
      <w:r>
        <w:rPr>
          <w:spacing w:val="-3"/>
        </w:rPr>
        <w:t>电运通外，还包括上海的邮通、华虹、华铭、华腾；南京熊猫、沈阳新松、大连现代、北京</w:t>
      </w:r>
      <w:r>
        <w:rPr>
          <w:spacing w:val="-80"/>
        </w:rPr>
        <w:t> </w:t>
      </w:r>
      <w:r>
        <w:rPr>
          <w:spacing w:val="-80"/>
        </w:rPr>
      </w:r>
      <w:r>
        <w:rPr>
          <w:spacing w:val="-3"/>
        </w:rPr>
        <w:t>方正和南天智诚、湖北三环、浙大网新、深圳现代、广州铭鸿及四川久远等，国外厂商有日</w:t>
      </w:r>
      <w:r>
        <w:rPr>
          <w:spacing w:val="-84"/>
        </w:rPr>
        <w:t> </w:t>
      </w:r>
      <w:r>
        <w:rPr>
          <w:spacing w:val="-84"/>
        </w:rPr>
      </w:r>
      <w:r>
        <w:rPr/>
        <w:t>本的日本信号、欧姆龙；韩国的三星、</w:t>
      </w:r>
      <w:r>
        <w:rPr>
          <w:rFonts w:ascii="Times New Roman" w:hAnsi="Times New Roman" w:cs="Times New Roman" w:eastAsia="Times New Roman" w:hint="default"/>
        </w:rPr>
        <w:t>LG</w:t>
      </w:r>
      <w:r>
        <w:rPr/>
        <w:t>；法国的</w:t>
      </w:r>
      <w:r>
        <w:rPr>
          <w:spacing w:val="-63"/>
        </w:rPr>
        <w:t> </w:t>
      </w:r>
      <w:r>
        <w:rPr>
          <w:rFonts w:ascii="Times New Roman" w:hAnsi="Times New Roman" w:cs="Times New Roman" w:eastAsia="Times New Roman" w:hint="default"/>
        </w:rPr>
        <w:t>Thales</w:t>
      </w:r>
      <w:r>
        <w:rPr/>
        <w:t>，新加坡的新科电子，德国的</w:t>
      </w:r>
      <w:r>
        <w:rPr>
          <w:spacing w:val="-63"/>
        </w:rPr>
        <w:t> </w:t>
      </w:r>
      <w:r>
        <w:rPr>
          <w:rFonts w:ascii="Times New Roman" w:hAnsi="Times New Roman" w:cs="Times New Roman" w:eastAsia="Times New Roman" w:hint="default"/>
        </w:rPr>
        <w:t>SB</w:t>
      </w:r>
      <w:r>
        <w:rPr>
          <w:rFonts w:ascii="Times New Roman" w:hAnsi="Times New Roman" w:cs="Times New Roman" w:eastAsia="Times New Roman" w:hint="default"/>
          <w:spacing w:val="-1"/>
          <w:w w:val="99"/>
        </w:rPr>
        <w:t> </w:t>
      </w:r>
      <w:r>
        <w:rPr>
          <w:spacing w:val="-2"/>
        </w:rPr>
        <w:t>等，竞争激烈。在高铁领域，</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1"/>
        </w:rPr>
        <w:t> </w:t>
      </w:r>
      <w:r>
        <w:rPr>
          <w:spacing w:val="-1"/>
        </w:rPr>
        <w:t>年，公司继续保持在高铁自动售票机市场上的领先地位，</w:t>
      </w:r>
      <w:r>
        <w:rPr>
          <w:spacing w:val="-103"/>
        </w:rPr>
        <w:t> </w:t>
      </w:r>
      <w:r>
        <w:rPr>
          <w:spacing w:val="-103"/>
        </w:rPr>
      </w:r>
      <w:r>
        <w:rPr>
          <w:spacing w:val="-3"/>
        </w:rPr>
        <w:t>竞争厂商主要是中国铁道科学研究院。随着公司纸币识别模块和纸币找零模块等核心技术在</w:t>
      </w:r>
      <w:r>
        <w:rPr>
          <w:spacing w:val="-79"/>
        </w:rPr>
        <w:t> </w:t>
      </w:r>
      <w:r>
        <w:rPr>
          <w:spacing w:val="-79"/>
        </w:rPr>
      </w:r>
      <w:r>
        <w:rPr/>
        <w:t>市场上的推广使用，公司在城市轨道交通行业的地位和实力得到不断提升。</w:t>
      </w:r>
    </w:p>
    <w:p>
      <w:pPr>
        <w:pStyle w:val="BodyText"/>
        <w:spacing w:line="292" w:lineRule="auto" w:before="138"/>
        <w:ind w:right="104" w:firstLine="420"/>
        <w:jc w:val="left"/>
      </w:pPr>
      <w:r>
        <w:rPr>
          <w:spacing w:val="-3"/>
        </w:rPr>
        <w:t>在金融服务外包方面，我国本土专业金融外包服务商有待发展。目前我国本土金融外包</w:t>
      </w:r>
      <w:r>
        <w:rPr/>
        <w:t> 服务商依附性强，发展零散，规模较小，没有处于绝对优势的大型专业金融服务外包公司。 </w:t>
      </w:r>
      <w:r>
        <w:rPr>
          <w:rFonts w:ascii="Times New Roman" w:hAnsi="Times New Roman" w:cs="Times New Roman" w:eastAsia="Times New Roman" w:hint="default"/>
          <w:spacing w:val="-8"/>
        </w:rPr>
        <w:t>ATM </w:t>
      </w:r>
      <w:r>
        <w:rPr/>
        <w:t>行业外包服务商除公司全资子公司深圳银通及控股子公司广州穗通外，还有</w:t>
      </w:r>
      <w:r>
        <w:rPr>
          <w:spacing w:val="-47"/>
        </w:rPr>
        <w:t> </w:t>
      </w:r>
      <w:r>
        <w:rPr>
          <w:rFonts w:ascii="Times New Roman" w:hAnsi="Times New Roman" w:cs="Times New Roman" w:eastAsia="Times New Roman" w:hint="default"/>
        </w:rPr>
        <w:t>Diebold</w:t>
      </w:r>
      <w:r>
        <w:rPr/>
        <w:t>、 中投科技、银联商务、合荣欣业、</w:t>
      </w:r>
      <w:r>
        <w:rPr>
          <w:rFonts w:ascii="Times New Roman" w:hAnsi="Times New Roman" w:cs="Times New Roman" w:eastAsia="Times New Roman" w:hint="default"/>
        </w:rPr>
        <w:t>G4S</w:t>
      </w:r>
      <w:r>
        <w:rPr>
          <w:rFonts w:ascii="Times New Roman" w:hAnsi="Times New Roman" w:cs="Times New Roman" w:eastAsia="Times New Roman" w:hint="default"/>
          <w:spacing w:val="-3"/>
        </w:rPr>
        <w:t> </w:t>
      </w:r>
      <w:r>
        <w:rPr/>
        <w:t>等。</w:t>
      </w:r>
    </w:p>
    <w:p>
      <w:pPr>
        <w:pStyle w:val="BodyText"/>
        <w:spacing w:line="381" w:lineRule="auto" w:before="117"/>
        <w:ind w:left="560" w:right="0" w:hanging="1"/>
        <w:jc w:val="left"/>
      </w:pPr>
      <w:r>
        <w:rPr>
          <w:rFonts w:ascii="Times New Roman" w:hAnsi="Times New Roman" w:cs="Times New Roman" w:eastAsia="Times New Roman" w:hint="default"/>
        </w:rPr>
        <w:t>2</w:t>
      </w:r>
      <w:r>
        <w:rPr/>
        <w:t>、公司的发展规划 </w:t>
      </w:r>
      <w:r>
        <w:rPr>
          <w:spacing w:val="-3"/>
        </w:rPr>
        <w:t>公司始终坚持以货币自动识别与处理设备为根本，以高端设备攻克主流市场，紧盯市场</w:t>
      </w:r>
    </w:p>
    <w:p>
      <w:pPr>
        <w:spacing w:after="0" w:line="381"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right="217"/>
        <w:jc w:val="both"/>
      </w:pPr>
      <w:r>
        <w:rPr>
          <w:spacing w:val="-3"/>
        </w:rPr>
        <w:t>需求，以服务和软件来赢得客户口碑，以大量的研发投入来赢得公司后续的竞争保障，以内</w:t>
      </w:r>
      <w:r>
        <w:rPr>
          <w:spacing w:val="-81"/>
        </w:rPr>
        <w:t> </w:t>
      </w:r>
      <w:r>
        <w:rPr>
          <w:spacing w:val="-81"/>
        </w:rPr>
      </w:r>
      <w:r>
        <w:rPr>
          <w:spacing w:val="-3"/>
        </w:rPr>
        <w:t>涵式和外延式发展相结合的方式加速公司成长，通过构筑良好的企业文化和人文关系实现企</w:t>
      </w:r>
      <w:r>
        <w:rPr>
          <w:spacing w:val="-79"/>
        </w:rPr>
        <w:t> </w:t>
      </w:r>
      <w:r>
        <w:rPr>
          <w:spacing w:val="-79"/>
        </w:rPr>
      </w:r>
      <w:r>
        <w:rPr/>
        <w:t>业与个人共同发展，最终将公司真正打造成为行业翘楚。</w:t>
      </w:r>
    </w:p>
    <w:p>
      <w:pPr>
        <w:pStyle w:val="BodyText"/>
        <w:spacing w:line="240" w:lineRule="auto" w:before="135"/>
        <w:ind w:left="560"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年经营计划</w:t>
      </w:r>
    </w:p>
    <w:p>
      <w:pPr>
        <w:pStyle w:val="BodyText"/>
        <w:spacing w:line="292" w:lineRule="auto" w:before="170"/>
        <w:ind w:right="99" w:firstLine="42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年，是“十二五”规划的开局年，是中国转变经济发展方式的关键之年，也将是 </w:t>
      </w:r>
      <w:r>
        <w:rPr>
          <w:spacing w:val="-5"/>
        </w:rPr>
        <w:t>公司创新发展、巩固行业“引领者”地位的关键期。为此，公司将以“资本与产业相互促进，</w:t>
      </w:r>
      <w:r>
        <w:rPr>
          <w:spacing w:val="-102"/>
        </w:rPr>
        <w:t> </w:t>
      </w:r>
      <w:r>
        <w:rPr>
          <w:spacing w:val="-102"/>
        </w:rPr>
      </w:r>
      <w:r>
        <w:rPr>
          <w:spacing w:val="-3"/>
        </w:rPr>
        <w:t>技术与品牌共同提升”为经营主题，审时度势，充分利用资本平台，推进产业升级，完善产</w:t>
      </w:r>
      <w:r>
        <w:rPr>
          <w:spacing w:val="-83"/>
        </w:rPr>
        <w:t> </w:t>
      </w:r>
      <w:r>
        <w:rPr>
          <w:spacing w:val="-83"/>
        </w:rPr>
      </w:r>
      <w:r>
        <w:rPr>
          <w:spacing w:val="-3"/>
        </w:rPr>
        <w:t>业链，真正实现“产业＋资本”双轮驱动；充分发挥核心技术优势，促进核心技术在国内外</w:t>
      </w:r>
      <w:r>
        <w:rPr>
          <w:spacing w:val="-84"/>
        </w:rPr>
        <w:t> </w:t>
      </w:r>
      <w:r>
        <w:rPr>
          <w:spacing w:val="-84"/>
        </w:rPr>
      </w:r>
      <w:r>
        <w:rPr>
          <w:spacing w:val="-3"/>
        </w:rPr>
        <w:t>市场广泛使用，打造强势国际品牌，进一步确立公司在行业中作为“引领者”的地位。重点</w:t>
      </w:r>
      <w:r>
        <w:rPr>
          <w:spacing w:val="-84"/>
        </w:rPr>
        <w:t> </w:t>
      </w:r>
      <w:r>
        <w:rPr>
          <w:spacing w:val="-84"/>
        </w:rPr>
      </w:r>
      <w:r>
        <w:rPr/>
        <w:t>做好以下几个方面的工作：</w:t>
      </w:r>
    </w:p>
    <w:p>
      <w:pPr>
        <w:pStyle w:val="BodyText"/>
        <w:spacing w:line="381" w:lineRule="auto" w:before="139"/>
        <w:ind w:left="560" w:right="0"/>
        <w:jc w:val="left"/>
      </w:pPr>
      <w:r>
        <w:rPr/>
        <w:t>（</w:t>
      </w:r>
      <w:r>
        <w:rPr>
          <w:rFonts w:ascii="Times New Roman" w:hAnsi="Times New Roman" w:cs="Times New Roman" w:eastAsia="Times New Roman" w:hint="default"/>
        </w:rPr>
        <w:t>1</w:t>
      </w:r>
      <w:r>
        <w:rPr/>
        <w:t>）把握规划要领，启动公司规划布局，保障公司规划实施 </w:t>
      </w:r>
      <w:r>
        <w:rPr>
          <w:spacing w:val="-3"/>
        </w:rPr>
        <w:t>充分领会国家、地方及行业“十二五”规划纲要，分析形势，理清思路，统筹谋划，抢</w:t>
      </w:r>
    </w:p>
    <w:p>
      <w:pPr>
        <w:pStyle w:val="BodyText"/>
        <w:spacing w:line="216" w:lineRule="exact"/>
        <w:ind w:right="0"/>
        <w:jc w:val="both"/>
      </w:pPr>
      <w:r>
        <w:rPr/>
        <w:t>抓机遇，充分发挥公司多年积累的竞争优势，储备公司发展所需资金、场地、技术等资源，</w:t>
      </w:r>
    </w:p>
    <w:p>
      <w:pPr>
        <w:pStyle w:val="BodyText"/>
        <w:spacing w:line="240" w:lineRule="auto" w:before="66"/>
        <w:ind w:right="0"/>
        <w:jc w:val="both"/>
      </w:pPr>
      <w:r>
        <w:rPr/>
        <w:t>确保公司“十二五”规划的全面实施。</w:t>
      </w:r>
    </w:p>
    <w:p>
      <w:pPr>
        <w:spacing w:line="240" w:lineRule="auto" w:before="3"/>
        <w:rPr>
          <w:rFonts w:ascii="宋体" w:hAnsi="宋体" w:cs="宋体" w:eastAsia="宋体" w:hint="default"/>
          <w:sz w:val="14"/>
          <w:szCs w:val="14"/>
        </w:rPr>
      </w:pPr>
    </w:p>
    <w:p>
      <w:pPr>
        <w:pStyle w:val="BodyText"/>
        <w:spacing w:line="379" w:lineRule="auto"/>
        <w:ind w:left="560" w:right="0" w:hanging="1"/>
        <w:jc w:val="left"/>
      </w:pPr>
      <w:r>
        <w:rPr/>
        <w:t>（</w:t>
      </w:r>
      <w:r>
        <w:rPr>
          <w:rFonts w:ascii="Times New Roman" w:hAnsi="Times New Roman" w:cs="Times New Roman" w:eastAsia="Times New Roman" w:hint="default"/>
        </w:rPr>
        <w:t>2</w:t>
      </w:r>
      <w:r>
        <w:rPr/>
        <w:t>）高度关注社会变革，通过业务模式的创新抢占行业制高点 </w:t>
      </w:r>
      <w:r>
        <w:rPr>
          <w:spacing w:val="-6"/>
        </w:rPr>
        <w:t>要拓宽视野，着眼未来，看准方向，紧盯行业变化带来的市场机会，发挥公司在制造业、</w:t>
      </w:r>
    </w:p>
    <w:p>
      <w:pPr>
        <w:pStyle w:val="BodyText"/>
        <w:spacing w:line="219" w:lineRule="exact"/>
        <w:ind w:right="0"/>
        <w:jc w:val="both"/>
      </w:pPr>
      <w:r>
        <w:rPr>
          <w:spacing w:val="-3"/>
        </w:rPr>
        <w:t>软件业、服务业等方面业已形成的竞争优势，整合公司产业链，形成集约化经营，提高市场</w:t>
      </w:r>
    </w:p>
    <w:p>
      <w:pPr>
        <w:pStyle w:val="BodyText"/>
        <w:spacing w:line="240" w:lineRule="auto" w:before="66"/>
        <w:ind w:right="0"/>
        <w:jc w:val="both"/>
      </w:pPr>
      <w:r>
        <w:rPr/>
        <w:t>进入门槛，抢占行业制高点，增强市场控制力，提升公司竞争力。</w:t>
      </w:r>
    </w:p>
    <w:p>
      <w:pPr>
        <w:spacing w:line="240" w:lineRule="auto" w:before="2"/>
        <w:rPr>
          <w:rFonts w:ascii="宋体" w:hAnsi="宋体" w:cs="宋体" w:eastAsia="宋体" w:hint="default"/>
          <w:sz w:val="14"/>
          <w:szCs w:val="14"/>
        </w:rPr>
      </w:pPr>
    </w:p>
    <w:p>
      <w:pPr>
        <w:pStyle w:val="BodyText"/>
        <w:spacing w:line="381" w:lineRule="auto"/>
        <w:ind w:left="560" w:right="0" w:hanging="1"/>
        <w:jc w:val="left"/>
      </w:pPr>
      <w:r>
        <w:rPr/>
        <w:t>（</w:t>
      </w:r>
      <w:r>
        <w:rPr>
          <w:rFonts w:ascii="Times New Roman" w:hAnsi="Times New Roman" w:cs="Times New Roman" w:eastAsia="Times New Roman" w:hint="default"/>
        </w:rPr>
        <w:t>3</w:t>
      </w:r>
      <w:r>
        <w:rPr/>
        <w:t>）不遗余力地攻克行业制高点 </w:t>
      </w:r>
      <w:r>
        <w:rPr>
          <w:spacing w:val="-3"/>
        </w:rPr>
        <w:t>战略性的突破才是根本性的突破，才是公司发展新的转折点。目前公司在以下几个方面</w:t>
      </w:r>
    </w:p>
    <w:p>
      <w:pPr>
        <w:pStyle w:val="BodyText"/>
        <w:spacing w:line="217" w:lineRule="exact"/>
        <w:ind w:right="0"/>
        <w:jc w:val="both"/>
      </w:pPr>
      <w:r>
        <w:rPr/>
        <w:t>有待突破</w:t>
      </w:r>
      <w:r>
        <w:rPr>
          <w:spacing w:val="-100"/>
        </w:rPr>
        <w:t>：</w:t>
      </w:r>
      <w:r>
        <w:rPr/>
        <w:t>一是循环一体机在国内外市场的成功推广</w:t>
      </w:r>
      <w:r>
        <w:rPr>
          <w:spacing w:val="-100"/>
        </w:rPr>
        <w:t>，</w:t>
      </w:r>
      <w:r>
        <w:rPr/>
        <w:t>中标土耳其订单就是一个很好的榜样；</w:t>
      </w:r>
    </w:p>
    <w:p>
      <w:pPr>
        <w:pStyle w:val="BodyText"/>
        <w:spacing w:line="297" w:lineRule="auto" w:before="66"/>
        <w:ind w:right="215"/>
        <w:jc w:val="both"/>
      </w:pPr>
      <w:r>
        <w:rPr>
          <w:spacing w:val="-3"/>
        </w:rPr>
        <w:t>二是国内关键客户的攻克，包括工行的进入、建行的大批量采购等；三是国际营销体系的完</w:t>
      </w:r>
      <w:r>
        <w:rPr>
          <w:spacing w:val="-81"/>
        </w:rPr>
        <w:t> </w:t>
      </w:r>
      <w:r>
        <w:rPr>
          <w:spacing w:val="-81"/>
        </w:rPr>
      </w:r>
      <w:r>
        <w:rPr>
          <w:spacing w:val="-3"/>
        </w:rPr>
        <w:t>善和做强；四是服务链的全方位打造；五是轨道交通核心模块的批量推广和系统业务能力的</w:t>
      </w:r>
      <w:r>
        <w:rPr>
          <w:spacing w:val="-79"/>
        </w:rPr>
        <w:t> </w:t>
      </w:r>
      <w:r>
        <w:rPr>
          <w:spacing w:val="-79"/>
        </w:rPr>
      </w:r>
      <w:r>
        <w:rPr/>
        <w:t>提升。</w:t>
      </w:r>
    </w:p>
    <w:p>
      <w:pPr>
        <w:pStyle w:val="BodyText"/>
        <w:spacing w:line="379" w:lineRule="auto" w:before="135"/>
        <w:ind w:left="560" w:right="0" w:hanging="1"/>
        <w:jc w:val="left"/>
      </w:pPr>
      <w:r>
        <w:rPr/>
        <w:t>（</w:t>
      </w:r>
      <w:r>
        <w:rPr>
          <w:rFonts w:ascii="Times New Roman" w:hAnsi="Times New Roman" w:cs="Times New Roman" w:eastAsia="Times New Roman" w:hint="default"/>
        </w:rPr>
        <w:t>4</w:t>
      </w:r>
      <w:r>
        <w:rPr/>
        <w:t>）持续加强科研开发力度，保持技术领先优势 </w:t>
      </w:r>
      <w:r>
        <w:rPr>
          <w:spacing w:val="-3"/>
        </w:rPr>
        <w:t>把握市场潮流，深挖客户需求，瞄准市场机会，积极响应国家号召，促进产业向中高端</w:t>
      </w:r>
    </w:p>
    <w:p>
      <w:pPr>
        <w:pStyle w:val="BodyText"/>
        <w:spacing w:line="219" w:lineRule="exact"/>
        <w:ind w:right="0"/>
        <w:jc w:val="both"/>
      </w:pPr>
      <w:r>
        <w:rPr>
          <w:spacing w:val="-3"/>
        </w:rPr>
        <w:t>转型，持续加大研发投入，以技术引领市场，确保公司技术领先优势，拉开公司与竞争对手</w:t>
      </w:r>
    </w:p>
    <w:p>
      <w:pPr>
        <w:pStyle w:val="BodyText"/>
        <w:spacing w:line="240" w:lineRule="auto" w:before="66"/>
        <w:ind w:right="0"/>
        <w:jc w:val="both"/>
      </w:pPr>
      <w:r>
        <w:rPr/>
        <w:t>的距离，增强公司竞争实力。</w:t>
      </w:r>
    </w:p>
    <w:p>
      <w:pPr>
        <w:spacing w:line="240" w:lineRule="auto" w:before="2"/>
        <w:rPr>
          <w:rFonts w:ascii="宋体" w:hAnsi="宋体" w:cs="宋体" w:eastAsia="宋体" w:hint="default"/>
          <w:sz w:val="14"/>
          <w:szCs w:val="14"/>
        </w:rPr>
      </w:pPr>
    </w:p>
    <w:p>
      <w:pPr>
        <w:pStyle w:val="BodyText"/>
        <w:spacing w:line="381" w:lineRule="auto"/>
        <w:ind w:left="560" w:right="0" w:hanging="1"/>
        <w:jc w:val="left"/>
      </w:pPr>
      <w:r>
        <w:rPr/>
        <w:t>（</w:t>
      </w:r>
      <w:r>
        <w:rPr>
          <w:rFonts w:ascii="Times New Roman" w:hAnsi="Times New Roman" w:cs="Times New Roman" w:eastAsia="Times New Roman" w:hint="default"/>
        </w:rPr>
        <w:t>5</w:t>
      </w:r>
      <w:r>
        <w:rPr/>
        <w:t>）充分利用资本平台，进行资本性扩张 </w:t>
      </w:r>
      <w:r>
        <w:rPr>
          <w:spacing w:val="-3"/>
        </w:rPr>
        <w:t>分析行业发展现状，寻找合作对象，充分利用上市公司这一资本平台，通过资本运作或</w:t>
      </w:r>
    </w:p>
    <w:p>
      <w:pPr>
        <w:pStyle w:val="BodyText"/>
        <w:spacing w:line="217" w:lineRule="exact"/>
        <w:ind w:right="0"/>
        <w:jc w:val="both"/>
      </w:pPr>
      <w:r>
        <w:rPr/>
        <w:t>实现销售渠道的建设与控制，或生产能力的扩张，或研发能力的提升，或服务能力的壮大，</w:t>
      </w:r>
    </w:p>
    <w:p>
      <w:pPr>
        <w:pStyle w:val="BodyText"/>
        <w:spacing w:line="240" w:lineRule="auto" w:before="64"/>
        <w:ind w:right="0"/>
        <w:jc w:val="both"/>
      </w:pPr>
      <w:r>
        <w:rPr/>
        <w:t>通过外延式发展加速公司成长步伐。</w:t>
      </w:r>
    </w:p>
    <w:p>
      <w:pPr>
        <w:spacing w:line="240" w:lineRule="auto" w:before="3"/>
        <w:rPr>
          <w:rFonts w:ascii="宋体" w:hAnsi="宋体" w:cs="宋体" w:eastAsia="宋体" w:hint="default"/>
          <w:sz w:val="14"/>
          <w:szCs w:val="14"/>
        </w:rPr>
      </w:pPr>
    </w:p>
    <w:p>
      <w:pPr>
        <w:pStyle w:val="BodyText"/>
        <w:spacing w:line="381" w:lineRule="auto"/>
        <w:ind w:left="560" w:right="0" w:hanging="1"/>
        <w:jc w:val="left"/>
      </w:pPr>
      <w:r>
        <w:rPr/>
        <w:t>（</w:t>
      </w:r>
      <w:r>
        <w:rPr>
          <w:rFonts w:ascii="Times New Roman" w:hAnsi="Times New Roman" w:cs="Times New Roman" w:eastAsia="Times New Roman" w:hint="default"/>
        </w:rPr>
        <w:t>6</w:t>
      </w:r>
      <w:r>
        <w:rPr/>
        <w:t>）前瞻性进行人力资源布局 </w:t>
      </w:r>
      <w:r>
        <w:rPr>
          <w:spacing w:val="-3"/>
        </w:rPr>
        <w:t>全面强化人才队伍建设，完善绩效评价运行体系，营造良好的用人、育人环境；以企业</w:t>
      </w:r>
    </w:p>
    <w:p>
      <w:pPr>
        <w:pStyle w:val="BodyText"/>
        <w:spacing w:line="217" w:lineRule="exact"/>
        <w:ind w:right="0"/>
        <w:jc w:val="both"/>
      </w:pPr>
      <w:r>
        <w:rPr>
          <w:spacing w:val="-3"/>
        </w:rPr>
        <w:t>文化为宣导，通过内部培训、外部培养、人才引进等多种方式，前瞻性地布局人力资源，在</w:t>
      </w:r>
    </w:p>
    <w:p>
      <w:pPr>
        <w:pStyle w:val="BodyText"/>
        <w:spacing w:line="240" w:lineRule="auto" w:before="64"/>
        <w:ind w:right="0"/>
        <w:jc w:val="both"/>
      </w:pPr>
      <w:r>
        <w:rPr/>
        <w:t>满足公司现实需要的同时，为企业快速发展储备一批可用之才。</w:t>
      </w:r>
    </w:p>
    <w:p>
      <w:pPr>
        <w:spacing w:after="0" w:line="24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381" w:lineRule="auto" w:before="35"/>
        <w:ind w:left="560" w:right="0" w:hanging="1"/>
        <w:jc w:val="left"/>
      </w:pPr>
      <w:r>
        <w:rPr>
          <w:rFonts w:ascii="Times New Roman" w:hAnsi="Times New Roman" w:cs="Times New Roman" w:eastAsia="Times New Roman" w:hint="default"/>
        </w:rPr>
        <w:t>4</w:t>
      </w:r>
      <w:r>
        <w:rPr/>
        <w:t>、资金需求和使用计划 </w:t>
      </w:r>
      <w:r>
        <w:rPr>
          <w:spacing w:val="-3"/>
        </w:rPr>
        <w:t>根据公司“十二五”规划部署及逐步实施，新项目的投入、产业链的整合、产能的扩张</w:t>
      </w:r>
    </w:p>
    <w:p>
      <w:pPr>
        <w:pStyle w:val="BodyText"/>
        <w:spacing w:line="216" w:lineRule="exact"/>
        <w:ind w:right="0"/>
        <w:jc w:val="left"/>
      </w:pPr>
      <w:r>
        <w:rPr>
          <w:spacing w:val="-3"/>
        </w:rPr>
        <w:t>等都将会增加资金需求。目前公司资产结构稳健、偿债能力较强、信贷资信良好，各种融资</w:t>
      </w:r>
    </w:p>
    <w:p>
      <w:pPr>
        <w:pStyle w:val="BodyText"/>
        <w:spacing w:line="297" w:lineRule="auto" w:before="66"/>
        <w:ind w:right="0"/>
        <w:jc w:val="left"/>
      </w:pPr>
      <w:r>
        <w:rPr>
          <w:spacing w:val="-3"/>
        </w:rPr>
        <w:t>渠道畅通。公司将根据发展步伐及实际资金需求，结合自身财务状况，合理利用各种融资方</w:t>
      </w:r>
      <w:r>
        <w:rPr>
          <w:spacing w:val="-81"/>
        </w:rPr>
        <w:t> </w:t>
      </w:r>
      <w:r>
        <w:rPr>
          <w:spacing w:val="-81"/>
        </w:rPr>
      </w:r>
      <w:r>
        <w:rPr/>
        <w:t>式，确保未来发展的资金需求，促进公司持续健康发展。</w:t>
      </w:r>
    </w:p>
    <w:p>
      <w:pPr>
        <w:pStyle w:val="BodyText"/>
        <w:spacing w:line="240" w:lineRule="auto" w:before="134"/>
        <w:ind w:left="560" w:right="0"/>
        <w:jc w:val="left"/>
      </w:pPr>
      <w:r>
        <w:rPr>
          <w:rFonts w:ascii="Times New Roman" w:hAnsi="Times New Roman" w:cs="Times New Roman" w:eastAsia="Times New Roman" w:hint="default"/>
        </w:rPr>
        <w:t>5</w:t>
      </w:r>
      <w:r>
        <w:rPr/>
        <w:t>、风险因素</w:t>
      </w:r>
    </w:p>
    <w:p>
      <w:pPr>
        <w:pStyle w:val="BodyText"/>
        <w:spacing w:line="240" w:lineRule="auto" w:before="170"/>
        <w:ind w:left="560" w:right="0"/>
        <w:jc w:val="left"/>
      </w:pPr>
      <w:r>
        <w:rPr/>
        <w:t>（</w:t>
      </w:r>
      <w:r>
        <w:rPr>
          <w:rFonts w:ascii="Times New Roman" w:hAnsi="Times New Roman" w:cs="Times New Roman" w:eastAsia="Times New Roman" w:hint="default"/>
        </w:rPr>
        <w:t>1</w:t>
      </w:r>
      <w:r>
        <w:rPr/>
        <w:t>）市场风险</w:t>
      </w:r>
    </w:p>
    <w:p>
      <w:pPr>
        <w:pStyle w:val="BodyText"/>
        <w:spacing w:line="292" w:lineRule="auto" w:before="170"/>
        <w:ind w:right="215" w:firstLine="420"/>
        <w:jc w:val="both"/>
      </w:pPr>
      <w:r>
        <w:rPr/>
        <w:t>经过多年打拼，公司已经在</w:t>
      </w:r>
      <w:r>
        <w:rPr>
          <w:spacing w:val="-54"/>
        </w:rPr>
        <w:t> </w:t>
      </w:r>
      <w:r>
        <w:rPr>
          <w:rFonts w:ascii="Times New Roman" w:hAnsi="Times New Roman" w:cs="Times New Roman" w:eastAsia="Times New Roman" w:hint="default"/>
          <w:spacing w:val="-4"/>
        </w:rPr>
        <w:t>ATM</w:t>
      </w:r>
      <w:r>
        <w:rPr>
          <w:spacing w:val="-4"/>
        </w:rPr>
        <w:t>、</w:t>
      </w:r>
      <w:r>
        <w:rPr>
          <w:rFonts w:ascii="Times New Roman" w:hAnsi="Times New Roman" w:cs="Times New Roman" w:eastAsia="Times New Roman" w:hint="default"/>
          <w:spacing w:val="-4"/>
        </w:rPr>
        <w:t>AFC</w:t>
      </w:r>
      <w:r>
        <w:rPr>
          <w:rFonts w:ascii="Times New Roman" w:hAnsi="Times New Roman" w:cs="Times New Roman" w:eastAsia="Times New Roman" w:hint="default"/>
          <w:spacing w:val="-1"/>
        </w:rPr>
        <w:t> </w:t>
      </w:r>
      <w:r>
        <w:rPr/>
        <w:t>市场具有相当市场影响力，但是品牌知名度与 </w:t>
      </w:r>
      <w:r>
        <w:rPr>
          <w:spacing w:val="-3"/>
        </w:rPr>
        <w:t>国外厂商相比仍有一定的差距，特别是在国外市场；国内关键客户的攻克、国外市场的占领</w:t>
      </w:r>
      <w:r>
        <w:rPr>
          <w:spacing w:val="-81"/>
        </w:rPr>
        <w:t> </w:t>
      </w:r>
      <w:r>
        <w:rPr>
          <w:spacing w:val="-81"/>
        </w:rPr>
      </w:r>
      <w:r>
        <w:rPr>
          <w:spacing w:val="-3"/>
        </w:rPr>
        <w:t>直接制约着公司成长空间和规模扩张。因此不遗余力地寻求关键市场突破是实现公司快速增</w:t>
      </w:r>
      <w:r>
        <w:rPr>
          <w:spacing w:val="-79"/>
        </w:rPr>
        <w:t> </w:t>
      </w:r>
      <w:r>
        <w:rPr>
          <w:spacing w:val="-79"/>
        </w:rPr>
      </w:r>
      <w:r>
        <w:rPr/>
        <w:t>长的当务之急。</w:t>
      </w:r>
    </w:p>
    <w:p>
      <w:pPr>
        <w:pStyle w:val="BodyText"/>
        <w:spacing w:line="379" w:lineRule="auto" w:before="139"/>
        <w:ind w:left="560" w:right="0" w:hanging="1"/>
        <w:jc w:val="left"/>
      </w:pPr>
      <w:r>
        <w:rPr/>
        <w:t>（</w:t>
      </w:r>
      <w:r>
        <w:rPr>
          <w:rFonts w:ascii="Times New Roman" w:hAnsi="Times New Roman" w:cs="Times New Roman" w:eastAsia="Times New Roman" w:hint="default"/>
        </w:rPr>
        <w:t>2</w:t>
      </w:r>
      <w:r>
        <w:rPr/>
        <w:t>）技术风险 </w:t>
      </w:r>
      <w:r>
        <w:rPr>
          <w:spacing w:val="-3"/>
        </w:rPr>
        <w:t>技术与市场相融合，以技术引领市场，以市场反哺技术，是公司一直以来坚持的研发战</w:t>
      </w:r>
    </w:p>
    <w:p>
      <w:pPr>
        <w:pStyle w:val="BodyText"/>
        <w:spacing w:line="219" w:lineRule="exact"/>
        <w:ind w:right="0"/>
        <w:jc w:val="left"/>
      </w:pPr>
      <w:r>
        <w:rPr/>
        <w:t>略</w:t>
      </w:r>
      <w:r>
        <w:rPr>
          <w:spacing w:val="-100"/>
        </w:rPr>
        <w:t>。</w:t>
      </w:r>
      <w:r>
        <w:rPr/>
        <w:t>公司多年投入研发的核心技术现已陆续投入市场接受检验</w:t>
      </w:r>
      <w:r>
        <w:rPr>
          <w:spacing w:val="-100"/>
        </w:rPr>
        <w:t>，</w:t>
      </w:r>
      <w:r>
        <w:rPr/>
        <w:t>从目前测试或运行情况来看，</w:t>
      </w:r>
    </w:p>
    <w:p>
      <w:pPr>
        <w:pStyle w:val="BodyText"/>
        <w:spacing w:line="297" w:lineRule="auto" w:before="66"/>
        <w:ind w:right="0"/>
        <w:jc w:val="left"/>
      </w:pPr>
      <w:r>
        <w:rPr>
          <w:spacing w:val="-3"/>
        </w:rPr>
        <w:t>设备表现得到国内外客户较好认可。如果公司的核心技术能够在市场顺利推广使用，公司必</w:t>
      </w:r>
      <w:r>
        <w:rPr>
          <w:spacing w:val="-79"/>
        </w:rPr>
        <w:t> </w:t>
      </w:r>
      <w:r>
        <w:rPr>
          <w:spacing w:val="-79"/>
        </w:rPr>
      </w:r>
      <w:r>
        <w:rPr/>
        <w:t>将迎来又一个发展高峰。</w:t>
      </w:r>
    </w:p>
    <w:p>
      <w:pPr>
        <w:pStyle w:val="BodyText"/>
        <w:spacing w:line="381" w:lineRule="auto" w:before="135"/>
        <w:ind w:left="560" w:right="0" w:hanging="1"/>
        <w:jc w:val="left"/>
      </w:pPr>
      <w:r>
        <w:rPr/>
        <w:t>（</w:t>
      </w:r>
      <w:r>
        <w:rPr>
          <w:rFonts w:ascii="Times New Roman" w:hAnsi="Times New Roman" w:cs="Times New Roman" w:eastAsia="Times New Roman" w:hint="default"/>
        </w:rPr>
        <w:t>3</w:t>
      </w:r>
      <w:r>
        <w:rPr/>
        <w:t>）人力资源风险 </w:t>
      </w:r>
      <w:r>
        <w:rPr>
          <w:spacing w:val="-3"/>
        </w:rPr>
        <w:t>人是企业最根本要素，拥有一支稳定的员工队伍，是企业赖以生存发展的基础。公司持</w:t>
      </w:r>
    </w:p>
    <w:p>
      <w:pPr>
        <w:pStyle w:val="BodyText"/>
        <w:spacing w:line="216" w:lineRule="exact"/>
        <w:ind w:right="0"/>
        <w:jc w:val="left"/>
      </w:pPr>
      <w:r>
        <w:rPr>
          <w:spacing w:val="2"/>
        </w:rPr>
        <w:t>续扩大的规模必将对公司人力资源战略提出更大的挑战，如何吸引并留住更多的高水平技</w:t>
      </w:r>
    </w:p>
    <w:p>
      <w:pPr>
        <w:pStyle w:val="BodyText"/>
        <w:spacing w:line="240" w:lineRule="auto" w:before="66"/>
        <w:ind w:right="0"/>
        <w:jc w:val="left"/>
      </w:pPr>
      <w:r>
        <w:rPr/>
        <w:t>术、市场和管理人才满足公司发展所需是人力资源管理关键之所在。</w:t>
      </w:r>
    </w:p>
    <w:p>
      <w:pPr>
        <w:spacing w:line="240" w:lineRule="auto" w:before="0"/>
        <w:rPr>
          <w:rFonts w:ascii="宋体" w:hAnsi="宋体" w:cs="宋体" w:eastAsia="宋体" w:hint="default"/>
          <w:sz w:val="20"/>
          <w:szCs w:val="20"/>
        </w:rPr>
      </w:pPr>
    </w:p>
    <w:p>
      <w:pPr>
        <w:pStyle w:val="Heading3"/>
        <w:spacing w:line="240" w:lineRule="auto" w:before="161"/>
        <w:ind w:right="0"/>
        <w:jc w:val="left"/>
        <w:rPr>
          <w:b w:val="0"/>
          <w:bCs w:val="0"/>
        </w:rPr>
      </w:pPr>
      <w:r>
        <w:rPr/>
        <w:t>二、公司投资情况</w:t>
      </w:r>
      <w:r>
        <w:rPr>
          <w:b w:val="0"/>
          <w:bCs w:val="0"/>
        </w:rPr>
      </w:r>
    </w:p>
    <w:p>
      <w:pPr>
        <w:pStyle w:val="BodyText"/>
        <w:spacing w:line="240" w:lineRule="auto" w:before="121"/>
        <w:ind w:right="0"/>
        <w:jc w:val="left"/>
      </w:pPr>
      <w:r>
        <w:rPr/>
        <w:t>（一）募集资金投资情况</w:t>
      </w:r>
    </w:p>
    <w:p>
      <w:pPr>
        <w:spacing w:line="240" w:lineRule="auto" w:before="5"/>
        <w:rPr>
          <w:rFonts w:ascii="宋体" w:hAnsi="宋体" w:cs="宋体" w:eastAsia="宋体" w:hint="default"/>
          <w:sz w:val="19"/>
          <w:szCs w:val="19"/>
        </w:rPr>
      </w:pPr>
    </w:p>
    <w:p>
      <w:pPr>
        <w:pStyle w:val="BodyText"/>
        <w:spacing w:line="240" w:lineRule="auto"/>
        <w:ind w:left="560" w:right="0"/>
        <w:jc w:val="left"/>
      </w:pPr>
      <w:r>
        <w:rPr>
          <w:rFonts w:ascii="Times New Roman" w:hAnsi="Times New Roman" w:cs="Times New Roman" w:eastAsia="Times New Roman" w:hint="default"/>
        </w:rPr>
        <w:t>1</w:t>
      </w:r>
      <w:r>
        <w:rPr/>
        <w:t>、募集资金使用情况</w:t>
      </w:r>
    </w:p>
    <w:p>
      <w:pPr>
        <w:pStyle w:val="BodyText"/>
        <w:spacing w:line="280" w:lineRule="auto" w:before="170"/>
        <w:ind w:left="139" w:right="199" w:firstLine="420"/>
        <w:jc w:val="both"/>
      </w:pPr>
      <w:r>
        <w:rPr/>
        <w:t>根据中国证券监督管理委员会证监发行字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24"/>
        </w:rPr>
        <w:t> </w:t>
      </w:r>
      <w:r>
        <w:rPr/>
        <w:t>号核准，公司首次公开发行人民币 </w:t>
      </w:r>
      <w:r>
        <w:rPr>
          <w:spacing w:val="12"/>
        </w:rPr>
        <w:t>普通股（</w:t>
      </w:r>
      <w:r>
        <w:rPr>
          <w:rFonts w:ascii="Times New Roman" w:hAnsi="Times New Roman" w:cs="Times New Roman" w:eastAsia="Times New Roman" w:hint="default"/>
          <w:spacing w:val="12"/>
        </w:rPr>
        <w:t>A </w:t>
      </w:r>
      <w:r>
        <w:rPr>
          <w:spacing w:val="4"/>
        </w:rPr>
        <w:t>股）</w:t>
      </w:r>
      <w:r>
        <w:rPr>
          <w:rFonts w:ascii="Times New Roman" w:hAnsi="Times New Roman" w:cs="Times New Roman" w:eastAsia="Times New Roman" w:hint="default"/>
          <w:spacing w:val="4"/>
        </w:rPr>
        <w:t>3,600 </w:t>
      </w:r>
      <w:r>
        <w:rPr>
          <w:spacing w:val="13"/>
        </w:rPr>
        <w:t>万股，每股发行价格人民币 </w:t>
      </w:r>
      <w:r>
        <w:rPr>
          <w:rFonts w:ascii="Times New Roman" w:hAnsi="Times New Roman" w:cs="Times New Roman" w:eastAsia="Times New Roman" w:hint="default"/>
        </w:rPr>
        <w:t>16.88</w:t>
      </w:r>
      <w:r>
        <w:rPr>
          <w:rFonts w:ascii="Times New Roman" w:hAnsi="Times New Roman" w:cs="Times New Roman" w:eastAsia="Times New Roman" w:hint="default"/>
          <w:spacing w:val="25"/>
        </w:rPr>
        <w:t> </w:t>
      </w:r>
      <w:r>
        <w:rPr>
          <w:spacing w:val="14"/>
        </w:rPr>
        <w:t>元，募集资金总额为人民币</w:t>
      </w:r>
      <w:r>
        <w:rPr>
          <w:spacing w:val="15"/>
        </w:rPr>
        <w:t> </w:t>
      </w:r>
      <w:r>
        <w:rPr>
          <w:rFonts w:ascii="Times New Roman" w:hAnsi="Times New Roman" w:cs="Times New Roman" w:eastAsia="Times New Roman" w:hint="default"/>
        </w:rPr>
        <w:t>607,680,000.00</w:t>
      </w:r>
      <w:r>
        <w:rPr>
          <w:rFonts w:ascii="Times New Roman" w:hAnsi="Times New Roman" w:cs="Times New Roman" w:eastAsia="Times New Roman" w:hint="default"/>
          <w:spacing w:val="-21"/>
        </w:rPr>
        <w:t> </w:t>
      </w:r>
      <w:r>
        <w:rPr/>
        <w:t>元，扣除各项发行费用人民币</w:t>
      </w:r>
      <w:r>
        <w:rPr>
          <w:spacing w:val="-74"/>
        </w:rPr>
        <w:t> </w:t>
      </w:r>
      <w:r>
        <w:rPr>
          <w:rFonts w:ascii="Times New Roman" w:hAnsi="Times New Roman" w:cs="Times New Roman" w:eastAsia="Times New Roman" w:hint="default"/>
        </w:rPr>
        <w:t>22,265,646.73</w:t>
      </w:r>
      <w:r>
        <w:rPr>
          <w:rFonts w:ascii="Times New Roman" w:hAnsi="Times New Roman" w:cs="Times New Roman" w:eastAsia="Times New Roman" w:hint="default"/>
          <w:spacing w:val="-21"/>
        </w:rPr>
        <w:t> </w:t>
      </w:r>
      <w:r>
        <w:rPr/>
        <w:t>元，实际募集资金净额为人民币</w:t>
      </w:r>
    </w:p>
    <w:p>
      <w:pPr>
        <w:pStyle w:val="BodyText"/>
        <w:spacing w:line="240" w:lineRule="auto" w:before="10"/>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8</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53</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元</w:t>
      </w:r>
      <w:r>
        <w:rPr>
          <w:spacing w:val="-106"/>
        </w:rPr>
        <w:t>，</w:t>
      </w:r>
      <w:r>
        <w:rPr/>
        <w:t>于</w:t>
      </w:r>
      <w:r>
        <w:rPr>
          <w:spacing w:val="-6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w:t>
      </w:r>
      <w:r>
        <w:rPr>
          <w:spacing w:val="-2"/>
        </w:rPr>
        <w:t>到</w:t>
      </w:r>
      <w:r>
        <w:rPr/>
        <w:t>位</w:t>
      </w:r>
      <w:r>
        <w:rPr>
          <w:spacing w:val="-105"/>
        </w:rPr>
        <w:t>，</w:t>
      </w:r>
      <w:r>
        <w:rPr/>
        <w:t>并经广</w:t>
      </w:r>
      <w:r>
        <w:rPr>
          <w:spacing w:val="-2"/>
        </w:rPr>
        <w:t>东</w:t>
      </w:r>
      <w:r>
        <w:rPr/>
        <w:t>羊城会计师事务所有限公司出</w:t>
      </w:r>
      <w:r>
        <w:rPr>
          <w:spacing w:val="-105"/>
        </w:rPr>
        <w:t>具</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rPr>
        <w:t>07</w:t>
      </w:r>
      <w:r>
        <w:rPr/>
        <w:t>）</w:t>
      </w:r>
    </w:p>
    <w:p>
      <w:pPr>
        <w:pStyle w:val="BodyText"/>
        <w:spacing w:line="240" w:lineRule="auto" w:before="49"/>
        <w:ind w:right="0"/>
        <w:jc w:val="left"/>
      </w:pPr>
      <w:r>
        <w:rPr/>
        <w:t>羊验字第</w:t>
      </w:r>
      <w:r>
        <w:rPr>
          <w:spacing w:val="-59"/>
        </w:rPr>
        <w:t> </w:t>
      </w:r>
      <w:r>
        <w:rPr>
          <w:rFonts w:ascii="Times New Roman" w:hAnsi="Times New Roman" w:cs="Times New Roman" w:eastAsia="Times New Roman" w:hint="default"/>
        </w:rPr>
        <w:t>11535</w:t>
      </w:r>
      <w:r>
        <w:rPr>
          <w:rFonts w:ascii="Times New Roman" w:hAnsi="Times New Roman" w:cs="Times New Roman" w:eastAsia="Times New Roman" w:hint="default"/>
          <w:spacing w:val="-6"/>
        </w:rPr>
        <w:t> </w:t>
      </w:r>
      <w:r>
        <w:rPr/>
        <w:t>号验资报告验证确认。</w:t>
      </w:r>
    </w:p>
    <w:p>
      <w:pPr>
        <w:pStyle w:val="BodyText"/>
        <w:spacing w:line="240" w:lineRule="auto" w:before="170"/>
        <w:ind w:left="560" w:right="0"/>
        <w:jc w:val="left"/>
      </w:pPr>
      <w:r>
        <w:rPr/>
        <w:t>上述募集资金到位前，公司利用自筹资金已累计投入募集资金项目</w:t>
      </w:r>
      <w:r>
        <w:rPr>
          <w:spacing w:val="-66"/>
        </w:rPr>
        <w:t> </w:t>
      </w:r>
      <w:r>
        <w:rPr>
          <w:rFonts w:ascii="Times New Roman" w:hAnsi="Times New Roman" w:cs="Times New Roman" w:eastAsia="Times New Roman" w:hint="default"/>
        </w:rPr>
        <w:t>9,953,141.10</w:t>
      </w:r>
      <w:r>
        <w:rPr>
          <w:rFonts w:ascii="Times New Roman" w:hAnsi="Times New Roman" w:cs="Times New Roman" w:eastAsia="Times New Roman" w:hint="default"/>
          <w:spacing w:val="-13"/>
        </w:rPr>
        <w:t> </w:t>
      </w:r>
      <w:r>
        <w:rPr>
          <w:spacing w:val="-8"/>
        </w:rPr>
        <w:t>元，已</w:t>
      </w:r>
    </w:p>
    <w:p>
      <w:pPr>
        <w:pStyle w:val="BodyText"/>
        <w:spacing w:line="240" w:lineRule="auto" w:before="50"/>
        <w:ind w:right="0"/>
        <w:jc w:val="left"/>
      </w:pPr>
      <w:r>
        <w:rPr>
          <w:spacing w:val="-7"/>
        </w:rPr>
        <w:t>经立信羊城会计师事务所有限公司审计，并出具（</w:t>
      </w:r>
      <w:r>
        <w:rPr>
          <w:rFonts w:ascii="Times New Roman" w:hAnsi="Times New Roman" w:cs="Times New Roman" w:eastAsia="Times New Roman" w:hint="default"/>
          <w:spacing w:val="-7"/>
        </w:rPr>
        <w:t>2007</w:t>
      </w:r>
      <w:r>
        <w:rPr>
          <w:spacing w:val="-7"/>
        </w:rPr>
        <w:t>）羊专审字第 </w:t>
      </w:r>
      <w:r>
        <w:rPr>
          <w:rFonts w:ascii="Times New Roman" w:hAnsi="Times New Roman" w:cs="Times New Roman" w:eastAsia="Times New Roman" w:hint="default"/>
        </w:rPr>
        <w:t>11588</w:t>
      </w:r>
      <w:r>
        <w:rPr>
          <w:rFonts w:ascii="Times New Roman" w:hAnsi="Times New Roman" w:cs="Times New Roman" w:eastAsia="Times New Roman" w:hint="default"/>
          <w:spacing w:val="-29"/>
        </w:rPr>
        <w:t> </w:t>
      </w:r>
      <w:r>
        <w:rPr/>
        <w:t>号专项审核报告。</w:t>
      </w:r>
    </w:p>
    <w:p>
      <w:pPr>
        <w:pStyle w:val="BodyText"/>
        <w:spacing w:line="240" w:lineRule="auto" w:before="169"/>
        <w:ind w:left="559" w:right="0"/>
        <w:jc w:val="left"/>
        <w:rPr>
          <w:rFonts w:ascii="Times New Roman" w:hAnsi="Times New Roman" w:cs="Times New Roman" w:eastAsia="Times New Roman" w:hint="default"/>
        </w:rPr>
      </w:pPr>
      <w:r>
        <w:rPr/>
        <w:t>截至</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6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日</w:t>
      </w:r>
      <w:r>
        <w:rPr>
          <w:spacing w:val="-106"/>
        </w:rPr>
        <w:t>，</w:t>
      </w:r>
      <w:r>
        <w:rPr/>
        <w:t>公司募集资金使用情况为</w:t>
      </w:r>
      <w:r>
        <w:rPr>
          <w:spacing w:val="-105"/>
        </w:rPr>
        <w:t>：</w:t>
      </w:r>
      <w:r>
        <w:rPr/>
        <w:t>置换先</w:t>
      </w:r>
      <w:r>
        <w:rPr>
          <w:spacing w:val="-2"/>
        </w:rPr>
        <w:t>期</w:t>
      </w:r>
      <w:r>
        <w:rPr/>
        <w:t>自筹资金投入</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9</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10</w:t>
      </w:r>
    </w:p>
    <w:p>
      <w:pPr>
        <w:pStyle w:val="BodyText"/>
        <w:spacing w:line="240" w:lineRule="auto" w:before="50"/>
        <w:ind w:right="0"/>
        <w:jc w:val="left"/>
      </w:pPr>
      <w:r>
        <w:rPr/>
        <w:t>元，直接投入募集资金项目 </w:t>
      </w:r>
      <w:r>
        <w:rPr>
          <w:rFonts w:ascii="Times New Roman" w:hAnsi="Times New Roman" w:cs="Times New Roman" w:eastAsia="Times New Roman" w:hint="default"/>
        </w:rPr>
        <w:t>403,454,561.01 </w:t>
      </w:r>
      <w:r>
        <w:rPr>
          <w:rFonts w:ascii="Times New Roman" w:hAnsi="Times New Roman" w:cs="Times New Roman" w:eastAsia="Times New Roman" w:hint="default"/>
          <w:spacing w:val="46"/>
        </w:rPr>
        <w:t> </w:t>
      </w:r>
      <w:r>
        <w:rPr/>
        <w:t>元，募集资金超出部分用于补充流动资金转出</w:t>
      </w:r>
    </w:p>
    <w:p>
      <w:pPr>
        <w:pStyle w:val="BodyText"/>
        <w:spacing w:line="240" w:lineRule="auto" w:before="50"/>
        <w:ind w:right="0"/>
        <w:jc w:val="left"/>
      </w:pPr>
      <w:r>
        <w:rPr>
          <w:rFonts w:ascii="Times New Roman" w:hAnsi="Times New Roman" w:cs="Times New Roman" w:eastAsia="Times New Roman" w:hint="default"/>
        </w:rPr>
        <w:t>156,061,153.27</w:t>
      </w:r>
      <w:r>
        <w:rPr>
          <w:rFonts w:ascii="Times New Roman" w:hAnsi="Times New Roman" w:cs="Times New Roman" w:eastAsia="Times New Roman" w:hint="default"/>
          <w:spacing w:val="-3"/>
        </w:rPr>
        <w:t> </w:t>
      </w:r>
      <w:r>
        <w:rPr/>
        <w:t>元，合计已使用</w:t>
      </w:r>
      <w:r>
        <w:rPr>
          <w:spacing w:val="-56"/>
        </w:rPr>
        <w:t> </w:t>
      </w:r>
      <w:r>
        <w:rPr>
          <w:rFonts w:ascii="Times New Roman" w:hAnsi="Times New Roman" w:cs="Times New Roman" w:eastAsia="Times New Roman" w:hint="default"/>
        </w:rPr>
        <w:t>569,468,855.38</w:t>
      </w:r>
      <w:r>
        <w:rPr>
          <w:rFonts w:ascii="Times New Roman" w:hAnsi="Times New Roman" w:cs="Times New Roman" w:eastAsia="Times New Roman" w:hint="default"/>
          <w:spacing w:val="-3"/>
        </w:rPr>
        <w:t> </w:t>
      </w:r>
      <w:r>
        <w:rPr/>
        <w:t>元，尚未使用的金额为</w:t>
      </w:r>
      <w:r>
        <w:rPr>
          <w:spacing w:val="-56"/>
        </w:rPr>
        <w:t> </w:t>
      </w:r>
      <w:r>
        <w:rPr>
          <w:rFonts w:ascii="Times New Roman" w:hAnsi="Times New Roman" w:cs="Times New Roman" w:eastAsia="Times New Roman" w:hint="default"/>
        </w:rPr>
        <w:t>15,945,497.89</w:t>
      </w:r>
      <w:r>
        <w:rPr>
          <w:rFonts w:ascii="Times New Roman" w:hAnsi="Times New Roman" w:cs="Times New Roman" w:eastAsia="Times New Roman" w:hint="default"/>
          <w:spacing w:val="-3"/>
        </w:rPr>
        <w:t> </w:t>
      </w:r>
      <w:r>
        <w:rPr/>
        <w:t>元。公</w:t>
      </w:r>
    </w:p>
    <w:p>
      <w:pPr>
        <w:pStyle w:val="BodyText"/>
        <w:spacing w:line="240" w:lineRule="auto" w:before="49"/>
        <w:ind w:right="0"/>
        <w:jc w:val="left"/>
      </w:pPr>
      <w:r>
        <w:rPr/>
        <w:t>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日募集资金专户余额为</w:t>
      </w:r>
      <w:r>
        <w:rPr>
          <w:spacing w:val="-55"/>
        </w:rPr>
        <w:t> </w:t>
      </w:r>
      <w:r>
        <w:rPr>
          <w:rFonts w:ascii="Times New Roman" w:hAnsi="Times New Roman" w:cs="Times New Roman" w:eastAsia="Times New Roman" w:hint="default"/>
        </w:rPr>
        <w:t>15,993,396.51</w:t>
      </w:r>
      <w:r>
        <w:rPr>
          <w:rFonts w:ascii="Times New Roman" w:hAnsi="Times New Roman" w:cs="Times New Roman" w:eastAsia="Times New Roman" w:hint="default"/>
          <w:spacing w:val="-1"/>
        </w:rPr>
        <w:t> </w:t>
      </w:r>
      <w:r>
        <w:rPr>
          <w:spacing w:val="-3"/>
        </w:rPr>
        <w:t>元，与尚未使用的募集资金余额的</w:t>
      </w:r>
    </w:p>
    <w:p>
      <w:pPr>
        <w:pStyle w:val="BodyText"/>
        <w:spacing w:line="240" w:lineRule="auto" w:before="50"/>
        <w:ind w:left="139" w:right="0"/>
        <w:jc w:val="left"/>
      </w:pPr>
      <w:r>
        <w:rPr/>
        <w:t>差异为</w:t>
      </w:r>
      <w:r>
        <w:rPr>
          <w:spacing w:val="-57"/>
        </w:rPr>
        <w:t> </w:t>
      </w:r>
      <w:r>
        <w:rPr>
          <w:rFonts w:ascii="Times New Roman" w:hAnsi="Times New Roman" w:cs="Times New Roman" w:eastAsia="Times New Roman" w:hint="default"/>
        </w:rPr>
        <w:t>47,898.62</w:t>
      </w:r>
      <w:r>
        <w:rPr>
          <w:rFonts w:ascii="Times New Roman" w:hAnsi="Times New Roman" w:cs="Times New Roman" w:eastAsia="Times New Roman" w:hint="default"/>
          <w:spacing w:val="-4"/>
        </w:rPr>
        <w:t> </w:t>
      </w:r>
      <w:r>
        <w:rPr/>
        <w:t>元，系募集资金账户银行利息收入。</w:t>
      </w:r>
    </w:p>
    <w:p>
      <w:pPr>
        <w:spacing w:after="0" w:line="240" w:lineRule="auto"/>
        <w:jc w:val="left"/>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t>（</w:t>
      </w:r>
      <w:r>
        <w:rPr>
          <w:rFonts w:ascii="Times New Roman" w:hAnsi="Times New Roman" w:cs="Times New Roman" w:eastAsia="Times New Roman" w:hint="default"/>
        </w:rPr>
        <w:t>1</w:t>
      </w:r>
      <w:r>
        <w:rPr/>
        <w:t>）募集资金投资项目的资金使用情况</w:t>
      </w:r>
    </w:p>
    <w:p>
      <w:pPr>
        <w:pStyle w:val="BodyText"/>
        <w:spacing w:line="240" w:lineRule="auto" w:before="170"/>
        <w:ind w:left="560" w:right="0"/>
        <w:jc w:val="left"/>
      </w:pPr>
      <w:r>
        <w:rPr/>
        <w:t>根据《招股说明书》的规定，广电运通募集资金投资项目投资总额为</w:t>
      </w:r>
      <w:r>
        <w:rPr>
          <w:spacing w:val="-50"/>
        </w:rPr>
        <w:t> </w:t>
      </w:r>
      <w:r>
        <w:rPr>
          <w:rFonts w:ascii="Times New Roman" w:hAnsi="Times New Roman" w:cs="Times New Roman" w:eastAsia="Times New Roman" w:hint="default"/>
        </w:rPr>
        <w:t>42,935.32</w:t>
      </w:r>
      <w:r>
        <w:rPr>
          <w:rFonts w:ascii="Times New Roman" w:hAnsi="Times New Roman" w:cs="Times New Roman" w:eastAsia="Times New Roman" w:hint="default"/>
          <w:spacing w:val="3"/>
        </w:rPr>
        <w:t> </w:t>
      </w:r>
      <w:r>
        <w:rPr/>
        <w:t>万元，</w:t>
      </w:r>
    </w:p>
    <w:p>
      <w:pPr>
        <w:pStyle w:val="BodyText"/>
        <w:spacing w:line="240" w:lineRule="auto" w:before="49"/>
        <w:ind w:right="0"/>
        <w:jc w:val="both"/>
      </w:pPr>
      <w:r>
        <w:rPr/>
        <w:t>截至</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日承诺投入金额</w:t>
      </w:r>
      <w:r>
        <w:rPr>
          <w:spacing w:val="-49"/>
        </w:rPr>
        <w:t> </w:t>
      </w:r>
      <w:r>
        <w:rPr>
          <w:rFonts w:ascii="Times New Roman" w:hAnsi="Times New Roman" w:cs="Times New Roman" w:eastAsia="Times New Roman" w:hint="default"/>
        </w:rPr>
        <w:t>42,935.32</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年度公司实际投入</w:t>
      </w:r>
      <w:r>
        <w:rPr>
          <w:spacing w:val="-49"/>
        </w:rPr>
        <w:t> </w:t>
      </w:r>
      <w:r>
        <w:rPr>
          <w:rFonts w:ascii="Times New Roman" w:hAnsi="Times New Roman" w:cs="Times New Roman" w:eastAsia="Times New Roman" w:hint="default"/>
        </w:rPr>
        <w:t>3,012.07</w:t>
      </w:r>
      <w:r>
        <w:rPr>
          <w:rFonts w:ascii="Times New Roman" w:hAnsi="Times New Roman" w:cs="Times New Roman" w:eastAsia="Times New Roman" w:hint="default"/>
          <w:spacing w:val="3"/>
        </w:rPr>
        <w:t> </w:t>
      </w:r>
      <w:r>
        <w:rPr/>
        <w:t>万</w:t>
      </w:r>
    </w:p>
    <w:p>
      <w:pPr>
        <w:pStyle w:val="BodyText"/>
        <w:spacing w:line="381" w:lineRule="auto" w:before="50"/>
        <w:ind w:left="559" w:right="0" w:hanging="420"/>
        <w:jc w:val="left"/>
      </w:pPr>
      <w:r>
        <w:rPr/>
        <w:t>元，截至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日累计投入</w:t>
      </w:r>
      <w:r>
        <w:rPr>
          <w:spacing w:val="-54"/>
        </w:rPr>
        <w:t> </w:t>
      </w:r>
      <w:r>
        <w:rPr>
          <w:rFonts w:ascii="Times New Roman" w:hAnsi="Times New Roman" w:cs="Times New Roman" w:eastAsia="Times New Roman" w:hint="default"/>
        </w:rPr>
        <w:t>41,340.77</w:t>
      </w:r>
      <w:r>
        <w:rPr>
          <w:rFonts w:ascii="Times New Roman" w:hAnsi="Times New Roman" w:cs="Times New Roman" w:eastAsia="Times New Roman" w:hint="default"/>
          <w:spacing w:val="-1"/>
        </w:rPr>
        <w:t> </w:t>
      </w:r>
      <w:r>
        <w:rPr/>
        <w:t>万元。 </w:t>
      </w:r>
      <w:r>
        <w:rPr>
          <w:spacing w:val="-5"/>
        </w:rPr>
        <w:t>募集资金具体的投入情况见“募集资金使用情况对照表”。</w:t>
      </w:r>
    </w:p>
    <w:p>
      <w:pPr>
        <w:pStyle w:val="BodyText"/>
        <w:spacing w:line="240" w:lineRule="auto" w:before="61"/>
        <w:ind w:left="560" w:right="0"/>
        <w:jc w:val="left"/>
      </w:pPr>
      <w:r>
        <w:rPr/>
        <w:t>（</w:t>
      </w:r>
      <w:r>
        <w:rPr>
          <w:rFonts w:ascii="Times New Roman" w:hAnsi="Times New Roman" w:cs="Times New Roman" w:eastAsia="Times New Roman" w:hint="default"/>
        </w:rPr>
        <w:t>2</w:t>
      </w:r>
      <w:r>
        <w:rPr/>
        <w:t>）募集资金投资项目先期投入及置换情况</w:t>
      </w:r>
    </w:p>
    <w:p>
      <w:pPr>
        <w:pStyle w:val="BodyText"/>
        <w:spacing w:line="290" w:lineRule="auto" w:before="170"/>
        <w:ind w:right="211" w:firstLine="420"/>
        <w:jc w:val="both"/>
      </w:pPr>
      <w:r>
        <w:rPr/>
        <w:t>根据公司</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日召开的第一届董事会第十一次会议审议通过的《关于用募集 </w:t>
      </w:r>
      <w:r>
        <w:rPr>
          <w:spacing w:val="-3"/>
        </w:rPr>
        <w:t>资金置换公司预先已投入募集资金投资项目的自筹资金的议案》，用募集资金置换预先已投</w:t>
      </w:r>
      <w:r>
        <w:rPr>
          <w:spacing w:val="-84"/>
        </w:rPr>
        <w:t> </w:t>
      </w:r>
      <w:r>
        <w:rPr>
          <w:spacing w:val="-84"/>
        </w:rPr>
      </w:r>
      <w:r>
        <w:rPr>
          <w:spacing w:val="3"/>
        </w:rPr>
        <w:t>入募集资金投资项目（货币自动处理设备年产 </w:t>
      </w:r>
      <w:r>
        <w:rPr>
          <w:rFonts w:ascii="Times New Roman" w:hAnsi="Times New Roman" w:cs="Times New Roman" w:eastAsia="Times New Roman" w:hint="default"/>
        </w:rPr>
        <w:t>12,000 </w:t>
      </w:r>
      <w:r>
        <w:rPr>
          <w:rFonts w:ascii="Times New Roman" w:hAnsi="Times New Roman" w:cs="Times New Roman" w:eastAsia="Times New Roman" w:hint="default"/>
          <w:spacing w:val="35"/>
        </w:rPr>
        <w:t> </w:t>
      </w:r>
      <w:r>
        <w:rPr>
          <w:spacing w:val="3"/>
        </w:rPr>
        <w:t>台扩产技术改造项目）的自筹资金</w:t>
      </w:r>
      <w:r>
        <w:rPr/>
      </w:r>
    </w:p>
    <w:p>
      <w:pPr>
        <w:pStyle w:val="BodyText"/>
        <w:spacing w:line="292" w:lineRule="auto"/>
        <w:ind w:right="216"/>
        <w:jc w:val="both"/>
      </w:pPr>
      <w:r>
        <w:rPr>
          <w:rFonts w:ascii="Times New Roman" w:hAnsi="Times New Roman" w:cs="Times New Roman" w:eastAsia="Times New Roman" w:hint="default"/>
        </w:rPr>
        <w:t>995.31</w:t>
      </w:r>
      <w:r>
        <w:rPr>
          <w:rFonts w:ascii="Times New Roman" w:hAnsi="Times New Roman" w:cs="Times New Roman" w:eastAsia="Times New Roman" w:hint="default"/>
          <w:spacing w:val="9"/>
        </w:rPr>
        <w:t> </w:t>
      </w:r>
      <w:r>
        <w:rPr>
          <w:spacing w:val="-3"/>
        </w:rPr>
        <w:t>万元，置换金额与预先投入的自筹资金数额一致；不违反公司在《招股说明书》中对</w:t>
      </w:r>
      <w:r>
        <w:rPr>
          <w:spacing w:val="-103"/>
        </w:rPr>
        <w:t> </w:t>
      </w:r>
      <w:r>
        <w:rPr>
          <w:spacing w:val="-103"/>
        </w:rPr>
      </w:r>
      <w:r>
        <w:rPr>
          <w:spacing w:val="-3"/>
        </w:rPr>
        <w:t>募集资金投资项目的承诺；不存在变相改变募集资金投资项目和损害股东利益的情况。本次</w:t>
      </w:r>
      <w:r>
        <w:rPr>
          <w:spacing w:val="-79"/>
        </w:rPr>
        <w:t> </w:t>
      </w:r>
      <w:r>
        <w:rPr>
          <w:spacing w:val="-79"/>
        </w:rPr>
      </w:r>
      <w:r>
        <w:rPr>
          <w:spacing w:val="-3"/>
        </w:rPr>
        <w:t>募集资金使用行为经过必要的审批程序，符合深圳证券交易所《中小企业板上市公司募集资</w:t>
      </w:r>
      <w:r>
        <w:rPr>
          <w:spacing w:val="-79"/>
        </w:rPr>
        <w:t> </w:t>
      </w:r>
      <w:r>
        <w:rPr>
          <w:spacing w:val="-79"/>
        </w:rPr>
      </w:r>
      <w:r>
        <w:rPr/>
        <w:t>金管理细则》的有关规定。</w:t>
      </w:r>
    </w:p>
    <w:p>
      <w:pPr>
        <w:pStyle w:val="BodyText"/>
        <w:spacing w:line="240" w:lineRule="auto" w:before="139"/>
        <w:ind w:left="560" w:right="0"/>
        <w:jc w:val="left"/>
      </w:pPr>
      <w:r>
        <w:rPr/>
        <w:t>（</w:t>
      </w:r>
      <w:r>
        <w:rPr>
          <w:rFonts w:ascii="Times New Roman" w:hAnsi="Times New Roman" w:cs="Times New Roman" w:eastAsia="Times New Roman" w:hint="default"/>
        </w:rPr>
        <w:t>3</w:t>
      </w:r>
      <w:r>
        <w:rPr/>
        <w:t>）将募集资金超出部分用于补充流动资金情况</w:t>
      </w:r>
    </w:p>
    <w:p>
      <w:pPr>
        <w:pStyle w:val="BodyText"/>
        <w:spacing w:line="240" w:lineRule="auto" w:before="170"/>
        <w:ind w:left="560" w:right="0"/>
        <w:jc w:val="left"/>
      </w:pPr>
      <w:r>
        <w:rPr/>
        <w:t>公司于</w:t>
      </w:r>
      <w:r>
        <w:rPr>
          <w:spacing w:val="-51"/>
        </w:rPr>
        <w:t> </w:t>
      </w:r>
      <w:r>
        <w:rPr>
          <w:rFonts w:ascii="Times New Roman" w:hAnsi="Times New Roman" w:cs="Times New Roman" w:eastAsia="Times New Roman" w:hint="default"/>
        </w:rPr>
        <w:t>2007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日召开的第一届董事会第十一次会议审议通过了《关于将本次募</w:t>
      </w:r>
    </w:p>
    <w:p>
      <w:pPr>
        <w:pStyle w:val="BodyText"/>
        <w:spacing w:line="280" w:lineRule="auto" w:before="49"/>
        <w:ind w:right="217"/>
        <w:jc w:val="both"/>
      </w:pPr>
      <w:r>
        <w:rPr>
          <w:spacing w:val="-7"/>
        </w:rPr>
        <w:t>集资金超出部分用于补充流动资金的议案》，同意公司将超出部分的</w:t>
      </w:r>
      <w:r>
        <w:rPr>
          <w:spacing w:val="-46"/>
        </w:rPr>
        <w:t> </w:t>
      </w:r>
      <w:r>
        <w:rPr>
          <w:rFonts w:ascii="Times New Roman" w:hAnsi="Times New Roman" w:cs="Times New Roman" w:eastAsia="Times New Roman" w:hint="default"/>
          <w:spacing w:val="-1"/>
        </w:rPr>
        <w:t>15,606.12</w:t>
      </w:r>
      <w:r>
        <w:rPr>
          <w:rFonts w:ascii="Times New Roman" w:hAnsi="Times New Roman" w:cs="Times New Roman" w:eastAsia="Times New Roman" w:hint="default"/>
          <w:spacing w:val="7"/>
        </w:rPr>
        <w:t> </w:t>
      </w:r>
      <w:r>
        <w:rPr>
          <w:spacing w:val="-1"/>
        </w:rPr>
        <w:t>万元募集资金</w:t>
      </w:r>
      <w:r>
        <w:rPr>
          <w:spacing w:val="-103"/>
        </w:rPr>
        <w:t> </w:t>
      </w:r>
      <w:r>
        <w:rPr>
          <w:spacing w:val="-103"/>
        </w:rPr>
      </w:r>
      <w:r>
        <w:rPr/>
        <w:t>用于补充公司营运资金及归还公司的流动资金贷款。</w:t>
      </w:r>
    </w:p>
    <w:p>
      <w:pPr>
        <w:pStyle w:val="BodyText"/>
        <w:spacing w:line="240" w:lineRule="auto" w:before="150"/>
        <w:ind w:left="560" w:right="0"/>
        <w:jc w:val="left"/>
      </w:pPr>
      <w:r>
        <w:rPr/>
        <w:t>（</w:t>
      </w:r>
      <w:r>
        <w:rPr>
          <w:rFonts w:ascii="Times New Roman" w:hAnsi="Times New Roman" w:cs="Times New Roman" w:eastAsia="Times New Roman" w:hint="default"/>
        </w:rPr>
        <w:t>4</w:t>
      </w:r>
      <w:r>
        <w:rPr/>
        <w:t>）用闲置募集资金暂时补充流动资金情况</w:t>
      </w:r>
    </w:p>
    <w:p>
      <w:pPr>
        <w:pStyle w:val="BodyText"/>
        <w:spacing w:line="240" w:lineRule="auto" w:before="169"/>
        <w:ind w:left="560" w:right="0"/>
        <w:jc w:val="left"/>
      </w:pPr>
      <w:r>
        <w:rPr/>
        <w:t>公司于</w:t>
      </w:r>
      <w:r>
        <w:rPr>
          <w:spacing w:val="-51"/>
        </w:rPr>
        <w:t> </w:t>
      </w:r>
      <w:r>
        <w:rPr>
          <w:rFonts w:ascii="Times New Roman" w:hAnsi="Times New Roman" w:cs="Times New Roman" w:eastAsia="Times New Roman" w:hint="default"/>
        </w:rPr>
        <w:t>2007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17 </w:t>
      </w:r>
      <w:r>
        <w:rPr/>
        <w:t>日召开的第一届董事会第十三次（临时）会议通过了《关于使</w:t>
      </w:r>
    </w:p>
    <w:p>
      <w:pPr>
        <w:pStyle w:val="BodyText"/>
        <w:spacing w:line="240" w:lineRule="auto" w:before="50"/>
        <w:ind w:right="0"/>
        <w:jc w:val="both"/>
      </w:pPr>
      <w:r>
        <w:rPr/>
        <w:t>用部分闲置募集资金暂时补充流动资金的议案</w:t>
      </w:r>
      <w:r>
        <w:rPr>
          <w:spacing w:val="-106"/>
        </w:rPr>
        <w:t>》</w:t>
      </w:r>
      <w:r>
        <w:rPr/>
        <w:t>，同意公司将闲置的募集资金</w:t>
      </w:r>
      <w:r>
        <w:rPr>
          <w:spacing w:val="-2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00</w:t>
      </w:r>
      <w:r>
        <w:rPr>
          <w:rFonts w:ascii="Times New Roman" w:hAnsi="Times New Roman" w:cs="Times New Roman" w:eastAsia="Times New Roman" w:hint="default"/>
        </w:rPr>
        <w:t>0 </w:t>
      </w:r>
      <w:r>
        <w:rPr>
          <w:rFonts w:ascii="Times New Roman" w:hAnsi="Times New Roman" w:cs="Times New Roman" w:eastAsia="Times New Roman" w:hint="default"/>
          <w:spacing w:val="-21"/>
        </w:rPr>
        <w:t> </w:t>
      </w:r>
      <w:r>
        <w:rPr/>
        <w:t>万元暂</w:t>
      </w:r>
    </w:p>
    <w:p>
      <w:pPr>
        <w:pStyle w:val="BodyText"/>
        <w:spacing w:line="240" w:lineRule="auto" w:before="50"/>
        <w:ind w:left="139" w:right="0"/>
        <w:jc w:val="both"/>
        <w:rPr>
          <w:rFonts w:ascii="Times New Roman" w:hAnsi="Times New Roman" w:cs="Times New Roman" w:eastAsia="Times New Roman" w:hint="default"/>
        </w:rPr>
      </w:pPr>
      <w:r>
        <w:rPr>
          <w:spacing w:val="-5"/>
        </w:rPr>
        <w:t>时补充流动资金，使用时间不超过</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7"/>
        </w:rPr>
        <w:t>个月，从</w:t>
      </w:r>
      <w:r>
        <w:rPr>
          <w:spacing w:val="-53"/>
        </w:rPr>
        <w:t> </w:t>
      </w: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rPr>
        <w:t>2008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17 </w:t>
      </w:r>
      <w:r>
        <w:rPr>
          <w:spacing w:val="-12"/>
        </w:rPr>
        <w:t>日。</w:t>
      </w:r>
      <w:r>
        <w:rPr>
          <w:rFonts w:ascii="Times New Roman" w:hAnsi="Times New Roman" w:cs="Times New Roman" w:eastAsia="Times New Roman" w:hint="default"/>
          <w:spacing w:val="-12"/>
        </w:rPr>
        <w:t>2008</w:t>
      </w:r>
      <w:r>
        <w:rPr>
          <w:rFonts w:ascii="Times New Roman" w:hAnsi="Times New Roman" w:cs="Times New Roman" w:eastAsia="Times New Roman" w:hint="default"/>
        </w:rPr>
      </w:r>
    </w:p>
    <w:p>
      <w:pPr>
        <w:pStyle w:val="BodyText"/>
        <w:spacing w:line="280" w:lineRule="auto" w:before="50"/>
        <w:ind w:right="217" w:hanging="1"/>
        <w:jc w:val="both"/>
      </w:pP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日已按照承诺全部归还暂时补充的流动资金</w:t>
      </w:r>
      <w:r>
        <w:rPr>
          <w:spacing w:val="-4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9"/>
        </w:rPr>
        <w:t> </w:t>
      </w:r>
      <w:r>
        <w:rPr/>
        <w:t>万元。募集资金使用未违反公 司在《招股说明书》中对募集资金投资项目的承诺。</w:t>
      </w:r>
    </w:p>
    <w:p>
      <w:pPr>
        <w:pStyle w:val="BodyText"/>
        <w:spacing w:line="240" w:lineRule="auto" w:before="150"/>
        <w:ind w:left="560" w:right="0"/>
        <w:jc w:val="left"/>
      </w:pPr>
      <w:r>
        <w:rPr/>
        <w:t>（</w:t>
      </w:r>
      <w:r>
        <w:rPr>
          <w:rFonts w:ascii="Times New Roman" w:hAnsi="Times New Roman" w:cs="Times New Roman" w:eastAsia="Times New Roman" w:hint="default"/>
        </w:rPr>
        <w:t>5</w:t>
      </w:r>
      <w:r>
        <w:rPr/>
        <w:t>）项目实施出现募集资金节余的资金变更使用情况</w:t>
      </w:r>
    </w:p>
    <w:p>
      <w:pPr>
        <w:pStyle w:val="BodyText"/>
        <w:spacing w:line="292" w:lineRule="auto" w:before="170"/>
        <w:ind w:right="99" w:firstLine="420"/>
        <w:jc w:val="left"/>
      </w:pPr>
      <w:r>
        <w:rPr>
          <w:spacing w:val="-4"/>
        </w:rPr>
        <w:t>①变更原因：由于公司在“货币自动处理设备年产 </w:t>
      </w:r>
      <w:r>
        <w:rPr>
          <w:rFonts w:ascii="Times New Roman" w:hAnsi="Times New Roman" w:cs="Times New Roman" w:eastAsia="Times New Roman" w:hint="default"/>
        </w:rPr>
        <w:t>12000</w:t>
      </w:r>
      <w:r>
        <w:rPr>
          <w:rFonts w:ascii="Times New Roman" w:hAnsi="Times New Roman" w:cs="Times New Roman" w:eastAsia="Times New Roman" w:hint="default"/>
          <w:spacing w:val="9"/>
        </w:rPr>
        <w:t> </w:t>
      </w:r>
      <w:r>
        <w:rPr>
          <w:spacing w:val="-6"/>
        </w:rPr>
        <w:t>台扩产技术改造项目”和“研</w:t>
      </w:r>
      <w:r>
        <w:rPr/>
        <w:t> 发中心技术改造项目”工程建设过程中，本着厉行节约的原则，在保证使用功能的情况下， </w:t>
      </w:r>
      <w:r>
        <w:rPr>
          <w:spacing w:val="-5"/>
        </w:rPr>
        <w:t>通过降低建造成本及装修费用，进一步加强工程费用控制、监督和管理，减少了工程总开支；</w:t>
      </w:r>
      <w:r>
        <w:rPr>
          <w:spacing w:val="-98"/>
        </w:rPr>
        <w:t> </w:t>
      </w:r>
      <w:r>
        <w:rPr>
          <w:spacing w:val="-98"/>
        </w:rPr>
      </w:r>
      <w:r>
        <w:rPr>
          <w:spacing w:val="-3"/>
        </w:rPr>
        <w:t>通过进一步优化工艺流程，减少了部分设备的投入，同时在保证生产工艺的前提下，采购国</w:t>
      </w:r>
      <w:r>
        <w:rPr>
          <w:spacing w:val="-81"/>
        </w:rPr>
        <w:t> </w:t>
      </w:r>
      <w:r>
        <w:rPr>
          <w:spacing w:val="-81"/>
        </w:rPr>
      </w:r>
      <w:r>
        <w:rPr>
          <w:spacing w:val="-3"/>
        </w:rPr>
        <w:t>产设备替代进口设备，减少了设备开支，预计上述两个项目节余约 </w:t>
      </w:r>
      <w:r>
        <w:rPr>
          <w:rFonts w:ascii="Times New Roman" w:hAnsi="Times New Roman" w:cs="Times New Roman" w:eastAsia="Times New Roman" w:hint="default"/>
        </w:rPr>
        <w:t>5,100</w:t>
      </w:r>
      <w:r>
        <w:rPr>
          <w:rFonts w:ascii="Times New Roman" w:hAnsi="Times New Roman" w:cs="Times New Roman" w:eastAsia="Times New Roman" w:hint="default"/>
          <w:spacing w:val="29"/>
        </w:rPr>
        <w:t> </w:t>
      </w:r>
      <w:r>
        <w:rPr>
          <w:spacing w:val="-5"/>
        </w:rPr>
        <w:t>万元（最终两个项</w:t>
      </w:r>
    </w:p>
    <w:p>
      <w:pPr>
        <w:pStyle w:val="BodyText"/>
        <w:spacing w:line="290" w:lineRule="exact"/>
        <w:ind w:right="0"/>
        <w:jc w:val="both"/>
      </w:pPr>
      <w:r>
        <w:rPr/>
        <w:t>目决算后节余募集资金金额</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3.</w:t>
      </w:r>
      <w:r>
        <w:rPr>
          <w:rFonts w:ascii="Times New Roman" w:hAnsi="Times New Roman" w:cs="Times New Roman" w:eastAsia="Times New Roman" w:hint="default"/>
          <w:spacing w:val="-1"/>
        </w:rPr>
        <w:t>9</w:t>
      </w:r>
      <w:r>
        <w:rPr>
          <w:rFonts w:ascii="Times New Roman" w:hAnsi="Times New Roman" w:cs="Times New Roman" w:eastAsia="Times New Roman" w:hint="default"/>
        </w:rPr>
        <w:t>1 </w:t>
      </w:r>
      <w:r>
        <w:rPr/>
        <w:t>万元</w:t>
      </w:r>
      <w:r>
        <w:rPr>
          <w:spacing w:val="-105"/>
        </w:rPr>
        <w:t>）</w:t>
      </w:r>
      <w:r>
        <w:rPr>
          <w:spacing w:val="-47"/>
        </w:rPr>
        <w:t>。</w:t>
      </w:r>
      <w:r>
        <w:rPr>
          <w:spacing w:val="-2"/>
        </w:rPr>
        <w:t>为</w:t>
      </w:r>
      <w:r>
        <w:rPr/>
        <w:t>提高募集资金的使用效率</w:t>
      </w:r>
      <w:r>
        <w:rPr>
          <w:spacing w:val="-47"/>
        </w:rPr>
        <w:t>，</w:t>
      </w:r>
      <w:r>
        <w:rPr/>
        <w:t>同时应市场之需，</w:t>
      </w:r>
    </w:p>
    <w:p>
      <w:pPr>
        <w:pStyle w:val="BodyText"/>
        <w:spacing w:line="280" w:lineRule="auto" w:before="50"/>
        <w:ind w:right="215"/>
        <w:jc w:val="both"/>
      </w:pPr>
      <w:r>
        <w:rPr>
          <w:spacing w:val="-3"/>
        </w:rPr>
        <w:t>进一步满足公司经营规模不断扩大的需要，公司决定将节余资金投向“年产</w:t>
      </w:r>
      <w:r>
        <w:rPr>
          <w:spacing w:val="-53"/>
        </w:rPr>
        <w:t> </w:t>
      </w:r>
      <w:r>
        <w:rPr>
          <w:rFonts w:ascii="Times New Roman" w:hAnsi="Times New Roman" w:cs="Times New Roman" w:eastAsia="Times New Roman" w:hint="default"/>
        </w:rPr>
        <w:t>24000 </w:t>
      </w:r>
      <w:r>
        <w:rPr/>
        <w:t>台货币自 </w:t>
      </w:r>
      <w:r>
        <w:rPr>
          <w:spacing w:val="-7"/>
        </w:rPr>
        <w:t>动处理设备二期扩产技术改造项目”。</w:t>
      </w:r>
    </w:p>
    <w:p>
      <w:pPr>
        <w:pStyle w:val="BodyText"/>
        <w:spacing w:line="240" w:lineRule="auto" w:before="150"/>
        <w:ind w:left="560" w:right="0"/>
        <w:jc w:val="left"/>
      </w:pPr>
      <w:r>
        <w:rPr/>
        <w:t>②新项目情况</w:t>
      </w:r>
      <w:r>
        <w:rPr>
          <w:spacing w:val="-105"/>
        </w:rPr>
        <w:t>：</w:t>
      </w:r>
      <w:r>
        <w:rPr/>
        <w:t>“年产</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t>台货币</w:t>
      </w:r>
      <w:r>
        <w:rPr>
          <w:spacing w:val="-2"/>
        </w:rPr>
        <w:t>自</w:t>
      </w:r>
      <w:r>
        <w:rPr/>
        <w:t>动处理设备二期扩产技术改造项目”项目总投资</w:t>
      </w:r>
    </w:p>
    <w:p>
      <w:pPr>
        <w:pStyle w:val="BodyText"/>
        <w:spacing w:line="240" w:lineRule="auto" w:before="50"/>
        <w:ind w:right="0"/>
        <w:jc w:val="both"/>
        <w:rPr>
          <w:rFonts w:ascii="Times New Roman" w:hAnsi="Times New Roman" w:cs="Times New Roman" w:eastAsia="Times New Roman" w:hint="default"/>
        </w:rPr>
      </w:pPr>
      <w:r>
        <w:rPr>
          <w:rFonts w:ascii="Times New Roman" w:hAnsi="Times New Roman" w:cs="Times New Roman" w:eastAsia="Times New Roman" w:hint="default"/>
        </w:rPr>
        <w:t>19,859 </w:t>
      </w:r>
      <w:r>
        <w:rPr/>
        <w:t>万元，其中新增建设投资 </w:t>
      </w:r>
      <w:r>
        <w:rPr>
          <w:rFonts w:ascii="Times New Roman" w:hAnsi="Times New Roman" w:cs="Times New Roman" w:eastAsia="Times New Roman" w:hint="default"/>
        </w:rPr>
        <w:t>7,385  </w:t>
      </w:r>
      <w:r>
        <w:rPr/>
        <w:t>万元，新增铺底流动资金 </w:t>
      </w:r>
      <w:r>
        <w:rPr>
          <w:rFonts w:ascii="Times New Roman" w:hAnsi="Times New Roman" w:cs="Times New Roman" w:eastAsia="Times New Roman" w:hint="default"/>
        </w:rPr>
        <w:t>12,474 </w:t>
      </w:r>
      <w:r>
        <w:rPr/>
        <w:t>万元；建设期为</w:t>
      </w:r>
      <w:r>
        <w:rPr>
          <w:spacing w:val="-54"/>
        </w:rPr>
        <w:t> </w:t>
      </w:r>
      <w:r>
        <w:rPr>
          <w:rFonts w:ascii="Times New Roman" w:hAnsi="Times New Roman" w:cs="Times New Roman" w:eastAsia="Times New Roman" w:hint="default"/>
        </w:rPr>
        <w:t>1</w:t>
      </w:r>
    </w:p>
    <w:p>
      <w:pPr>
        <w:pStyle w:val="BodyText"/>
        <w:spacing w:line="240" w:lineRule="auto" w:before="50"/>
        <w:ind w:right="0"/>
        <w:jc w:val="both"/>
      </w:pPr>
      <w:r>
        <w:rPr/>
        <w:t>年</w:t>
      </w:r>
      <w:r>
        <w:rPr>
          <w:spacing w:val="-53"/>
        </w:rPr>
        <w:t> </w:t>
      </w:r>
      <w:r>
        <w:rPr>
          <w:rFonts w:ascii="Times New Roman" w:hAnsi="Times New Roman" w:cs="Times New Roman" w:eastAsia="Times New Roman" w:hint="default"/>
        </w:rPr>
        <w:t>6 </w:t>
      </w:r>
      <w:r>
        <w:rPr>
          <w:spacing w:val="-7"/>
        </w:rPr>
        <w:t>个月，即从</w:t>
      </w:r>
      <w:r>
        <w:rPr>
          <w:spacing w:val="-53"/>
        </w:rPr>
        <w:t> </w:t>
      </w:r>
      <w:r>
        <w:rPr>
          <w:rFonts w:ascii="Times New Roman" w:hAnsi="Times New Roman" w:cs="Times New Roman" w:eastAsia="Times New Roman" w:hint="default"/>
        </w:rPr>
        <w:t>2009 </w:t>
      </w:r>
      <w:r>
        <w:rPr/>
        <w:t>年</w:t>
      </w:r>
      <w:r>
        <w:rPr>
          <w:spacing w:val="-54"/>
        </w:rPr>
        <w:t> </w:t>
      </w:r>
      <w:r>
        <w:rPr>
          <w:rFonts w:ascii="Times New Roman" w:hAnsi="Times New Roman" w:cs="Times New Roman" w:eastAsia="Times New Roman" w:hint="default"/>
        </w:rPr>
        <w:t>1 </w:t>
      </w:r>
      <w:r>
        <w:rPr/>
        <w:t>月至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3"/>
        </w:rPr>
        <w:t>月。计划利用节余募集资金约</w:t>
      </w:r>
      <w:r>
        <w:rPr>
          <w:spacing w:val="-53"/>
        </w:rPr>
        <w:t> </w:t>
      </w:r>
      <w:r>
        <w:rPr>
          <w:rFonts w:ascii="Times New Roman" w:hAnsi="Times New Roman" w:cs="Times New Roman" w:eastAsia="Times New Roman" w:hint="default"/>
        </w:rPr>
        <w:t>5,100 </w:t>
      </w:r>
      <w:r>
        <w:rPr>
          <w:rFonts w:ascii="Times New Roman" w:hAnsi="Times New Roman" w:cs="Times New Roman" w:eastAsia="Times New Roman" w:hint="default"/>
          <w:spacing w:val="1"/>
        </w:rPr>
        <w:t> </w:t>
      </w:r>
      <w:r>
        <w:rPr>
          <w:spacing w:val="-6"/>
        </w:rPr>
        <w:t>万元（最终两</w:t>
      </w:r>
    </w:p>
    <w:p>
      <w:pPr>
        <w:pStyle w:val="BodyText"/>
        <w:spacing w:line="280" w:lineRule="auto" w:before="49"/>
        <w:ind w:left="139" w:right="217"/>
        <w:jc w:val="both"/>
      </w:pPr>
      <w:r>
        <w:rPr/>
        <w:t>个项目决算后节余募集资金金额</w:t>
      </w:r>
      <w:r>
        <w:rPr>
          <w:spacing w:val="-50"/>
        </w:rPr>
        <w:t> </w:t>
      </w:r>
      <w:r>
        <w:rPr>
          <w:rFonts w:ascii="Times New Roman" w:hAnsi="Times New Roman" w:cs="Times New Roman" w:eastAsia="Times New Roman" w:hint="default"/>
          <w:spacing w:val="-1"/>
        </w:rPr>
        <w:t>5,183.91</w:t>
      </w:r>
      <w:r>
        <w:rPr>
          <w:rFonts w:ascii="Times New Roman" w:hAnsi="Times New Roman" w:cs="Times New Roman" w:eastAsia="Times New Roman" w:hint="default"/>
          <w:spacing w:val="2"/>
        </w:rPr>
        <w:t> </w:t>
      </w:r>
      <w:r>
        <w:rPr>
          <w:spacing w:val="-8"/>
        </w:rPr>
        <w:t>万元），其余自筹。该项目已于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月投入 使用。</w:t>
      </w:r>
    </w:p>
    <w:p>
      <w:pPr>
        <w:spacing w:after="0" w:line="280" w:lineRule="auto"/>
        <w:jc w:val="both"/>
        <w:sectPr>
          <w:pgSz w:w="11910" w:h="16840"/>
          <w:pgMar w:header="40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0" w:lineRule="auto" w:before="35"/>
        <w:ind w:left="139" w:right="94" w:firstLine="420"/>
        <w:jc w:val="left"/>
      </w:pPr>
      <w:r>
        <w:rPr>
          <w:spacing w:val="-3"/>
        </w:rPr>
        <w:t>③变更程序：本次部分募集资金投向的变更履行了必要的审批程序，经公司第一届董事</w:t>
      </w:r>
      <w:r>
        <w:rPr/>
        <w:t> </w:t>
      </w:r>
      <w:r>
        <w:rPr>
          <w:spacing w:val="-4"/>
        </w:rPr>
        <w:t>会第二十一次（临时）会议和</w:t>
      </w:r>
      <w:r>
        <w:rPr>
          <w:spacing w:val="-7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年第一次临时股东大会审议批准，决策程序合法、合规， </w:t>
      </w:r>
      <w:r>
        <w:rPr>
          <w:spacing w:val="-3"/>
        </w:rPr>
        <w:t>且监事会、全体独立董事及保荐人光大证券股份有限公司均发表了专项意见，相关情况已详</w:t>
      </w:r>
      <w:r>
        <w:rPr>
          <w:spacing w:val="-79"/>
        </w:rPr>
        <w:t> </w:t>
      </w:r>
      <w:r>
        <w:rPr>
          <w:spacing w:val="-79"/>
        </w:rPr>
      </w:r>
      <w:r>
        <w:rPr/>
        <w:t>细披露在</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 </w:t>
      </w:r>
      <w:r>
        <w:rPr/>
        <w:t>日和</w:t>
      </w:r>
      <w:r>
        <w:rPr>
          <w:spacing w:val="-52"/>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0"/>
        </w:rPr>
        <w:t>日的《证券时报》及深交所指定信息披露网站。</w:t>
      </w:r>
      <w:r>
        <w:rPr/>
        <w:t> 公司募集资金投资项目没有发生变更。公司已披露的有关募集资金使用的信息及时、真实、 准确、完整，不存在募集资金管理违规的情形。</w:t>
      </w:r>
    </w:p>
    <w:p>
      <w:pPr>
        <w:pStyle w:val="BodyText"/>
        <w:spacing w:line="460" w:lineRule="exact" w:before="19"/>
        <w:ind w:left="561" w:right="205" w:hanging="106"/>
        <w:jc w:val="left"/>
      </w:pPr>
      <w:r>
        <w:rPr/>
        <w:t>（</w:t>
      </w:r>
      <w:r>
        <w:rPr>
          <w:rFonts w:ascii="Times New Roman" w:hAnsi="Times New Roman" w:cs="Times New Roman" w:eastAsia="Times New Roman" w:hint="default"/>
        </w:rPr>
        <w:t>6</w:t>
      </w:r>
      <w:r>
        <w:rPr/>
        <w:t>）公司</w:t>
      </w:r>
      <w:r>
        <w:rPr>
          <w:spacing w:val="-54"/>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 </w:t>
      </w:r>
      <w:r>
        <w:rPr/>
        <w:t>募集资金项目全部实施完毕，节余募集资金永久补充流动资金的情况 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日，相关募集资金投资项目已全部实施完毕，尚未使用的募集资</w:t>
      </w:r>
    </w:p>
    <w:p>
      <w:pPr>
        <w:pStyle w:val="BodyText"/>
        <w:spacing w:line="379" w:lineRule="auto" w:before="3"/>
        <w:ind w:left="559" w:right="0" w:hanging="420"/>
        <w:jc w:val="left"/>
      </w:pPr>
      <w:r>
        <w:rPr/>
        <w:t>金余额为</w:t>
      </w:r>
      <w:r>
        <w:rPr>
          <w:spacing w:val="-54"/>
        </w:rPr>
        <w:t> </w:t>
      </w:r>
      <w:r>
        <w:rPr>
          <w:rFonts w:ascii="Times New Roman" w:hAnsi="Times New Roman" w:cs="Times New Roman" w:eastAsia="Times New Roman" w:hint="default"/>
        </w:rPr>
        <w:t>1,599.34</w:t>
      </w:r>
      <w:r>
        <w:rPr>
          <w:rFonts w:ascii="Times New Roman" w:hAnsi="Times New Roman" w:cs="Times New Roman" w:eastAsia="Times New Roman" w:hint="default"/>
          <w:spacing w:val="-1"/>
        </w:rPr>
        <w:t> </w:t>
      </w:r>
      <w:r>
        <w:rPr/>
        <w:t>万元，主要系募集资金项目投资节余及其所生利息。 </w:t>
      </w:r>
      <w:r>
        <w:rPr>
          <w:spacing w:val="-3"/>
        </w:rPr>
        <w:t>募集资金项目投资出现节余资金主要是广电运通营销网络建设项目实施完毕节余，其中</w:t>
      </w:r>
    </w:p>
    <w:p>
      <w:pPr>
        <w:pStyle w:val="BodyText"/>
        <w:spacing w:line="240" w:lineRule="auto" w:before="64"/>
        <w:ind w:left="559" w:right="0"/>
        <w:jc w:val="left"/>
      </w:pPr>
      <w:r>
        <w:rPr>
          <w:spacing w:val="-3"/>
        </w:rPr>
        <w:t>①新建越南办事处：根据《招股说明书》的规定，该项目投资总额为</w:t>
      </w:r>
      <w:r>
        <w:rPr>
          <w:spacing w:val="-50"/>
        </w:rPr>
        <w:t> </w:t>
      </w:r>
      <w:r>
        <w:rPr>
          <w:rFonts w:ascii="Times New Roman" w:hAnsi="Times New Roman" w:cs="Times New Roman" w:eastAsia="Times New Roman" w:hint="default"/>
        </w:rPr>
        <w:t>1,022.65</w:t>
      </w:r>
      <w:r>
        <w:rPr>
          <w:rFonts w:ascii="Times New Roman" w:hAnsi="Times New Roman" w:cs="Times New Roman" w:eastAsia="Times New Roman" w:hint="default"/>
          <w:spacing w:val="3"/>
        </w:rPr>
        <w:t> </w:t>
      </w:r>
      <w:r>
        <w:rPr>
          <w:spacing w:val="-5"/>
        </w:rPr>
        <w:t>万元，该</w:t>
      </w:r>
    </w:p>
    <w:p>
      <w:pPr>
        <w:pStyle w:val="BodyText"/>
        <w:spacing w:line="288" w:lineRule="auto" w:before="50"/>
        <w:ind w:left="139" w:right="216"/>
        <w:jc w:val="both"/>
      </w:pPr>
      <w:r>
        <w:rPr/>
        <w:t>项目实际投资 </w:t>
      </w:r>
      <w:r>
        <w:rPr>
          <w:rFonts w:ascii="Times New Roman" w:hAnsi="Times New Roman" w:cs="Times New Roman" w:eastAsia="Times New Roman" w:hint="default"/>
        </w:rPr>
        <w:t>163.85</w:t>
      </w:r>
      <w:r>
        <w:rPr>
          <w:rFonts w:ascii="Times New Roman" w:hAnsi="Times New Roman" w:cs="Times New Roman" w:eastAsia="Times New Roman" w:hint="default"/>
          <w:spacing w:val="7"/>
        </w:rPr>
        <w:t> </w:t>
      </w:r>
      <w:r>
        <w:rPr/>
        <w:t>万元。基于国际经济形势和市场环境发生的变化，且经前期投入后越 </w:t>
      </w:r>
      <w:r>
        <w:rPr>
          <w:spacing w:val="-3"/>
        </w:rPr>
        <w:t>南办事处运转正常，能满足公司开拓该市场所需，因此为了降低公司募集资金投资风险，本</w:t>
      </w:r>
      <w:r>
        <w:rPr>
          <w:spacing w:val="-81"/>
        </w:rPr>
        <w:t> </w:t>
      </w:r>
      <w:r>
        <w:rPr>
          <w:spacing w:val="-81"/>
        </w:rPr>
      </w:r>
      <w:r>
        <w:rPr>
          <w:spacing w:val="-6"/>
        </w:rPr>
        <w:t>着审慎原则和对投资者负责的原则，经</w:t>
      </w:r>
      <w:r>
        <w:rPr>
          <w:spacing w:val="-49"/>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4"/>
        </w:rPr>
        <w:t> </w:t>
      </w:r>
      <w:r>
        <w:rPr>
          <w:spacing w:val="-1"/>
        </w:rPr>
        <w:t>日公司第二届董事会第二次会议审议</w:t>
      </w:r>
    </w:p>
    <w:p>
      <w:pPr>
        <w:pStyle w:val="BodyText"/>
        <w:spacing w:line="280" w:lineRule="auto" w:before="3"/>
        <w:ind w:left="139" w:right="216"/>
        <w:jc w:val="both"/>
      </w:pPr>
      <w:r>
        <w:rPr/>
        <w:t>通过，公司决定调整实施计划，不再对该项目进行后续投资。该项结余募集资金 </w:t>
      </w:r>
      <w:r>
        <w:rPr>
          <w:rFonts w:ascii="Times New Roman" w:hAnsi="Times New Roman" w:cs="Times New Roman" w:eastAsia="Times New Roman" w:hint="default"/>
        </w:rPr>
        <w:t>858.80</w:t>
      </w:r>
      <w:r>
        <w:rPr>
          <w:rFonts w:ascii="Times New Roman" w:hAnsi="Times New Roman" w:cs="Times New Roman" w:eastAsia="Times New Roman" w:hint="default"/>
          <w:spacing w:val="8"/>
        </w:rPr>
        <w:t> </w:t>
      </w:r>
      <w:r>
        <w:rPr/>
        <w:t>万 元。</w:t>
      </w:r>
    </w:p>
    <w:p>
      <w:pPr>
        <w:pStyle w:val="BodyText"/>
        <w:spacing w:line="240" w:lineRule="auto" w:before="150"/>
        <w:ind w:left="559" w:right="0"/>
        <w:jc w:val="left"/>
        <w:rPr>
          <w:rFonts w:ascii="Times New Roman" w:hAnsi="Times New Roman" w:cs="Times New Roman" w:eastAsia="Times New Roman" w:hint="default"/>
        </w:rPr>
      </w:pPr>
      <w:r>
        <w:rPr/>
        <w:t>②新建国内营销中</w:t>
      </w:r>
      <w:r>
        <w:rPr>
          <w:spacing w:val="-29"/>
        </w:rPr>
        <w:t>心</w:t>
      </w:r>
      <w:r>
        <w:rPr/>
        <w:t>（北京</w:t>
      </w:r>
      <w:r>
        <w:rPr>
          <w:spacing w:val="-105"/>
        </w:rPr>
        <w:t>）</w:t>
      </w:r>
      <w:r>
        <w:rPr>
          <w:spacing w:val="-29"/>
        </w:rPr>
        <w:t>：</w:t>
      </w:r>
      <w:r>
        <w:rPr/>
        <w:t>根</w:t>
      </w:r>
      <w:r>
        <w:rPr>
          <w:spacing w:val="-30"/>
        </w:rPr>
        <w:t>据</w:t>
      </w:r>
      <w:r>
        <w:rPr/>
        <w:t>《招股说明书</w:t>
      </w:r>
      <w:r>
        <w:rPr>
          <w:spacing w:val="-29"/>
        </w:rPr>
        <w:t>》</w:t>
      </w:r>
      <w:r>
        <w:rPr/>
        <w:t>的规定</w:t>
      </w:r>
      <w:r>
        <w:rPr>
          <w:spacing w:val="-30"/>
        </w:rPr>
        <w:t>，</w:t>
      </w:r>
      <w:r>
        <w:rPr/>
        <w:t>该项目投资总额为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86</w:t>
      </w:r>
    </w:p>
    <w:p>
      <w:pPr>
        <w:pStyle w:val="BodyText"/>
        <w:spacing w:line="240" w:lineRule="auto" w:before="50"/>
        <w:ind w:left="139" w:right="0"/>
        <w:jc w:val="both"/>
      </w:pPr>
      <w:r>
        <w:rPr>
          <w:spacing w:val="-3"/>
        </w:rPr>
        <w:t>万元，该项目实际投资</w:t>
      </w:r>
      <w:r>
        <w:rPr>
          <w:spacing w:val="-50"/>
        </w:rPr>
        <w:t> </w:t>
      </w:r>
      <w:r>
        <w:rPr>
          <w:rFonts w:ascii="Times New Roman" w:hAnsi="Times New Roman" w:cs="Times New Roman" w:eastAsia="Times New Roman" w:hint="default"/>
        </w:rPr>
        <w:t>2,298.11</w:t>
      </w:r>
      <w:r>
        <w:rPr>
          <w:rFonts w:ascii="Times New Roman" w:hAnsi="Times New Roman" w:cs="Times New Roman" w:eastAsia="Times New Roman" w:hint="default"/>
          <w:spacing w:val="3"/>
        </w:rPr>
        <w:t> </w:t>
      </w:r>
      <w:r>
        <w:rPr>
          <w:spacing w:val="-3"/>
        </w:rPr>
        <w:t>万元，北京办事处已经投入使用。建设过程中，本着厉行节</w:t>
      </w:r>
    </w:p>
    <w:p>
      <w:pPr>
        <w:pStyle w:val="BodyText"/>
        <w:spacing w:line="240" w:lineRule="auto" w:before="49"/>
        <w:ind w:left="0" w:right="216"/>
        <w:jc w:val="right"/>
      </w:pPr>
      <w:r>
        <w:rPr/>
        <w:t>约的原则，通过降低购房成本及装修费用，减少了项目总支出，节余了资金</w:t>
      </w:r>
      <w:r>
        <w:rPr>
          <w:spacing w:val="-55"/>
        </w:rPr>
        <w:t> </w:t>
      </w:r>
      <w:r>
        <w:rPr>
          <w:rFonts w:ascii="Times New Roman" w:hAnsi="Times New Roman" w:cs="Times New Roman" w:eastAsia="Times New Roman" w:hint="default"/>
        </w:rPr>
        <w:t>735.75</w:t>
      </w:r>
      <w:r>
        <w:rPr>
          <w:rFonts w:ascii="Times New Roman" w:hAnsi="Times New Roman" w:cs="Times New Roman" w:eastAsia="Times New Roman" w:hint="default"/>
          <w:spacing w:val="-2"/>
        </w:rPr>
        <w:t> </w:t>
      </w:r>
      <w:r>
        <w:rPr/>
        <w:t>万元。</w:t>
      </w:r>
    </w:p>
    <w:p>
      <w:pPr>
        <w:pStyle w:val="BodyText"/>
        <w:spacing w:line="292" w:lineRule="auto" w:before="170"/>
        <w:ind w:left="139" w:right="216" w:firstLine="420"/>
        <w:jc w:val="both"/>
      </w:pPr>
      <w:r>
        <w:rPr>
          <w:spacing w:val="-3"/>
        </w:rPr>
        <w:t>公司节余募集资金永久补充流动资金履行了必要的审批程序，经公司第二届董事会第十</w:t>
      </w:r>
      <w:r>
        <w:rPr/>
        <w:t> </w:t>
      </w:r>
      <w:r>
        <w:rPr>
          <w:spacing w:val="-3"/>
        </w:rPr>
        <w:t>二次会议审议通过，公司监事会、全体独立董事及保荐人光大证券股份有限公司均发表了专</w:t>
      </w:r>
      <w:r>
        <w:rPr>
          <w:spacing w:val="-79"/>
        </w:rPr>
        <w:t> </w:t>
      </w:r>
      <w:r>
        <w:rPr>
          <w:spacing w:val="-79"/>
        </w:rPr>
      </w:r>
      <w:r>
        <w:rPr>
          <w:spacing w:val="-3"/>
        </w:rPr>
        <w:t>项意见，相关情况已详细披露在</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4"/>
        </w:rPr>
        <w:t>日的《证券时报》及深交所指定信息披露网</w:t>
      </w:r>
      <w:r>
        <w:rPr/>
        <w:t> 站。</w:t>
      </w:r>
    </w:p>
    <w:p>
      <w:pPr>
        <w:spacing w:after="0" w:line="292" w:lineRule="auto"/>
        <w:jc w:val="both"/>
        <w:sectPr>
          <w:pgSz w:w="11910" w:h="16840"/>
          <w:pgMar w:header="400" w:footer="982" w:top="1100" w:bottom="1180" w:left="1660" w:right="1580"/>
        </w:sectPr>
      </w:pPr>
    </w:p>
    <w:p>
      <w:pPr>
        <w:spacing w:line="240" w:lineRule="auto" w:before="10"/>
        <w:rPr>
          <w:rFonts w:ascii="宋体" w:hAnsi="宋体" w:cs="宋体" w:eastAsia="宋体" w:hint="default"/>
          <w:sz w:val="5"/>
          <w:szCs w:val="5"/>
        </w:rPr>
      </w:pPr>
    </w:p>
    <w:p>
      <w:pPr>
        <w:spacing w:line="720" w:lineRule="exact"/>
        <w:ind w:left="5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6"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10"/>
        <w:rPr>
          <w:rFonts w:ascii="宋体" w:hAnsi="宋体" w:cs="宋体" w:eastAsia="宋体" w:hint="default"/>
          <w:sz w:val="18"/>
          <w:szCs w:val="18"/>
        </w:rPr>
      </w:pPr>
    </w:p>
    <w:p>
      <w:pPr>
        <w:tabs>
          <w:tab w:pos="12842" w:val="left" w:leader="none"/>
        </w:tabs>
        <w:spacing w:before="44"/>
        <w:ind w:left="575" w:right="459" w:firstLine="0"/>
        <w:jc w:val="left"/>
        <w:rPr>
          <w:rFonts w:ascii="宋体" w:hAnsi="宋体" w:cs="宋体" w:eastAsia="宋体" w:hint="default"/>
          <w:sz w:val="18"/>
          <w:szCs w:val="18"/>
        </w:rPr>
      </w:pPr>
      <w:r>
        <w:rPr>
          <w:rFonts w:ascii="宋体" w:hAnsi="宋体" w:cs="宋体" w:eastAsia="宋体" w:hint="default"/>
          <w:sz w:val="18"/>
          <w:szCs w:val="18"/>
        </w:rPr>
        <w:t>附表：募集资金使用情况对照表</w:t>
        <w:tab/>
        <w:t>单位：万元</w:t>
      </w: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26"/>
        <w:gridCol w:w="738"/>
        <w:gridCol w:w="1000"/>
        <w:gridCol w:w="1039"/>
        <w:gridCol w:w="1054"/>
        <w:gridCol w:w="874"/>
        <w:gridCol w:w="1070"/>
        <w:gridCol w:w="1070"/>
        <w:gridCol w:w="1133"/>
        <w:gridCol w:w="649"/>
        <w:gridCol w:w="1054"/>
        <w:gridCol w:w="784"/>
        <w:gridCol w:w="895"/>
      </w:tblGrid>
      <w:tr>
        <w:trPr>
          <w:trHeight w:val="295" w:hRule="exact"/>
        </w:trPr>
        <w:tc>
          <w:tcPr>
            <w:tcW w:w="5503" w:type="dxa"/>
            <w:gridSpan w:val="4"/>
            <w:tcBorders>
              <w:top w:val="single" w:sz="8" w:space="0" w:color="000000"/>
              <w:left w:val="single" w:sz="8"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27"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32"/>
              <w:ind w:left="598" w:right="0"/>
              <w:jc w:val="left"/>
              <w:rPr>
                <w:rFonts w:ascii="Times New Roman" w:hAnsi="Times New Roman" w:cs="Times New Roman" w:eastAsia="Times New Roman" w:hint="default"/>
                <w:sz w:val="18"/>
                <w:szCs w:val="18"/>
              </w:rPr>
            </w:pPr>
            <w:r>
              <w:rPr>
                <w:rFonts w:ascii="Times New Roman"/>
                <w:sz w:val="18"/>
              </w:rPr>
              <w:t>58,541.44</w:t>
            </w:r>
          </w:p>
        </w:tc>
        <w:tc>
          <w:tcPr>
            <w:tcW w:w="4976" w:type="dxa"/>
            <w:gridSpan w:val="5"/>
            <w:tcBorders>
              <w:top w:val="single" w:sz="8" w:space="0" w:color="000000"/>
              <w:left w:val="single" w:sz="4" w:space="0" w:color="000000"/>
              <w:bottom w:val="single" w:sz="4" w:space="0" w:color="000000"/>
              <w:right w:val="single" w:sz="4" w:space="0" w:color="000000"/>
            </w:tcBorders>
          </w:tcPr>
          <w:p>
            <w:pPr>
              <w:pStyle w:val="TableParagraph"/>
              <w:spacing w:line="243" w:lineRule="exact"/>
              <w:ind w:left="13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年度投入募集资金总额</w:t>
            </w:r>
          </w:p>
        </w:tc>
        <w:tc>
          <w:tcPr>
            <w:tcW w:w="1679"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32"/>
              <w:ind w:left="518" w:right="0"/>
              <w:jc w:val="left"/>
              <w:rPr>
                <w:rFonts w:ascii="Times New Roman" w:hAnsi="Times New Roman" w:cs="Times New Roman" w:eastAsia="Times New Roman" w:hint="default"/>
                <w:sz w:val="18"/>
                <w:szCs w:val="18"/>
              </w:rPr>
            </w:pPr>
            <w:r>
              <w:rPr>
                <w:rFonts w:ascii="Times New Roman"/>
                <w:sz w:val="18"/>
              </w:rPr>
              <w:t>3,102.07</w:t>
            </w:r>
          </w:p>
        </w:tc>
      </w:tr>
      <w:tr>
        <w:trPr>
          <w:trHeight w:val="289" w:hRule="exact"/>
        </w:trPr>
        <w:tc>
          <w:tcPr>
            <w:tcW w:w="5503"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75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5,183.91</w:t>
            </w:r>
          </w:p>
        </w:tc>
        <w:tc>
          <w:tcPr>
            <w:tcW w:w="4976" w:type="dxa"/>
            <w:gridSpan w:val="5"/>
            <w:vMerge w:val="restart"/>
            <w:tcBorders>
              <w:top w:val="single" w:sz="4" w:space="0" w:color="000000"/>
              <w:left w:val="single" w:sz="4" w:space="0" w:color="000000"/>
              <w:right w:val="single" w:sz="4" w:space="0" w:color="000000"/>
            </w:tcBorders>
          </w:tcPr>
          <w:p>
            <w:pPr>
              <w:pStyle w:val="TableParagraph"/>
              <w:spacing w:line="240" w:lineRule="auto" w:before="133"/>
              <w:ind w:left="149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679" w:type="dxa"/>
            <w:gridSpan w:val="2"/>
            <w:vMerge w:val="restart"/>
            <w:tcBorders>
              <w:top w:val="single" w:sz="4" w:space="0" w:color="000000"/>
              <w:left w:val="single" w:sz="4"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56,946.89</w:t>
            </w:r>
          </w:p>
        </w:tc>
      </w:tr>
      <w:tr>
        <w:trPr>
          <w:trHeight w:val="290" w:hRule="exact"/>
        </w:trPr>
        <w:tc>
          <w:tcPr>
            <w:tcW w:w="5503" w:type="dxa"/>
            <w:gridSpan w:val="4"/>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1571"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8.86%</w:t>
            </w:r>
          </w:p>
        </w:tc>
        <w:tc>
          <w:tcPr>
            <w:tcW w:w="4976" w:type="dxa"/>
            <w:gridSpan w:val="5"/>
            <w:vMerge/>
            <w:tcBorders>
              <w:left w:val="single" w:sz="4" w:space="0" w:color="000000"/>
              <w:bottom w:val="single" w:sz="4" w:space="0" w:color="000000"/>
              <w:right w:val="single" w:sz="4" w:space="0" w:color="000000"/>
            </w:tcBorders>
          </w:tcPr>
          <w:p>
            <w:pPr/>
          </w:p>
        </w:tc>
        <w:tc>
          <w:tcPr>
            <w:tcW w:w="1679" w:type="dxa"/>
            <w:gridSpan w:val="2"/>
            <w:vMerge/>
            <w:tcBorders>
              <w:left w:val="single" w:sz="4" w:space="0" w:color="000000"/>
              <w:bottom w:val="single" w:sz="4" w:space="0" w:color="000000"/>
              <w:right w:val="single" w:sz="8" w:space="0" w:color="000000"/>
            </w:tcBorders>
          </w:tcPr>
          <w:p>
            <w:pPr/>
          </w:p>
        </w:tc>
      </w:tr>
      <w:tr>
        <w:trPr>
          <w:trHeight w:val="1544"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1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147"/>
              <w:ind w:left="103" w:right="83" w:hanging="20"/>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6"/>
                <w:sz w:val="18"/>
                <w:szCs w:val="18"/>
              </w:rPr>
              <w:t>目（含</w:t>
            </w:r>
            <w:r>
              <w:rPr>
                <w:rFonts w:ascii="宋体" w:hAnsi="宋体" w:cs="宋体" w:eastAsia="宋体" w:hint="default"/>
                <w:sz w:val="18"/>
                <w:szCs w:val="18"/>
              </w:rPr>
              <w:t> 部分 变更）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34" w:right="13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00" w:lineRule="exact"/>
              <w:ind w:left="244" w:right="152"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61" w:right="160"/>
              <w:jc w:val="both"/>
              <w:rPr>
                <w:rFonts w:ascii="Times New Roman" w:hAnsi="Times New Roman" w:cs="Times New Roman" w:eastAsia="Times New Roman" w:hint="default"/>
                <w:sz w:val="18"/>
                <w:szCs w:val="18"/>
              </w:rPr>
            </w:pPr>
            <w:r>
              <w:rPr>
                <w:rFonts w:ascii="宋体" w:hAnsi="宋体" w:cs="宋体" w:eastAsia="宋体" w:hint="default"/>
                <w:sz w:val="18"/>
                <w:szCs w:val="18"/>
              </w:rPr>
              <w:t>截止期末 承诺投入 金额</w:t>
            </w:r>
            <w:r>
              <w:rPr>
                <w:rFonts w:ascii="Times New Roman" w:hAnsi="Times New Roman" w:cs="Times New Roman" w:eastAsia="Times New Roman" w:hint="default"/>
                <w:sz w:val="18"/>
                <w:szCs w:val="18"/>
              </w:rPr>
              <w:t>(1)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61" w:right="160"/>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70" w:right="1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48"/>
              <w:ind w:left="170" w:right="168"/>
              <w:jc w:val="center"/>
              <w:rPr>
                <w:rFonts w:ascii="宋体" w:hAnsi="宋体" w:cs="宋体" w:eastAsia="宋体" w:hint="default"/>
                <w:sz w:val="18"/>
                <w:szCs w:val="18"/>
              </w:rPr>
            </w:pPr>
            <w:r>
              <w:rPr>
                <w:rFonts w:ascii="宋体" w:hAnsi="宋体" w:cs="宋体" w:eastAsia="宋体" w:hint="default"/>
                <w:sz w:val="18"/>
                <w:szCs w:val="18"/>
              </w:rPr>
              <w:t>截至期末 累计投入 金额与承 诺投入金 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06" w:lineRule="exact"/>
              <w:ind w:right="0"/>
              <w:jc w:val="center"/>
              <w:rPr>
                <w:rFonts w:ascii="Times New Roman" w:hAnsi="Times New Roman" w:cs="Times New Roman" w:eastAsia="Times New Roman" w:hint="default"/>
                <w:sz w:val="18"/>
                <w:szCs w:val="18"/>
              </w:rPr>
            </w:pPr>
            <w:r>
              <w:rPr>
                <w:rFonts w:ascii="Times New Roman"/>
                <w:sz w:val="18"/>
              </w:rPr>
              <w:t>(2)-(1)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199" w:lineRule="auto"/>
              <w:ind w:left="103" w:right="11" w:firstLine="8"/>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 </w:t>
            </w:r>
            <w:r>
              <w:rPr>
                <w:rFonts w:ascii="宋体" w:hAnsi="宋体" w:cs="宋体" w:eastAsia="宋体" w:hint="default"/>
                <w:spacing w:val="-8"/>
                <w:sz w:val="18"/>
                <w:szCs w:val="18"/>
              </w:rPr>
              <w:t>入进度（</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48"/>
              <w:ind w:left="140" w:right="137"/>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00" w:lineRule="exact"/>
              <w:ind w:left="161" w:right="160"/>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auto"/>
              <w:ind w:left="116" w:right="11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04" w:lineRule="auto"/>
              <w:ind w:left="172" w:right="16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9"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00" w:lineRule="exact"/>
              <w:ind w:left="98" w:right="68"/>
              <w:jc w:val="left"/>
              <w:rPr>
                <w:rFonts w:ascii="宋体" w:hAnsi="宋体" w:cs="宋体" w:eastAsia="宋体" w:hint="default"/>
                <w:sz w:val="18"/>
                <w:szCs w:val="18"/>
              </w:rPr>
            </w:pPr>
            <w:r>
              <w:rPr>
                <w:rFonts w:ascii="宋体" w:hAnsi="宋体" w:cs="宋体" w:eastAsia="宋体" w:hint="default"/>
                <w:sz w:val="18"/>
                <w:szCs w:val="18"/>
              </w:rPr>
              <w:t>广电运通货币自动处理设备年产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12,000台扩产技术改造项目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26,343.42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22,159.61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22,159.61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545.15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22,159.61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08.12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49,959.50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广电运通研发中心技术改造项目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7,008.25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6,008.15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6,008.15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18"/>
                <w:szCs w:val="18"/>
              </w:rPr>
            </w:pPr>
            <w:r>
              <w:rPr>
                <w:rFonts w:ascii="Times New Roman"/>
                <w:sz w:val="18"/>
              </w:rPr>
              <w:t>642.35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6,008.15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09.6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广电运通营销网络建设项目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4,056.51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4,056.51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4,056.51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276.07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2,461.96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-1,594.55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60.69%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10.6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9"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深圳银通服务网络建设项目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5,527.14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5,527.14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5,527.14</w:t>
            </w:r>
          </w:p>
        </w:tc>
        <w:tc>
          <w:tcPr>
            <w:tcW w:w="874"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5,527.14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Times New Roman" w:hAnsi="Times New Roman" w:cs="Times New Roman" w:eastAsia="Times New Roman" w:hint="default"/>
                <w:sz w:val="18"/>
                <w:szCs w:val="18"/>
              </w:rPr>
            </w:pPr>
            <w:r>
              <w:rPr>
                <w:rFonts w:ascii="Times New Roman"/>
                <w:sz w:val="18"/>
              </w:rPr>
              <w:t>08.12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sz w:val="18"/>
              </w:rPr>
              <w:t>4,096.85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28" w:lineRule="exact"/>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167" w:lineRule="exact"/>
              <w:ind w:left="98" w:right="0"/>
              <w:jc w:val="left"/>
              <w:rPr>
                <w:rFonts w:ascii="宋体" w:hAnsi="宋体" w:cs="宋体" w:eastAsia="宋体" w:hint="default"/>
                <w:sz w:val="18"/>
                <w:szCs w:val="18"/>
              </w:rPr>
            </w:pPr>
            <w:r>
              <w:rPr>
                <w:rFonts w:ascii="宋体" w:hAnsi="宋体" w:cs="宋体" w:eastAsia="宋体" w:hint="default"/>
                <w:spacing w:val="6"/>
                <w:sz w:val="18"/>
                <w:szCs w:val="18"/>
              </w:rPr>
              <w:t>年产24000台货币自动处理设备</w:t>
            </w:r>
          </w:p>
          <w:p>
            <w:pPr>
              <w:pStyle w:val="TableParagraph"/>
              <w:spacing w:line="218" w:lineRule="exact"/>
              <w:ind w:left="98" w:right="0"/>
              <w:jc w:val="left"/>
              <w:rPr>
                <w:rFonts w:ascii="宋体" w:hAnsi="宋体" w:cs="宋体" w:eastAsia="宋体" w:hint="default"/>
                <w:sz w:val="18"/>
                <w:szCs w:val="18"/>
              </w:rPr>
            </w:pPr>
            <w:r>
              <w:rPr>
                <w:rFonts w:ascii="宋体" w:hAnsi="宋体" w:cs="宋体" w:eastAsia="宋体" w:hint="default"/>
                <w:sz w:val="18"/>
                <w:szCs w:val="18"/>
              </w:rPr>
              <w:t>二期扩产技术改造项目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5,183.91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5,183.91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1,548.50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5,183.91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10.10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2726" w:type="dxa"/>
            <w:tcBorders>
              <w:top w:val="single" w:sz="4" w:space="0" w:color="000000"/>
              <w:left w:val="single" w:sz="8"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Times New Roman" w:hAnsi="Times New Roman" w:cs="Times New Roman" w:eastAsia="Times New Roman" w:hint="default"/>
                <w:sz w:val="18"/>
                <w:szCs w:val="18"/>
              </w:rPr>
            </w:pPr>
            <w:r>
              <w:rPr>
                <w:rFonts w:ascii="Times New Roman"/>
                <w:sz w:val="18"/>
              </w:rPr>
              <w:t>42,935.32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42,935.32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42,935.32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3,012.07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41,340.77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w w:val="95"/>
                <w:sz w:val="18"/>
              </w:rPr>
              <w:t>-1,594.55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18"/>
                <w:szCs w:val="18"/>
              </w:rPr>
            </w:pPr>
            <w:r>
              <w:rPr>
                <w:rFonts w:ascii="Times New Roman"/>
                <w:sz w:val="18"/>
              </w:rPr>
              <w:t>96.29%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9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2"/>
              <w:ind w:right="34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24"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40" w:lineRule="auto" w:before="56"/>
              <w:ind w:left="287"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未发生变化</w:t>
            </w:r>
          </w:p>
        </w:tc>
      </w:tr>
      <w:tr>
        <w:trPr>
          <w:trHeight w:val="289"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没有变更</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287"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0" w:right="0"/>
              <w:jc w:val="center"/>
              <w:rPr>
                <w:rFonts w:ascii="宋体" w:hAnsi="宋体" w:cs="宋体" w:eastAsia="宋体" w:hint="default"/>
                <w:sz w:val="18"/>
                <w:szCs w:val="18"/>
              </w:rPr>
            </w:pPr>
            <w:r>
              <w:rPr>
                <w:rFonts w:ascii="宋体" w:hAnsi="宋体" w:cs="宋体" w:eastAsia="宋体" w:hint="default"/>
                <w:sz w:val="18"/>
                <w:szCs w:val="18"/>
              </w:rPr>
              <w:t>没有调整</w:t>
            </w:r>
          </w:p>
        </w:tc>
      </w:tr>
      <w:tr>
        <w:trPr>
          <w:trHeight w:val="290" w:hRule="exact"/>
        </w:trPr>
        <w:tc>
          <w:tcPr>
            <w:tcW w:w="3464" w:type="dxa"/>
            <w:gridSpan w:val="2"/>
            <w:tcBorders>
              <w:top w:val="single" w:sz="4" w:space="0" w:color="000000"/>
              <w:left w:val="single" w:sz="8" w:space="0" w:color="000000"/>
              <w:bottom w:val="single" w:sz="4" w:space="0" w:color="000000"/>
              <w:right w:val="single" w:sz="8" w:space="0" w:color="000000"/>
            </w:tcBorders>
          </w:tcPr>
          <w:p>
            <w:pPr>
              <w:pStyle w:val="TableParagraph"/>
              <w:spacing w:line="225" w:lineRule="exact"/>
              <w:ind w:left="197"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621" w:type="dxa"/>
            <w:gridSpan w:val="11"/>
            <w:tcBorders>
              <w:top w:val="single" w:sz="4" w:space="0" w:color="000000"/>
              <w:left w:val="single" w:sz="8" w:space="0" w:color="000000"/>
              <w:bottom w:val="single" w:sz="4" w:space="0" w:color="000000"/>
              <w:right w:val="single" w:sz="8" w:space="0" w:color="000000"/>
            </w:tcBorders>
          </w:tcPr>
          <w:p>
            <w:pPr>
              <w:pStyle w:val="TableParagraph"/>
              <w:spacing w:line="238" w:lineRule="exact"/>
              <w:ind w:left="109"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台扩产技术改造项目先期投入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万，置换金额与预先投入的自筹资金数额一致。</w:t>
            </w:r>
          </w:p>
        </w:tc>
      </w:tr>
      <w:tr>
        <w:trPr>
          <w:trHeight w:val="289" w:hRule="exact"/>
        </w:trPr>
        <w:tc>
          <w:tcPr>
            <w:tcW w:w="3464" w:type="dxa"/>
            <w:gridSpan w:val="2"/>
            <w:tcBorders>
              <w:top w:val="single" w:sz="4" w:space="0" w:color="000000"/>
              <w:left w:val="single" w:sz="8" w:space="0" w:color="000000"/>
              <w:bottom w:val="single" w:sz="4" w:space="0" w:color="000000"/>
              <w:right w:val="single" w:sz="4" w:space="0" w:color="000000"/>
            </w:tcBorders>
          </w:tcPr>
          <w:p>
            <w:pPr>
              <w:pStyle w:val="TableParagraph"/>
              <w:spacing w:line="225" w:lineRule="exact"/>
              <w:ind w:left="197"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621" w:type="dxa"/>
            <w:gridSpan w:val="11"/>
            <w:tcBorders>
              <w:top w:val="single" w:sz="4" w:space="0" w:color="000000"/>
              <w:left w:val="single" w:sz="4" w:space="0" w:color="000000"/>
              <w:bottom w:val="single" w:sz="4" w:space="0" w:color="000000"/>
              <w:right w:val="single" w:sz="8" w:space="0" w:color="000000"/>
            </w:tcBorders>
          </w:tcPr>
          <w:p>
            <w:pPr>
              <w:pStyle w:val="TableParagraph"/>
              <w:spacing w:line="238" w:lineRule="exact"/>
              <w:ind w:left="113" w:right="0"/>
              <w:jc w:val="left"/>
              <w:rPr>
                <w:rFonts w:ascii="宋体" w:hAnsi="宋体" w:cs="宋体" w:eastAsia="宋体" w:hint="default"/>
                <w:sz w:val="18"/>
                <w:szCs w:val="18"/>
              </w:rPr>
            </w:pPr>
            <w:r>
              <w:rPr>
                <w:rFonts w:ascii="宋体" w:hAnsi="宋体" w:cs="宋体" w:eastAsia="宋体" w:hint="default"/>
                <w:sz w:val="18"/>
                <w:szCs w:val="18"/>
              </w:rPr>
              <w:t>经董事会同意将闲置的募集资金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万元暂时补充流动资金，使用时间不超过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w:t>
            </w:r>
          </w:p>
        </w:tc>
      </w:tr>
      <w:tr>
        <w:trPr>
          <w:trHeight w:val="1010" w:hRule="exact"/>
        </w:trPr>
        <w:tc>
          <w:tcPr>
            <w:tcW w:w="3464" w:type="dxa"/>
            <w:gridSpan w:val="2"/>
            <w:tcBorders>
              <w:top w:val="single" w:sz="4" w:space="0" w:color="000000"/>
              <w:left w:val="single" w:sz="8"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0621" w:type="dxa"/>
            <w:gridSpan w:val="11"/>
            <w:tcBorders>
              <w:top w:val="single" w:sz="4" w:space="0" w:color="000000"/>
              <w:left w:val="single" w:sz="4" w:space="0" w:color="000000"/>
              <w:bottom w:val="single" w:sz="4" w:space="0" w:color="000000"/>
              <w:right w:val="single" w:sz="8" w:space="0" w:color="000000"/>
            </w:tcBorders>
          </w:tcPr>
          <w:p>
            <w:pPr>
              <w:pStyle w:val="TableParagraph"/>
              <w:spacing w:line="192" w:lineRule="auto"/>
              <w:ind w:left="113" w:right="5"/>
              <w:jc w:val="both"/>
              <w:rPr>
                <w:rFonts w:ascii="宋体" w:hAnsi="宋体" w:cs="宋体" w:eastAsia="宋体" w:hint="default"/>
                <w:sz w:val="18"/>
                <w:szCs w:val="18"/>
              </w:rPr>
            </w:pPr>
            <w:r>
              <w:rPr>
                <w:rFonts w:ascii="宋体" w:hAnsi="宋体" w:cs="宋体" w:eastAsia="宋体" w:hint="default"/>
                <w:sz w:val="18"/>
                <w:szCs w:val="18"/>
              </w:rPr>
              <w:t>“货币自动处理设备年产 </w:t>
            </w:r>
            <w:r>
              <w:rPr>
                <w:rFonts w:ascii="Times New Roman" w:hAnsi="Times New Roman" w:cs="Times New Roman" w:eastAsia="Times New Roman" w:hint="default"/>
                <w:sz w:val="18"/>
                <w:szCs w:val="18"/>
              </w:rPr>
              <w:t>12000 </w:t>
            </w:r>
            <w:r>
              <w:rPr>
                <w:rFonts w:ascii="宋体" w:hAnsi="宋体" w:cs="宋体" w:eastAsia="宋体" w:hint="default"/>
                <w:sz w:val="18"/>
                <w:szCs w:val="18"/>
              </w:rPr>
              <w:t>台扩产技术改造项目”和“研发中心技术改造项目”实际节余资金 </w:t>
            </w:r>
            <w:r>
              <w:rPr>
                <w:rFonts w:ascii="Times New Roman" w:hAnsi="Times New Roman" w:cs="Times New Roman" w:eastAsia="Times New Roman" w:hint="default"/>
                <w:sz w:val="18"/>
                <w:szCs w:val="18"/>
              </w:rPr>
              <w:t>5,183.91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万元，节余原因：上述 </w:t>
            </w:r>
            <w:r>
              <w:rPr>
                <w:rFonts w:ascii="宋体" w:hAnsi="宋体" w:cs="宋体" w:eastAsia="宋体" w:hint="default"/>
                <w:spacing w:val="-3"/>
                <w:sz w:val="18"/>
                <w:szCs w:val="18"/>
              </w:rPr>
              <w:t>两个项目在建设过程中，本着厉行节约的原则，在保证使用功能的情况下，通过降低建造成本及装修费用，进一步加强工程费用控制、</w:t>
            </w:r>
          </w:p>
          <w:p>
            <w:pPr>
              <w:pStyle w:val="TableParagraph"/>
              <w:spacing w:line="204" w:lineRule="auto" w:before="1"/>
              <w:ind w:left="113" w:right="97"/>
              <w:jc w:val="both"/>
              <w:rPr>
                <w:rFonts w:ascii="宋体" w:hAnsi="宋体" w:cs="宋体" w:eastAsia="宋体" w:hint="default"/>
                <w:sz w:val="18"/>
                <w:szCs w:val="18"/>
              </w:rPr>
            </w:pPr>
            <w:r>
              <w:rPr>
                <w:rFonts w:ascii="宋体" w:hAnsi="宋体" w:cs="宋体" w:eastAsia="宋体" w:hint="default"/>
                <w:spacing w:val="-1"/>
                <w:sz w:val="18"/>
                <w:szCs w:val="18"/>
              </w:rPr>
              <w:t>监督和管理，减少了工程开支，以及通过进一步优化工艺流程，减少了部分设备的投入，同时在保证生产工艺的前提下，采购国产设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备替代进口设备，减少了设备开支，导致固定资产投入有所减少，因而出现资金节余。经公司董事会和股东大会同意，公司已将上述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节余资金投向“年产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台货币自动处理设备二期扩产技术改造项目”。</w:t>
            </w:r>
          </w:p>
        </w:tc>
      </w:tr>
      <w:tr>
        <w:trPr>
          <w:trHeight w:val="340" w:hRule="exact"/>
        </w:trPr>
        <w:tc>
          <w:tcPr>
            <w:tcW w:w="3464" w:type="dxa"/>
            <w:gridSpan w:val="2"/>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left="827" w:right="0"/>
              <w:jc w:val="left"/>
              <w:rPr>
                <w:rFonts w:ascii="宋体" w:hAnsi="宋体" w:cs="宋体" w:eastAsia="宋体" w:hint="default"/>
                <w:sz w:val="18"/>
                <w:szCs w:val="18"/>
              </w:rPr>
            </w:pPr>
            <w:r>
              <w:rPr>
                <w:rFonts w:ascii="宋体" w:hAnsi="宋体" w:cs="宋体" w:eastAsia="宋体" w:hint="default"/>
                <w:sz w:val="18"/>
                <w:szCs w:val="18"/>
              </w:rPr>
              <w:t>募集资金其他使用情况</w:t>
            </w:r>
          </w:p>
        </w:tc>
        <w:tc>
          <w:tcPr>
            <w:tcW w:w="10621" w:type="dxa"/>
            <w:gridSpan w:val="11"/>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left="113" w:right="0"/>
              <w:jc w:val="left"/>
              <w:rPr>
                <w:rFonts w:ascii="宋体" w:hAnsi="宋体" w:cs="宋体" w:eastAsia="宋体" w:hint="default"/>
                <w:sz w:val="18"/>
                <w:szCs w:val="18"/>
              </w:rPr>
            </w:pPr>
            <w:r>
              <w:rPr>
                <w:rFonts w:ascii="宋体" w:hAnsi="宋体" w:cs="宋体" w:eastAsia="宋体" w:hint="default"/>
                <w:sz w:val="18"/>
                <w:szCs w:val="18"/>
              </w:rPr>
              <w:t>募集资金项目现已全部实施完毕，节余募集资金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1,599.34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万元（含利息）经第二届董事会第十二次会议批准用于永久补充流动资金。</w:t>
            </w:r>
          </w:p>
        </w:tc>
      </w:tr>
    </w:tbl>
    <w:p>
      <w:pPr>
        <w:spacing w:line="211" w:lineRule="exact" w:before="0"/>
        <w:ind w:left="539" w:right="45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“已累计投入募集资金总额”包括投入到募集资金项目的金额和募集资金超出部分用于补充流动资金的金额。</w:t>
      </w:r>
    </w:p>
    <w:p>
      <w:pPr>
        <w:spacing w:line="233" w:lineRule="exact" w:before="0"/>
        <w:ind w:left="539" w:right="45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“截止期末承诺投入金额”按时间进度计算。</w:t>
      </w:r>
    </w:p>
    <w:p>
      <w:pPr>
        <w:spacing w:line="232" w:lineRule="exact" w:before="17"/>
        <w:ind w:left="539" w:right="459"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0"/>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：“研发中心技改项目”和“广电运通营销网络建设项目”建设，将提高公司自主创新和产品开发、营销能力，项目自身不产生效益，有利于提高公司整体经营业绩。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：由于本项目是在原</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台产能基础上进行扩产，其建设内容与原有生产系统为一体，因此未对新增</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台产能的效益进行独立核算，而是对公司进行整体评价。</w:t>
      </w:r>
    </w:p>
    <w:p>
      <w:pPr>
        <w:spacing w:line="240" w:lineRule="auto" w:before="5"/>
        <w:rPr>
          <w:rFonts w:ascii="宋体" w:hAnsi="宋体" w:cs="宋体" w:eastAsia="宋体" w:hint="default"/>
          <w:sz w:val="29"/>
          <w:szCs w:val="29"/>
        </w:rPr>
      </w:pPr>
    </w:p>
    <w:p>
      <w:pPr>
        <w:spacing w:before="76"/>
        <w:ind w:left="7049" w:right="7070" w:firstLine="0"/>
        <w:jc w:val="center"/>
        <w:rPr>
          <w:rFonts w:ascii="Times New Roman" w:hAnsi="Times New Roman" w:cs="Times New Roman" w:eastAsia="Times New Roman" w:hint="default"/>
          <w:sz w:val="18"/>
          <w:szCs w:val="18"/>
        </w:rPr>
      </w:pPr>
      <w:r>
        <w:rPr>
          <w:rFonts w:ascii="Times New Roman"/>
          <w:sz w:val="18"/>
        </w:rPr>
        <w:t>39</w:t>
      </w:r>
    </w:p>
    <w:p>
      <w:pPr>
        <w:spacing w:after="0"/>
        <w:jc w:val="center"/>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0" w:footer="0" w:top="320" w:bottom="280" w:left="126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5"/>
        <w:ind w:left="560" w:right="0"/>
        <w:jc w:val="left"/>
      </w:pPr>
      <w:r>
        <w:rPr>
          <w:rFonts w:ascii="Times New Roman" w:hAnsi="Times New Roman" w:cs="Times New Roman" w:eastAsia="Times New Roman" w:hint="default"/>
        </w:rPr>
        <w:t>2</w:t>
      </w:r>
      <w:r>
        <w:rPr/>
        <w:t>、募集资金管理情况</w:t>
      </w:r>
    </w:p>
    <w:p>
      <w:pPr>
        <w:pStyle w:val="BodyText"/>
        <w:spacing w:line="292" w:lineRule="auto" w:before="170"/>
        <w:ind w:right="105" w:firstLine="420"/>
        <w:jc w:val="left"/>
      </w:pPr>
      <w:r>
        <w:rPr/>
        <w:t>公司于</w:t>
      </w:r>
      <w:r>
        <w:rPr>
          <w:spacing w:val="-53"/>
        </w:rPr>
        <w:t> </w:t>
      </w:r>
      <w:r>
        <w:rPr>
          <w:rFonts w:ascii="Times New Roman" w:hAnsi="Times New Roman" w:cs="Times New Roman" w:eastAsia="Times New Roman" w:hint="default"/>
          <w:spacing w:val="-1"/>
        </w:rPr>
        <w:t>2007 </w:t>
      </w:r>
      <w:r>
        <w:rPr/>
        <w:t>年</w:t>
      </w:r>
      <w:r>
        <w:rPr>
          <w:spacing w:val="-53"/>
        </w:rPr>
        <w:t> </w:t>
      </w:r>
      <w:r>
        <w:rPr>
          <w:rFonts w:ascii="Times New Roman" w:hAnsi="Times New Roman" w:cs="Times New Roman" w:eastAsia="Times New Roman" w:hint="default"/>
        </w:rPr>
        <w:t>9 </w:t>
      </w:r>
      <w:r>
        <w:rPr>
          <w:spacing w:val="-1"/>
        </w:rPr>
        <w:t>月召开的</w:t>
      </w:r>
      <w:r>
        <w:rPr>
          <w:spacing w:val="-53"/>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rPr>
        <w:t> </w:t>
      </w:r>
      <w:r>
        <w:rPr>
          <w:spacing w:val="-4"/>
        </w:rPr>
        <w:t>年第一次临时股东大会上审议通过《广州广电运通金融</w:t>
      </w:r>
      <w:r>
        <w:rPr/>
        <w:t> </w:t>
      </w:r>
      <w:r>
        <w:rPr>
          <w:spacing w:val="-13"/>
        </w:rPr>
        <w:t>电子股份有限公司募集资金使用管理办法（修订）》（以下简称“《管理办法》”）的议案，随</w:t>
      </w:r>
      <w:r>
        <w:rPr>
          <w:spacing w:val="-79"/>
        </w:rPr>
        <w:t> </w:t>
      </w:r>
      <w:r>
        <w:rPr>
          <w:spacing w:val="-79"/>
        </w:rPr>
      </w:r>
      <w:r>
        <w:rPr>
          <w:spacing w:val="-6"/>
        </w:rPr>
        <w:t>后根据深交所出台的有关制度，公司于</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4 </w:t>
      </w:r>
      <w:r>
        <w:rPr/>
        <w:t>月召开的</w:t>
      </w:r>
      <w:r>
        <w:rPr>
          <w:spacing w:val="-52"/>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
        </w:rPr>
        <w:t> </w:t>
      </w:r>
      <w:r>
        <w:rPr>
          <w:spacing w:val="-8"/>
        </w:rPr>
        <w:t>年度股东大会对《管理办法》</w:t>
      </w:r>
      <w:r>
        <w:rPr/>
        <w:t> </w:t>
      </w:r>
      <w:r>
        <w:rPr>
          <w:spacing w:val="-3"/>
        </w:rPr>
        <w:t>进行了重新修订。根据《管理办法》的要求，公司对募集资金采用专户存储制度，以便对募</w:t>
      </w:r>
      <w:r>
        <w:rPr>
          <w:spacing w:val="-84"/>
        </w:rPr>
        <w:t> </w:t>
      </w:r>
      <w:r>
        <w:rPr>
          <w:spacing w:val="-84"/>
        </w:rPr>
      </w:r>
      <w:r>
        <w:rPr>
          <w:spacing w:val="-3"/>
        </w:rPr>
        <w:t>集资金使用情况进行监督；对募集资金项目投资的支出严格履行资金使用审批手续；公司审</w:t>
      </w:r>
      <w:r>
        <w:rPr>
          <w:spacing w:val="-79"/>
        </w:rPr>
        <w:t> </w:t>
      </w:r>
      <w:r>
        <w:rPr>
          <w:spacing w:val="-79"/>
        </w:rPr>
      </w:r>
      <w:r>
        <w:rPr>
          <w:spacing w:val="-3"/>
        </w:rPr>
        <w:t>计部对募集资金使用情况进行日常监督，按季度定期对募集资金使用情况进行检查，并将检</w:t>
      </w:r>
      <w:r>
        <w:rPr>
          <w:spacing w:val="-79"/>
        </w:rPr>
        <w:t> </w:t>
      </w:r>
      <w:r>
        <w:rPr>
          <w:spacing w:val="-79"/>
        </w:rPr>
      </w:r>
      <w:r>
        <w:rPr/>
        <w:t>查情况报告审计委员会。</w:t>
      </w:r>
    </w:p>
    <w:p>
      <w:pPr>
        <w:pStyle w:val="BodyText"/>
        <w:spacing w:line="292" w:lineRule="auto" w:before="139"/>
        <w:ind w:left="139" w:right="100" w:firstLine="420"/>
        <w:jc w:val="left"/>
      </w:pPr>
      <w:r>
        <w:rPr/>
        <w:t>公司于</w:t>
      </w:r>
      <w:r>
        <w:rPr>
          <w:spacing w:val="-67"/>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15"/>
        </w:rPr>
        <w:t> </w:t>
      </w:r>
      <w:r>
        <w:rPr/>
        <w:t>年</w:t>
      </w:r>
      <w:r>
        <w:rPr>
          <w:spacing w:val="-67"/>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8"/>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4"/>
        </w:rPr>
        <w:t> </w:t>
      </w:r>
      <w:r>
        <w:rPr>
          <w:spacing w:val="-4"/>
        </w:rPr>
        <w:t>日分别与保荐人光大证券股份有限公司、交通银行广州天河支行、</w:t>
      </w:r>
      <w:r>
        <w:rPr/>
        <w:t> </w:t>
      </w:r>
      <w:r>
        <w:rPr>
          <w:spacing w:val="-3"/>
        </w:rPr>
        <w:t>中信银行广州天河支行签订了《首次公开发行股票募集资金的三方监管协议》，协议约定公</w:t>
      </w:r>
      <w:r>
        <w:rPr>
          <w:spacing w:val="-84"/>
        </w:rPr>
        <w:t> </w:t>
      </w:r>
      <w:r>
        <w:rPr>
          <w:spacing w:val="-84"/>
        </w:rPr>
      </w:r>
      <w:r>
        <w:rPr>
          <w:spacing w:val="-3"/>
        </w:rPr>
        <w:t>司在上述二家银行开设募集资金专用账户，规范对募集资金的使用。投资于深圳银通服务网</w:t>
      </w:r>
      <w:r>
        <w:rPr>
          <w:spacing w:val="-79"/>
        </w:rPr>
        <w:t> </w:t>
      </w:r>
      <w:r>
        <w:rPr>
          <w:spacing w:val="-79"/>
        </w:rPr>
      </w:r>
      <w:r>
        <w:rPr/>
        <w:t>络建设项目的募集资金，经</w:t>
      </w:r>
      <w:r>
        <w:rPr>
          <w:spacing w:val="-5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日召开的第一届董事会第十一次会议决议，存放 </w:t>
      </w:r>
      <w:r>
        <w:rPr>
          <w:spacing w:val="-3"/>
        </w:rPr>
        <w:t>在公司全资子公司深圳广电银通金融电子科技有限公司（以下简称“深圳银通”）开立的募</w:t>
      </w:r>
      <w:r>
        <w:rPr>
          <w:spacing w:val="-84"/>
        </w:rPr>
        <w:t> </w:t>
      </w:r>
      <w:r>
        <w:rPr>
          <w:spacing w:val="-84"/>
        </w:rPr>
      </w:r>
      <w:r>
        <w:rPr/>
        <w:t>集资金专户。根据相关规定，</w:t>
      </w:r>
      <w:r>
        <w:rPr>
          <w:rFonts w:ascii="Times New Roman" w:hAnsi="Times New Roman" w:cs="Times New Roman" w:eastAsia="Times New Roman" w:hint="default"/>
        </w:rPr>
        <w:t>2007</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月深圳银通、深圳发展银行深圳五洲支行、保荐人 </w:t>
      </w:r>
      <w:r>
        <w:rPr>
          <w:spacing w:val="-3"/>
        </w:rPr>
        <w:t>光大证券股份有限公司三方签订了《募集资金三方监管协议》，规范对募集资金的使用。三</w:t>
      </w:r>
      <w:r>
        <w:rPr>
          <w:spacing w:val="-84"/>
        </w:rPr>
        <w:t> </w:t>
      </w:r>
      <w:r>
        <w:rPr>
          <w:spacing w:val="-84"/>
        </w:rPr>
      </w:r>
      <w:r>
        <w:rPr>
          <w:spacing w:val="-3"/>
        </w:rPr>
        <w:t>方监管协议与深圳证券交易所三方监管协议范本不存在重大差异，公司在使用募集资金时严</w:t>
      </w:r>
      <w:r>
        <w:rPr>
          <w:spacing w:val="-79"/>
        </w:rPr>
        <w:t> </w:t>
      </w:r>
      <w:r>
        <w:rPr>
          <w:spacing w:val="-79"/>
        </w:rPr>
      </w:r>
      <w:r>
        <w:rPr>
          <w:spacing w:val="-5"/>
        </w:rPr>
        <w:t>格遵照履行。公司充分保障保荐机构、独立董事以及监事会对募集资金使用和管理的监督权。</w:t>
      </w:r>
      <w:r>
        <w:rPr>
          <w:spacing w:val="-100"/>
        </w:rPr>
        <w:t> </w:t>
      </w:r>
      <w:r>
        <w:rPr>
          <w:spacing w:val="-100"/>
        </w:rPr>
      </w:r>
      <w:r>
        <w:rPr>
          <w:spacing w:val="-3"/>
        </w:rPr>
        <w:t>光大证券作为公司的保荐机构，采取现场调查、书面问询等方式行使其监督权；公司授权其</w:t>
      </w:r>
      <w:r>
        <w:rPr>
          <w:spacing w:val="-81"/>
        </w:rPr>
        <w:t> </w:t>
      </w:r>
      <w:r>
        <w:rPr>
          <w:spacing w:val="-81"/>
        </w:rPr>
      </w:r>
      <w:r>
        <w:rPr>
          <w:spacing w:val="-3"/>
        </w:rPr>
        <w:t>指定的保荐代表人可以随时到银行查询、复印公司专户的资料。公司和银行积极配合，三方</w:t>
      </w:r>
      <w:r>
        <w:rPr>
          <w:spacing w:val="-81"/>
        </w:rPr>
        <w:t> </w:t>
      </w:r>
      <w:r>
        <w:rPr>
          <w:spacing w:val="-81"/>
        </w:rPr>
      </w:r>
      <w:r>
        <w:rPr/>
        <w:t>监管协议的履行情况正常。</w:t>
      </w:r>
    </w:p>
    <w:p>
      <w:pPr>
        <w:pStyle w:val="BodyText"/>
        <w:spacing w:line="460" w:lineRule="exact" w:before="17"/>
        <w:ind w:left="559" w:right="0" w:hanging="1"/>
        <w:jc w:val="left"/>
      </w:pPr>
      <w:r>
        <w:rPr>
          <w:rFonts w:ascii="Times New Roman" w:hAnsi="Times New Roman" w:cs="Times New Roman" w:eastAsia="Times New Roman" w:hint="default"/>
        </w:rPr>
        <w:t>3</w:t>
      </w:r>
      <w:r>
        <w:rPr/>
        <w:t>、会计师事务所对募集资金使用情况的专项审核意见 </w:t>
      </w:r>
      <w:r>
        <w:rPr>
          <w:spacing w:val="2"/>
        </w:rPr>
        <w:t>立信羊城会计师事务所有限公司对公司募集资金使用情况出具了（</w:t>
      </w:r>
      <w:r>
        <w:rPr>
          <w:rFonts w:ascii="Times New Roman" w:hAnsi="Times New Roman" w:cs="Times New Roman" w:eastAsia="Times New Roman" w:hint="default"/>
          <w:spacing w:val="2"/>
        </w:rPr>
        <w:t>2011</w:t>
      </w:r>
      <w:r>
        <w:rPr>
          <w:spacing w:val="2"/>
        </w:rPr>
        <w:t>）羊专审字第</w:t>
      </w:r>
    </w:p>
    <w:p>
      <w:pPr>
        <w:pStyle w:val="BodyText"/>
        <w:spacing w:line="290" w:lineRule="auto" w:before="2"/>
        <w:ind w:left="139" w:right="216"/>
        <w:jc w:val="both"/>
      </w:pPr>
      <w:r>
        <w:rPr>
          <w:rFonts w:ascii="Times New Roman" w:hAnsi="Times New Roman" w:cs="Times New Roman" w:eastAsia="Times New Roman" w:hint="default"/>
          <w:spacing w:val="-2"/>
        </w:rPr>
        <w:t>21165</w:t>
      </w:r>
      <w:r>
        <w:rPr>
          <w:rFonts w:ascii="Times New Roman" w:hAnsi="Times New Roman" w:cs="Times New Roman" w:eastAsia="Times New Roman" w:hint="default"/>
          <w:spacing w:val="17"/>
        </w:rPr>
        <w:t> </w:t>
      </w:r>
      <w:r>
        <w:rPr>
          <w:spacing w:val="-3"/>
        </w:rPr>
        <w:t>号《募集资金使用情况鉴证报告》，认为公司出具的《广州广电运通金融电子股份有</w:t>
      </w:r>
      <w:r>
        <w:rPr>
          <w:spacing w:val="-103"/>
        </w:rPr>
        <w:t> </w:t>
      </w:r>
      <w:r>
        <w:rPr>
          <w:spacing w:val="-103"/>
        </w:rPr>
      </w:r>
      <w:r>
        <w:rPr>
          <w:spacing w:val="8"/>
        </w:rPr>
        <w:t>限公司二○一○年度募集资金使用情况专项报告》在所有重大方面公允反映了公司截至</w:t>
      </w:r>
      <w:r>
        <w:rPr>
          <w:spacing w:val="-101"/>
        </w:rPr>
        <w:t> </w:t>
      </w:r>
      <w:r>
        <w:rPr>
          <w:spacing w:val="-101"/>
        </w:rPr>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日止的募集资金使用情况。</w:t>
      </w:r>
    </w:p>
    <w:p>
      <w:pPr>
        <w:pStyle w:val="BodyText"/>
        <w:spacing w:line="240" w:lineRule="auto" w:before="120"/>
        <w:ind w:left="559" w:right="0"/>
        <w:jc w:val="left"/>
        <w:rPr>
          <w:rFonts w:ascii="Times New Roman" w:hAnsi="Times New Roman" w:cs="Times New Roman" w:eastAsia="Times New Roman" w:hint="default"/>
        </w:rPr>
      </w:pPr>
      <w:r>
        <w:rPr/>
        <w:t>立信羊城会计师事务所出具的《募集资金使用情况鉴证报告》刊登在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3 </w:t>
      </w:r>
      <w:r>
        <w:rPr/>
        <w:t>月</w:t>
      </w:r>
      <w:r>
        <w:rPr>
          <w:spacing w:val="7"/>
        </w:rPr>
        <w:t> </w:t>
      </w:r>
      <w:r>
        <w:rPr>
          <w:rFonts w:ascii="Times New Roman" w:hAnsi="Times New Roman" w:cs="Times New Roman" w:eastAsia="Times New Roman" w:hint="default"/>
        </w:rPr>
        <w:t>25</w:t>
      </w:r>
    </w:p>
    <w:p>
      <w:pPr>
        <w:pStyle w:val="BodyText"/>
        <w:spacing w:line="240" w:lineRule="auto" w:before="50"/>
        <w:ind w:left="139" w:right="0"/>
        <w:jc w:val="both"/>
      </w:pPr>
      <w:r>
        <w:rPr/>
        <w:t>日巨潮资讯网</w:t>
      </w:r>
      <w:r>
        <w:rPr>
          <w:spacing w:val="-6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spacing w:line="240" w:lineRule="auto" w:before="7"/>
        <w:rPr>
          <w:rFonts w:ascii="宋体" w:hAnsi="宋体" w:cs="宋体" w:eastAsia="宋体" w:hint="default"/>
          <w:sz w:val="31"/>
          <w:szCs w:val="31"/>
        </w:rPr>
      </w:pPr>
    </w:p>
    <w:p>
      <w:pPr>
        <w:pStyle w:val="BodyText"/>
        <w:spacing w:line="240" w:lineRule="auto"/>
        <w:ind w:left="139" w:right="0"/>
        <w:jc w:val="both"/>
      </w:pPr>
      <w:r>
        <w:rPr/>
        <w:t>（二）非募集资金投资情况</w:t>
      </w:r>
    </w:p>
    <w:p>
      <w:pPr>
        <w:spacing w:line="240" w:lineRule="auto" w:before="3"/>
        <w:rPr>
          <w:rFonts w:ascii="宋体" w:hAnsi="宋体" w:cs="宋体" w:eastAsia="宋体" w:hint="default"/>
          <w:sz w:val="19"/>
          <w:szCs w:val="19"/>
        </w:rPr>
      </w:pPr>
    </w:p>
    <w:p>
      <w:pPr>
        <w:pStyle w:val="BodyText"/>
        <w:spacing w:line="240" w:lineRule="auto"/>
        <w:ind w:left="55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日，公司召开第二届董事会第七次会议，审议通过《关于设立投资公司</w:t>
      </w:r>
    </w:p>
    <w:p>
      <w:pPr>
        <w:pStyle w:val="BodyText"/>
        <w:spacing w:line="280" w:lineRule="auto" w:before="50"/>
        <w:ind w:left="139" w:right="217" w:hanging="1"/>
        <w:jc w:val="both"/>
      </w:pPr>
      <w:r>
        <w:rPr>
          <w:spacing w:val="-5"/>
        </w:rPr>
        <w:t>的议案》，同意公司设立一家投资公司，注册资本为</w:t>
      </w:r>
      <w:r>
        <w:rPr/>
        <w:t> </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20"/>
        </w:rPr>
        <w:t> </w:t>
      </w:r>
      <w:r>
        <w:rPr/>
        <w:t>万元人民币，全部以自有资金出 资，占投资公司注册资本的</w:t>
      </w:r>
      <w:r>
        <w:rPr>
          <w:spacing w:val="-56"/>
        </w:rPr>
        <w:t> </w:t>
      </w:r>
      <w:r>
        <w:rPr>
          <w:rFonts w:ascii="Times New Roman" w:hAnsi="Times New Roman" w:cs="Times New Roman" w:eastAsia="Times New Roman" w:hint="default"/>
        </w:rPr>
        <w:t>100%</w:t>
      </w:r>
      <w:r>
        <w:rPr/>
        <w:t>。目前该公司尚未注册成立。</w:t>
      </w:r>
    </w:p>
    <w:p>
      <w:pPr>
        <w:pStyle w:val="BodyText"/>
        <w:spacing w:line="240" w:lineRule="auto" w:before="129"/>
        <w:ind w:left="559"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月，公司全资子公司运通国际参与其参股公司</w:t>
      </w:r>
      <w:r>
        <w:rPr>
          <w:spacing w:val="-47"/>
        </w:rPr>
        <w:t> </w:t>
      </w:r>
      <w:r>
        <w:rPr>
          <w:rFonts w:ascii="Times New Roman" w:hAnsi="Times New Roman" w:cs="Times New Roman" w:eastAsia="Times New Roman" w:hint="default"/>
        </w:rPr>
        <w:t>GRG  </w:t>
      </w:r>
      <w:r>
        <w:rPr>
          <w:rFonts w:ascii="Times New Roman" w:hAnsi="Times New Roman" w:cs="Times New Roman" w:eastAsia="Times New Roman" w:hint="default"/>
          <w:spacing w:val="-3"/>
        </w:rPr>
        <w:t>INTERNATIONAL</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7"/>
        </w:rPr>
        <w:t>LTD</w:t>
      </w:r>
    </w:p>
    <w:p>
      <w:pPr>
        <w:pStyle w:val="BodyText"/>
        <w:spacing w:line="240" w:lineRule="auto" w:before="50"/>
        <w:ind w:left="139" w:right="0"/>
        <w:jc w:val="both"/>
      </w:pPr>
      <w:r>
        <w:rPr/>
        <w:t>（以下简称“</w:t>
      </w:r>
      <w:r>
        <w:rPr>
          <w:rFonts w:ascii="Times New Roman" w:hAnsi="Times New Roman" w:cs="Times New Roman" w:eastAsia="Times New Roman" w:hint="default"/>
          <w:spacing w:val="-1"/>
          <w:w w:val="99"/>
        </w:rPr>
        <w:t>GRG</w:t>
      </w:r>
      <w:r>
        <w:rPr>
          <w:rFonts w:ascii="Times New Roman" w:hAnsi="Times New Roman" w:cs="Times New Roman" w:eastAsia="Times New Roman" w:hint="default"/>
          <w:w w:val="99"/>
        </w:rPr>
        <w:t>I</w:t>
      </w:r>
      <w:r>
        <w:rPr>
          <w:spacing w:val="-105"/>
        </w:rPr>
        <w:t>”</w:t>
      </w:r>
      <w:r>
        <w:rPr/>
        <w:t>）首次公开发行股票的新股申购，投资</w:t>
      </w:r>
      <w:r>
        <w:rPr>
          <w:spacing w:val="-30"/>
        </w:rPr>
        <w:t> </w:t>
      </w:r>
      <w:r>
        <w:rPr>
          <w:rFonts w:ascii="Times New Roman" w:hAnsi="Times New Roman" w:cs="Times New Roman" w:eastAsia="Times New Roman" w:hint="default"/>
        </w:rPr>
        <w:t>40</w:t>
      </w:r>
      <w:r>
        <w:rPr>
          <w:rFonts w:ascii="Times New Roman" w:hAnsi="Times New Roman" w:cs="Times New Roman" w:eastAsia="Times New Roman" w:hint="default"/>
          <w:spacing w:val="23"/>
        </w:rPr>
        <w:t> </w:t>
      </w:r>
      <w:r>
        <w:rPr/>
        <w:t>万澳</w:t>
      </w:r>
      <w:r>
        <w:rPr>
          <w:spacing w:val="-2"/>
        </w:rPr>
        <w:t>元</w:t>
      </w:r>
      <w:r>
        <w:rPr/>
        <w:t>以</w:t>
      </w:r>
      <w:r>
        <w:rPr>
          <w:spacing w:val="-30"/>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spacing w:val="-2"/>
        </w:rPr>
        <w:t>元</w:t>
      </w:r>
      <w:r>
        <w:rPr>
          <w:rFonts w:ascii="Times New Roman" w:hAnsi="Times New Roman" w:cs="Times New Roman" w:eastAsia="Times New Roman" w:hint="default"/>
          <w:spacing w:val="-1"/>
        </w:rPr>
        <w:t>/</w:t>
      </w:r>
      <w:r>
        <w:rPr/>
        <w:t>股的价格</w:t>
      </w:r>
    </w:p>
    <w:p>
      <w:pPr>
        <w:pStyle w:val="BodyText"/>
        <w:spacing w:line="240" w:lineRule="auto" w:before="50"/>
        <w:ind w:left="139" w:right="0"/>
        <w:jc w:val="both"/>
      </w:pPr>
      <w:r>
        <w:rPr/>
        <w:t>认购 </w:t>
      </w:r>
      <w:r>
        <w:rPr>
          <w:rFonts w:ascii="Times New Roman" w:hAnsi="Times New Roman" w:cs="Times New Roman" w:eastAsia="Times New Roman" w:hint="default"/>
        </w:rPr>
        <w:t>200 </w:t>
      </w:r>
      <w:r>
        <w:rPr>
          <w:spacing w:val="-4"/>
        </w:rPr>
        <w:t>万股的新股。</w:t>
      </w:r>
      <w:r>
        <w:rPr>
          <w:rFonts w:ascii="Times New Roman" w:hAnsi="Times New Roman" w:cs="Times New Roman" w:eastAsia="Times New Roman" w:hint="default"/>
          <w:spacing w:val="-4"/>
        </w:rPr>
        <w:t>2010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14 </w:t>
      </w:r>
      <w:r>
        <w:rPr>
          <w:spacing w:val="-6"/>
        </w:rPr>
        <w:t>日，</w:t>
      </w:r>
      <w:r>
        <w:rPr>
          <w:rFonts w:ascii="Times New Roman" w:hAnsi="Times New Roman" w:cs="Times New Roman" w:eastAsia="Times New Roman" w:hint="default"/>
          <w:spacing w:val="-6"/>
        </w:rPr>
        <w:t>GRGI</w:t>
      </w:r>
      <w:r>
        <w:rPr>
          <w:rFonts w:ascii="Times New Roman" w:hAnsi="Times New Roman" w:cs="Times New Roman" w:eastAsia="Times New Roman" w:hint="default"/>
          <w:spacing w:val="-10"/>
        </w:rPr>
        <w:t> </w:t>
      </w:r>
      <w:r>
        <w:rPr/>
        <w:t>在澳大利亚证券交易所挂牌上市。详细</w:t>
      </w:r>
    </w:p>
    <w:p>
      <w:pPr>
        <w:pStyle w:val="BodyText"/>
        <w:spacing w:line="240" w:lineRule="auto" w:before="49"/>
        <w:ind w:left="139" w:right="0"/>
        <w:jc w:val="both"/>
      </w:pPr>
      <w:r>
        <w:rPr/>
        <w:t>情况见</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日披露的编号为“临</w:t>
      </w:r>
      <w:r>
        <w:rPr>
          <w:spacing w:val="-46"/>
        </w:rPr>
        <w:t> </w:t>
      </w:r>
      <w:r>
        <w:rPr>
          <w:rFonts w:ascii="Times New Roman" w:hAnsi="Times New Roman" w:cs="Times New Roman" w:eastAsia="Times New Roman" w:hint="default"/>
        </w:rPr>
        <w:t>2010-019</w:t>
      </w:r>
      <w:r>
        <w:rPr>
          <w:rFonts w:ascii="Times New Roman" w:hAnsi="Times New Roman" w:cs="Times New Roman" w:eastAsia="Times New Roman" w:hint="default"/>
          <w:spacing w:val="52"/>
        </w:rPr>
        <w:t> </w:t>
      </w:r>
      <w:r>
        <w:rPr/>
        <w:t>号”公告和</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日披露</w:t>
      </w:r>
    </w:p>
    <w:p>
      <w:pPr>
        <w:pStyle w:val="BodyText"/>
        <w:spacing w:line="240" w:lineRule="auto" w:before="50"/>
        <w:ind w:left="139" w:right="0"/>
        <w:jc w:val="both"/>
      </w:pPr>
      <w:r>
        <w:rPr/>
        <w:t>的编号为“临 </w:t>
      </w:r>
      <w:r>
        <w:rPr>
          <w:rFonts w:ascii="Times New Roman" w:hAnsi="Times New Roman" w:cs="Times New Roman" w:eastAsia="Times New Roman" w:hint="default"/>
        </w:rPr>
        <w:t>2010-021</w:t>
      </w:r>
      <w:r>
        <w:rPr>
          <w:rFonts w:ascii="Times New Roman" w:hAnsi="Times New Roman" w:cs="Times New Roman" w:eastAsia="Times New Roman" w:hint="default"/>
          <w:spacing w:val="-6"/>
        </w:rPr>
        <w:t> </w:t>
      </w:r>
      <w:r>
        <w:rPr/>
        <w:t>号”公告。</w:t>
      </w:r>
    </w:p>
    <w:p>
      <w:pPr>
        <w:spacing w:after="0" w:line="240" w:lineRule="auto"/>
        <w:jc w:val="both"/>
        <w:sectPr>
          <w:footerReference w:type="default" r:id="rId17"/>
          <w:pgSz w:w="11910" w:h="16840"/>
          <w:pgMar w:footer="982" w:header="0" w:top="1100" w:bottom="1180" w:left="1660" w:right="1580"/>
          <w:pgNumType w:start="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before="26"/>
        <w:ind w:left="200" w:right="2836"/>
        <w:jc w:val="left"/>
        <w:rPr>
          <w:b w:val="0"/>
          <w:bCs w:val="0"/>
        </w:rPr>
      </w:pPr>
      <w:r>
        <w:rPr/>
        <w:t>三、公司董事会日常工作情况</w:t>
      </w:r>
      <w:r>
        <w:rPr>
          <w:b w:val="0"/>
          <w:bCs w:val="0"/>
        </w:rPr>
      </w:r>
    </w:p>
    <w:p>
      <w:pPr>
        <w:pStyle w:val="BodyText"/>
        <w:spacing w:line="403" w:lineRule="auto" w:before="120"/>
        <w:ind w:left="620" w:right="2836" w:hanging="420"/>
        <w:jc w:val="left"/>
      </w:pPr>
      <w:r>
        <w:rPr/>
        <w:t>（一）董事会的会议情况及决议内容 报告期内，公司共召开董事会</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次，会议召开情况如下：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2880"/>
        <w:gridCol w:w="1980"/>
        <w:gridCol w:w="3600"/>
      </w:tblGrid>
      <w:tr>
        <w:trPr>
          <w:trHeight w:val="5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4"/>
              <w:ind w:left="955" w:right="0"/>
              <w:jc w:val="left"/>
              <w:rPr>
                <w:rFonts w:ascii="宋体" w:hAnsi="宋体" w:cs="宋体" w:eastAsia="宋体" w:hint="default"/>
                <w:sz w:val="21"/>
                <w:szCs w:val="21"/>
              </w:rPr>
            </w:pPr>
            <w:r>
              <w:rPr>
                <w:rFonts w:ascii="宋体" w:hAnsi="宋体" w:cs="宋体" w:eastAsia="宋体" w:hint="default"/>
                <w:sz w:val="21"/>
                <w:szCs w:val="21"/>
              </w:rPr>
              <w:t>会议决议公告情况</w:t>
            </w:r>
          </w:p>
        </w:tc>
      </w:tr>
      <w:tr>
        <w:trPr>
          <w:trHeight w:val="9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4"/>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1"/>
                <w:sz w:val="21"/>
                <w:szCs w:val="21"/>
              </w:rPr>
              <w:t> </w:t>
            </w: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pacing w:val="36"/>
                <w:sz w:val="21"/>
                <w:szCs w:val="21"/>
              </w:rPr>
              <w:t>报》及</w:t>
            </w:r>
            <w:r>
              <w:rPr>
                <w:rFonts w:ascii="宋体" w:hAnsi="宋体" w:cs="宋体" w:eastAsia="宋体" w:hint="default"/>
                <w:spacing w:val="-51"/>
                <w:sz w:val="21"/>
                <w:szCs w:val="21"/>
              </w:rPr>
              <w:t> </w:t>
            </w:r>
            <w:r>
              <w:rPr>
                <w:rFonts w:ascii="宋体" w:hAnsi="宋体" w:cs="宋体" w:eastAsia="宋体" w:hint="default"/>
                <w:sz w:val="21"/>
                <w:szCs w:val="21"/>
              </w:rPr>
              <w:t>指</w:t>
            </w:r>
            <w:r>
              <w:rPr>
                <w:rFonts w:ascii="宋体" w:hAnsi="宋体" w:cs="宋体" w:eastAsia="宋体" w:hint="default"/>
                <w:spacing w:val="-51"/>
                <w:sz w:val="21"/>
                <w:szCs w:val="21"/>
              </w:rPr>
              <w:t> </w:t>
            </w:r>
            <w:r>
              <w:rPr>
                <w:rFonts w:ascii="宋体" w:hAnsi="宋体" w:cs="宋体" w:eastAsia="宋体" w:hint="default"/>
                <w:spacing w:val="36"/>
                <w:sz w:val="21"/>
                <w:szCs w:val="21"/>
              </w:rPr>
              <w:t>定信息</w:t>
            </w:r>
            <w:r>
              <w:rPr>
                <w:rFonts w:ascii="宋体" w:hAnsi="宋体" w:cs="宋体" w:eastAsia="宋体" w:hint="default"/>
                <w:spacing w:val="-51"/>
                <w:sz w:val="21"/>
                <w:szCs w:val="21"/>
              </w:rPr>
              <w:t> </w:t>
            </w:r>
            <w:r>
              <w:rPr>
                <w:rFonts w:ascii="宋体" w:hAnsi="宋体" w:cs="宋体" w:eastAsia="宋体" w:hint="default"/>
                <w:sz w:val="21"/>
                <w:szCs w:val="21"/>
              </w:rPr>
              <w:t>披</w:t>
            </w:r>
            <w:r>
              <w:rPr>
                <w:rFonts w:ascii="宋体" w:hAnsi="宋体" w:cs="宋体" w:eastAsia="宋体" w:hint="default"/>
                <w:spacing w:val="-51"/>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19"/>
                <w:sz w:val="24"/>
                <w:szCs w:val="24"/>
              </w:rPr>
              <w:t> </w:t>
            </w:r>
            <w:r>
              <w:rPr>
                <w:rFonts w:ascii="宋体" w:hAnsi="宋体" w:cs="宋体" w:eastAsia="宋体" w:hint="default"/>
                <w:sz w:val="21"/>
                <w:szCs w:val="21"/>
              </w:rPr>
              <w:t>上</w:t>
            </w:r>
          </w:p>
        </w:tc>
      </w:tr>
      <w:tr>
        <w:trPr>
          <w:trHeight w:val="9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35"/>
              <w:jc w:val="left"/>
              <w:rPr>
                <w:rFonts w:ascii="宋体" w:hAnsi="宋体" w:cs="宋体" w:eastAsia="宋体" w:hint="default"/>
                <w:sz w:val="21"/>
                <w:szCs w:val="21"/>
              </w:rPr>
            </w:pPr>
            <w:r>
              <w:rPr>
                <w:rFonts w:ascii="宋体" w:hAnsi="宋体" w:cs="宋体" w:eastAsia="宋体" w:hint="default"/>
                <w:sz w:val="21"/>
                <w:szCs w:val="21"/>
              </w:rPr>
              <w:t>第二届董事会第八次（临时） 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4"/>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1"/>
                <w:sz w:val="21"/>
                <w:szCs w:val="21"/>
              </w:rPr>
              <w:t> </w:t>
            </w: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pacing w:val="36"/>
                <w:sz w:val="21"/>
                <w:szCs w:val="21"/>
              </w:rPr>
              <w:t>报》及</w:t>
            </w:r>
            <w:r>
              <w:rPr>
                <w:rFonts w:ascii="宋体" w:hAnsi="宋体" w:cs="宋体" w:eastAsia="宋体" w:hint="default"/>
                <w:spacing w:val="-51"/>
                <w:sz w:val="21"/>
                <w:szCs w:val="21"/>
              </w:rPr>
              <w:t> </w:t>
            </w:r>
            <w:r>
              <w:rPr>
                <w:rFonts w:ascii="宋体" w:hAnsi="宋体" w:cs="宋体" w:eastAsia="宋体" w:hint="default"/>
                <w:sz w:val="21"/>
                <w:szCs w:val="21"/>
              </w:rPr>
              <w:t>指</w:t>
            </w:r>
            <w:r>
              <w:rPr>
                <w:rFonts w:ascii="宋体" w:hAnsi="宋体" w:cs="宋体" w:eastAsia="宋体" w:hint="default"/>
                <w:spacing w:val="-51"/>
                <w:sz w:val="21"/>
                <w:szCs w:val="21"/>
              </w:rPr>
              <w:t> </w:t>
            </w:r>
            <w:r>
              <w:rPr>
                <w:rFonts w:ascii="宋体" w:hAnsi="宋体" w:cs="宋体" w:eastAsia="宋体" w:hint="default"/>
                <w:spacing w:val="36"/>
                <w:sz w:val="21"/>
                <w:szCs w:val="21"/>
              </w:rPr>
              <w:t>定信息</w:t>
            </w:r>
            <w:r>
              <w:rPr>
                <w:rFonts w:ascii="宋体" w:hAnsi="宋体" w:cs="宋体" w:eastAsia="宋体" w:hint="default"/>
                <w:spacing w:val="-51"/>
                <w:sz w:val="21"/>
                <w:szCs w:val="21"/>
              </w:rPr>
              <w:t> </w:t>
            </w:r>
            <w:r>
              <w:rPr>
                <w:rFonts w:ascii="宋体" w:hAnsi="宋体" w:cs="宋体" w:eastAsia="宋体" w:hint="default"/>
                <w:sz w:val="21"/>
                <w:szCs w:val="21"/>
              </w:rPr>
              <w:t>披</w:t>
            </w:r>
            <w:r>
              <w:rPr>
                <w:rFonts w:ascii="宋体" w:hAnsi="宋体" w:cs="宋体" w:eastAsia="宋体" w:hint="default"/>
                <w:spacing w:val="-51"/>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19"/>
                <w:sz w:val="24"/>
                <w:szCs w:val="24"/>
              </w:rPr>
              <w:t> </w:t>
            </w:r>
            <w:r>
              <w:rPr>
                <w:rFonts w:ascii="宋体" w:hAnsi="宋体" w:cs="宋体" w:eastAsia="宋体" w:hint="default"/>
                <w:sz w:val="21"/>
                <w:szCs w:val="21"/>
              </w:rPr>
              <w:t>上</w:t>
            </w:r>
          </w:p>
        </w:tc>
      </w:tr>
      <w:tr>
        <w:trPr>
          <w:trHeight w:val="12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8"/>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年半</w:t>
            </w:r>
            <w:r>
              <w:rPr>
                <w:rFonts w:ascii="宋体" w:hAnsi="宋体" w:cs="宋体" w:eastAsia="宋体" w:hint="default"/>
                <w:spacing w:val="1"/>
                <w:sz w:val="21"/>
                <w:szCs w:val="21"/>
              </w:rPr>
              <w:t> </w:t>
            </w:r>
            <w:r>
              <w:rPr>
                <w:rFonts w:ascii="宋体" w:hAnsi="宋体" w:cs="宋体" w:eastAsia="宋体" w:hint="default"/>
                <w:sz w:val="21"/>
                <w:szCs w:val="21"/>
              </w:rPr>
              <w:t>年度报告，按深圳证券交易所的有关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规定，会议决议未单独公告，备案于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公司证券部</w:t>
            </w:r>
          </w:p>
        </w:tc>
      </w:tr>
      <w:tr>
        <w:trPr>
          <w:trHeight w:val="97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103" w:right="35"/>
              <w:jc w:val="left"/>
              <w:rPr>
                <w:rFonts w:ascii="宋体" w:hAnsi="宋体" w:cs="宋体" w:eastAsia="宋体" w:hint="default"/>
                <w:sz w:val="21"/>
                <w:szCs w:val="21"/>
              </w:rPr>
            </w:pPr>
            <w:r>
              <w:rPr>
                <w:rFonts w:ascii="宋体" w:hAnsi="宋体" w:cs="宋体" w:eastAsia="宋体" w:hint="default"/>
                <w:sz w:val="21"/>
                <w:szCs w:val="21"/>
              </w:rPr>
              <w:t>第二届董事会第十次（临时） 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44"/>
              <w:jc w:val="both"/>
              <w:rPr>
                <w:rFonts w:ascii="宋体" w:hAnsi="宋体" w:cs="宋体" w:eastAsia="宋体" w:hint="default"/>
                <w:sz w:val="21"/>
                <w:szCs w:val="21"/>
              </w:rPr>
            </w:pPr>
            <w:r>
              <w:rPr>
                <w:rFonts w:ascii="宋体" w:hAnsi="宋体" w:cs="宋体" w:eastAsia="宋体" w:hint="default"/>
                <w:sz w:val="21"/>
                <w:szCs w:val="21"/>
              </w:rPr>
              <w:t>会议决议刊登于</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pacing w:val="-36"/>
                <w:sz w:val="21"/>
                <w:szCs w:val="21"/>
              </w:rPr>
              <w:t>日《证</w:t>
            </w:r>
            <w:r>
              <w:rPr>
                <w:rFonts w:ascii="宋体" w:hAnsi="宋体" w:cs="宋体" w:eastAsia="宋体" w:hint="default"/>
                <w:sz w:val="21"/>
                <w:szCs w:val="21"/>
              </w:rPr>
              <w:t> 券</w:t>
            </w:r>
            <w:r>
              <w:rPr>
                <w:rFonts w:ascii="宋体" w:hAnsi="宋体" w:cs="宋体" w:eastAsia="宋体" w:hint="default"/>
                <w:spacing w:val="-51"/>
                <w:sz w:val="21"/>
                <w:szCs w:val="21"/>
              </w:rPr>
              <w:t> </w:t>
            </w:r>
            <w:r>
              <w:rPr>
                <w:rFonts w:ascii="宋体" w:hAnsi="宋体" w:cs="宋体" w:eastAsia="宋体" w:hint="default"/>
                <w:sz w:val="21"/>
                <w:szCs w:val="21"/>
              </w:rPr>
              <w:t>时</w:t>
            </w:r>
            <w:r>
              <w:rPr>
                <w:rFonts w:ascii="宋体" w:hAnsi="宋体" w:cs="宋体" w:eastAsia="宋体" w:hint="default"/>
                <w:spacing w:val="-51"/>
                <w:sz w:val="21"/>
                <w:szCs w:val="21"/>
              </w:rPr>
              <w:t> </w:t>
            </w:r>
            <w:r>
              <w:rPr>
                <w:rFonts w:ascii="宋体" w:hAnsi="宋体" w:cs="宋体" w:eastAsia="宋体" w:hint="default"/>
                <w:spacing w:val="36"/>
                <w:sz w:val="21"/>
                <w:szCs w:val="21"/>
              </w:rPr>
              <w:t>报》及</w:t>
            </w:r>
            <w:r>
              <w:rPr>
                <w:rFonts w:ascii="宋体" w:hAnsi="宋体" w:cs="宋体" w:eastAsia="宋体" w:hint="default"/>
                <w:spacing w:val="-51"/>
                <w:sz w:val="21"/>
                <w:szCs w:val="21"/>
              </w:rPr>
              <w:t> </w:t>
            </w:r>
            <w:r>
              <w:rPr>
                <w:rFonts w:ascii="宋体" w:hAnsi="宋体" w:cs="宋体" w:eastAsia="宋体" w:hint="default"/>
                <w:sz w:val="21"/>
                <w:szCs w:val="21"/>
              </w:rPr>
              <w:t>指</w:t>
            </w:r>
            <w:r>
              <w:rPr>
                <w:rFonts w:ascii="宋体" w:hAnsi="宋体" w:cs="宋体" w:eastAsia="宋体" w:hint="default"/>
                <w:spacing w:val="-51"/>
                <w:sz w:val="21"/>
                <w:szCs w:val="21"/>
              </w:rPr>
              <w:t> </w:t>
            </w:r>
            <w:r>
              <w:rPr>
                <w:rFonts w:ascii="宋体" w:hAnsi="宋体" w:cs="宋体" w:eastAsia="宋体" w:hint="default"/>
                <w:spacing w:val="36"/>
                <w:sz w:val="21"/>
                <w:szCs w:val="21"/>
              </w:rPr>
              <w:t>定信息</w:t>
            </w:r>
            <w:r>
              <w:rPr>
                <w:rFonts w:ascii="宋体" w:hAnsi="宋体" w:cs="宋体" w:eastAsia="宋体" w:hint="default"/>
                <w:spacing w:val="-51"/>
                <w:sz w:val="21"/>
                <w:szCs w:val="21"/>
              </w:rPr>
              <w:t> </w:t>
            </w:r>
            <w:r>
              <w:rPr>
                <w:rFonts w:ascii="宋体" w:hAnsi="宋体" w:cs="宋体" w:eastAsia="宋体" w:hint="default"/>
                <w:sz w:val="21"/>
                <w:szCs w:val="21"/>
              </w:rPr>
              <w:t>披</w:t>
            </w:r>
            <w:r>
              <w:rPr>
                <w:rFonts w:ascii="宋体" w:hAnsi="宋体" w:cs="宋体" w:eastAsia="宋体" w:hint="default"/>
                <w:spacing w:val="-51"/>
                <w:sz w:val="21"/>
                <w:szCs w:val="21"/>
              </w:rPr>
              <w:t> </w:t>
            </w:r>
            <w:r>
              <w:rPr>
                <w:rFonts w:ascii="宋体" w:hAnsi="宋体" w:cs="宋体" w:eastAsia="宋体" w:hint="default"/>
                <w:spacing w:val="36"/>
                <w:sz w:val="21"/>
                <w:szCs w:val="21"/>
              </w:rPr>
              <w:t>露网站</w:t>
            </w:r>
            <w:r>
              <w:rPr>
                <w:rFonts w:ascii="宋体" w:hAnsi="宋体" w:cs="宋体" w:eastAsia="宋体" w:hint="default"/>
                <w:spacing w:val="-50"/>
                <w:sz w:val="21"/>
                <w:szCs w:val="21"/>
              </w:rPr>
              <w:t> </w:t>
            </w:r>
            <w:hyperlink r:id="rId10">
              <w:r>
                <w:rPr>
                  <w:rFonts w:ascii="Times New Roman" w:hAnsi="Times New Roman" w:cs="Times New Roman" w:eastAsia="Times New Roman" w:hint="default"/>
                  <w:sz w:val="24"/>
                  <w:szCs w:val="24"/>
                </w:rPr>
                <w:t>http://www.cninfo.com.cn</w:t>
              </w:r>
            </w:hyperlink>
            <w:r>
              <w:rPr>
                <w:rFonts w:ascii="Times New Roman" w:hAnsi="Times New Roman" w:cs="Times New Roman" w:eastAsia="Times New Roman" w:hint="default"/>
                <w:spacing w:val="-19"/>
                <w:sz w:val="24"/>
                <w:szCs w:val="24"/>
              </w:rPr>
              <w:t> </w:t>
            </w:r>
            <w:r>
              <w:rPr>
                <w:rFonts w:ascii="宋体" w:hAnsi="宋体" w:cs="宋体" w:eastAsia="宋体" w:hint="default"/>
                <w:sz w:val="21"/>
                <w:szCs w:val="21"/>
              </w:rPr>
              <w:t>上</w:t>
            </w:r>
          </w:p>
        </w:tc>
      </w:tr>
      <w:tr>
        <w:trPr>
          <w:trHeight w:val="121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3" w:right="86"/>
              <w:jc w:val="left"/>
              <w:rPr>
                <w:rFonts w:ascii="宋体" w:hAnsi="宋体" w:cs="宋体" w:eastAsia="宋体" w:hint="default"/>
                <w:sz w:val="21"/>
                <w:szCs w:val="21"/>
              </w:rPr>
            </w:pPr>
            <w:r>
              <w:rPr>
                <w:rFonts w:ascii="宋体" w:hAnsi="宋体" w:cs="宋体" w:eastAsia="宋体" w:hint="default"/>
                <w:spacing w:val="13"/>
                <w:sz w:val="21"/>
                <w:szCs w:val="21"/>
              </w:rPr>
              <w:t>第二届董事会第十一次（临 </w:t>
            </w:r>
            <w:r>
              <w:rPr>
                <w:rFonts w:ascii="宋体" w:hAnsi="宋体" w:cs="宋体" w:eastAsia="宋体" w:hint="default"/>
                <w:sz w:val="21"/>
                <w:szCs w:val="21"/>
              </w:rPr>
              <w:t>时）会议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3" w:right="98"/>
              <w:jc w:val="both"/>
              <w:rPr>
                <w:rFonts w:ascii="宋体" w:hAnsi="宋体" w:cs="宋体" w:eastAsia="宋体" w:hint="default"/>
                <w:sz w:val="21"/>
                <w:szCs w:val="21"/>
              </w:rPr>
            </w:pPr>
            <w:r>
              <w:rPr>
                <w:rFonts w:ascii="宋体" w:hAnsi="宋体" w:cs="宋体" w:eastAsia="宋体" w:hint="default"/>
                <w:sz w:val="21"/>
                <w:szCs w:val="21"/>
              </w:rPr>
              <w:t>会议内容仅审议通过公司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年第</w:t>
            </w:r>
            <w:r>
              <w:rPr>
                <w:rFonts w:ascii="宋体" w:hAnsi="宋体" w:cs="宋体" w:eastAsia="宋体" w:hint="default"/>
                <w:spacing w:val="1"/>
                <w:sz w:val="21"/>
                <w:szCs w:val="21"/>
              </w:rPr>
              <w:t> </w:t>
            </w:r>
            <w:r>
              <w:rPr>
                <w:rFonts w:ascii="宋体" w:hAnsi="宋体" w:cs="宋体" w:eastAsia="宋体" w:hint="default"/>
                <w:sz w:val="21"/>
                <w:szCs w:val="21"/>
              </w:rPr>
              <w:t>三季度报告，按深圳证券交易所的有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关规定，会议决议未单独公告，备案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于公司证券部</w:t>
            </w:r>
          </w:p>
        </w:tc>
      </w:tr>
    </w:tbl>
    <w:p>
      <w:pPr>
        <w:spacing w:line="240" w:lineRule="auto" w:before="4"/>
        <w:rPr>
          <w:rFonts w:ascii="宋体" w:hAnsi="宋体" w:cs="宋体" w:eastAsia="宋体" w:hint="default"/>
          <w:sz w:val="22"/>
          <w:szCs w:val="22"/>
        </w:rPr>
      </w:pPr>
    </w:p>
    <w:p>
      <w:pPr>
        <w:pStyle w:val="BodyText"/>
        <w:spacing w:line="240" w:lineRule="auto" w:before="35"/>
        <w:ind w:left="200" w:right="2836"/>
        <w:jc w:val="left"/>
      </w:pPr>
      <w:r>
        <w:rPr/>
        <w:t>（二）董事会对股东大会决议执行情况</w:t>
      </w:r>
    </w:p>
    <w:p>
      <w:pPr>
        <w:spacing w:line="240" w:lineRule="auto" w:before="2"/>
        <w:rPr>
          <w:rFonts w:ascii="宋体" w:hAnsi="宋体" w:cs="宋体" w:eastAsia="宋体" w:hint="default"/>
          <w:sz w:val="14"/>
          <w:szCs w:val="14"/>
        </w:rPr>
      </w:pPr>
    </w:p>
    <w:p>
      <w:pPr>
        <w:pStyle w:val="BodyText"/>
        <w:spacing w:line="297" w:lineRule="auto"/>
        <w:ind w:left="199" w:right="207" w:firstLine="420"/>
        <w:jc w:val="left"/>
      </w:pPr>
      <w:r>
        <w:rPr>
          <w:spacing w:val="-8"/>
        </w:rPr>
        <w:t>报告期内，公司董事会严格按照《公司法》、《证券法》等法律法规及《公司章程》的要</w:t>
      </w:r>
      <w:r>
        <w:rPr/>
        <w:t> 求，严格按照股东大会的决议和授权，认真、全面执行股东大会通过的各项决议。</w:t>
      </w:r>
    </w:p>
    <w:p>
      <w:pPr>
        <w:pStyle w:val="BodyText"/>
        <w:spacing w:line="240" w:lineRule="auto" w:before="135"/>
        <w:ind w:left="619" w:right="2836"/>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年度利润分配方案的执行情况</w:t>
      </w:r>
    </w:p>
    <w:p>
      <w:pPr>
        <w:pStyle w:val="BodyText"/>
        <w:spacing w:line="240" w:lineRule="auto" w:before="169"/>
        <w:ind w:left="619" w:right="0"/>
        <w:jc w:val="left"/>
      </w:pPr>
      <w:r>
        <w:rPr/>
        <w:t>根据</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w:t>
      </w:r>
      <w:r>
        <w:rPr>
          <w:spacing w:val="-2"/>
        </w:rPr>
        <w:t>召</w:t>
      </w:r>
      <w:r>
        <w:rPr/>
        <w:t>开的</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9"/>
        </w:rPr>
        <w:t> </w:t>
      </w:r>
      <w:r>
        <w:rPr>
          <w:spacing w:val="-2"/>
        </w:rPr>
        <w:t>年</w:t>
      </w:r>
      <w:r>
        <w:rPr/>
        <w:t>度股东大会决议</w:t>
      </w:r>
      <w:r>
        <w:rPr>
          <w:spacing w:val="-105"/>
        </w:rPr>
        <w:t>，</w:t>
      </w:r>
      <w:r>
        <w:rPr/>
        <w:t>公司</w:t>
      </w:r>
      <w:r>
        <w:rPr>
          <w:spacing w:val="-62"/>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rPr>
        <w:t>09</w:t>
      </w:r>
      <w:r>
        <w:rPr>
          <w:rFonts w:ascii="Times New Roman" w:hAnsi="Times New Roman" w:cs="Times New Roman" w:eastAsia="Times New Roman" w:hint="default"/>
          <w:spacing w:val="-9"/>
        </w:rPr>
        <w:t> </w:t>
      </w:r>
      <w:r>
        <w:rPr/>
        <w:t>年利润</w:t>
      </w:r>
      <w:r>
        <w:rPr>
          <w:spacing w:val="-2"/>
        </w:rPr>
        <w:t>分</w:t>
      </w:r>
      <w:r>
        <w:rPr/>
        <w:t>配方案如下：</w:t>
      </w:r>
    </w:p>
    <w:p>
      <w:pPr>
        <w:pStyle w:val="BodyText"/>
        <w:spacing w:line="240" w:lineRule="auto" w:before="170"/>
        <w:ind w:left="619" w:right="0"/>
        <w:jc w:val="left"/>
      </w:pPr>
      <w:r>
        <w:rPr/>
        <w:t>以</w:t>
      </w:r>
      <w:r>
        <w:rPr>
          <w:spacing w:val="-53"/>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日公司总股本</w:t>
      </w:r>
      <w:r>
        <w:rPr>
          <w:spacing w:val="-53"/>
        </w:rPr>
        <w:t> </w:t>
      </w:r>
      <w:r>
        <w:rPr>
          <w:rFonts w:ascii="Times New Roman" w:hAnsi="Times New Roman" w:cs="Times New Roman" w:eastAsia="Times New Roman" w:hint="default"/>
        </w:rPr>
        <w:t>342,141,624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280" w:lineRule="auto" w:before="50"/>
        <w:ind w:left="199" w:right="207"/>
        <w:jc w:val="left"/>
      </w:pPr>
      <w:r>
        <w:rPr/>
        <w:t>红利</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15"/>
        </w:rPr>
        <w:t>元（含税），共计分配利润</w:t>
      </w:r>
      <w:r>
        <w:rPr>
          <w:spacing w:val="-49"/>
        </w:rPr>
        <w:t> </w:t>
      </w:r>
      <w:r>
        <w:rPr>
          <w:rFonts w:ascii="Times New Roman" w:hAnsi="Times New Roman" w:cs="Times New Roman" w:eastAsia="Times New Roman" w:hint="default"/>
          <w:spacing w:val="-1"/>
        </w:rPr>
        <w:t>136,856,649.60</w:t>
      </w:r>
      <w:r>
        <w:rPr>
          <w:rFonts w:ascii="Times New Roman" w:hAnsi="Times New Roman" w:cs="Times New Roman" w:eastAsia="Times New Roman" w:hint="default"/>
          <w:spacing w:val="3"/>
        </w:rPr>
        <w:t> </w:t>
      </w:r>
      <w:r>
        <w:rPr>
          <w:spacing w:val="-4"/>
        </w:rPr>
        <w:t>元，剩余未分配利润</w:t>
      </w:r>
      <w:r>
        <w:rPr>
          <w:spacing w:val="-49"/>
        </w:rPr>
        <w:t> </w:t>
      </w:r>
      <w:r>
        <w:rPr>
          <w:rFonts w:ascii="Times New Roman" w:hAnsi="Times New Roman" w:cs="Times New Roman" w:eastAsia="Times New Roman" w:hint="default"/>
          <w:spacing w:val="-1"/>
        </w:rPr>
        <w:t>662,259,057.81</w:t>
      </w:r>
      <w:r>
        <w:rPr>
          <w:rFonts w:ascii="Times New Roman" w:hAnsi="Times New Roman" w:cs="Times New Roman" w:eastAsia="Times New Roman" w:hint="default"/>
          <w:spacing w:val="3"/>
        </w:rPr>
        <w:t> </w:t>
      </w:r>
      <w:r>
        <w:rPr/>
        <w:t>元结转</w:t>
      </w:r>
      <w:r>
        <w:rPr>
          <w:spacing w:val="-103"/>
        </w:rPr>
        <w:t> </w:t>
      </w:r>
      <w:r>
        <w:rPr/>
        <w:t>至下一年度。</w:t>
      </w:r>
    </w:p>
    <w:p>
      <w:pPr>
        <w:pStyle w:val="BodyText"/>
        <w:spacing w:line="240" w:lineRule="auto" w:before="149"/>
        <w:ind w:left="619" w:right="2836"/>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年度，公司不进行资本公积转增股本。</w:t>
      </w:r>
    </w:p>
    <w:p>
      <w:pPr>
        <w:pStyle w:val="BodyText"/>
        <w:spacing w:line="240" w:lineRule="auto" w:before="170"/>
        <w:ind w:left="619" w:right="0"/>
        <w:jc w:val="left"/>
      </w:pPr>
      <w:r>
        <w:rPr/>
        <w:t>公司于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7"/>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7"/>
        </w:rPr>
        <w:t>日在《证券时报》及巨潮资讯网</w:t>
      </w:r>
      <w:r>
        <w:rPr>
          <w:spacing w:val="-55"/>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
        </w:rPr>
        <w:t> </w:t>
      </w:r>
      <w:r>
        <w:rPr/>
        <w:t>上刊登</w:t>
      </w:r>
    </w:p>
    <w:p>
      <w:pPr>
        <w:pStyle w:val="BodyText"/>
        <w:spacing w:line="240" w:lineRule="auto" w:before="50"/>
        <w:ind w:left="199" w:right="0"/>
        <w:jc w:val="left"/>
      </w:pPr>
      <w:r>
        <w:rPr/>
        <w:t>了《公司</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年度权益分派实施公告</w:t>
      </w:r>
      <w:r>
        <w:rPr>
          <w:spacing w:val="-106"/>
        </w:rPr>
        <w:t>》</w:t>
      </w:r>
      <w:r>
        <w:rPr/>
        <w:t>：股权登记日为</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年</w:t>
      </w:r>
      <w:r>
        <w:rPr>
          <w:spacing w:val="-50"/>
        </w:rPr>
        <w:t> </w:t>
      </w: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2"/>
        </w:rPr>
        <w:t>日</w:t>
      </w:r>
      <w:r>
        <w:rPr/>
        <w:t>；除权除息日为</w:t>
      </w:r>
    </w:p>
    <w:p>
      <w:pPr>
        <w:pStyle w:val="BodyText"/>
        <w:spacing w:line="240" w:lineRule="auto" w:before="49"/>
        <w:ind w:left="199" w:right="283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240" w:lineRule="auto" w:before="170"/>
        <w:ind w:left="199" w:right="2836"/>
        <w:jc w:val="left"/>
      </w:pPr>
      <w:r>
        <w:rPr/>
        <w:t>（三）公司董事会各委员会履职情况</w:t>
      </w:r>
    </w:p>
    <w:p>
      <w:pPr>
        <w:spacing w:after="0" w:line="240" w:lineRule="auto"/>
        <w:jc w:val="left"/>
        <w:sectPr>
          <w:pgSz w:w="11910" w:h="16840"/>
          <w:pgMar w:header="0" w:footer="982" w:top="1100" w:bottom="1180" w:left="1600" w:right="1580"/>
        </w:sectPr>
      </w:pPr>
    </w:p>
    <w:p>
      <w:pPr>
        <w:spacing w:line="240" w:lineRule="auto" w:before="1"/>
        <w:rPr>
          <w:rFonts w:ascii="宋体" w:hAnsi="宋体" w:cs="宋体" w:eastAsia="宋体" w:hint="default"/>
          <w:sz w:val="19"/>
          <w:szCs w:val="19"/>
        </w:rPr>
      </w:pPr>
    </w:p>
    <w:p>
      <w:pPr>
        <w:pStyle w:val="BodyText"/>
        <w:spacing w:line="381" w:lineRule="auto" w:before="35"/>
        <w:ind w:left="640" w:right="207" w:hanging="1"/>
        <w:jc w:val="left"/>
      </w:pPr>
      <w:r>
        <w:rPr>
          <w:rFonts w:ascii="Times New Roman" w:hAnsi="Times New Roman" w:cs="Times New Roman" w:eastAsia="Times New Roman" w:hint="default"/>
        </w:rPr>
        <w:t>1</w:t>
      </w:r>
      <w:r>
        <w:rPr/>
        <w:t>、审计委员会 </w:t>
      </w:r>
      <w:r>
        <w:rPr>
          <w:spacing w:val="-3"/>
        </w:rPr>
        <w:t>报告期内，审计委员会共召开了五次会议，讨论审议公司关于募集资金存放与使用、公</w:t>
      </w:r>
    </w:p>
    <w:p>
      <w:pPr>
        <w:pStyle w:val="BodyText"/>
        <w:spacing w:line="232" w:lineRule="exact"/>
        <w:ind w:left="220" w:right="0" w:hanging="1"/>
        <w:jc w:val="left"/>
      </w:pPr>
      <w:r>
        <w:rPr/>
        <w:t>司及子公司内部管理和财务状况等内部审计报告，以及落实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3"/>
        </w:rPr>
        <w:t>年年报审计相关工作，对</w:t>
      </w:r>
    </w:p>
    <w:p>
      <w:pPr>
        <w:pStyle w:val="BodyText"/>
        <w:spacing w:line="297" w:lineRule="auto" w:before="50"/>
        <w:ind w:left="220" w:right="207"/>
        <w:jc w:val="left"/>
      </w:pPr>
      <w:r>
        <w:rPr>
          <w:spacing w:val="-3"/>
        </w:rPr>
        <w:t>公司财务报表进行审阅并形成书面意见，对审计机构的年报审计工作进行总结和评价，并建</w:t>
      </w:r>
      <w:r>
        <w:rPr>
          <w:spacing w:val="-79"/>
        </w:rPr>
        <w:t> </w:t>
      </w:r>
      <w:r>
        <w:rPr>
          <w:spacing w:val="-79"/>
        </w:rPr>
      </w:r>
      <w:r>
        <w:rPr/>
        <w:t>议续聘，形成决议提交董事会审议。会议具体情况如下：</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721"/>
        <w:gridCol w:w="1920"/>
        <w:gridCol w:w="5881"/>
      </w:tblGrid>
      <w:tr>
        <w:trPr>
          <w:trHeight w:val="59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会议召开时间</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sz w:val="21"/>
                <w:szCs w:val="21"/>
              </w:rPr>
              <w:t>会议审议内容</w:t>
            </w:r>
          </w:p>
        </w:tc>
      </w:tr>
      <w:tr>
        <w:trPr>
          <w:trHeight w:val="2293"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4"/>
              <w:ind w:left="103" w:right="100"/>
              <w:jc w:val="both"/>
              <w:rPr>
                <w:rFonts w:ascii="宋体" w:hAnsi="宋体" w:cs="宋体" w:eastAsia="宋体" w:hint="default"/>
                <w:sz w:val="21"/>
                <w:szCs w:val="21"/>
              </w:rPr>
            </w:pPr>
            <w:r>
              <w:rPr>
                <w:rFonts w:ascii="宋体" w:hAnsi="宋体" w:cs="宋体" w:eastAsia="宋体" w:hint="default"/>
                <w:sz w:val="21"/>
                <w:szCs w:val="21"/>
              </w:rPr>
              <w:t>审议《</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年度会计报表</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年度内部控制自我评价报 </w:t>
            </w:r>
            <w:r>
              <w:rPr>
                <w:rFonts w:ascii="宋体" w:hAnsi="宋体" w:cs="宋体" w:eastAsia="宋体" w:hint="default"/>
                <w:spacing w:val="3"/>
                <w:sz w:val="21"/>
                <w:szCs w:val="21"/>
              </w:rPr>
              <w:t>告</w:t>
            </w:r>
            <w:r>
              <w:rPr>
                <w:rFonts w:ascii="宋体" w:hAnsi="宋体" w:cs="宋体" w:eastAsia="宋体" w:hint="default"/>
                <w:spacing w:val="-101"/>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年度募</w:t>
            </w:r>
            <w:r>
              <w:rPr>
                <w:rFonts w:ascii="宋体" w:hAnsi="宋体" w:cs="宋体" w:eastAsia="宋体" w:hint="default"/>
                <w:spacing w:val="4"/>
                <w:sz w:val="21"/>
                <w:szCs w:val="21"/>
              </w:rPr>
              <w:t>集资</w:t>
            </w:r>
            <w:r>
              <w:rPr>
                <w:rFonts w:ascii="宋体" w:hAnsi="宋体" w:cs="宋体" w:eastAsia="宋体" w:hint="default"/>
                <w:spacing w:val="3"/>
                <w:sz w:val="21"/>
                <w:szCs w:val="21"/>
              </w:rPr>
              <w:t>金存放</w:t>
            </w:r>
            <w:r>
              <w:rPr>
                <w:rFonts w:ascii="宋体" w:hAnsi="宋体" w:cs="宋体" w:eastAsia="宋体" w:hint="default"/>
                <w:spacing w:val="4"/>
                <w:sz w:val="21"/>
                <w:szCs w:val="21"/>
              </w:rPr>
              <w:t>与使</w:t>
            </w:r>
            <w:r>
              <w:rPr>
                <w:rFonts w:ascii="宋体" w:hAnsi="宋体" w:cs="宋体" w:eastAsia="宋体" w:hint="default"/>
                <w:spacing w:val="3"/>
                <w:sz w:val="21"/>
                <w:szCs w:val="21"/>
              </w:rPr>
              <w:t>用情况</w:t>
            </w:r>
            <w:r>
              <w:rPr>
                <w:rFonts w:ascii="宋体" w:hAnsi="宋体" w:cs="宋体" w:eastAsia="宋体" w:hint="default"/>
                <w:spacing w:val="4"/>
                <w:sz w:val="21"/>
                <w:szCs w:val="21"/>
              </w:rPr>
              <w:t>审计</w:t>
            </w:r>
            <w:r>
              <w:rPr>
                <w:rFonts w:ascii="宋体" w:hAnsi="宋体" w:cs="宋体" w:eastAsia="宋体" w:hint="default"/>
                <w:spacing w:val="3"/>
                <w:sz w:val="21"/>
                <w:szCs w:val="21"/>
              </w:rPr>
              <w:t>报告</w:t>
            </w:r>
            <w:r>
              <w:rPr>
                <w:rFonts w:ascii="宋体" w:hAnsi="宋体" w:cs="宋体" w:eastAsia="宋体" w:hint="default"/>
                <w:spacing w:val="-101"/>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z w:val="21"/>
                <w:szCs w:val="21"/>
              </w:rPr>
              <w:t> </w:t>
            </w:r>
            <w:r>
              <w:rPr>
                <w:rFonts w:ascii="宋体" w:hAnsi="宋体" w:cs="宋体" w:eastAsia="宋体" w:hint="default"/>
                <w:sz w:val="21"/>
                <w:szCs w:val="21"/>
              </w:rPr>
              <w:t>年度内部审计工作总结及</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度内部审计工作计划</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《关</w:t>
            </w:r>
          </w:p>
          <w:p>
            <w:pPr>
              <w:pStyle w:val="TableParagraph"/>
              <w:spacing w:line="240" w:lineRule="auto" w:before="10"/>
              <w:ind w:left="103" w:right="0"/>
              <w:jc w:val="both"/>
              <w:rPr>
                <w:rFonts w:ascii="宋体" w:hAnsi="宋体" w:cs="宋体" w:eastAsia="宋体" w:hint="default"/>
                <w:sz w:val="21"/>
                <w:szCs w:val="21"/>
              </w:rPr>
            </w:pPr>
            <w:r>
              <w:rPr>
                <w:rFonts w:ascii="宋体" w:hAnsi="宋体" w:cs="宋体" w:eastAsia="宋体" w:hint="default"/>
                <w:sz w:val="21"/>
                <w:szCs w:val="21"/>
              </w:rPr>
              <w:t>于立信羊城会计师事务所有限公司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年度审计工作的总结</w:t>
            </w:r>
          </w:p>
          <w:p>
            <w:pPr>
              <w:pStyle w:val="TableParagraph"/>
              <w:spacing w:line="240" w:lineRule="auto" w:before="49"/>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pacing w:val="-162"/>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续聘立信羊城会计师事务所有限公司为公司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010</w:t>
            </w:r>
            <w:r>
              <w:rPr>
                <w:rFonts w:ascii="Times New Roman" w:hAnsi="Times New Roman" w:cs="Times New Roman" w:eastAsia="Times New Roman" w:hint="default"/>
                <w:sz w:val="21"/>
                <w:szCs w:val="21"/>
              </w:rPr>
            </w:r>
          </w:p>
          <w:p>
            <w:pPr>
              <w:pStyle w:val="TableParagraph"/>
              <w:spacing w:line="240" w:lineRule="auto" w:before="50"/>
              <w:ind w:left="103" w:right="0"/>
              <w:jc w:val="both"/>
              <w:rPr>
                <w:rFonts w:ascii="宋体" w:hAnsi="宋体" w:cs="宋体" w:eastAsia="宋体" w:hint="default"/>
                <w:sz w:val="21"/>
                <w:szCs w:val="21"/>
              </w:rPr>
            </w:pPr>
            <w:r>
              <w:rPr>
                <w:rFonts w:ascii="宋体" w:hAnsi="宋体" w:cs="宋体" w:eastAsia="宋体" w:hint="default"/>
                <w:sz w:val="21"/>
                <w:szCs w:val="21"/>
              </w:rPr>
              <w:t>年度审计机构的议案》</w:t>
            </w:r>
          </w:p>
        </w:tc>
      </w:tr>
      <w:tr>
        <w:trPr>
          <w:trHeight w:val="931"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4"/>
              <w:ind w:left="103" w:right="102" w:hanging="1"/>
              <w:jc w:val="left"/>
              <w:rPr>
                <w:rFonts w:ascii="宋体" w:hAnsi="宋体" w:cs="宋体" w:eastAsia="宋体" w:hint="default"/>
                <w:sz w:val="21"/>
                <w:szCs w:val="21"/>
              </w:rPr>
            </w:pPr>
            <w:r>
              <w:rPr>
                <w:rFonts w:ascii="宋体" w:hAnsi="宋体" w:cs="宋体" w:eastAsia="宋体" w:hint="default"/>
                <w:spacing w:val="-1"/>
                <w:sz w:val="21"/>
                <w:szCs w:val="21"/>
              </w:rPr>
              <w:t>审议《</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pacing w:val="-12"/>
                <w:sz w:val="21"/>
                <w:szCs w:val="21"/>
              </w:rPr>
              <w:t>年第一季度经营审计报告》、《</w:t>
            </w:r>
            <w:r>
              <w:rPr>
                <w:rFonts w:ascii="Times New Roman" w:hAnsi="Times New Roman" w:cs="Times New Roman" w:eastAsia="Times New Roman" w:hint="default"/>
                <w:spacing w:val="-12"/>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z w:val="21"/>
                <w:szCs w:val="21"/>
              </w:rPr>
              <w:t>年第一季度募 集资金存放与使用情况审计报告》</w:t>
            </w:r>
          </w:p>
        </w:tc>
      </w:tr>
      <w:tr>
        <w:trPr>
          <w:trHeight w:val="93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4"/>
              <w:ind w:left="103" w:right="102"/>
              <w:jc w:val="left"/>
              <w:rPr>
                <w:rFonts w:ascii="宋体" w:hAnsi="宋体" w:cs="宋体" w:eastAsia="宋体" w:hint="default"/>
                <w:sz w:val="21"/>
                <w:szCs w:val="21"/>
              </w:rPr>
            </w:pPr>
            <w:r>
              <w:rPr>
                <w:rFonts w:ascii="宋体" w:hAnsi="宋体" w:cs="宋体" w:eastAsia="宋体" w:hint="default"/>
                <w:spacing w:val="-1"/>
                <w:sz w:val="21"/>
                <w:szCs w:val="21"/>
              </w:rPr>
              <w:t>审议《</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pacing w:val="-13"/>
                <w:sz w:val="21"/>
                <w:szCs w:val="21"/>
              </w:rPr>
              <w:t>年上半年经营审计报告》、《</w:t>
            </w: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pacing w:val="-1"/>
                <w:sz w:val="21"/>
                <w:szCs w:val="21"/>
              </w:rPr>
              <w:t>年半年度募集资</w:t>
            </w:r>
            <w:r>
              <w:rPr>
                <w:rFonts w:ascii="宋体" w:hAnsi="宋体" w:cs="宋体" w:eastAsia="宋体" w:hint="default"/>
                <w:sz w:val="21"/>
                <w:szCs w:val="21"/>
              </w:rPr>
              <w:t> 金存放与使用情况审计报告》</w:t>
            </w:r>
          </w:p>
        </w:tc>
      </w:tr>
      <w:tr>
        <w:trPr>
          <w:trHeight w:val="931"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4"/>
              <w:ind w:left="103" w:right="102"/>
              <w:jc w:val="left"/>
              <w:rPr>
                <w:rFonts w:ascii="宋体" w:hAnsi="宋体" w:cs="宋体" w:eastAsia="宋体" w:hint="default"/>
                <w:sz w:val="21"/>
                <w:szCs w:val="21"/>
              </w:rPr>
            </w:pPr>
            <w:r>
              <w:rPr>
                <w:rFonts w:ascii="宋体" w:hAnsi="宋体" w:cs="宋体" w:eastAsia="宋体" w:hint="default"/>
                <w:spacing w:val="-1"/>
                <w:sz w:val="21"/>
                <w:szCs w:val="21"/>
              </w:rPr>
              <w:t>审议《</w:t>
            </w:r>
            <w:r>
              <w:rPr>
                <w:rFonts w:ascii="Times New Roman" w:hAnsi="Times New Roman" w:cs="Times New Roman" w:eastAsia="Times New Roman" w:hint="default"/>
                <w:spacing w:val="-1"/>
                <w:sz w:val="21"/>
                <w:szCs w:val="21"/>
              </w:rPr>
              <w:t>2010</w:t>
            </w:r>
            <w:r>
              <w:rPr>
                <w:rFonts w:ascii="Times New Roman" w:hAnsi="Times New Roman" w:cs="Times New Roman" w:eastAsia="Times New Roman" w:hint="default"/>
                <w:sz w:val="21"/>
                <w:szCs w:val="21"/>
              </w:rPr>
              <w:t> </w:t>
            </w:r>
            <w:r>
              <w:rPr>
                <w:rFonts w:ascii="宋体" w:hAnsi="宋体" w:cs="宋体" w:eastAsia="宋体" w:hint="default"/>
                <w:spacing w:val="-13"/>
                <w:sz w:val="21"/>
                <w:szCs w:val="21"/>
              </w:rPr>
              <w:t>年三季度经营审计报告》、《</w:t>
            </w:r>
            <w:r>
              <w:rPr>
                <w:rFonts w:ascii="Times New Roman" w:hAnsi="Times New Roman" w:cs="Times New Roman" w:eastAsia="Times New Roman" w:hint="default"/>
                <w:spacing w:val="-13"/>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pacing w:val="-1"/>
                <w:sz w:val="21"/>
                <w:szCs w:val="21"/>
              </w:rPr>
              <w:t>年三季度募集资</w:t>
            </w:r>
            <w:r>
              <w:rPr>
                <w:rFonts w:ascii="宋体" w:hAnsi="宋体" w:cs="宋体" w:eastAsia="宋体" w:hint="default"/>
                <w:sz w:val="21"/>
                <w:szCs w:val="21"/>
              </w:rPr>
              <w:t> 金存放与使用情况审计报告》</w:t>
            </w:r>
          </w:p>
        </w:tc>
      </w:tr>
      <w:tr>
        <w:trPr>
          <w:trHeight w:val="59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1"/>
                <w:szCs w:val="21"/>
              </w:rPr>
            </w:pPr>
            <w:r>
              <w:rPr>
                <w:rFonts w:ascii="Times New Roman"/>
                <w:sz w:val="21"/>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5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与会计师就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年度预审进展情况初步意见沟通会</w:t>
            </w:r>
          </w:p>
        </w:tc>
      </w:tr>
    </w:tbl>
    <w:p>
      <w:pPr>
        <w:pStyle w:val="BodyText"/>
        <w:spacing w:line="381" w:lineRule="auto" w:before="84"/>
        <w:ind w:left="640" w:right="207" w:hanging="1"/>
        <w:jc w:val="left"/>
      </w:pPr>
      <w:r>
        <w:rPr>
          <w:rFonts w:ascii="Times New Roman" w:hAnsi="Times New Roman" w:cs="Times New Roman" w:eastAsia="Times New Roman" w:hint="default"/>
        </w:rPr>
        <w:t>2</w:t>
      </w:r>
      <w:r>
        <w:rPr/>
        <w:t>、薪酬与考核委员会 </w:t>
      </w:r>
      <w:r>
        <w:rPr>
          <w:spacing w:val="-3"/>
        </w:rPr>
        <w:t>报告期内，薪酬与考核委员会共召开了一次会议，与会委员根据公司《高管层年度业绩</w:t>
      </w:r>
    </w:p>
    <w:p>
      <w:pPr>
        <w:pStyle w:val="BodyText"/>
        <w:spacing w:line="233" w:lineRule="exact"/>
        <w:ind w:left="220" w:right="0"/>
        <w:jc w:val="left"/>
      </w:pPr>
      <w:r>
        <w:rPr/>
        <w:t>考核与薪酬管理办法》的规定，结合公司</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0"/>
        </w:rPr>
        <w:t> </w:t>
      </w:r>
      <w:r>
        <w:rPr/>
        <w:t>年度经营状况，对公司高级管理人员进行考</w:t>
      </w:r>
    </w:p>
    <w:p>
      <w:pPr>
        <w:pStyle w:val="BodyText"/>
        <w:spacing w:line="240" w:lineRule="auto" w:before="50"/>
        <w:ind w:left="220" w:right="207"/>
        <w:jc w:val="left"/>
      </w:pPr>
      <w:r>
        <w:rPr/>
        <w:t>核，初步确定其</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年薪酬及</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年度考核目标，并提交公司董事会审议。</w:t>
      </w:r>
    </w:p>
    <w:p>
      <w:pPr>
        <w:pStyle w:val="BodyText"/>
        <w:spacing w:line="381" w:lineRule="auto" w:before="169"/>
        <w:ind w:left="640" w:right="4304" w:hanging="1"/>
        <w:jc w:val="left"/>
      </w:pPr>
      <w:r>
        <w:rPr>
          <w:rFonts w:ascii="Times New Roman" w:hAnsi="Times New Roman" w:cs="Times New Roman" w:eastAsia="Times New Roman" w:hint="default"/>
        </w:rPr>
        <w:t>3</w:t>
      </w:r>
      <w:r>
        <w:rPr/>
        <w:t>、提名委员会 报告期内，提名委员会共召开一次会议。</w:t>
      </w:r>
    </w:p>
    <w:p>
      <w:pPr>
        <w:pStyle w:val="BodyText"/>
        <w:spacing w:line="292" w:lineRule="auto" w:before="62"/>
        <w:ind w:left="220" w:right="215" w:firstLine="420"/>
        <w:jc w:val="both"/>
      </w:pPr>
      <w:r>
        <w:rPr>
          <w:spacing w:val="2"/>
        </w:rPr>
        <w:t>根据公司经营管理的需要，经总经理提名，公司拟聘康丰先生任公司副总经理，主管</w:t>
      </w:r>
      <w:r>
        <w:rPr/>
        <w:t> </w:t>
      </w:r>
      <w:r>
        <w:rPr>
          <w:rFonts w:ascii="Times New Roman" w:hAnsi="Times New Roman" w:cs="Times New Roman" w:eastAsia="Times New Roman" w:hint="default"/>
          <w:spacing w:val="-4"/>
        </w:rPr>
        <w:t>ATM</w:t>
      </w:r>
      <w:r>
        <w:rPr>
          <w:spacing w:val="-4"/>
        </w:rPr>
        <w:t>、</w:t>
      </w:r>
      <w:r>
        <w:rPr>
          <w:rFonts w:ascii="Times New Roman" w:hAnsi="Times New Roman" w:cs="Times New Roman" w:eastAsia="Times New Roman" w:hint="default"/>
          <w:spacing w:val="-4"/>
        </w:rPr>
        <w:t>AFC</w:t>
      </w:r>
      <w:r>
        <w:rPr>
          <w:rFonts w:ascii="Times New Roman" w:hAnsi="Times New Roman" w:cs="Times New Roman" w:eastAsia="Times New Roman" w:hint="default"/>
          <w:spacing w:val="4"/>
        </w:rPr>
        <w:t> </w:t>
      </w:r>
      <w:r>
        <w:rPr/>
        <w:t>等货币自动处理设备的运营、维护等方面工作。提名委员会委员对该人选从其 </w:t>
      </w:r>
      <w:r>
        <w:rPr>
          <w:spacing w:val="-3"/>
        </w:rPr>
        <w:t>职业、学历、职称、详细的工作经历等情况切实进行了审查，同意聘康丰先生为公司副总经</w:t>
      </w:r>
      <w:r>
        <w:rPr>
          <w:spacing w:val="-80"/>
        </w:rPr>
        <w:t> </w:t>
      </w:r>
      <w:r>
        <w:rPr>
          <w:spacing w:val="-80"/>
        </w:rPr>
      </w:r>
      <w:r>
        <w:rPr/>
        <w:t>理，并形成议案提交公司董事会进行审议。</w:t>
      </w:r>
    </w:p>
    <w:p>
      <w:pPr>
        <w:spacing w:line="240" w:lineRule="auto" w:before="11"/>
        <w:rPr>
          <w:rFonts w:ascii="宋体" w:hAnsi="宋体" w:cs="宋体" w:eastAsia="宋体" w:hint="default"/>
          <w:sz w:val="28"/>
          <w:szCs w:val="28"/>
        </w:rPr>
      </w:pPr>
    </w:p>
    <w:p>
      <w:pPr>
        <w:pStyle w:val="Heading3"/>
        <w:spacing w:line="240" w:lineRule="auto"/>
        <w:ind w:left="220" w:right="207"/>
        <w:jc w:val="left"/>
        <w:rPr>
          <w:b w:val="0"/>
          <w:bCs w:val="0"/>
        </w:rPr>
      </w:pPr>
      <w:r>
        <w:rPr/>
        <w:t>四、公司</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年利润分配预案</w:t>
      </w:r>
      <w:r>
        <w:rPr>
          <w:b w:val="0"/>
          <w:bCs w:val="0"/>
        </w:rPr>
      </w:r>
    </w:p>
    <w:p>
      <w:pPr>
        <w:pStyle w:val="BodyText"/>
        <w:spacing w:line="240" w:lineRule="auto" w:before="102"/>
        <w:ind w:left="640" w:right="0"/>
        <w:jc w:val="left"/>
      </w:pPr>
      <w:r>
        <w:rPr>
          <w:spacing w:val="11"/>
        </w:rPr>
        <w:t>经立信羊城会计师事务所有限公司审计确认，公司（母公司）</w:t>
      </w:r>
      <w:r>
        <w:rPr>
          <w:rFonts w:ascii="Times New Roman" w:hAnsi="Times New Roman" w:cs="Times New Roman" w:eastAsia="Times New Roman" w:hint="default"/>
          <w:spacing w:val="11"/>
        </w:rPr>
        <w:t>2010</w:t>
      </w:r>
      <w:r>
        <w:rPr>
          <w:rFonts w:ascii="Times New Roman" w:hAnsi="Times New Roman" w:cs="Times New Roman" w:eastAsia="Times New Roman" w:hint="default"/>
          <w:spacing w:val="74"/>
        </w:rPr>
        <w:t> </w:t>
      </w:r>
      <w:r>
        <w:rPr>
          <w:spacing w:val="10"/>
        </w:rPr>
        <w:t>年实现净利润</w:t>
      </w:r>
    </w:p>
    <w:p>
      <w:pPr>
        <w:pStyle w:val="BodyText"/>
        <w:spacing w:line="240" w:lineRule="auto" w:before="50"/>
        <w:ind w:left="220" w:right="0"/>
        <w:jc w:val="left"/>
      </w:pPr>
      <w:r>
        <w:rPr>
          <w:rFonts w:ascii="Times New Roman" w:hAnsi="Times New Roman" w:cs="Times New Roman" w:eastAsia="Times New Roman" w:hint="default"/>
        </w:rPr>
        <w:t>481,076,006.72 </w:t>
      </w:r>
      <w:r>
        <w:rPr>
          <w:rFonts w:ascii="Times New Roman" w:hAnsi="Times New Roman" w:cs="Times New Roman" w:eastAsia="Times New Roman" w:hint="default"/>
          <w:spacing w:val="23"/>
        </w:rPr>
        <w:t> </w:t>
      </w:r>
      <w:r>
        <w:rPr>
          <w:spacing w:val="26"/>
        </w:rPr>
        <w:t>元。依照《公司法》和《公司章程》的规定，提取法定盈余公积金</w:t>
      </w:r>
      <w:r>
        <w:rPr>
          <w:spacing w:val="-78"/>
        </w:rPr>
        <w:t> </w:t>
      </w:r>
      <w:r>
        <w:rPr/>
      </w:r>
    </w:p>
    <w:p>
      <w:pPr>
        <w:spacing w:after="0" w:line="240" w:lineRule="auto"/>
        <w:jc w:val="left"/>
        <w:sectPr>
          <w:pgSz w:w="11910" w:h="16840"/>
          <w:pgMar w:header="0" w:footer="982" w:top="1100" w:bottom="1180" w:left="1580" w:right="1580"/>
        </w:sectPr>
      </w:pPr>
    </w:p>
    <w:p>
      <w:pPr>
        <w:spacing w:line="240" w:lineRule="auto" w:before="1"/>
        <w:rPr>
          <w:rFonts w:ascii="宋体" w:hAnsi="宋体" w:cs="宋体" w:eastAsia="宋体" w:hint="default"/>
          <w:sz w:val="19"/>
          <w:szCs w:val="19"/>
        </w:rPr>
      </w:pPr>
    </w:p>
    <w:p>
      <w:pPr>
        <w:pStyle w:val="BodyText"/>
        <w:spacing w:line="240" w:lineRule="auto" w:before="35"/>
        <w:ind w:left="540" w:right="444"/>
        <w:jc w:val="left"/>
      </w:pPr>
      <w:r>
        <w:rPr>
          <w:rFonts w:ascii="Times New Roman" w:hAnsi="Times New Roman" w:cs="Times New Roman" w:eastAsia="Times New Roman" w:hint="default"/>
        </w:rPr>
        <w:t>48.107.600.67</w:t>
      </w:r>
      <w:r>
        <w:rPr>
          <w:rFonts w:ascii="Times New Roman" w:hAnsi="Times New Roman" w:cs="Times New Roman" w:eastAsia="Times New Roman" w:hint="default"/>
          <w:spacing w:val="-15"/>
        </w:rPr>
        <w:t> </w:t>
      </w:r>
      <w:r>
        <w:rPr/>
        <w:t>元后，公司可供股东分配利润为</w:t>
      </w:r>
      <w:r>
        <w:rPr>
          <w:spacing w:val="-29"/>
        </w:rPr>
        <w:t> </w:t>
      </w:r>
      <w:r>
        <w:rPr>
          <w:rFonts w:ascii="Times New Roman" w:hAnsi="Times New Roman" w:cs="Times New Roman" w:eastAsia="Times New Roman" w:hint="default"/>
        </w:rPr>
        <w:t>1,095,227,463.86</w:t>
      </w:r>
      <w:r>
        <w:rPr>
          <w:rFonts w:ascii="Times New Roman" w:hAnsi="Times New Roman" w:cs="Times New Roman" w:eastAsia="Times New Roman" w:hint="default"/>
          <w:spacing w:val="-15"/>
        </w:rPr>
        <w:t> </w:t>
      </w:r>
      <w:r>
        <w:rPr/>
        <w:t>元（含以前年度未分配利润</w:t>
      </w:r>
    </w:p>
    <w:p>
      <w:pPr>
        <w:pStyle w:val="BodyText"/>
        <w:spacing w:line="240" w:lineRule="auto" w:before="50"/>
        <w:ind w:left="539" w:right="44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6</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57</w:t>
      </w:r>
      <w:r>
        <w:rPr>
          <w:rFonts w:ascii="Times New Roman" w:hAnsi="Times New Roman" w:cs="Times New Roman" w:eastAsia="Times New Roman" w:hint="default"/>
          <w:spacing w:val="-1"/>
        </w:rPr>
        <w:t>.8</w:t>
      </w:r>
      <w:r>
        <w:rPr>
          <w:rFonts w:ascii="Times New Roman" w:hAnsi="Times New Roman" w:cs="Times New Roman" w:eastAsia="Times New Roman" w:hint="default"/>
        </w:rPr>
        <w:t>1 </w:t>
      </w:r>
      <w:r>
        <w:rPr/>
        <w:t>元</w:t>
      </w:r>
      <w:r>
        <w:rPr>
          <w:spacing w:val="-105"/>
        </w:rPr>
        <w:t>）</w:t>
      </w:r>
      <w:r>
        <w:rPr/>
        <w:t>。</w:t>
      </w:r>
    </w:p>
    <w:p>
      <w:pPr>
        <w:pStyle w:val="BodyText"/>
        <w:spacing w:line="240" w:lineRule="auto" w:before="169"/>
        <w:ind w:left="960" w:right="444"/>
        <w:jc w:val="left"/>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年利润分配预案如下：</w:t>
      </w:r>
    </w:p>
    <w:p>
      <w:pPr>
        <w:pStyle w:val="BodyText"/>
        <w:spacing w:line="240" w:lineRule="auto" w:before="170"/>
        <w:ind w:left="960" w:right="444"/>
        <w:jc w:val="left"/>
      </w:pPr>
      <w:r>
        <w:rPr/>
        <w:t>以</w:t>
      </w:r>
      <w:r>
        <w:rPr>
          <w:spacing w:val="-53"/>
        </w:rPr>
        <w:t> </w:t>
      </w:r>
      <w:r>
        <w:rPr>
          <w:rFonts w:ascii="Times New Roman" w:hAnsi="Times New Roman" w:cs="Times New Roman" w:eastAsia="Times New Roman" w:hint="default"/>
        </w:rPr>
        <w:t>2010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日公司总股本</w:t>
      </w:r>
      <w:r>
        <w:rPr>
          <w:spacing w:val="-53"/>
        </w:rPr>
        <w:t> </w:t>
      </w:r>
      <w:r>
        <w:rPr>
          <w:rFonts w:ascii="Times New Roman" w:hAnsi="Times New Roman" w:cs="Times New Roman" w:eastAsia="Times New Roman" w:hint="default"/>
        </w:rPr>
        <w:t>342,141,624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股送</w:t>
      </w:r>
      <w:r>
        <w:rPr>
          <w:spacing w:val="-53"/>
        </w:rPr>
        <w:t> </w:t>
      </w:r>
      <w:r>
        <w:rPr>
          <w:rFonts w:ascii="Times New Roman" w:hAnsi="Times New Roman" w:cs="Times New Roman" w:eastAsia="Times New Roman" w:hint="default"/>
        </w:rPr>
        <w:t>3 </w:t>
      </w:r>
      <w:r>
        <w:rPr/>
        <w:t>股红</w:t>
      </w:r>
    </w:p>
    <w:p>
      <w:pPr>
        <w:pStyle w:val="BodyText"/>
        <w:spacing w:line="240" w:lineRule="auto" w:before="50"/>
        <w:ind w:left="539" w:right="444"/>
        <w:jc w:val="left"/>
        <w:rPr>
          <w:rFonts w:ascii="Times New Roman" w:hAnsi="Times New Roman" w:cs="Times New Roman" w:eastAsia="Times New Roman" w:hint="default"/>
        </w:rPr>
      </w:pPr>
      <w:r>
        <w:rPr/>
        <w:t>股</w:t>
      </w:r>
      <w:r>
        <w:rPr>
          <w:spacing w:val="-105"/>
        </w:rPr>
        <w:t>，</w:t>
      </w:r>
      <w:r>
        <w:rPr/>
        <w:t>派发现</w:t>
      </w:r>
      <w:r>
        <w:rPr>
          <w:spacing w:val="-2"/>
        </w:rPr>
        <w:t>金</w:t>
      </w:r>
      <w:r>
        <w:rPr/>
        <w:t>股利</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105"/>
        </w:rPr>
        <w:t>元</w:t>
      </w:r>
      <w:r>
        <w:rPr/>
        <w:t>（</w:t>
      </w:r>
      <w:r>
        <w:rPr>
          <w:spacing w:val="-2"/>
        </w:rPr>
        <w:t>含</w:t>
      </w:r>
      <w:r>
        <w:rPr/>
        <w:t>税</w:t>
      </w:r>
      <w:r>
        <w:rPr>
          <w:spacing w:val="-105"/>
        </w:rPr>
        <w:t>），</w:t>
      </w:r>
      <w:r>
        <w:rPr/>
        <w:t>本次</w:t>
      </w:r>
      <w:r>
        <w:rPr>
          <w:spacing w:val="-2"/>
        </w:rPr>
        <w:t>分</w:t>
      </w:r>
      <w:r>
        <w:rPr/>
        <w:t>配送出红股</w:t>
      </w:r>
      <w:r>
        <w:rPr>
          <w:spacing w:val="-72"/>
        </w:rPr>
        <w:t> </w:t>
      </w:r>
      <w:r>
        <w:rPr>
          <w:rFonts w:ascii="Times New Roman" w:hAnsi="Times New Roman" w:cs="Times New Roman" w:eastAsia="Times New Roman" w:hint="default"/>
        </w:rPr>
        <w:t>102</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4</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487</w:t>
      </w:r>
      <w:r>
        <w:rPr>
          <w:rFonts w:ascii="Times New Roman" w:hAnsi="Times New Roman" w:cs="Times New Roman" w:eastAsia="Times New Roman" w:hint="default"/>
          <w:spacing w:val="-19"/>
        </w:rPr>
        <w:t> </w:t>
      </w:r>
      <w:r>
        <w:rPr>
          <w:spacing w:val="-2"/>
        </w:rPr>
        <w:t>股</w:t>
      </w:r>
      <w:r>
        <w:rPr>
          <w:spacing w:val="-105"/>
        </w:rPr>
        <w:t>，</w:t>
      </w:r>
      <w:r>
        <w:rPr/>
        <w:t>派发现金</w:t>
      </w:r>
      <w:r>
        <w:rPr>
          <w:spacing w:val="-2"/>
        </w:rPr>
        <w:t>红</w:t>
      </w:r>
      <w:r>
        <w:rPr/>
        <w:t>利</w:t>
      </w:r>
      <w:r>
        <w:rPr>
          <w:spacing w:val="-72"/>
        </w:rPr>
        <w:t> </w:t>
      </w:r>
      <w:r>
        <w:rPr>
          <w:rFonts w:ascii="Times New Roman" w:hAnsi="Times New Roman" w:cs="Times New Roman" w:eastAsia="Times New Roman" w:hint="default"/>
        </w:rPr>
        <w:t>68</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3</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.80</w:t>
      </w:r>
    </w:p>
    <w:p>
      <w:pPr>
        <w:pStyle w:val="BodyText"/>
        <w:spacing w:line="280" w:lineRule="auto" w:before="49"/>
        <w:ind w:left="539" w:right="555"/>
        <w:jc w:val="left"/>
      </w:pPr>
      <w:r>
        <w:rPr/>
        <w:t>元，共计分配利润</w:t>
      </w:r>
      <w:r>
        <w:rPr>
          <w:spacing w:val="-54"/>
        </w:rPr>
        <w:t> </w:t>
      </w:r>
      <w:r>
        <w:rPr>
          <w:rFonts w:ascii="Times New Roman" w:hAnsi="Times New Roman" w:cs="Times New Roman" w:eastAsia="Times New Roman" w:hint="default"/>
        </w:rPr>
        <w:t>171,070,811.80</w:t>
      </w:r>
      <w:r>
        <w:rPr>
          <w:rFonts w:ascii="Times New Roman" w:hAnsi="Times New Roman" w:cs="Times New Roman" w:eastAsia="Times New Roman" w:hint="default"/>
          <w:spacing w:val="-1"/>
        </w:rPr>
        <w:t> </w:t>
      </w:r>
      <w:r>
        <w:rPr/>
        <w:t>元，剩余未分配利润</w:t>
      </w:r>
      <w:r>
        <w:rPr>
          <w:spacing w:val="-54"/>
        </w:rPr>
        <w:t> </w:t>
      </w:r>
      <w:r>
        <w:rPr>
          <w:rFonts w:ascii="Times New Roman" w:hAnsi="Times New Roman" w:cs="Times New Roman" w:eastAsia="Times New Roman" w:hint="default"/>
        </w:rPr>
        <w:t>924,156,652.06</w:t>
      </w:r>
      <w:r>
        <w:rPr>
          <w:rFonts w:ascii="Times New Roman" w:hAnsi="Times New Roman" w:cs="Times New Roman" w:eastAsia="Times New Roman" w:hint="default"/>
          <w:spacing w:val="-1"/>
        </w:rPr>
        <w:t> </w:t>
      </w:r>
      <w:r>
        <w:rPr/>
        <w:t>元结转至下一年度。 送红股后公司总股本变更为</w:t>
      </w:r>
      <w:r>
        <w:rPr>
          <w:spacing w:val="-61"/>
        </w:rPr>
        <w:t> </w:t>
      </w:r>
      <w:r>
        <w:rPr>
          <w:rFonts w:ascii="Times New Roman" w:hAnsi="Times New Roman" w:cs="Times New Roman" w:eastAsia="Times New Roman" w:hint="default"/>
        </w:rPr>
        <w:t>444,784,111</w:t>
      </w:r>
      <w:r>
        <w:rPr>
          <w:rFonts w:ascii="Times New Roman" w:hAnsi="Times New Roman" w:cs="Times New Roman" w:eastAsia="Times New Roman" w:hint="default"/>
          <w:spacing w:val="-8"/>
        </w:rPr>
        <w:t> </w:t>
      </w:r>
      <w:r>
        <w:rPr/>
        <w:t>股。</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年度，公司不进行资本公积转增股本。</w:t>
      </w:r>
    </w:p>
    <w:p>
      <w:pPr>
        <w:pStyle w:val="BodyText"/>
        <w:spacing w:line="403" w:lineRule="auto" w:before="130"/>
        <w:ind w:left="959" w:right="2335"/>
        <w:jc w:val="left"/>
      </w:pPr>
      <w:r>
        <w:rPr/>
        <w:pict>
          <v:shape style="position:absolute;margin-left:68.279999pt;margin-top:48.283535pt;width:458.95pt;height:178.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7"/>
                    <w:gridCol w:w="1560"/>
                    <w:gridCol w:w="2303"/>
                    <w:gridCol w:w="2354"/>
                  </w:tblGrid>
                  <w:tr>
                    <w:trPr>
                      <w:trHeight w:val="535"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17"/>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3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35"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利润分配方式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5" w:right="0"/>
                          <w:jc w:val="left"/>
                          <w:rPr>
                            <w:rFonts w:ascii="宋体" w:hAnsi="宋体" w:cs="宋体" w:eastAsia="宋体" w:hint="default"/>
                            <w:sz w:val="21"/>
                            <w:szCs w:val="21"/>
                          </w:rPr>
                        </w:pPr>
                        <w:r>
                          <w:rPr>
                            <w:rFonts w:ascii="宋体" w:hAnsi="宋体" w:cs="宋体" w:eastAsia="宋体" w:hint="default"/>
                            <w:sz w:val="21"/>
                            <w:szCs w:val="21"/>
                          </w:rPr>
                          <w:t>现金分红</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5" w:right="0"/>
                          <w:jc w:val="left"/>
                          <w:rPr>
                            <w:rFonts w:ascii="宋体" w:hAnsi="宋体" w:cs="宋体" w:eastAsia="宋体" w:hint="default"/>
                            <w:sz w:val="21"/>
                            <w:szCs w:val="21"/>
                          </w:rPr>
                        </w:pPr>
                        <w:r>
                          <w:rPr>
                            <w:rFonts w:ascii="宋体" w:hAnsi="宋体" w:cs="宋体" w:eastAsia="宋体" w:hint="default"/>
                            <w:sz w:val="21"/>
                            <w:szCs w:val="21"/>
                          </w:rPr>
                          <w:t>现金分红</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公积金转增</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8" w:right="0"/>
                          <w:jc w:val="left"/>
                          <w:rPr>
                            <w:rFonts w:ascii="宋体" w:hAnsi="宋体" w:cs="宋体" w:eastAsia="宋体" w:hint="default"/>
                            <w:sz w:val="21"/>
                            <w:szCs w:val="21"/>
                          </w:rPr>
                        </w:pPr>
                        <w:r>
                          <w:rPr>
                            <w:rFonts w:ascii="宋体" w:hAnsi="宋体" w:cs="宋体" w:eastAsia="宋体" w:hint="default"/>
                            <w:sz w:val="21"/>
                            <w:szCs w:val="21"/>
                          </w:rPr>
                          <w:t>现金分红</w:t>
                        </w:r>
                        <w:r>
                          <w:rPr>
                            <w:rFonts w:ascii="Times New Roman" w:hAnsi="Times New Roman" w:cs="Times New Roman" w:eastAsia="Times New Roman" w:hint="default"/>
                            <w:sz w:val="21"/>
                            <w:szCs w:val="21"/>
                          </w:rPr>
                          <w:t>/</w:t>
                        </w:r>
                        <w:r>
                          <w:rPr>
                            <w:rFonts w:ascii="宋体" w:hAnsi="宋体" w:cs="宋体" w:eastAsia="宋体" w:hint="default"/>
                            <w:sz w:val="21"/>
                            <w:szCs w:val="21"/>
                          </w:rPr>
                          <w:t>公积金转增</w:t>
                        </w:r>
                      </w:p>
                    </w:tc>
                  </w:tr>
                  <w:tr>
                    <w:trPr>
                      <w:trHeight w:val="535"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现金分红金额（含税</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136,856,649.60</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pacing w:val="-1"/>
                            <w:sz w:val="21"/>
                          </w:rPr>
                          <w:t>57,023,604.00</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pacing w:val="-1"/>
                            <w:sz w:val="21"/>
                          </w:rPr>
                          <w:t>28,511,802.00</w:t>
                        </w:r>
                      </w:p>
                    </w:tc>
                  </w:tr>
                  <w:tr>
                    <w:trPr>
                      <w:trHeight w:val="610"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3" w:right="100"/>
                          <w:jc w:val="left"/>
                          <w:rPr>
                            <w:rFonts w:ascii="宋体" w:hAnsi="宋体" w:cs="宋体" w:eastAsia="宋体" w:hint="default"/>
                            <w:sz w:val="21"/>
                            <w:szCs w:val="21"/>
                          </w:rPr>
                        </w:pPr>
                        <w:r>
                          <w:rPr>
                            <w:rFonts w:ascii="宋体" w:hAnsi="宋体" w:cs="宋体" w:eastAsia="宋体" w:hint="default"/>
                            <w:sz w:val="21"/>
                            <w:szCs w:val="21"/>
                          </w:rPr>
                          <w:t>合并报表归属于母公司所有者 的净利润（元）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387,933,928.14</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Times New Roman" w:hAnsi="Times New Roman" w:cs="Times New Roman" w:eastAsia="Times New Roman" w:hint="default"/>
                            <w:sz w:val="21"/>
                            <w:szCs w:val="21"/>
                          </w:rPr>
                        </w:pPr>
                        <w:r>
                          <w:rPr>
                            <w:rFonts w:ascii="Times New Roman"/>
                            <w:spacing w:val="-1"/>
                            <w:sz w:val="21"/>
                          </w:rPr>
                          <w:t>331,548,801.34</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Times New Roman" w:hAnsi="Times New Roman" w:cs="Times New Roman" w:eastAsia="Times New Roman" w:hint="default"/>
                            <w:sz w:val="21"/>
                            <w:szCs w:val="21"/>
                          </w:rPr>
                        </w:pPr>
                        <w:r>
                          <w:rPr>
                            <w:rFonts w:ascii="Times New Roman"/>
                            <w:spacing w:val="-1"/>
                            <w:sz w:val="21"/>
                          </w:rPr>
                          <w:t>231,569,801.01</w:t>
                        </w:r>
                      </w:p>
                    </w:tc>
                  </w:tr>
                  <w:tr>
                    <w:trPr>
                      <w:trHeight w:val="668"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03" w:right="100"/>
                          <w:jc w:val="left"/>
                          <w:rPr>
                            <w:rFonts w:ascii="宋体" w:hAnsi="宋体" w:cs="宋体" w:eastAsia="宋体" w:hint="default"/>
                            <w:sz w:val="21"/>
                            <w:szCs w:val="21"/>
                          </w:rPr>
                        </w:pPr>
                        <w:r>
                          <w:rPr>
                            <w:rFonts w:ascii="宋体" w:hAnsi="宋体" w:cs="宋体" w:eastAsia="宋体" w:hint="default"/>
                            <w:sz w:val="21"/>
                            <w:szCs w:val="21"/>
                          </w:rPr>
                          <w:t>占合并报表中归属于母公司所 有者净利润的比率（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35.28</w:t>
                        </w:r>
                        <w:r>
                          <w:rPr>
                            <w:rFonts w:ascii="宋体" w:hAnsi="宋体" w:cs="宋体" w:eastAsia="宋体" w:hint="default"/>
                            <w:spacing w:val="-1"/>
                            <w:sz w:val="21"/>
                            <w:szCs w:val="21"/>
                          </w:rPr>
                          <w:t>％</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17.20</w:t>
                        </w:r>
                        <w:r>
                          <w:rPr>
                            <w:rFonts w:ascii="宋体" w:hAnsi="宋体" w:cs="宋体" w:eastAsia="宋体" w:hint="default"/>
                            <w:spacing w:val="-1"/>
                            <w:sz w:val="21"/>
                            <w:szCs w:val="21"/>
                          </w:rPr>
                          <w:t>％</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12.31%</w:t>
                        </w:r>
                      </w:p>
                    </w:tc>
                  </w:tr>
                  <w:tr>
                    <w:trPr>
                      <w:trHeight w:val="668"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8"/>
                          <w:ind w:left="103" w:right="100"/>
                          <w:jc w:val="left"/>
                          <w:rPr>
                            <w:rFonts w:ascii="宋体" w:hAnsi="宋体" w:cs="宋体" w:eastAsia="宋体" w:hint="default"/>
                            <w:sz w:val="21"/>
                            <w:szCs w:val="21"/>
                          </w:rPr>
                        </w:pPr>
                        <w:r>
                          <w:rPr>
                            <w:rFonts w:ascii="宋体" w:hAnsi="宋体" w:cs="宋体" w:eastAsia="宋体" w:hint="default"/>
                            <w:sz w:val="21"/>
                            <w:szCs w:val="21"/>
                          </w:rPr>
                          <w:t>最近三年累计现金分红金额占 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62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70.15</w:t>
                        </w:r>
                        <w:r>
                          <w:rPr>
                            <w:rFonts w:ascii="宋体" w:hAnsi="宋体" w:cs="宋体" w:eastAsia="宋体" w:hint="default"/>
                            <w:sz w:val="21"/>
                            <w:szCs w:val="21"/>
                          </w:rPr>
                          <w:t>％</w:t>
                        </w:r>
                      </w:p>
                    </w:tc>
                  </w:tr>
                </w:tbl>
                <w:p>
                  <w:pPr/>
                </w:p>
              </w:txbxContent>
            </v:textbox>
            <w10:wrap type="none"/>
          </v:shape>
        </w:pict>
      </w:r>
      <w:r>
        <w:rPr/>
        <w:t>该利润分配预案需提请公司股东大会审议。 公司实行持续、稳定的股利分配政策。前三年现金分红情况如下：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left="540" w:right="444"/>
        <w:jc w:val="left"/>
        <w:rPr>
          <w:b w:val="0"/>
          <w:bCs w:val="0"/>
        </w:rPr>
      </w:pPr>
      <w:r>
        <w:rPr/>
        <w:t>五、内幕信息知情人管理制度执行情况</w:t>
      </w:r>
      <w:r>
        <w:rPr>
          <w:b w:val="0"/>
          <w:bCs w:val="0"/>
        </w:rPr>
      </w:r>
    </w:p>
    <w:p>
      <w:pPr>
        <w:pStyle w:val="BodyText"/>
        <w:spacing w:line="297" w:lineRule="auto" w:before="120"/>
        <w:ind w:left="540" w:right="444" w:firstLine="525"/>
        <w:jc w:val="left"/>
      </w:pPr>
      <w:r>
        <w:rPr/>
        <w:t>报告期内，为加强内幕信息管理，做好内幕信息保密工作，有效防范内幕信息知情人 </w:t>
      </w:r>
      <w:r>
        <w:rPr>
          <w:spacing w:val="-3"/>
        </w:rPr>
        <w:t>员进行内幕交易，公司根据有关法律法规规定进一步完善了有关信息披露管理规定，在原有</w:t>
      </w:r>
      <w:r>
        <w:rPr>
          <w:spacing w:val="-79"/>
        </w:rPr>
        <w:t> </w:t>
      </w:r>
      <w:r>
        <w:rPr>
          <w:spacing w:val="-79"/>
        </w:rPr>
      </w:r>
      <w:r>
        <w:rPr>
          <w:spacing w:val="-10"/>
        </w:rPr>
        <w:t>基础上新制订了《内幕信息知情人备案管理制度》和《年报信息披露重大差错责任追究制度》，</w:t>
      </w:r>
      <w:r>
        <w:rPr>
          <w:spacing w:val="-93"/>
        </w:rPr>
        <w:t> </w:t>
      </w:r>
      <w:r>
        <w:rPr>
          <w:spacing w:val="-93"/>
        </w:rPr>
      </w:r>
      <w:r>
        <w:rPr>
          <w:spacing w:val="-3"/>
        </w:rPr>
        <w:t>加大保密措施，落实信息披露的归口管理责任，完善信息流程和控制机制，并组织公司内部</w:t>
      </w:r>
      <w:r>
        <w:rPr>
          <w:spacing w:val="-81"/>
        </w:rPr>
        <w:t> </w:t>
      </w:r>
      <w:r>
        <w:rPr>
          <w:spacing w:val="-81"/>
        </w:rPr>
      </w:r>
      <w:r>
        <w:rPr>
          <w:spacing w:val="-3"/>
        </w:rPr>
        <w:t>相关人员认真学习相关规定和制度，提高认识，定期如实登记报备内幕信息知情人情况。同</w:t>
      </w:r>
      <w:r>
        <w:rPr>
          <w:spacing w:val="-81"/>
        </w:rPr>
        <w:t> </w:t>
      </w:r>
      <w:r>
        <w:rPr>
          <w:spacing w:val="-81"/>
        </w:rPr>
      </w:r>
      <w:r>
        <w:rPr/>
        <w:t>时，做好投资者来访调研、媒体采访的接待安排和保密工作，签署承诺书。</w:t>
      </w:r>
    </w:p>
    <w:p>
      <w:pPr>
        <w:pStyle w:val="BodyText"/>
        <w:spacing w:line="240" w:lineRule="auto" w:before="134"/>
        <w:ind w:left="961" w:right="444"/>
        <w:jc w:val="left"/>
      </w:pPr>
      <w:r>
        <w:rPr/>
        <w:t>报告期内，公司无内幕信息知情人违规买卖公司股票的情形发生，无监管处罚记录。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ind w:left="540" w:right="444"/>
        <w:jc w:val="left"/>
        <w:rPr>
          <w:b w:val="0"/>
          <w:bCs w:val="0"/>
        </w:rPr>
      </w:pPr>
      <w:r>
        <w:rPr/>
        <w:t>六、开展投资者关系管理情况</w:t>
      </w:r>
      <w:r>
        <w:rPr>
          <w:b w:val="0"/>
          <w:bCs w:val="0"/>
        </w:rPr>
      </w:r>
    </w:p>
    <w:p>
      <w:pPr>
        <w:pStyle w:val="BodyText"/>
        <w:spacing w:line="297" w:lineRule="auto" w:before="121"/>
        <w:ind w:left="540" w:right="556" w:firstLine="420"/>
        <w:jc w:val="both"/>
      </w:pPr>
      <w:r>
        <w:rPr>
          <w:spacing w:val="-3"/>
        </w:rPr>
        <w:t>报告期内，公司董事会秘书作为投资者关系管理的负责人，公司证券部负责投资者关系</w:t>
      </w:r>
      <w:r>
        <w:rPr/>
        <w:t> </w:t>
      </w:r>
      <w:r>
        <w:rPr>
          <w:spacing w:val="-3"/>
        </w:rPr>
        <w:t>管理的日常事务，按照相关法律法规及公司《投资者关系管理制度》的规定，组织开展公司</w:t>
      </w:r>
      <w:r>
        <w:rPr>
          <w:spacing w:val="-80"/>
        </w:rPr>
        <w:t> </w:t>
      </w:r>
      <w:r>
        <w:rPr>
          <w:spacing w:val="-80"/>
        </w:rPr>
      </w:r>
      <w:r>
        <w:rPr/>
        <w:t>的投资者关系管理工作。</w:t>
      </w:r>
    </w:p>
    <w:p>
      <w:pPr>
        <w:pStyle w:val="BodyText"/>
        <w:spacing w:line="297" w:lineRule="auto" w:before="135"/>
        <w:ind w:left="540" w:right="556" w:firstLine="420"/>
        <w:jc w:val="both"/>
      </w:pPr>
      <w:r>
        <w:rPr>
          <w:spacing w:val="-3"/>
        </w:rPr>
        <w:t>报告期内，公司严格按照相关法律法规、规范性文件以及公司《信息披露管理制度》等</w:t>
      </w:r>
      <w:r>
        <w:rPr/>
        <w:t> </w:t>
      </w:r>
      <w:r>
        <w:rPr>
          <w:spacing w:val="-3"/>
        </w:rPr>
        <w:t>有关规定和要求，及时、真实、准确的向投资者披露公司的相关信息；保持投资者热线电话</w:t>
      </w:r>
      <w:r>
        <w:rPr>
          <w:spacing w:val="-80"/>
        </w:rPr>
        <w:t> </w:t>
      </w:r>
      <w:r>
        <w:rPr>
          <w:spacing w:val="-80"/>
        </w:rPr>
      </w:r>
      <w:r>
        <w:rPr>
          <w:spacing w:val="-3"/>
        </w:rPr>
        <w:t>实时畅通，耐心回答现有和潜在股东提出的问题，给个人投资者寄送公司如年报等资料；积</w:t>
      </w:r>
    </w:p>
    <w:p>
      <w:pPr>
        <w:spacing w:after="0" w:line="297" w:lineRule="auto"/>
        <w:jc w:val="both"/>
        <w:sectPr>
          <w:pgSz w:w="11910" w:h="16840"/>
          <w:pgMar w:header="0" w:footer="982" w:top="1100" w:bottom="1180" w:left="1260" w:right="1240"/>
        </w:sectPr>
      </w:pPr>
    </w:p>
    <w:p>
      <w:pPr>
        <w:spacing w:line="240" w:lineRule="auto" w:before="1"/>
        <w:rPr>
          <w:rFonts w:ascii="宋体" w:hAnsi="宋体" w:cs="宋体" w:eastAsia="宋体" w:hint="default"/>
          <w:sz w:val="19"/>
          <w:szCs w:val="19"/>
        </w:rPr>
      </w:pPr>
    </w:p>
    <w:p>
      <w:pPr>
        <w:pStyle w:val="BodyText"/>
        <w:spacing w:line="292" w:lineRule="auto" w:before="35"/>
        <w:ind w:left="139" w:right="100"/>
        <w:jc w:val="left"/>
      </w:pPr>
      <w:r>
        <w:rPr>
          <w:spacing w:val="-5"/>
        </w:rPr>
        <w:t>极维护投资者关系管理平台，详细回答投资者的问询，定期将投资者提出的问题和建议整理、</w:t>
      </w:r>
      <w:r>
        <w:rPr>
          <w:spacing w:val="-100"/>
        </w:rPr>
        <w:t> </w:t>
      </w:r>
      <w:r>
        <w:rPr>
          <w:spacing w:val="-100"/>
        </w:rPr>
      </w:r>
      <w:r>
        <w:rPr>
          <w:spacing w:val="-3"/>
        </w:rPr>
        <w:t>汇总报送给公司管理层；规范接待证券公司、基金公司和个人投资者等实地调研，加强了投</w:t>
      </w:r>
      <w:r>
        <w:rPr>
          <w:spacing w:val="-81"/>
        </w:rPr>
        <w:t> </w:t>
      </w:r>
      <w:r>
        <w:rPr>
          <w:spacing w:val="-81"/>
        </w:rPr>
      </w:r>
      <w:r>
        <w:rPr>
          <w:spacing w:val="-3"/>
        </w:rPr>
        <w:t>资者对公司的认识，在不违反公平披露的原则下解答相关问题，增进了投资者对公司的了解</w:t>
      </w:r>
      <w:r>
        <w:rPr>
          <w:spacing w:val="-79"/>
        </w:rPr>
        <w:t> </w:t>
      </w:r>
      <w:r>
        <w:rPr>
          <w:spacing w:val="-79"/>
        </w:rPr>
      </w:r>
      <w:r>
        <w:rPr>
          <w:spacing w:val="-4"/>
        </w:rPr>
        <w:t>和信心；通过网络互动平台召开了</w:t>
      </w:r>
      <w:r>
        <w:rPr>
          <w:spacing w:val="-4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spacing w:val="-3"/>
        </w:rPr>
        <w:t>年度业绩网上说明会，得到广大投资者的热情参与，</w:t>
      </w:r>
      <w:r>
        <w:rPr>
          <w:spacing w:val="-102"/>
        </w:rPr>
        <w:t> </w:t>
      </w:r>
      <w:r>
        <w:rPr>
          <w:spacing w:val="-102"/>
        </w:rPr>
      </w:r>
      <w:r>
        <w:rPr>
          <w:spacing w:val="-3"/>
        </w:rPr>
        <w:t>公司对投资者的提问给予了认真的解答。通过上述工作，最大限度地保证信息交流渠道的畅</w:t>
      </w:r>
      <w:r>
        <w:rPr>
          <w:spacing w:val="-79"/>
        </w:rPr>
        <w:t> </w:t>
      </w:r>
      <w:r>
        <w:rPr>
          <w:spacing w:val="-79"/>
        </w:rPr>
      </w:r>
      <w:r>
        <w:rPr/>
        <w:t>通，使得公司与投资者取得了良好的互动效果，也得到投资者认可和支持。</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 </w:t>
      </w:r>
      <w:r>
        <w:rPr>
          <w:spacing w:val="2"/>
        </w:rPr>
        <w:t>在由证券时报社与证券时报网联合主办的中国最受欢迎投资者关系互动平台——第二届中</w:t>
      </w:r>
      <w:r>
        <w:rPr>
          <w:spacing w:val="-85"/>
        </w:rPr>
        <w:t> </w:t>
      </w:r>
      <w:r>
        <w:rPr>
          <w:spacing w:val="-85"/>
        </w:rPr>
      </w:r>
      <w:r>
        <w:rPr>
          <w:spacing w:val="-8"/>
        </w:rPr>
        <w:t>国上市公司优秀网站评选中，公司获得了本届“最受投资者欢迎上市公司网站”、“最佳互动</w:t>
      </w:r>
      <w:r>
        <w:rPr>
          <w:spacing w:val="-83"/>
        </w:rPr>
        <w:t> </w:t>
      </w:r>
      <w:r>
        <w:rPr>
          <w:spacing w:val="-83"/>
        </w:rPr>
      </w:r>
      <w:r>
        <w:rPr/>
        <w:t>平台上市公司网站”等奖项。</w:t>
      </w:r>
    </w:p>
    <w:p>
      <w:pPr>
        <w:pStyle w:val="BodyText"/>
        <w:spacing w:line="297" w:lineRule="auto" w:before="138"/>
        <w:ind w:left="139" w:right="100" w:firstLine="420"/>
        <w:jc w:val="left"/>
      </w:pPr>
      <w:r>
        <w:rPr>
          <w:spacing w:val="-3"/>
        </w:rPr>
        <w:t>公司把投资者关系管理作为一项长期、持续的工作来开展，不断完善与投资者的沟通方</w:t>
      </w:r>
      <w:r>
        <w:rPr/>
        <w:t> </w:t>
      </w:r>
      <w:r>
        <w:rPr>
          <w:spacing w:val="-3"/>
        </w:rPr>
        <w:t>式和途径，深化沟通渠道，以进一步加强与投资者的沟通和联系，使广大投资者能够较为全</w:t>
      </w:r>
      <w:r>
        <w:rPr>
          <w:spacing w:val="-81"/>
        </w:rPr>
        <w:t> </w:t>
      </w:r>
      <w:r>
        <w:rPr>
          <w:spacing w:val="-81"/>
        </w:rPr>
      </w:r>
      <w:r>
        <w:rPr>
          <w:spacing w:val="-5"/>
        </w:rPr>
        <w:t>面地了解公司的生产经营、未来发展，参与公司的经营管理，力求维护与投资者的顺畅关系，</w:t>
      </w:r>
      <w:r>
        <w:rPr>
          <w:spacing w:val="-98"/>
        </w:rPr>
        <w:t> </w:t>
      </w:r>
      <w:r>
        <w:rPr>
          <w:spacing w:val="-98"/>
        </w:rPr>
      </w:r>
      <w:r>
        <w:rPr/>
        <w:t>树立公司良好的市场形象。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r>
        <w:rPr/>
        <w:t>七、其他需要披露的事项</w:t>
      </w:r>
      <w:r>
        <w:rPr>
          <w:b w:val="0"/>
          <w:bCs w:val="0"/>
        </w:rPr>
      </w:r>
    </w:p>
    <w:p>
      <w:pPr>
        <w:pStyle w:val="BodyText"/>
        <w:spacing w:line="240" w:lineRule="auto" w:before="121"/>
        <w:ind w:left="560" w:right="0"/>
        <w:jc w:val="left"/>
      </w:pPr>
      <w:r>
        <w:rPr/>
        <w:t>报告期内，公司指定信息披露报纸为《证券时报</w:t>
      </w:r>
      <w:r>
        <w:rPr>
          <w:spacing w:val="-105"/>
        </w:rPr>
        <w:t>》</w:t>
      </w:r>
      <w:r>
        <w:rPr/>
        <w:t>，未发</w:t>
      </w:r>
      <w:r>
        <w:rPr>
          <w:spacing w:val="-2"/>
        </w:rPr>
        <w:t>生</w:t>
      </w:r>
      <w:r>
        <w:rPr/>
        <w:t>变更。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tabs>
          <w:tab w:pos="1264" w:val="left" w:leader="none"/>
        </w:tabs>
        <w:spacing w:line="240" w:lineRule="auto" w:before="0"/>
        <w:ind w:right="77"/>
        <w:jc w:val="center"/>
        <w:rPr>
          <w:b w:val="0"/>
          <w:bCs w:val="0"/>
        </w:rPr>
      </w:pPr>
      <w:bookmarkStart w:name="_TOC_250003" w:id="8"/>
      <w:r>
        <w:rPr>
          <w:w w:val="95"/>
        </w:rPr>
        <w:t>第八节</w:t>
        <w:tab/>
      </w:r>
      <w:r>
        <w:rPr/>
        <w:t>监事会报告</w:t>
      </w:r>
      <w:bookmarkEnd w:id="8"/>
      <w:r>
        <w:rPr>
          <w:b w:val="0"/>
          <w:bCs w:val="0"/>
        </w:rPr>
      </w:r>
    </w:p>
    <w:p>
      <w:pPr>
        <w:spacing w:line="240" w:lineRule="auto" w:before="6"/>
        <w:rPr>
          <w:rFonts w:ascii="宋体" w:hAnsi="宋体" w:cs="宋体" w:eastAsia="宋体" w:hint="default"/>
          <w:b/>
          <w:bCs/>
          <w:sz w:val="38"/>
          <w:szCs w:val="38"/>
        </w:rPr>
      </w:pPr>
    </w:p>
    <w:p>
      <w:pPr>
        <w:pStyle w:val="Heading3"/>
        <w:spacing w:line="240" w:lineRule="auto"/>
        <w:ind w:right="0"/>
        <w:jc w:val="left"/>
        <w:rPr>
          <w:b w:val="0"/>
          <w:bCs w:val="0"/>
        </w:rPr>
      </w:pPr>
      <w:r>
        <w:rPr/>
        <w:t>一、监事会主要工作情况</w:t>
      </w:r>
      <w:r>
        <w:rPr>
          <w:b w:val="0"/>
          <w:bCs w:val="0"/>
        </w:rPr>
      </w:r>
    </w:p>
    <w:p>
      <w:pPr>
        <w:pStyle w:val="BodyText"/>
        <w:spacing w:line="297" w:lineRule="auto" w:before="121"/>
        <w:ind w:right="209" w:firstLine="315"/>
        <w:jc w:val="left"/>
      </w:pPr>
      <w:r>
        <w:rPr/>
        <w:t>（一）报告期内，监事会列席了公司董事会召开的历次现场会议，对董事会执行股东大 会决议情况，履行忠实、诚信义务进行了监督。</w:t>
      </w:r>
    </w:p>
    <w:p>
      <w:pPr>
        <w:pStyle w:val="BodyText"/>
        <w:spacing w:line="297" w:lineRule="auto" w:before="14"/>
        <w:ind w:right="209" w:firstLine="315"/>
        <w:jc w:val="left"/>
      </w:pPr>
      <w:r>
        <w:rPr/>
        <w:t>（二）报告期内，监事会对公司经营管理、财务活动进行了监督，认为高管人员勤勉尽 责，经营管理层认真执行了董事会各项决议，无违规操作行为发生。</w:t>
      </w:r>
    </w:p>
    <w:p>
      <w:pPr>
        <w:pStyle w:val="BodyText"/>
        <w:spacing w:line="240" w:lineRule="auto" w:before="15"/>
        <w:ind w:left="455" w:right="0"/>
        <w:jc w:val="left"/>
      </w:pPr>
      <w:r>
        <w:rPr/>
        <w:t>（三）报告期内，监事会认真开展各项工作，狠抓落实。</w:t>
      </w:r>
    </w:p>
    <w:p>
      <w:pPr>
        <w:pStyle w:val="BodyText"/>
        <w:spacing w:line="240" w:lineRule="auto" w:before="64"/>
        <w:ind w:left="560"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年，公司监事会共召开会议</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次，会议具体情况如下：</w:t>
      </w:r>
    </w:p>
    <w:p>
      <w:pPr>
        <w:pStyle w:val="BodyText"/>
        <w:spacing w:line="240" w:lineRule="auto" w:before="50"/>
        <w:ind w:left="560" w:right="0"/>
        <w:jc w:val="left"/>
      </w:pPr>
      <w:r>
        <w:rPr>
          <w:rFonts w:ascii="Times New Roman" w:hAnsi="Times New Roman" w:cs="Times New Roman" w:eastAsia="Times New Roman" w:hint="default"/>
          <w:spacing w:val="-10"/>
        </w:rPr>
        <w:t>1</w:t>
      </w:r>
      <w:r>
        <w:rPr>
          <w:spacing w:val="-10"/>
        </w:rPr>
        <w:t>、公司于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61"/>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日组织召开了第二届监事会第六次会议，审议通过如下议案：</w:t>
      </w:r>
    </w:p>
    <w:p>
      <w:pPr>
        <w:pStyle w:val="BodyText"/>
        <w:spacing w:line="240" w:lineRule="auto" w:before="50"/>
        <w:ind w:left="560" w:right="0"/>
        <w:jc w:val="left"/>
      </w:pPr>
      <w:r>
        <w:rPr/>
        <w:t>（</w:t>
      </w:r>
      <w:r>
        <w:rPr>
          <w:rFonts w:ascii="Times New Roman" w:hAnsi="Times New Roman" w:cs="Times New Roman" w:eastAsia="Times New Roman" w:hint="default"/>
        </w:rPr>
        <w:t>1</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年度监事会工作报告</w:t>
      </w:r>
      <w:r>
        <w:rPr>
          <w:spacing w:val="-105"/>
        </w:rPr>
        <w:t>》</w:t>
      </w:r>
      <w:r>
        <w:rPr/>
        <w:t>；</w:t>
      </w:r>
    </w:p>
    <w:p>
      <w:pPr>
        <w:pStyle w:val="BodyText"/>
        <w:spacing w:line="240" w:lineRule="auto" w:before="49"/>
        <w:ind w:left="560" w:right="0"/>
        <w:jc w:val="left"/>
      </w:pPr>
      <w:r>
        <w:rPr/>
        <w:t>（</w:t>
      </w:r>
      <w:r>
        <w:rPr>
          <w:rFonts w:ascii="Times New Roman" w:hAnsi="Times New Roman" w:cs="Times New Roman" w:eastAsia="Times New Roman" w:hint="default"/>
        </w:rPr>
        <w:t>2</w:t>
      </w:r>
      <w:r>
        <w:rPr>
          <w:spacing w:val="-10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年度财务决算报告</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年度内</w:t>
      </w:r>
      <w:r>
        <w:rPr>
          <w:spacing w:val="-2"/>
        </w:rPr>
        <w:t>部</w:t>
      </w:r>
      <w:r>
        <w:rPr/>
        <w:t>控制自我评价报告</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4</w:t>
      </w:r>
      <w:r>
        <w:rPr>
          <w:spacing w:val="-105"/>
        </w:rPr>
        <w:t>）</w:t>
      </w:r>
      <w:r>
        <w:rPr/>
        <w:t>《关</w:t>
      </w:r>
      <w:r>
        <w:rPr>
          <w:spacing w:val="-2"/>
        </w:rPr>
        <w:t>于</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度利润分配预案的议案</w:t>
      </w:r>
      <w:r>
        <w:rPr>
          <w:spacing w:val="-106"/>
        </w:rPr>
        <w:t>》</w:t>
      </w:r>
      <w:r>
        <w:rPr/>
        <w:t>；</w:t>
      </w:r>
    </w:p>
    <w:p>
      <w:pPr>
        <w:pStyle w:val="BodyText"/>
        <w:spacing w:line="240" w:lineRule="auto" w:before="49"/>
        <w:ind w:left="560" w:right="0"/>
        <w:jc w:val="left"/>
      </w:pPr>
      <w:r>
        <w:rPr/>
        <w:t>（</w:t>
      </w:r>
      <w:r>
        <w:rPr>
          <w:rFonts w:ascii="Times New Roman" w:hAnsi="Times New Roman" w:cs="Times New Roman" w:eastAsia="Times New Roman" w:hint="default"/>
        </w:rPr>
        <w:t>5</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年年度</w:t>
      </w:r>
      <w:r>
        <w:rPr>
          <w:spacing w:val="-2"/>
        </w:rPr>
        <w:t>报</w:t>
      </w:r>
      <w:r>
        <w:rPr/>
        <w:t>告及摘要</w:t>
      </w:r>
      <w:r>
        <w:rPr>
          <w:spacing w:val="-105"/>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6</w:t>
      </w:r>
      <w:r>
        <w:rPr>
          <w:spacing w:val="-105"/>
        </w:rPr>
        <w:t>）</w:t>
      </w:r>
      <w:r>
        <w:rPr/>
        <w:t>《关</w:t>
      </w:r>
      <w:r>
        <w:rPr>
          <w:spacing w:val="-2"/>
        </w:rPr>
        <w:t>于</w:t>
      </w:r>
      <w:r>
        <w:rPr/>
        <w:t>聘请立信羊城会计师事务所有限公司为公司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年度审</w:t>
      </w:r>
      <w:r>
        <w:rPr>
          <w:spacing w:val="-2"/>
        </w:rPr>
        <w:t>计</w:t>
      </w:r>
      <w:r>
        <w:rPr/>
        <w:t>机构的议案</w:t>
      </w:r>
      <w:r>
        <w:rPr>
          <w:spacing w:val="-106"/>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7</w:t>
      </w:r>
      <w:r>
        <w:rPr>
          <w:spacing w:val="-105"/>
        </w:rPr>
        <w:t>）</w:t>
      </w:r>
      <w:r>
        <w:rPr/>
        <w:t>《公司</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年度募</w:t>
      </w:r>
      <w:r>
        <w:rPr>
          <w:spacing w:val="-2"/>
        </w:rPr>
        <w:t>集</w:t>
      </w:r>
      <w:r>
        <w:rPr/>
        <w:t>资金使用情况专项报告</w:t>
      </w:r>
      <w:r>
        <w:rPr>
          <w:spacing w:val="-106"/>
        </w:rPr>
        <w:t>》</w:t>
      </w:r>
      <w:r>
        <w:rPr/>
        <w:t>；</w:t>
      </w:r>
    </w:p>
    <w:p>
      <w:pPr>
        <w:pStyle w:val="BodyText"/>
        <w:spacing w:line="240" w:lineRule="auto" w:before="50"/>
        <w:ind w:left="560" w:right="0"/>
        <w:jc w:val="left"/>
      </w:pPr>
      <w:r>
        <w:rPr/>
        <w:t>（</w:t>
      </w:r>
      <w:r>
        <w:rPr>
          <w:rFonts w:ascii="Times New Roman" w:hAnsi="Times New Roman" w:cs="Times New Roman" w:eastAsia="Times New Roman" w:hint="default"/>
        </w:rPr>
        <w:t>8</w:t>
      </w:r>
      <w:r>
        <w:rPr>
          <w:spacing w:val="-105"/>
        </w:rPr>
        <w:t>）</w:t>
      </w:r>
      <w:r>
        <w:rPr/>
        <w:t>《关</w:t>
      </w:r>
      <w:r>
        <w:rPr>
          <w:spacing w:val="-2"/>
        </w:rPr>
        <w:t>于</w:t>
      </w:r>
      <w:r>
        <w:rPr/>
        <w:t>公司高管层</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9 </w:t>
      </w:r>
      <w:r>
        <w:rPr/>
        <w:t>年度薪</w:t>
      </w:r>
      <w:r>
        <w:rPr>
          <w:spacing w:val="-2"/>
        </w:rPr>
        <w:t>酬</w:t>
      </w:r>
      <w:r>
        <w:rPr/>
        <w:t>考核和</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年度业绩考核目标的议案</w:t>
      </w:r>
      <w:r>
        <w:rPr>
          <w:spacing w:val="-105"/>
        </w:rPr>
        <w:t>》</w:t>
      </w:r>
      <w:r>
        <w:rPr/>
        <w:t>；</w:t>
      </w:r>
    </w:p>
    <w:p>
      <w:pPr>
        <w:pStyle w:val="BodyText"/>
        <w:spacing w:line="280" w:lineRule="auto" w:before="49"/>
        <w:ind w:right="203" w:firstLine="419"/>
        <w:jc w:val="left"/>
      </w:pPr>
      <w:r>
        <w:rPr/>
        <w:t>（</w:t>
      </w:r>
      <w:r>
        <w:rPr>
          <w:rFonts w:ascii="Times New Roman" w:hAnsi="Times New Roman" w:cs="Times New Roman" w:eastAsia="Times New Roman" w:hint="default"/>
        </w:rPr>
        <w:t>9</w:t>
      </w:r>
      <w:r>
        <w:rPr>
          <w:spacing w:val="-105"/>
        </w:rPr>
        <w:t>）</w:t>
      </w:r>
      <w:r>
        <w:rPr/>
        <w:t>《关于</w:t>
      </w:r>
      <w:r>
        <w:rPr>
          <w:spacing w:val="-48"/>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010</w:t>
      </w:r>
      <w:r>
        <w:rPr>
          <w:rFonts w:ascii="Times New Roman" w:hAnsi="Times New Roman" w:cs="Times New Roman" w:eastAsia="Times New Roman" w:hint="default"/>
          <w:spacing w:val="5"/>
        </w:rPr>
        <w:t> </w:t>
      </w:r>
      <w:r>
        <w:rPr/>
        <w:t>年公司</w:t>
      </w:r>
      <w:r>
        <w:rPr>
          <w:spacing w:val="-2"/>
        </w:rPr>
        <w:t>向</w:t>
      </w:r>
      <w:r>
        <w:rPr/>
        <w:t>广州海格机械有限公司购买部分原材料之日常关联交易的议</w:t>
      </w:r>
      <w:r>
        <w:rPr/>
        <w:t> 案</w:t>
      </w:r>
      <w:r>
        <w:rPr>
          <w:spacing w:val="-105"/>
        </w:rPr>
        <w:t>》</w:t>
      </w:r>
      <w:r>
        <w:rPr/>
        <w:t>；</w:t>
      </w:r>
    </w:p>
    <w:p>
      <w:pPr>
        <w:pStyle w:val="BodyText"/>
        <w:spacing w:line="240" w:lineRule="auto" w:before="30"/>
        <w:ind w:left="560" w:right="0"/>
        <w:jc w:val="left"/>
      </w:pPr>
      <w:r>
        <w:rPr>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spacing w:val="-105"/>
        </w:rPr>
        <w:t>）</w:t>
      </w:r>
      <w:r>
        <w:rPr/>
        <w:t>《关</w:t>
      </w:r>
      <w:r>
        <w:rPr>
          <w:spacing w:val="-2"/>
        </w:rPr>
        <w:t>于</w:t>
      </w:r>
      <w:r>
        <w:rPr/>
        <w:t>公司与广州广电物业管理有限公司签订</w:t>
      </w:r>
      <w:r>
        <w:rPr>
          <w:rFonts w:ascii="Times New Roman" w:hAnsi="Times New Roman" w:cs="Times New Roman" w:eastAsia="Times New Roman" w:hint="default"/>
        </w:rPr>
        <w:t>&lt;</w:t>
      </w:r>
      <w:r>
        <w:rPr/>
        <w:t>物业服务合同</w:t>
      </w:r>
      <w:r>
        <w:rPr>
          <w:rFonts w:ascii="Times New Roman" w:hAnsi="Times New Roman" w:cs="Times New Roman" w:eastAsia="Times New Roman" w:hint="default"/>
        </w:rPr>
        <w:t>&gt;</w:t>
      </w:r>
      <w:r>
        <w:rPr/>
        <w:t>的议案》</w:t>
      </w:r>
    </w:p>
    <w:p>
      <w:pPr>
        <w:spacing w:after="0" w:line="240"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40" w:lineRule="auto" w:before="35"/>
        <w:ind w:left="560" w:right="0"/>
        <w:jc w:val="left"/>
      </w:pPr>
      <w:r>
        <w:rPr>
          <w:spacing w:val="18"/>
        </w:rPr>
        <w:t>本次会</w:t>
      </w:r>
      <w:r>
        <w:rPr>
          <w:spacing w:val="-75"/>
        </w:rPr>
        <w:t> </w:t>
      </w:r>
      <w:r>
        <w:rPr>
          <w:spacing w:val="14"/>
        </w:rPr>
        <w:t>议决</w:t>
      </w:r>
      <w:r>
        <w:rPr>
          <w:spacing w:val="-75"/>
        </w:rPr>
        <w:t> </w:t>
      </w:r>
      <w:r>
        <w:rPr>
          <w:spacing w:val="21"/>
        </w:rPr>
        <w:t>议刊登在</w:t>
      </w:r>
      <w:r>
        <w:rPr>
          <w:spacing w:val="29"/>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30"/>
        </w:rPr>
        <w:t> </w:t>
      </w:r>
      <w:r>
        <w:rPr/>
        <w:t>年</w:t>
      </w:r>
      <w:r>
        <w:rPr>
          <w:spacing w:val="29"/>
        </w:rPr>
        <w:t> </w:t>
      </w:r>
      <w:r>
        <w:rPr>
          <w:rFonts w:ascii="Times New Roman" w:hAnsi="Times New Roman" w:cs="Times New Roman" w:eastAsia="Times New Roman" w:hint="default"/>
        </w:rPr>
        <w:t>3 </w:t>
      </w:r>
      <w:r>
        <w:rPr>
          <w:rFonts w:ascii="Times New Roman" w:hAnsi="Times New Roman" w:cs="Times New Roman" w:eastAsia="Times New Roman" w:hint="default"/>
          <w:spacing w:val="29"/>
        </w:rPr>
        <w:t> </w:t>
      </w:r>
      <w:r>
        <w:rPr/>
        <w:t>月</w:t>
      </w:r>
      <w:r>
        <w:rPr>
          <w:spacing w:val="29"/>
        </w:rPr>
        <w:t> </w:t>
      </w:r>
      <w:r>
        <w:rPr>
          <w:rFonts w:ascii="Times New Roman" w:hAnsi="Times New Roman" w:cs="Times New Roman" w:eastAsia="Times New Roman" w:hint="default"/>
        </w:rPr>
        <w:t>31 </w:t>
      </w:r>
      <w:r>
        <w:rPr>
          <w:rFonts w:ascii="Times New Roman" w:hAnsi="Times New Roman" w:cs="Times New Roman" w:eastAsia="Times New Roman" w:hint="default"/>
          <w:spacing w:val="30"/>
        </w:rPr>
        <w:t> </w:t>
      </w:r>
      <w:r>
        <w:rPr>
          <w:spacing w:val="22"/>
        </w:rPr>
        <w:t>日《证券时</w:t>
      </w:r>
      <w:r>
        <w:rPr>
          <w:spacing w:val="-75"/>
        </w:rPr>
        <w:t> </w:t>
      </w:r>
      <w:r>
        <w:rPr>
          <w:spacing w:val="14"/>
        </w:rPr>
        <w:t>报》</w:t>
      </w:r>
      <w:r>
        <w:rPr>
          <w:spacing w:val="-75"/>
        </w:rPr>
        <w:t> </w:t>
      </w:r>
      <w:r>
        <w:rPr>
          <w:spacing w:val="18"/>
        </w:rPr>
        <w:t>及指定</w:t>
      </w:r>
      <w:r>
        <w:rPr>
          <w:spacing w:val="-75"/>
        </w:rPr>
        <w:t> </w:t>
      </w:r>
      <w:r>
        <w:rPr>
          <w:spacing w:val="14"/>
        </w:rPr>
        <w:t>信息</w:t>
      </w:r>
      <w:r>
        <w:rPr>
          <w:spacing w:val="-75"/>
        </w:rPr>
        <w:t> </w:t>
      </w:r>
      <w:r>
        <w:rPr>
          <w:spacing w:val="21"/>
        </w:rPr>
        <w:t>披露网站</w:t>
      </w:r>
      <w:r>
        <w:rPr>
          <w:spacing w:val="-77"/>
        </w:rPr>
        <w:t> </w:t>
      </w:r>
      <w:r>
        <w:rPr/>
      </w:r>
    </w:p>
    <w:p>
      <w:pPr>
        <w:pStyle w:val="BodyText"/>
        <w:spacing w:line="240" w:lineRule="auto" w:before="50"/>
        <w:ind w:left="139" w:right="0"/>
        <w:jc w:val="both"/>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24"/>
        </w:rPr>
        <w:t> </w:t>
      </w:r>
      <w:r>
        <w:rPr/>
        <w:t>上。</w:t>
      </w:r>
    </w:p>
    <w:p>
      <w:pPr>
        <w:pStyle w:val="BodyText"/>
        <w:spacing w:line="240" w:lineRule="auto" w:before="49"/>
        <w:ind w:left="559" w:right="0"/>
        <w:jc w:val="left"/>
      </w:pPr>
      <w:r>
        <w:rPr>
          <w:rFonts w:ascii="Times New Roman" w:hAnsi="Times New Roman" w:cs="Times New Roman" w:eastAsia="Times New Roman" w:hint="default"/>
        </w:rPr>
        <w:t>2</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日组织召开了第二届监事会第七次（临时）会议，会议内容</w:t>
      </w:r>
    </w:p>
    <w:p>
      <w:pPr>
        <w:pStyle w:val="BodyText"/>
        <w:spacing w:line="280" w:lineRule="auto" w:before="50"/>
        <w:ind w:left="139" w:right="207"/>
        <w:jc w:val="left"/>
      </w:pPr>
      <w:r>
        <w:rPr>
          <w:spacing w:val="-4"/>
        </w:rPr>
        <w:t>仅审议通过《关于</w:t>
      </w:r>
      <w:r>
        <w:rPr>
          <w:spacing w:val="-48"/>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spacing w:val="-6"/>
        </w:rPr>
        <w:t>年第一季度报告的议案》，按深圳证券交易所的有关规定，会议决议</w:t>
      </w:r>
      <w:r>
        <w:rPr/>
        <w:t> 未单独公告，备案于公司证券部。</w:t>
      </w:r>
    </w:p>
    <w:p>
      <w:pPr>
        <w:pStyle w:val="BodyText"/>
        <w:spacing w:line="240" w:lineRule="auto" w:before="29"/>
        <w:ind w:left="559" w:right="0"/>
        <w:jc w:val="left"/>
      </w:pPr>
      <w:r>
        <w:rPr>
          <w:rFonts w:ascii="Times New Roman" w:hAnsi="Times New Roman" w:cs="Times New Roman" w:eastAsia="Times New Roman" w:hint="default"/>
        </w:rPr>
        <w:t>3</w:t>
      </w:r>
      <w:r>
        <w:rPr/>
        <w:t>、公司于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日组织召开了第二届监事会第八次会议，会议内容仅审议通</w:t>
      </w:r>
    </w:p>
    <w:p>
      <w:pPr>
        <w:pStyle w:val="BodyText"/>
        <w:spacing w:line="280" w:lineRule="auto" w:before="50"/>
        <w:ind w:left="139" w:right="212"/>
        <w:jc w:val="left"/>
      </w:pPr>
      <w:r>
        <w:rPr>
          <w:spacing w:val="-6"/>
        </w:rPr>
        <w:t>过《关于公司</w:t>
      </w:r>
      <w:r>
        <w:rPr>
          <w:spacing w:val="-43"/>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0"/>
        </w:rPr>
        <w:t> </w:t>
      </w:r>
      <w:r>
        <w:rPr>
          <w:spacing w:val="-6"/>
        </w:rPr>
        <w:t>年半年度报告的议案》，按深圳证券交易所的有关规定，会议决议未单独</w:t>
      </w:r>
      <w:r>
        <w:rPr>
          <w:spacing w:val="-102"/>
        </w:rPr>
        <w:t> </w:t>
      </w:r>
      <w:r>
        <w:rPr>
          <w:spacing w:val="-102"/>
        </w:rPr>
      </w:r>
      <w:r>
        <w:rPr/>
        <w:t>公告，备案于公司证券部。</w:t>
      </w:r>
    </w:p>
    <w:p>
      <w:pPr>
        <w:pStyle w:val="BodyText"/>
        <w:spacing w:line="240" w:lineRule="auto" w:before="30"/>
        <w:ind w:left="559" w:right="0"/>
        <w:jc w:val="left"/>
      </w:pPr>
      <w:r>
        <w:rPr>
          <w:rFonts w:ascii="Times New Roman" w:hAnsi="Times New Roman" w:cs="Times New Roman" w:eastAsia="Times New Roman" w:hint="default"/>
          <w:spacing w:val="-5"/>
        </w:rPr>
        <w:t>4</w:t>
      </w:r>
      <w:r>
        <w:rPr>
          <w:spacing w:val="-5"/>
        </w:rPr>
        <w:t>、公司于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 </w:t>
      </w:r>
      <w:r>
        <w:rPr/>
        <w:t>月</w:t>
      </w:r>
      <w:r>
        <w:rPr>
          <w:spacing w:val="-54"/>
        </w:rPr>
        <w:t> </w:t>
      </w:r>
      <w:r>
        <w:rPr>
          <w:rFonts w:ascii="Times New Roman" w:hAnsi="Times New Roman" w:cs="Times New Roman" w:eastAsia="Times New Roman" w:hint="default"/>
        </w:rPr>
        <w:t>27 </w:t>
      </w:r>
      <w:r>
        <w:rPr>
          <w:spacing w:val="-3"/>
        </w:rPr>
        <w:t>日组织召开了第二届监事会第九次（临时）会议，会议内容</w:t>
      </w:r>
    </w:p>
    <w:p>
      <w:pPr>
        <w:pStyle w:val="BodyText"/>
        <w:spacing w:line="280" w:lineRule="auto" w:before="49"/>
        <w:ind w:left="139" w:right="207"/>
        <w:jc w:val="left"/>
      </w:pPr>
      <w:r>
        <w:rPr>
          <w:spacing w:val="-4"/>
        </w:rPr>
        <w:t>仅审议通过《关于</w:t>
      </w:r>
      <w:r>
        <w:rPr>
          <w:spacing w:val="-48"/>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spacing w:val="-6"/>
        </w:rPr>
        <w:t>年第三季度报告的议案》，按深圳证券交易所的有关规定，会议决议</w:t>
      </w:r>
      <w:r>
        <w:rPr/>
        <w:t> 未单独公告，备案于公司证券部。</w:t>
      </w:r>
    </w:p>
    <w:p>
      <w:pPr>
        <w:spacing w:line="240" w:lineRule="auto" w:before="0"/>
        <w:rPr>
          <w:rFonts w:ascii="宋体" w:hAnsi="宋体" w:cs="宋体" w:eastAsia="宋体" w:hint="default"/>
          <w:sz w:val="25"/>
          <w:szCs w:val="25"/>
        </w:rPr>
      </w:pPr>
    </w:p>
    <w:p>
      <w:pPr>
        <w:pStyle w:val="Heading3"/>
        <w:spacing w:line="240" w:lineRule="auto"/>
        <w:ind w:right="0"/>
        <w:jc w:val="both"/>
        <w:rPr>
          <w:b w:val="0"/>
          <w:bCs w:val="0"/>
        </w:rPr>
      </w:pPr>
      <w:r>
        <w:rPr/>
        <w:t>二、监事会对有关事项发表的独立意见</w:t>
      </w:r>
      <w:r>
        <w:rPr>
          <w:b w:val="0"/>
          <w:bCs w:val="0"/>
        </w:rPr>
      </w:r>
    </w:p>
    <w:p>
      <w:pPr>
        <w:pStyle w:val="BodyText"/>
        <w:spacing w:line="288" w:lineRule="auto" w:before="121"/>
        <w:ind w:right="217" w:firstLine="421"/>
        <w:jc w:val="both"/>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3"/>
        </w:rPr>
        <w:t> </w:t>
      </w:r>
      <w:r>
        <w:rPr>
          <w:spacing w:val="-6"/>
        </w:rPr>
        <w:t>年，公司监事会严格按照《公司法》、《公司章程》等的规定，认真履行监事会职</w:t>
      </w:r>
      <w:r>
        <w:rPr/>
        <w:t> </w:t>
      </w:r>
      <w:r>
        <w:rPr>
          <w:spacing w:val="-3"/>
        </w:rPr>
        <w:t>责，切实维护公司和全体股东利益，对公司的经营管理、财务状况、内部控制等事项进行了</w:t>
      </w:r>
      <w:r>
        <w:rPr>
          <w:spacing w:val="-80"/>
        </w:rPr>
        <w:t> </w:t>
      </w:r>
      <w:r>
        <w:rPr>
          <w:spacing w:val="-80"/>
        </w:rPr>
      </w:r>
      <w:r>
        <w:rPr/>
        <w:t>全面的监督、检查和审核，认为：</w:t>
      </w:r>
    </w:p>
    <w:p>
      <w:pPr>
        <w:pStyle w:val="BodyText"/>
        <w:spacing w:line="460" w:lineRule="exact" w:before="21"/>
        <w:ind w:left="560" w:right="0" w:hanging="105"/>
        <w:jc w:val="left"/>
      </w:pPr>
      <w:r>
        <w:rPr/>
        <w:t>（一）公司依法运作情况 </w:t>
      </w:r>
      <w:r>
        <w:rPr>
          <w:spacing w:val="-3"/>
        </w:rPr>
        <w:t>公司严格按照有关法律法规及《公司章程》等规定日常依法运营，重大事项决策依据充</w:t>
      </w:r>
    </w:p>
    <w:p>
      <w:pPr>
        <w:pStyle w:val="BodyText"/>
        <w:spacing w:line="297" w:lineRule="auto" w:before="3"/>
        <w:ind w:right="216"/>
        <w:jc w:val="both"/>
      </w:pPr>
      <w:r>
        <w:rPr>
          <w:spacing w:val="-3"/>
        </w:rPr>
        <w:t>分，决策程序合法有效；公司不断完善治理结构，并结合实际情况不断健全完善内部控制制</w:t>
      </w:r>
      <w:r>
        <w:rPr>
          <w:spacing w:val="-81"/>
        </w:rPr>
        <w:t> </w:t>
      </w:r>
      <w:r>
        <w:rPr>
          <w:spacing w:val="-81"/>
        </w:rPr>
      </w:r>
      <w:r>
        <w:rPr>
          <w:spacing w:val="-3"/>
        </w:rPr>
        <w:t>度；三会运作规范、决策合理、程序合法，董事会认真执行东大会的各项决议，忠实履行诚</w:t>
      </w:r>
      <w:r>
        <w:rPr>
          <w:spacing w:val="-84"/>
        </w:rPr>
        <w:t> </w:t>
      </w:r>
      <w:r>
        <w:rPr>
          <w:spacing w:val="-84"/>
        </w:rPr>
      </w:r>
      <w:r>
        <w:rPr>
          <w:spacing w:val="-3"/>
        </w:rPr>
        <w:t>信义务；公司董事、高级管理人员尽职履责，不存在违反有关法律法规及《公司章程》或损</w:t>
      </w:r>
      <w:r>
        <w:rPr>
          <w:spacing w:val="-84"/>
        </w:rPr>
        <w:t> </w:t>
      </w:r>
      <w:r>
        <w:rPr>
          <w:spacing w:val="-84"/>
        </w:rPr>
      </w:r>
      <w:r>
        <w:rPr/>
        <w:t>害公司利益的行为。</w:t>
      </w:r>
    </w:p>
    <w:p>
      <w:pPr>
        <w:pStyle w:val="BodyText"/>
        <w:spacing w:line="343" w:lineRule="auto" w:before="135"/>
        <w:ind w:left="560" w:right="0" w:firstLine="1"/>
        <w:jc w:val="left"/>
      </w:pPr>
      <w:r>
        <w:rPr/>
        <w:t>（二）检查公司财务的情况 </w:t>
      </w:r>
      <w:r>
        <w:rPr>
          <w:spacing w:val="-3"/>
        </w:rPr>
        <w:t>公司设有独立的财务部门，建有独立的财务账册进行独立核算，公司财务制度健全，内</w:t>
      </w:r>
    </w:p>
    <w:p>
      <w:pPr>
        <w:pStyle w:val="BodyText"/>
        <w:spacing w:line="249" w:lineRule="exact"/>
        <w:ind w:right="0"/>
        <w:jc w:val="both"/>
      </w:pPr>
      <w:r>
        <w:rPr>
          <w:spacing w:val="-3"/>
        </w:rPr>
        <w:t>控体系完善，财务运作规范，财务状况良好。财务报告真实、准确、客观地反映了公司的财</w:t>
      </w:r>
    </w:p>
    <w:p>
      <w:pPr>
        <w:pStyle w:val="BodyText"/>
        <w:spacing w:line="240" w:lineRule="auto" w:before="66"/>
        <w:ind w:right="0"/>
        <w:jc w:val="both"/>
      </w:pPr>
      <w:r>
        <w:rPr/>
        <w:t>务状况和经营成果。</w:t>
      </w:r>
    </w:p>
    <w:p>
      <w:pPr>
        <w:pStyle w:val="BodyText"/>
        <w:spacing w:line="460" w:lineRule="atLeast" w:before="1"/>
        <w:ind w:left="560" w:right="0" w:hanging="105"/>
        <w:jc w:val="left"/>
      </w:pPr>
      <w:r>
        <w:rPr/>
        <w:t>（三）检查内部控制的情况 </w:t>
      </w:r>
      <w:r>
        <w:rPr>
          <w:spacing w:val="-3"/>
        </w:rPr>
        <w:t>公司建立了较为完善的内部控制体系，能根据公司经营需要持续完善内控制度，并能得</w:t>
      </w:r>
    </w:p>
    <w:p>
      <w:pPr>
        <w:pStyle w:val="BodyText"/>
        <w:spacing w:line="297" w:lineRule="auto" w:before="66"/>
        <w:ind w:right="99"/>
        <w:jc w:val="left"/>
      </w:pPr>
      <w:r>
        <w:rPr>
          <w:spacing w:val="-3"/>
        </w:rPr>
        <w:t>到有效执行；内部控制体系符合国家相关法律法规要求以及公司实际需要，对公司经营管理</w:t>
      </w:r>
      <w:r>
        <w:rPr>
          <w:spacing w:val="-79"/>
        </w:rPr>
        <w:t> </w:t>
      </w:r>
      <w:r>
        <w:rPr>
          <w:spacing w:val="-79"/>
        </w:rPr>
      </w:r>
      <w:r>
        <w:rPr>
          <w:spacing w:val="-5"/>
        </w:rPr>
        <w:t>起到了较好的风险防范和控制作用。报告期内，公司不存在违反《企业内部控制基本规范》、</w:t>
      </w:r>
    </w:p>
    <w:p>
      <w:pPr>
        <w:pStyle w:val="BodyText"/>
        <w:spacing w:line="297" w:lineRule="auto" w:before="15"/>
        <w:ind w:right="104"/>
        <w:jc w:val="left"/>
      </w:pPr>
      <w:r>
        <w:rPr/>
        <w:t>《上市公司内部控制指引》及公司相关内控制度的情形。公司内部控制自我评价报告真实、 客观地反映了公司内部控制制度的建设及运行情况。</w:t>
      </w:r>
    </w:p>
    <w:p>
      <w:pPr>
        <w:pStyle w:val="BodyText"/>
        <w:spacing w:line="460" w:lineRule="exact" w:before="13"/>
        <w:ind w:left="560" w:right="0" w:hanging="105"/>
        <w:jc w:val="left"/>
      </w:pPr>
      <w:r>
        <w:rPr/>
        <w:t>（四）检查募集资金使用情况 </w:t>
      </w:r>
      <w:r>
        <w:rPr>
          <w:spacing w:val="-3"/>
        </w:rPr>
        <w:t>公司募集资金的管理能够严格按照《募集资金使用管理办法》的规定和要求执行，募集</w:t>
      </w:r>
    </w:p>
    <w:p>
      <w:pPr>
        <w:pStyle w:val="BodyText"/>
        <w:spacing w:line="240" w:lineRule="auto" w:before="2"/>
        <w:ind w:right="0"/>
        <w:jc w:val="both"/>
      </w:pPr>
      <w:r>
        <w:rPr/>
        <w:t>资金的实际使用去向合法、合规，未发现违反相关法律、法规及损害股东利益的行为。</w:t>
      </w:r>
    </w:p>
    <w:p>
      <w:pPr>
        <w:spacing w:line="240" w:lineRule="auto" w:before="3"/>
        <w:rPr>
          <w:rFonts w:ascii="宋体" w:hAnsi="宋体" w:cs="宋体" w:eastAsia="宋体" w:hint="default"/>
          <w:sz w:val="14"/>
          <w:szCs w:val="14"/>
        </w:rPr>
      </w:pPr>
    </w:p>
    <w:p>
      <w:pPr>
        <w:pStyle w:val="BodyText"/>
        <w:spacing w:line="403" w:lineRule="auto"/>
        <w:ind w:left="560" w:right="0"/>
        <w:jc w:val="left"/>
      </w:pPr>
      <w:r>
        <w:rPr/>
        <w:t>（五）关联交易情况 </w:t>
      </w:r>
      <w:r>
        <w:rPr>
          <w:spacing w:val="-3"/>
        </w:rPr>
        <w:t>公司发生的关联交易的决策程序符合有关法律法规、《公司章程》及公司有关制度的规</w:t>
      </w:r>
    </w:p>
    <w:p>
      <w:pPr>
        <w:spacing w:after="0" w:line="403" w:lineRule="auto"/>
        <w:jc w:val="left"/>
        <w:sectPr>
          <w:pgSz w:w="11910" w:h="16840"/>
          <w:pgMar w:header="0" w:footer="982" w:top="1100" w:bottom="1180" w:left="1660" w:right="1580"/>
        </w:sectPr>
      </w:pPr>
    </w:p>
    <w:p>
      <w:pPr>
        <w:spacing w:line="240" w:lineRule="auto" w:before="1"/>
        <w:rPr>
          <w:rFonts w:ascii="宋体" w:hAnsi="宋体" w:cs="宋体" w:eastAsia="宋体" w:hint="default"/>
          <w:sz w:val="19"/>
          <w:szCs w:val="19"/>
        </w:rPr>
      </w:pPr>
    </w:p>
    <w:p>
      <w:pPr>
        <w:pStyle w:val="BodyText"/>
        <w:spacing w:line="297" w:lineRule="auto" w:before="35"/>
        <w:ind w:left="1200" w:right="0"/>
        <w:jc w:val="left"/>
      </w:pPr>
      <w:r>
        <w:rPr>
          <w:spacing w:val="-3"/>
        </w:rPr>
        <w:t>定，根据公司实际经营情况需要，依据双方互利、等价有偿、公允市价的原则定价，价格公</w:t>
      </w:r>
      <w:r>
        <w:rPr>
          <w:spacing w:val="-84"/>
        </w:rPr>
        <w:t> </w:t>
      </w:r>
      <w:r>
        <w:rPr>
          <w:spacing w:val="-84"/>
        </w:rPr>
      </w:r>
      <w:r>
        <w:rPr/>
        <w:t>允，没有违反公开、公平、公正的原则，不存在损害公司和中小股东利益的情形。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0"/>
        <w:ind w:left="4298" w:right="0"/>
        <w:jc w:val="left"/>
        <w:rPr>
          <w:b w:val="0"/>
          <w:bCs w:val="0"/>
        </w:rPr>
      </w:pPr>
      <w:bookmarkStart w:name="_TOC_250002" w:id="9"/>
      <w:r>
        <w:rPr/>
        <w:t>第九节</w:t>
      </w:r>
      <w:r>
        <w:rPr>
          <w:spacing w:val="-4"/>
        </w:rPr>
        <w:t> </w:t>
      </w:r>
      <w:r>
        <w:rPr/>
        <w:t>重要事项</w:t>
      </w:r>
      <w:bookmarkEnd w:id="9"/>
      <w:r>
        <w:rPr>
          <w:b w:val="0"/>
          <w:bCs w:val="0"/>
        </w:rPr>
      </w:r>
    </w:p>
    <w:p>
      <w:pPr>
        <w:spacing w:line="240" w:lineRule="auto" w:before="6"/>
        <w:rPr>
          <w:rFonts w:ascii="宋体" w:hAnsi="宋体" w:cs="宋体" w:eastAsia="宋体" w:hint="default"/>
          <w:b/>
          <w:bCs/>
          <w:sz w:val="38"/>
          <w:szCs w:val="38"/>
        </w:rPr>
      </w:pPr>
    </w:p>
    <w:p>
      <w:pPr>
        <w:pStyle w:val="Heading3"/>
        <w:spacing w:line="388" w:lineRule="auto"/>
        <w:ind w:left="1200" w:right="0"/>
        <w:jc w:val="left"/>
        <w:rPr>
          <w:b w:val="0"/>
          <w:bCs w:val="0"/>
        </w:rPr>
      </w:pPr>
      <w:r>
        <w:rPr/>
        <w:t>一、报告期内，公司无重大诉讼、仲裁事项。</w:t>
      </w:r>
      <w:r>
        <w:rPr>
          <w:spacing w:val="1"/>
          <w:w w:val="99"/>
        </w:rPr>
        <w:t> </w:t>
      </w:r>
      <w:r>
        <w:rPr/>
        <w:t>二、报告期内，公司未发生破产重整等相关事项。</w:t>
      </w:r>
      <w:r>
        <w:rPr>
          <w:b w:val="0"/>
          <w:bCs w:val="0"/>
        </w:rPr>
      </w:r>
    </w:p>
    <w:p>
      <w:pPr>
        <w:spacing w:line="297" w:lineRule="auto" w:before="46"/>
        <w:ind w:left="1200" w:right="0" w:firstLine="0"/>
        <w:jc w:val="left"/>
        <w:rPr>
          <w:rFonts w:ascii="宋体" w:hAnsi="宋体" w:cs="宋体" w:eastAsia="宋体" w:hint="default"/>
          <w:sz w:val="24"/>
          <w:szCs w:val="24"/>
        </w:rPr>
      </w:pPr>
      <w:r>
        <w:rPr>
          <w:rFonts w:ascii="宋体" w:hAnsi="宋体" w:cs="宋体" w:eastAsia="宋体" w:hint="default"/>
          <w:b/>
          <w:bCs/>
          <w:spacing w:val="4"/>
          <w:w w:val="95"/>
          <w:sz w:val="24"/>
          <w:szCs w:val="24"/>
        </w:rPr>
        <w:t>三、报告期末，公司持有其他上市公司股权、参股商业银行、证券公司、保险</w:t>
      </w:r>
      <w:r>
        <w:rPr>
          <w:rFonts w:ascii="宋体" w:hAnsi="宋体" w:cs="宋体" w:eastAsia="宋体" w:hint="default"/>
          <w:b/>
          <w:bCs/>
          <w:spacing w:val="24"/>
          <w:w w:val="95"/>
          <w:sz w:val="24"/>
          <w:szCs w:val="24"/>
        </w:rPr>
        <w:t> </w:t>
      </w:r>
      <w:r>
        <w:rPr>
          <w:rFonts w:ascii="宋体" w:hAnsi="宋体" w:cs="宋体" w:eastAsia="宋体" w:hint="default"/>
          <w:b/>
          <w:bCs/>
          <w:sz w:val="24"/>
          <w:szCs w:val="24"/>
        </w:rPr>
        <w:t>公司、信托公司和期货公司等事项</w:t>
      </w:r>
      <w:r>
        <w:rPr>
          <w:rFonts w:ascii="宋体" w:hAnsi="宋体" w:cs="宋体" w:eastAsia="宋体" w:hint="default"/>
          <w:sz w:val="24"/>
          <w:szCs w:val="24"/>
        </w:rPr>
      </w:r>
    </w:p>
    <w:p>
      <w:pPr>
        <w:pStyle w:val="BodyText"/>
        <w:spacing w:line="240" w:lineRule="auto" w:before="141"/>
        <w:ind w:left="1480" w:right="0"/>
        <w:jc w:val="left"/>
      </w:pPr>
      <w:r>
        <w:rPr>
          <w:rFonts w:ascii="Times New Roman" w:hAnsi="Times New Roman" w:cs="Times New Roman" w:eastAsia="Times New Roman" w:hint="default"/>
        </w:rPr>
        <w:t>1</w:t>
      </w:r>
      <w:r>
        <w:rPr/>
        <w:t>、报告期末，公司未参股商业银行、证券公司、保险公司、信托公司和期货公司等。</w:t>
      </w:r>
    </w:p>
    <w:p>
      <w:pPr>
        <w:spacing w:line="240" w:lineRule="auto" w:before="5"/>
        <w:rPr>
          <w:rFonts w:ascii="宋体" w:hAnsi="宋体" w:cs="宋体" w:eastAsia="宋体" w:hint="default"/>
          <w:sz w:val="14"/>
          <w:szCs w:val="14"/>
        </w:rPr>
      </w:pPr>
    </w:p>
    <w:p>
      <w:pPr>
        <w:pStyle w:val="BodyText"/>
        <w:spacing w:line="282" w:lineRule="exact" w:before="35"/>
        <w:ind w:left="1515" w:right="0"/>
        <w:jc w:val="left"/>
      </w:pPr>
      <w:r>
        <w:rPr>
          <w:rFonts w:ascii="Times New Roman" w:hAnsi="Times New Roman" w:cs="Times New Roman" w:eastAsia="Times New Roman" w:hint="default"/>
        </w:rPr>
        <w:t>2</w:t>
      </w:r>
      <w:r>
        <w:rPr/>
        <w:t>、报告期末，公司持有其他上市公司股权情况如下：</w:t>
      </w:r>
    </w:p>
    <w:p>
      <w:pPr>
        <w:pStyle w:val="BodyText"/>
        <w:spacing w:line="266" w:lineRule="exact"/>
        <w:ind w:left="0" w:right="1217"/>
        <w:jc w:val="right"/>
      </w:pPr>
      <w:r>
        <w:rPr/>
        <w:t>单位</w:t>
      </w:r>
      <w:r>
        <w:rPr>
          <w:spacing w:val="-94"/>
        </w:rPr>
        <w:t>：</w:t>
      </w:r>
      <w:r>
        <w:rPr/>
        <w:t>人</w:t>
      </w:r>
      <w:r>
        <w:rPr>
          <w:spacing w:val="1"/>
        </w:rPr>
        <w:t>民币元</w:t>
      </w:r>
      <w:r>
        <w:rPr/>
      </w:r>
    </w:p>
    <w:p>
      <w:pPr>
        <w:spacing w:line="240" w:lineRule="auto" w:before="4"/>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1012"/>
        <w:gridCol w:w="780"/>
        <w:gridCol w:w="1456"/>
        <w:gridCol w:w="1170"/>
        <w:gridCol w:w="1454"/>
        <w:gridCol w:w="960"/>
        <w:gridCol w:w="1560"/>
        <w:gridCol w:w="1200"/>
        <w:gridCol w:w="900"/>
      </w:tblGrid>
      <w:tr>
        <w:trPr>
          <w:trHeight w:val="554" w:hRule="exact"/>
        </w:trPr>
        <w:tc>
          <w:tcPr>
            <w:tcW w:w="10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90"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4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59" w:right="0"/>
              <w:jc w:val="left"/>
              <w:rPr>
                <w:rFonts w:ascii="宋体" w:hAnsi="宋体" w:cs="宋体" w:eastAsia="宋体" w:hint="default"/>
                <w:sz w:val="21"/>
                <w:szCs w:val="21"/>
              </w:rPr>
            </w:pPr>
            <w:r>
              <w:rPr>
                <w:rFonts w:ascii="宋体" w:hAnsi="宋体" w:cs="宋体" w:eastAsia="宋体" w:hint="default"/>
                <w:sz w:val="21"/>
                <w:szCs w:val="21"/>
              </w:rPr>
              <w:t>占该公司</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股权比例</w:t>
            </w:r>
          </w:p>
        </w:tc>
        <w:tc>
          <w:tcPr>
            <w:tcW w:w="14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9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报告期所有者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权益变动</w:t>
            </w:r>
          </w:p>
        </w:tc>
        <w:tc>
          <w:tcPr>
            <w:tcW w:w="1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会计核算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来源</w:t>
            </w:r>
          </w:p>
        </w:tc>
      </w:tr>
      <w:tr>
        <w:trPr>
          <w:trHeight w:val="554" w:hRule="exact"/>
        </w:trPr>
        <w:tc>
          <w:tcPr>
            <w:tcW w:w="17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GRG</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6,616,010.69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8.40</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15,823,315.12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9,207,304.43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可供出售</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投资及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认购</w:t>
            </w:r>
          </w:p>
        </w:tc>
      </w:tr>
      <w:tr>
        <w:trPr>
          <w:trHeight w:val="282" w:hRule="exact"/>
        </w:trPr>
        <w:tc>
          <w:tcPr>
            <w:tcW w:w="17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6,616,010.69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8.40</w:t>
            </w:r>
            <w:r>
              <w:rPr>
                <w:rFonts w:ascii="宋体" w:hAnsi="宋体" w:cs="宋体" w:eastAsia="宋体" w:hint="default"/>
                <w:sz w:val="21"/>
                <w:szCs w:val="21"/>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15,823,315.12</w:t>
            </w:r>
          </w:p>
        </w:tc>
        <w:tc>
          <w:tcPr>
            <w:tcW w:w="9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9,207,304.43</w:t>
            </w:r>
          </w:p>
        </w:tc>
        <w:tc>
          <w:tcPr>
            <w:tcW w:w="12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388" w:lineRule="auto" w:before="26"/>
        <w:ind w:left="1200" w:right="2999"/>
        <w:jc w:val="left"/>
        <w:rPr>
          <w:b w:val="0"/>
          <w:bCs w:val="0"/>
        </w:rPr>
      </w:pPr>
      <w:r>
        <w:rPr/>
        <w:t>四、报告期内，公司未发生收购及出售资产、吸收合并事项。</w:t>
      </w:r>
      <w:r>
        <w:rPr>
          <w:spacing w:val="1"/>
          <w:w w:val="99"/>
        </w:rPr>
        <w:t> </w:t>
      </w:r>
      <w:r>
        <w:rPr/>
        <w:t>五、报告期内，公司未实施股权激励计划。</w:t>
      </w:r>
      <w:r>
        <w:rPr>
          <w:spacing w:val="1"/>
          <w:w w:val="99"/>
        </w:rPr>
        <w:t> </w:t>
      </w:r>
      <w:r>
        <w:rPr/>
        <w:t>六、报告期内重大关联交易事项</w:t>
      </w:r>
      <w:r>
        <w:rPr>
          <w:b w:val="0"/>
          <w:bCs w:val="0"/>
        </w:rPr>
      </w:r>
    </w:p>
    <w:p>
      <w:pPr>
        <w:pStyle w:val="BodyText"/>
        <w:spacing w:line="240" w:lineRule="auto" w:before="100"/>
        <w:ind w:left="1200" w:right="0"/>
        <w:jc w:val="left"/>
      </w:pPr>
      <w:r>
        <w:rPr/>
        <w:t>（一）报告期，采购货物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627" w:type="dxa"/>
        <w:tblLayout w:type="fixed"/>
        <w:tblCellMar>
          <w:top w:w="0" w:type="dxa"/>
          <w:left w:w="0" w:type="dxa"/>
          <w:bottom w:w="0" w:type="dxa"/>
          <w:right w:w="0" w:type="dxa"/>
        </w:tblCellMar>
        <w:tblLook w:val="01E0"/>
      </w:tblPr>
      <w:tblGrid>
        <w:gridCol w:w="2626"/>
        <w:gridCol w:w="1366"/>
        <w:gridCol w:w="1946"/>
        <w:gridCol w:w="1435"/>
        <w:gridCol w:w="2068"/>
      </w:tblGrid>
      <w:tr>
        <w:trPr>
          <w:trHeight w:val="324" w:hRule="exact"/>
        </w:trPr>
        <w:tc>
          <w:tcPr>
            <w:tcW w:w="262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9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3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640" w:hRule="exact"/>
        </w:trPr>
        <w:tc>
          <w:tcPr>
            <w:tcW w:w="2626"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2"/>
              <w:jc w:val="center"/>
              <w:rPr>
                <w:rFonts w:ascii="宋体" w:hAnsi="宋体" w:cs="宋体" w:eastAsia="宋体" w:hint="default"/>
                <w:sz w:val="21"/>
                <w:szCs w:val="21"/>
              </w:rPr>
            </w:pPr>
            <w:r>
              <w:rPr>
                <w:rFonts w:ascii="宋体" w:hAnsi="宋体" w:cs="宋体" w:eastAsia="宋体" w:hint="default"/>
                <w:b/>
                <w:bCs/>
                <w:spacing w:val="-2"/>
                <w:sz w:val="21"/>
                <w:szCs w:val="21"/>
              </w:rPr>
              <w:t>金额（万元）</w:t>
            </w:r>
            <w:r>
              <w:rPr>
                <w:rFonts w:ascii="宋体" w:hAnsi="宋体" w:cs="宋体" w:eastAsia="宋体" w:hint="default"/>
                <w:spacing w:val="-2"/>
                <w:sz w:val="21"/>
                <w:szCs w:val="21"/>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4" w:firstLine="21"/>
              <w:jc w:val="left"/>
              <w:rPr>
                <w:rFonts w:ascii="宋体" w:hAnsi="宋体" w:cs="宋体" w:eastAsia="宋体" w:hint="default"/>
                <w:sz w:val="21"/>
                <w:szCs w:val="21"/>
              </w:rPr>
            </w:pPr>
            <w:r>
              <w:rPr>
                <w:rFonts w:ascii="宋体" w:hAnsi="宋体" w:cs="宋体" w:eastAsia="宋体" w:hint="default"/>
                <w:b/>
                <w:bCs/>
                <w:sz w:val="21"/>
                <w:szCs w:val="21"/>
              </w:rPr>
              <w:t>占年度（同期）同</w:t>
            </w:r>
            <w:r>
              <w:rPr>
                <w:rFonts w:ascii="宋体" w:hAnsi="宋体" w:cs="宋体" w:eastAsia="宋体" w:hint="default"/>
                <w:b/>
                <w:bCs/>
                <w:spacing w:val="1"/>
                <w:w w:val="99"/>
                <w:sz w:val="21"/>
                <w:szCs w:val="21"/>
              </w:rPr>
              <w:t> </w:t>
            </w:r>
            <w:r>
              <w:rPr>
                <w:rFonts w:ascii="宋体" w:hAnsi="宋体" w:cs="宋体" w:eastAsia="宋体" w:hint="default"/>
                <w:b/>
                <w:bCs/>
                <w:spacing w:val="-7"/>
                <w:sz w:val="21"/>
                <w:szCs w:val="21"/>
              </w:rPr>
              <w:t>类交易百分比（％）</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 w:right="0"/>
              <w:jc w:val="center"/>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84" w:right="101" w:hanging="82"/>
              <w:jc w:val="left"/>
              <w:rPr>
                <w:rFonts w:ascii="宋体" w:hAnsi="宋体" w:cs="宋体" w:eastAsia="宋体" w:hint="default"/>
                <w:sz w:val="21"/>
                <w:szCs w:val="21"/>
              </w:rPr>
            </w:pPr>
            <w:r>
              <w:rPr>
                <w:rFonts w:ascii="宋体" w:hAnsi="宋体" w:cs="宋体" w:eastAsia="宋体" w:hint="default"/>
                <w:b/>
                <w:bCs/>
                <w:spacing w:val="-5"/>
                <w:sz w:val="21"/>
                <w:szCs w:val="21"/>
              </w:rPr>
              <w:t>占年度（同期）同类</w:t>
            </w:r>
            <w:r>
              <w:rPr>
                <w:rFonts w:ascii="宋体" w:hAnsi="宋体" w:cs="宋体" w:eastAsia="宋体" w:hint="default"/>
                <w:b/>
                <w:bCs/>
                <w:w w:val="99"/>
                <w:sz w:val="21"/>
                <w:szCs w:val="21"/>
              </w:rPr>
              <w:t> </w:t>
            </w:r>
            <w:r>
              <w:rPr>
                <w:rFonts w:ascii="宋体" w:hAnsi="宋体" w:cs="宋体" w:eastAsia="宋体" w:hint="default"/>
                <w:b/>
                <w:bCs/>
                <w:sz w:val="21"/>
                <w:szCs w:val="21"/>
              </w:rPr>
              <w:t>交易百分比（％）</w:t>
            </w:r>
            <w:r>
              <w:rPr>
                <w:rFonts w:ascii="宋体" w:hAnsi="宋体" w:cs="宋体" w:eastAsia="宋体" w:hint="default"/>
                <w:sz w:val="21"/>
                <w:szCs w:val="21"/>
              </w:rPr>
            </w:r>
          </w:p>
        </w:tc>
      </w:tr>
      <w:tr>
        <w:trPr>
          <w:trHeight w:val="401"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1,451.76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1.75</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618.52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0.87%</w:t>
            </w:r>
          </w:p>
        </w:tc>
      </w:tr>
      <w:tr>
        <w:trPr>
          <w:trHeight w:val="40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1,451.76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1.75</w:t>
            </w:r>
            <w:r>
              <w:rPr>
                <w:rFonts w:ascii="宋体" w:hAnsi="宋体" w:cs="宋体" w:eastAsia="宋体" w:hint="default"/>
                <w:sz w:val="21"/>
                <w:szCs w:val="21"/>
              </w:rPr>
              <w:t>％</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618.52</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0.87%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35"/>
        <w:ind w:left="1200" w:right="0"/>
        <w:jc w:val="left"/>
      </w:pPr>
      <w:r>
        <w:rPr/>
        <w:t>（二）房屋与场地租赁及管理</w:t>
      </w:r>
    </w:p>
    <w:p>
      <w:pPr>
        <w:spacing w:line="240" w:lineRule="auto" w:before="2"/>
        <w:rPr>
          <w:rFonts w:ascii="宋体" w:hAnsi="宋体" w:cs="宋体" w:eastAsia="宋体" w:hint="default"/>
          <w:sz w:val="14"/>
          <w:szCs w:val="14"/>
        </w:rPr>
      </w:pPr>
    </w:p>
    <w:p>
      <w:pPr>
        <w:pStyle w:val="BodyText"/>
        <w:spacing w:line="381" w:lineRule="auto"/>
        <w:ind w:left="1620" w:right="0" w:hanging="1"/>
        <w:jc w:val="left"/>
      </w:pPr>
      <w:r>
        <w:rPr>
          <w:rFonts w:ascii="Times New Roman" w:hAnsi="Times New Roman" w:cs="Times New Roman" w:eastAsia="Times New Roman" w:hint="default"/>
        </w:rPr>
        <w:t>1</w:t>
      </w:r>
      <w:r>
        <w:rPr/>
        <w:t>、无线电集团和广电物业的场地租赁和物业管理 </w:t>
      </w:r>
      <w:r>
        <w:rPr>
          <w:spacing w:val="-3"/>
        </w:rPr>
        <w:t>报告期，公司全资子公司深圳银通、控股子公司广州穗通部分生产经营用房继续向公司</w:t>
      </w:r>
    </w:p>
    <w:p>
      <w:pPr>
        <w:pStyle w:val="BodyText"/>
        <w:spacing w:line="217" w:lineRule="exact"/>
        <w:ind w:left="1200" w:right="0"/>
        <w:jc w:val="left"/>
      </w:pPr>
      <w:r>
        <w:rPr/>
        <w:t>控股股东广州无线电集团有限公司租用</w:t>
      </w:r>
      <w:r>
        <w:rPr>
          <w:spacing w:val="-94"/>
        </w:rPr>
        <w:t>，</w:t>
      </w:r>
      <w:r>
        <w:rPr/>
        <w:t>同时将从广州无线电集团有限公司租赁而来的场地</w:t>
      </w:r>
    </w:p>
    <w:p>
      <w:pPr>
        <w:spacing w:after="0" w:line="217" w:lineRule="exact"/>
        <w:jc w:val="left"/>
        <w:sectPr>
          <w:pgSz w:w="11910" w:h="16840"/>
          <w:pgMar w:header="0" w:footer="982" w:top="1100" w:bottom="1180" w:left="600" w:right="580"/>
        </w:sectPr>
      </w:pPr>
    </w:p>
    <w:p>
      <w:pPr>
        <w:spacing w:line="240" w:lineRule="auto" w:before="1"/>
        <w:rPr>
          <w:rFonts w:ascii="宋体" w:hAnsi="宋体" w:cs="宋体" w:eastAsia="宋体" w:hint="default"/>
          <w:sz w:val="19"/>
          <w:szCs w:val="19"/>
        </w:rPr>
      </w:pPr>
    </w:p>
    <w:p>
      <w:pPr>
        <w:pStyle w:val="BodyText"/>
        <w:spacing w:line="297" w:lineRule="auto" w:before="35"/>
        <w:ind w:right="0"/>
        <w:jc w:val="left"/>
      </w:pPr>
      <w:r>
        <w:rPr>
          <w:spacing w:val="2"/>
        </w:rPr>
        <w:t>物业继续委托给广州无线电集团有限公司参股公司广电物业及其子公司广州鑫广电物业服</w:t>
      </w:r>
      <w:r>
        <w:rPr>
          <w:spacing w:val="-85"/>
        </w:rPr>
        <w:t> </w:t>
      </w:r>
      <w:r>
        <w:rPr>
          <w:spacing w:val="-85"/>
        </w:rPr>
      </w:r>
      <w:r>
        <w:rPr/>
        <w:t>务有限公司进行管理。</w:t>
      </w:r>
    </w:p>
    <w:p>
      <w:pPr>
        <w:pStyle w:val="BodyText"/>
        <w:spacing w:line="240" w:lineRule="auto" w:before="134"/>
        <w:ind w:left="560" w:right="0"/>
        <w:jc w:val="left"/>
      </w:pPr>
      <w:r>
        <w:rPr>
          <w:rFonts w:ascii="Times New Roman" w:hAnsi="Times New Roman" w:cs="Times New Roman" w:eastAsia="Times New Roman" w:hint="default"/>
        </w:rPr>
        <w:t>2009 </w:t>
      </w:r>
      <w:r>
        <w:rPr/>
        <w:t>年度、</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年度的租金情况列示如下：</w:t>
      </w:r>
    </w:p>
    <w:p>
      <w:pPr>
        <w:pStyle w:val="BodyText"/>
        <w:spacing w:line="240" w:lineRule="auto" w:before="170"/>
        <w:ind w:left="0" w:right="846"/>
        <w:jc w:val="right"/>
      </w:pPr>
      <w:r>
        <w:rPr/>
        <w:t>单位：元</w:t>
      </w:r>
    </w:p>
    <w:p>
      <w:pPr>
        <w:spacing w:line="240" w:lineRule="auto" w:before="7"/>
        <w:rPr>
          <w:rFonts w:ascii="宋体" w:hAnsi="宋体" w:cs="宋体" w:eastAsia="宋体" w:hint="default"/>
          <w:sz w:val="2"/>
          <w:szCs w:val="2"/>
        </w:rPr>
      </w:pPr>
    </w:p>
    <w:tbl>
      <w:tblPr>
        <w:tblW w:w="0" w:type="auto"/>
        <w:jc w:val="left"/>
        <w:tblInd w:w="600" w:type="dxa"/>
        <w:tblLayout w:type="fixed"/>
        <w:tblCellMar>
          <w:top w:w="0" w:type="dxa"/>
          <w:left w:w="0" w:type="dxa"/>
          <w:bottom w:w="0" w:type="dxa"/>
          <w:right w:w="0" w:type="dxa"/>
        </w:tblCellMar>
        <w:tblLook w:val="01E0"/>
      </w:tblPr>
      <w:tblGrid>
        <w:gridCol w:w="2909"/>
        <w:gridCol w:w="1150"/>
        <w:gridCol w:w="1594"/>
        <w:gridCol w:w="1722"/>
      </w:tblGrid>
      <w:tr>
        <w:trPr>
          <w:trHeight w:val="282"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4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Times New Roman" w:hAnsi="Times New Roman" w:cs="Times New Roman" w:eastAsia="Times New Roman" w:hint="default"/>
                <w:sz w:val="21"/>
                <w:szCs w:val="21"/>
              </w:rPr>
            </w:pPr>
            <w:r>
              <w:rPr>
                <w:rFonts w:ascii="Times New Roman"/>
                <w:sz w:val="21"/>
              </w:rPr>
              <w:t>1,199,058.35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58" w:right="0"/>
              <w:jc w:val="left"/>
              <w:rPr>
                <w:rFonts w:ascii="Times New Roman" w:hAnsi="Times New Roman" w:cs="Times New Roman" w:eastAsia="Times New Roman" w:hint="default"/>
                <w:sz w:val="21"/>
                <w:szCs w:val="21"/>
              </w:rPr>
            </w:pPr>
            <w:r>
              <w:rPr>
                <w:rFonts w:ascii="Times New Roman"/>
                <w:sz w:val="21"/>
              </w:rPr>
              <w:t>2,375,791.40</w:t>
            </w:r>
          </w:p>
        </w:tc>
      </w:tr>
    </w:tbl>
    <w:p>
      <w:pPr>
        <w:spacing w:line="240" w:lineRule="auto" w:before="3"/>
        <w:rPr>
          <w:rFonts w:ascii="宋体" w:hAnsi="宋体" w:cs="宋体" w:eastAsia="宋体" w:hint="default"/>
          <w:sz w:val="22"/>
          <w:szCs w:val="22"/>
        </w:rPr>
      </w:pPr>
    </w:p>
    <w:p>
      <w:pPr>
        <w:pStyle w:val="BodyText"/>
        <w:spacing w:line="240" w:lineRule="auto" w:before="35"/>
        <w:ind w:left="560" w:right="0"/>
        <w:jc w:val="left"/>
      </w:pPr>
      <w:r>
        <w:rPr>
          <w:rFonts w:ascii="Times New Roman" w:hAnsi="Times New Roman" w:cs="Times New Roman" w:eastAsia="Times New Roman" w:hint="default"/>
        </w:rPr>
        <w:t>2009 </w:t>
      </w:r>
      <w:r>
        <w:rPr/>
        <w:t>年度、</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年度的物业管理费情况列示如下：</w:t>
      </w:r>
    </w:p>
    <w:p>
      <w:pPr>
        <w:spacing w:line="240" w:lineRule="auto" w:before="4"/>
        <w:rPr>
          <w:rFonts w:ascii="宋体" w:hAnsi="宋体" w:cs="宋体" w:eastAsia="宋体" w:hint="default"/>
          <w:sz w:val="10"/>
          <w:szCs w:val="10"/>
        </w:rPr>
      </w:pPr>
    </w:p>
    <w:p>
      <w:pPr>
        <w:pStyle w:val="BodyText"/>
        <w:spacing w:line="240" w:lineRule="auto" w:before="35"/>
        <w:ind w:left="0" w:right="846"/>
        <w:jc w:val="right"/>
      </w:pPr>
      <w:r>
        <w:rPr/>
        <w:t>单位：元</w:t>
      </w:r>
    </w:p>
    <w:p>
      <w:pPr>
        <w:spacing w:line="240" w:lineRule="auto" w:before="7"/>
        <w:rPr>
          <w:rFonts w:ascii="宋体" w:hAnsi="宋体" w:cs="宋体" w:eastAsia="宋体" w:hint="default"/>
          <w:sz w:val="2"/>
          <w:szCs w:val="2"/>
        </w:rPr>
      </w:pPr>
    </w:p>
    <w:tbl>
      <w:tblPr>
        <w:tblW w:w="0" w:type="auto"/>
        <w:jc w:val="left"/>
        <w:tblInd w:w="550" w:type="dxa"/>
        <w:tblLayout w:type="fixed"/>
        <w:tblCellMar>
          <w:top w:w="0" w:type="dxa"/>
          <w:left w:w="0" w:type="dxa"/>
          <w:bottom w:w="0" w:type="dxa"/>
          <w:right w:w="0" w:type="dxa"/>
        </w:tblCellMar>
        <w:tblLook w:val="01E0"/>
      </w:tblPr>
      <w:tblGrid>
        <w:gridCol w:w="2988"/>
        <w:gridCol w:w="1272"/>
        <w:gridCol w:w="1608"/>
        <w:gridCol w:w="1608"/>
      </w:tblGrid>
      <w:tr>
        <w:trPr>
          <w:trHeight w:val="282"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2"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5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7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1,477,642.10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1,292,133.89</w:t>
            </w:r>
          </w:p>
        </w:tc>
      </w:tr>
      <w:tr>
        <w:trPr>
          <w:trHeight w:val="37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363,266.76</w:t>
            </w:r>
            <w:r>
              <w:rPr>
                <w:rFonts w:ascii="Times New Roman"/>
                <w:sz w:val="21"/>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764,271.61</w:t>
            </w:r>
            <w:r>
              <w:rPr>
                <w:rFonts w:ascii="Times New Roman"/>
                <w:sz w:val="21"/>
              </w:rPr>
            </w:r>
          </w:p>
        </w:tc>
      </w:tr>
    </w:tbl>
    <w:p>
      <w:pPr>
        <w:spacing w:line="240" w:lineRule="auto" w:before="3"/>
        <w:rPr>
          <w:rFonts w:ascii="宋体" w:hAnsi="宋体" w:cs="宋体" w:eastAsia="宋体" w:hint="default"/>
          <w:sz w:val="22"/>
          <w:szCs w:val="22"/>
        </w:rPr>
      </w:pPr>
    </w:p>
    <w:p>
      <w:pPr>
        <w:pStyle w:val="BodyText"/>
        <w:spacing w:line="297" w:lineRule="auto" w:before="35"/>
        <w:ind w:right="104" w:firstLine="420"/>
        <w:jc w:val="left"/>
      </w:pPr>
      <w:r>
        <w:rPr>
          <w:spacing w:val="-3"/>
        </w:rPr>
        <w:t>上述关联交易的定价是根据租赁房屋所在地的市场价格，双方在自愿、平等、协商一致</w:t>
      </w:r>
      <w:r>
        <w:rPr/>
        <w:t> 的基础上确定的，价格公允合理，没有损害非关联方股东的利益，有利于公司的正常生产、 </w:t>
      </w:r>
      <w:r>
        <w:rPr>
          <w:spacing w:val="-3"/>
        </w:rPr>
        <w:t>办公和长期稳定发展。对于上述关联交易，公司严格履行必要的决策程序和审批手续，符合</w:t>
      </w:r>
    </w:p>
    <w:p>
      <w:pPr>
        <w:pStyle w:val="BodyText"/>
        <w:spacing w:line="391" w:lineRule="auto" w:before="14"/>
        <w:ind w:left="560" w:right="0" w:hanging="420"/>
        <w:jc w:val="left"/>
      </w:pPr>
      <w:r>
        <w:rPr>
          <w:spacing w:val="-6"/>
        </w:rPr>
        <w:t>《深圳证券交易所股票上市规则》、《公司章程》和《关联交易管理制度》的有关规定。</w:t>
      </w:r>
      <w:r>
        <w:rPr>
          <w:spacing w:val="-82"/>
        </w:rPr>
        <w:t> </w:t>
      </w:r>
      <w:r>
        <w:rPr>
          <w:spacing w:val="-82"/>
        </w:rPr>
      </w:r>
      <w:r>
        <w:rPr>
          <w:rFonts w:ascii="Times New Roman" w:hAnsi="Times New Roman" w:cs="Times New Roman" w:eastAsia="Times New Roman" w:hint="default"/>
        </w:rPr>
        <w:t>2</w:t>
      </w:r>
      <w:r>
        <w:rPr/>
        <w:t>、华颖宾馆和综合楼房租 </w:t>
      </w:r>
      <w:r>
        <w:rPr>
          <w:spacing w:val="2"/>
        </w:rPr>
        <w:t>公司按市场价格租用广州无线电集团有限公司下属二级核算单位广州无线电华颖宾馆</w:t>
      </w:r>
    </w:p>
    <w:p>
      <w:pPr>
        <w:pStyle w:val="BodyText"/>
        <w:spacing w:line="223" w:lineRule="exact"/>
        <w:ind w:right="0"/>
        <w:jc w:val="left"/>
      </w:pPr>
      <w:r>
        <w:rPr/>
        <w:t>房间和综合楼宿舍；</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年支付租赁费</w:t>
      </w:r>
      <w:r>
        <w:rPr>
          <w:spacing w:val="-56"/>
        </w:rPr>
        <w:t> </w:t>
      </w:r>
      <w:r>
        <w:rPr>
          <w:rFonts w:ascii="Times New Roman" w:hAnsi="Times New Roman" w:cs="Times New Roman" w:eastAsia="Times New Roman" w:hint="default"/>
        </w:rPr>
        <w:t>294,346.50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年支付租赁费</w:t>
      </w:r>
      <w:r>
        <w:rPr>
          <w:spacing w:val="-56"/>
        </w:rPr>
        <w:t> </w:t>
      </w:r>
      <w:r>
        <w:rPr>
          <w:rFonts w:ascii="Times New Roman" w:hAnsi="Times New Roman" w:cs="Times New Roman" w:eastAsia="Times New Roman" w:hint="default"/>
        </w:rPr>
        <w:t>288,720.00</w:t>
      </w:r>
      <w:r>
        <w:rPr>
          <w:rFonts w:ascii="Times New Roman" w:hAnsi="Times New Roman" w:cs="Times New Roman" w:eastAsia="Times New Roman" w:hint="default"/>
          <w:spacing w:val="-3"/>
        </w:rPr>
        <w:t> </w:t>
      </w:r>
      <w:r>
        <w:rPr/>
        <w:t>元。</w:t>
      </w:r>
    </w:p>
    <w:p>
      <w:pPr>
        <w:spacing w:line="240" w:lineRule="auto" w:before="6"/>
        <w:rPr>
          <w:rFonts w:ascii="宋体" w:hAnsi="宋体" w:cs="宋体" w:eastAsia="宋体" w:hint="default"/>
          <w:sz w:val="31"/>
          <w:szCs w:val="31"/>
        </w:rPr>
      </w:pPr>
    </w:p>
    <w:p>
      <w:pPr>
        <w:pStyle w:val="BodyText"/>
        <w:spacing w:line="343" w:lineRule="auto"/>
        <w:ind w:left="560" w:right="0" w:hanging="420"/>
        <w:jc w:val="left"/>
      </w:pPr>
      <w:r>
        <w:rPr/>
        <w:t>（三）报告期内公司与关联方关联债权、债务往来情况 </w:t>
      </w:r>
      <w:r>
        <w:rPr>
          <w:spacing w:val="-3"/>
        </w:rPr>
        <w:t>报告期内，公司未发生控股股东及其它关联方非经营性占用公司资金的情况。会计师事</w:t>
      </w:r>
    </w:p>
    <w:p>
      <w:pPr>
        <w:pStyle w:val="BodyText"/>
        <w:spacing w:line="251" w:lineRule="exact"/>
        <w:ind w:right="0"/>
        <w:jc w:val="left"/>
      </w:pPr>
      <w:r>
        <w:rPr/>
        <w:t>务所对公司与关联方资金往来情况出具</w:t>
      </w:r>
      <w:r>
        <w:rPr>
          <w:spacing w:val="-94"/>
        </w:rPr>
        <w:t>了</w:t>
      </w:r>
      <w:r>
        <w:rPr/>
        <w:t>《关于对广州广电运通金融电子股份有限公司关联</w:t>
      </w:r>
    </w:p>
    <w:p>
      <w:pPr>
        <w:pStyle w:val="BodyText"/>
        <w:spacing w:line="240" w:lineRule="auto" w:before="66"/>
        <w:ind w:right="0"/>
        <w:jc w:val="left"/>
      </w:pPr>
      <w:r>
        <w:rPr/>
        <w:t>方资金往来审核报告</w:t>
      </w:r>
      <w:r>
        <w:rPr>
          <w:spacing w:val="-105"/>
        </w:rPr>
        <w:t>》</w:t>
      </w:r>
      <w:r>
        <w:rPr>
          <w:spacing w:val="-106"/>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t>）羊</w:t>
      </w:r>
      <w:r>
        <w:rPr>
          <w:spacing w:val="-2"/>
        </w:rPr>
        <w:t>专</w:t>
      </w:r>
      <w:r>
        <w:rPr/>
        <w:t>审字第</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16</w:t>
      </w:r>
      <w:r>
        <w:rPr>
          <w:rFonts w:ascii="Times New Roman" w:hAnsi="Times New Roman" w:cs="Times New Roman" w:eastAsia="Times New Roman" w:hint="default"/>
        </w:rPr>
        <w:t>3 </w:t>
      </w:r>
      <w:r>
        <w:rPr/>
        <w:t>号</w:t>
      </w:r>
      <w:r>
        <w:rPr>
          <w:spacing w:val="-105"/>
        </w:rPr>
        <w:t>）</w:t>
      </w:r>
      <w:r>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97" w:lineRule="auto"/>
        <w:ind w:right="198"/>
        <w:jc w:val="left"/>
      </w:pPr>
      <w:r>
        <w:rPr/>
        <w:t>（四</w:t>
      </w:r>
      <w:r>
        <w:rPr>
          <w:spacing w:val="-94"/>
        </w:rPr>
        <w:t>）</w:t>
      </w:r>
      <w:r>
        <w:rPr/>
        <w:t>公司审计机构立信羊城会计师事务所有限公司对公司控股股东及其他关联方资金占用</w:t>
      </w:r>
      <w:r>
        <w:rPr/>
        <w:t> 情况出具了如下专项审计说明</w:t>
      </w:r>
      <w:r>
        <w:rPr>
          <w:spacing w:val="-105"/>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）羊专</w:t>
      </w:r>
      <w:r>
        <w:rPr>
          <w:spacing w:val="-2"/>
        </w:rPr>
        <w:t>审</w:t>
      </w:r>
      <w:r>
        <w:rPr/>
        <w:t>字第</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16</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spacing w:val="-105"/>
        </w:rPr>
        <w:t>）</w:t>
      </w:r>
      <w:r>
        <w:rPr/>
        <w:t>。</w:t>
      </w:r>
    </w:p>
    <w:p>
      <w:pPr>
        <w:spacing w:line="240" w:lineRule="auto" w:before="4"/>
        <w:rPr>
          <w:rFonts w:ascii="宋体" w:hAnsi="宋体" w:cs="宋体" w:eastAsia="宋体" w:hint="default"/>
          <w:sz w:val="29"/>
          <w:szCs w:val="29"/>
        </w:rPr>
      </w:pPr>
    </w:p>
    <w:p>
      <w:pPr>
        <w:pStyle w:val="Heading4"/>
        <w:spacing w:line="272" w:lineRule="exact" w:before="0"/>
        <w:ind w:left="2290" w:right="2366"/>
        <w:jc w:val="center"/>
        <w:rPr>
          <w:b w:val="0"/>
          <w:bCs w:val="0"/>
        </w:rPr>
      </w:pPr>
      <w:r>
        <w:rPr/>
        <w:t>关于对广州广电运通金融电子股份有限公司</w:t>
      </w:r>
      <w:r>
        <w:rPr>
          <w:spacing w:val="1"/>
          <w:w w:val="99"/>
        </w:rPr>
        <w:t> </w:t>
      </w:r>
      <w:r>
        <w:rPr/>
        <w:t>关联方资金往来审核报告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ind w:right="0"/>
        <w:jc w:val="left"/>
      </w:pPr>
      <w:r>
        <w:rPr/>
        <w:t>广州广电运通金融电子股份有限公司董事会：</w:t>
      </w:r>
    </w:p>
    <w:p>
      <w:pPr>
        <w:spacing w:line="240" w:lineRule="auto" w:before="3"/>
        <w:rPr>
          <w:rFonts w:ascii="宋体" w:hAnsi="宋体" w:cs="宋体" w:eastAsia="宋体" w:hint="default"/>
          <w:sz w:val="14"/>
          <w:szCs w:val="14"/>
        </w:rPr>
      </w:pPr>
    </w:p>
    <w:p>
      <w:pPr>
        <w:pStyle w:val="BodyText"/>
        <w:spacing w:line="338" w:lineRule="auto"/>
        <w:ind w:right="106" w:firstLine="419"/>
        <w:jc w:val="left"/>
      </w:pPr>
      <w:r>
        <w:rPr/>
        <w:t>我们审计了贵公司</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spacing w:val="-7"/>
        </w:rPr>
        <w:t>年度财务报表并出具了（</w:t>
      </w:r>
      <w:r>
        <w:rPr>
          <w:rFonts w:ascii="Times New Roman" w:hAnsi="Times New Roman" w:cs="Times New Roman" w:eastAsia="Times New Roman" w:hint="default"/>
          <w:spacing w:val="-7"/>
        </w:rPr>
        <w:t>2011</w:t>
      </w:r>
      <w:r>
        <w:rPr>
          <w:spacing w:val="-7"/>
        </w:rPr>
        <w:t>）羊查字第</w:t>
      </w:r>
      <w:r>
        <w:rPr>
          <w:spacing w:val="-51"/>
        </w:rPr>
        <w:t> </w:t>
      </w:r>
      <w:r>
        <w:rPr>
          <w:rFonts w:ascii="Times New Roman" w:hAnsi="Times New Roman" w:cs="Times New Roman" w:eastAsia="Times New Roman" w:hint="default"/>
          <w:spacing w:val="-2"/>
        </w:rPr>
        <w:t>21159</w:t>
      </w:r>
      <w:r>
        <w:rPr>
          <w:rFonts w:ascii="Times New Roman" w:hAnsi="Times New Roman" w:cs="Times New Roman" w:eastAsia="Times New Roman" w:hint="default"/>
          <w:spacing w:val="2"/>
        </w:rPr>
        <w:t> </w:t>
      </w:r>
      <w:r>
        <w:rPr>
          <w:spacing w:val="-21"/>
        </w:rPr>
        <w:t>号《审计报告》，</w:t>
      </w:r>
      <w:r>
        <w:rPr/>
        <w:t> 在此基础上我们对贵公司披露的关联方资金往来进行了审核。</w:t>
      </w:r>
    </w:p>
    <w:p>
      <w:pPr>
        <w:pStyle w:val="BodyText"/>
        <w:spacing w:line="357" w:lineRule="auto" w:before="167"/>
        <w:ind w:right="0" w:firstLine="420"/>
        <w:jc w:val="left"/>
      </w:pPr>
      <w:r>
        <w:rPr>
          <w:spacing w:val="-3"/>
        </w:rPr>
        <w:t>贵公司的责任是真实、完整向监管部门报送关联方资金往来情况与提供原始合同或协议</w:t>
      </w:r>
      <w:r>
        <w:rPr/>
        <w:t> </w:t>
      </w:r>
      <w:r>
        <w:rPr>
          <w:spacing w:val="-3"/>
        </w:rPr>
        <w:t>等资料或副本、会计凭证与账簿记录等我们认为必要的资料。我们的责任是对贵公司是否按</w:t>
      </w:r>
    </w:p>
    <w:p>
      <w:pPr>
        <w:spacing w:after="0" w:line="357" w:lineRule="auto"/>
        <w:jc w:val="left"/>
        <w:sectPr>
          <w:pgSz w:w="11910" w:h="16840"/>
          <w:pgMar w:header="0" w:footer="982" w:top="1100" w:bottom="1180" w:left="1660" w:right="1580"/>
        </w:sectPr>
      </w:pPr>
    </w:p>
    <w:p>
      <w:pPr>
        <w:spacing w:line="240" w:lineRule="auto" w:before="2"/>
        <w:rPr>
          <w:rFonts w:ascii="宋体" w:hAnsi="宋体" w:cs="宋体" w:eastAsia="宋体" w:hint="default"/>
          <w:sz w:val="19"/>
          <w:szCs w:val="19"/>
        </w:rPr>
      </w:pPr>
    </w:p>
    <w:p>
      <w:pPr>
        <w:pStyle w:val="BodyText"/>
        <w:spacing w:line="348" w:lineRule="auto" w:before="35"/>
        <w:ind w:left="139" w:right="217"/>
        <w:jc w:val="both"/>
      </w:pPr>
      <w:r>
        <w:rPr>
          <w:spacing w:val="-3"/>
        </w:rPr>
        <w:t>照中国证券监督管理委员会与国务院国有资产监督管理委员会联合颁发的《关于规范上市公</w:t>
      </w:r>
      <w:r>
        <w:rPr>
          <w:spacing w:val="-79"/>
        </w:rPr>
        <w:t> </w:t>
      </w:r>
      <w:r>
        <w:rPr>
          <w:spacing w:val="-79"/>
        </w:rPr>
      </w:r>
      <w:r>
        <w:rPr>
          <w:spacing w:val="-3"/>
        </w:rPr>
        <w:t>司与关联方资金往来及上市公司对外担保若干问题的通知》（证监发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rPr>
        <w:t> </w:t>
      </w:r>
      <w:r>
        <w:rPr>
          <w:spacing w:val="-1"/>
        </w:rPr>
        <w:t>号）的规定披</w:t>
      </w:r>
      <w:r>
        <w:rPr>
          <w:spacing w:val="-97"/>
        </w:rPr>
        <w:t> </w:t>
      </w:r>
      <w:r>
        <w:rPr>
          <w:spacing w:val="-97"/>
        </w:rPr>
      </w:r>
      <w:r>
        <w:rPr/>
        <w:t>露了关联方资金往来情况进行专项审核，并发表审核意见。</w:t>
      </w:r>
    </w:p>
    <w:p>
      <w:pPr>
        <w:pStyle w:val="BodyText"/>
        <w:spacing w:line="357" w:lineRule="auto" w:before="158"/>
        <w:ind w:left="139" w:right="216" w:firstLine="420"/>
        <w:jc w:val="both"/>
      </w:pPr>
      <w:r>
        <w:rPr>
          <w:spacing w:val="-3"/>
        </w:rPr>
        <w:t>我们按照中国注册会计师审计准则的规定执行了审核工作。中国注册会计师审计准则要</w:t>
      </w:r>
      <w:r>
        <w:rPr/>
        <w:t> </w:t>
      </w:r>
      <w:r>
        <w:rPr>
          <w:spacing w:val="-3"/>
        </w:rPr>
        <w:t>求我们遵守职业道德规范，计划和实施审核工作以对贵公司自行清查与向监管部门报送关联</w:t>
      </w:r>
      <w:r>
        <w:rPr>
          <w:spacing w:val="-79"/>
        </w:rPr>
        <w:t> </w:t>
      </w:r>
      <w:r>
        <w:rPr>
          <w:spacing w:val="-79"/>
        </w:rPr>
      </w:r>
      <w:r>
        <w:rPr>
          <w:spacing w:val="-3"/>
        </w:rPr>
        <w:t>方资金往来情况是否不存在重大错报获取合理保证。审核工作涉及实施审核程序，以获取有</w:t>
      </w:r>
      <w:r>
        <w:rPr>
          <w:spacing w:val="-79"/>
        </w:rPr>
        <w:t> </w:t>
      </w:r>
      <w:r>
        <w:rPr>
          <w:spacing w:val="-79"/>
        </w:rPr>
      </w:r>
      <w:r>
        <w:rPr>
          <w:spacing w:val="-3"/>
        </w:rPr>
        <w:t>关关联方资金往来情况披露的相关证据。选择的审核程序取决于我们的判断，包括对由于舞</w:t>
      </w:r>
      <w:r>
        <w:rPr>
          <w:spacing w:val="-79"/>
        </w:rPr>
        <w:t> </w:t>
      </w:r>
      <w:r>
        <w:rPr>
          <w:spacing w:val="-79"/>
        </w:rPr>
      </w:r>
      <w:r>
        <w:rPr>
          <w:spacing w:val="-3"/>
        </w:rPr>
        <w:t>弊或错误导致的自行清查后向监管部门报送关联方资金往来情况重大错报风险的评估。在进</w:t>
      </w:r>
      <w:r>
        <w:rPr>
          <w:spacing w:val="-79"/>
        </w:rPr>
        <w:t> </w:t>
      </w:r>
      <w:r>
        <w:rPr>
          <w:spacing w:val="-79"/>
        </w:rPr>
      </w:r>
      <w:r>
        <w:rPr>
          <w:spacing w:val="-3"/>
        </w:rPr>
        <w:t>行风险评估时，我们考虑与向监管部门报送关联方资金往来情况相关的内部控制，以设计恰</w:t>
      </w:r>
      <w:r>
        <w:rPr>
          <w:spacing w:val="-79"/>
        </w:rPr>
        <w:t> </w:t>
      </w:r>
      <w:r>
        <w:rPr>
          <w:spacing w:val="-79"/>
        </w:rPr>
      </w:r>
      <w:r>
        <w:rPr/>
        <w:t>当的审核程序，但目的并非对内部控制有效性发表意见。</w:t>
      </w:r>
    </w:p>
    <w:p>
      <w:pPr>
        <w:pStyle w:val="BodyText"/>
        <w:spacing w:line="357" w:lineRule="auto" w:before="150"/>
        <w:ind w:left="139" w:right="0" w:firstLine="420"/>
        <w:jc w:val="left"/>
      </w:pPr>
      <w:r>
        <w:rPr>
          <w:spacing w:val="-3"/>
        </w:rPr>
        <w:t>我们对贵公司与关联方资金往来情况实施了相关调查，查阅了有关资料、会计凭证、核</w:t>
      </w:r>
      <w:r>
        <w:rPr/>
        <w:t> 对账簿记录等我们认为必要的审核程序。</w:t>
      </w:r>
    </w:p>
    <w:p>
      <w:pPr>
        <w:pStyle w:val="BodyText"/>
        <w:spacing w:line="240" w:lineRule="auto" w:before="150"/>
        <w:ind w:left="559" w:right="0"/>
        <w:jc w:val="left"/>
      </w:pPr>
      <w:r>
        <w:rPr/>
        <w:t>现将审核情况说明如下：</w:t>
      </w:r>
    </w:p>
    <w:p>
      <w:pPr>
        <w:spacing w:line="240" w:lineRule="auto" w:before="6"/>
        <w:rPr>
          <w:rFonts w:ascii="宋体" w:hAnsi="宋体" w:cs="宋体" w:eastAsia="宋体" w:hint="default"/>
          <w:sz w:val="19"/>
          <w:szCs w:val="19"/>
        </w:rPr>
      </w:pPr>
    </w:p>
    <w:p>
      <w:pPr>
        <w:pStyle w:val="BodyText"/>
        <w:spacing w:line="336" w:lineRule="auto"/>
        <w:ind w:left="139" w:right="103" w:firstLine="420"/>
        <w:jc w:val="left"/>
      </w:pPr>
      <w:r>
        <w:rPr>
          <w:spacing w:val="-13"/>
        </w:rPr>
        <w:t>一、</w:t>
      </w:r>
      <w:r>
        <w:rPr>
          <w:rFonts w:ascii="Times New Roman" w:hAnsi="Times New Roman" w:cs="Times New Roman" w:eastAsia="Times New Roman" w:hint="default"/>
          <w:spacing w:val="-13"/>
        </w:rPr>
        <w:t>2010</w:t>
      </w:r>
      <w:r>
        <w:rPr>
          <w:rFonts w:ascii="Times New Roman" w:hAnsi="Times New Roman" w:cs="Times New Roman" w:eastAsia="Times New Roman" w:hint="default"/>
          <w:spacing w:val="-2"/>
        </w:rPr>
        <w:t> </w:t>
      </w:r>
      <w:r>
        <w:rPr/>
        <w:t>年内</w:t>
      </w:r>
      <w:r>
        <w:rPr>
          <w:rFonts w:ascii="Times New Roman" w:hAnsi="Times New Roman" w:cs="Times New Roman" w:eastAsia="Times New Roman" w:hint="default"/>
        </w:rPr>
        <w:t>,</w:t>
      </w:r>
      <w:r>
        <w:rPr/>
        <w:t>大股东及其附属企业非经营性占用公司</w:t>
      </w:r>
      <w:r>
        <w:rPr>
          <w:rFonts w:ascii="Times New Roman" w:hAnsi="Times New Roman" w:cs="Times New Roman" w:eastAsia="Times New Roman" w:hint="default"/>
        </w:rPr>
        <w:t>(</w:t>
      </w:r>
      <w:r>
        <w:rPr/>
        <w:t>含子公司</w:t>
      </w:r>
      <w:r>
        <w:rPr>
          <w:rFonts w:ascii="Times New Roman" w:hAnsi="Times New Roman" w:cs="Times New Roman" w:eastAsia="Times New Roman" w:hint="default"/>
        </w:rPr>
        <w:t>)</w:t>
      </w:r>
      <w:r>
        <w:rPr/>
        <w:t>资金发生额为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w:t>
      </w:r>
    </w:p>
    <w:p>
      <w:pPr>
        <w:pStyle w:val="BodyText"/>
        <w:spacing w:line="240" w:lineRule="auto" w:before="144"/>
        <w:ind w:left="559" w:right="0"/>
        <w:jc w:val="left"/>
      </w:pPr>
      <w:r>
        <w:rPr>
          <w:rFonts w:ascii="Times New Roman" w:hAnsi="Times New Roman" w:cs="Times New Roman" w:eastAsia="Times New Roman" w:hint="default"/>
        </w:rPr>
        <w:t>1</w:t>
      </w:r>
      <w:r>
        <w:rPr/>
        <w:t>、垫付的工资、福利、保险、广告费及其他支出合计为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2</w:t>
      </w:r>
      <w:r>
        <w:rPr/>
        <w:t>、承担实际履约的担保责任形成的资金为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3</w:t>
      </w:r>
      <w:r>
        <w:rPr/>
        <w:t>、有偿或无偿地拆借公司的资金给控股股东及附属企业使用的资金为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4</w:t>
      </w:r>
      <w:r>
        <w:rPr/>
        <w:t>、通过银行或非银行金融机构向控股股东及附属企业提供委托贷款的资金为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5</w:t>
      </w:r>
      <w:r>
        <w:rPr/>
        <w:t>、委托控股股东及附属企业进行投资活动的资金为</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6</w:t>
      </w:r>
      <w:r>
        <w:rPr/>
        <w:t>、为控股股东及附属企业开具没有真实交易背景的商业承兑汇票的资金为</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7</w:t>
      </w:r>
      <w:r>
        <w:rPr/>
        <w:t>、代控股股东及附属企业偿还债务的资金为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0"/>
        <w:jc w:val="left"/>
      </w:pPr>
      <w:r>
        <w:rPr>
          <w:rFonts w:ascii="Times New Roman" w:hAnsi="Times New Roman" w:cs="Times New Roman" w:eastAsia="Times New Roman" w:hint="default"/>
        </w:rPr>
        <w:t>8</w:t>
      </w:r>
      <w:r>
        <w:rPr/>
        <w:t>、中国证监会认定的其他方式的资金为</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0"/>
        <w:jc w:val="left"/>
        <w:rPr>
          <w:rFonts w:ascii="Times New Roman" w:hAnsi="Times New Roman" w:cs="Times New Roman" w:eastAsia="Times New Roman" w:hint="default"/>
        </w:rPr>
      </w:pPr>
      <w:r>
        <w:rPr/>
        <w:t>二</w:t>
      </w:r>
      <w:r>
        <w:rPr>
          <w:spacing w:val="-105"/>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t>年</w:t>
      </w:r>
      <w:r>
        <w:rPr>
          <w:spacing w:val="-2"/>
        </w:rPr>
        <w:t>内</w:t>
      </w:r>
      <w:r>
        <w:rPr>
          <w:spacing w:val="-105"/>
        </w:rPr>
        <w:t>，</w:t>
      </w:r>
      <w:r>
        <w:rPr/>
        <w:t>大股东及</w:t>
      </w:r>
      <w:r>
        <w:rPr>
          <w:spacing w:val="-2"/>
        </w:rPr>
        <w:t>其</w:t>
      </w:r>
      <w:r>
        <w:rPr/>
        <w:t>附属企业与公司</w:t>
      </w:r>
      <w:r>
        <w:rPr>
          <w:rFonts w:ascii="Times New Roman" w:hAnsi="Times New Roman" w:cs="Times New Roman" w:eastAsia="Times New Roman" w:hint="default"/>
          <w:spacing w:val="-1"/>
        </w:rPr>
        <w:t>(</w:t>
      </w:r>
      <w:r>
        <w:rPr/>
        <w:t>含子公司</w:t>
      </w:r>
      <w:r>
        <w:rPr>
          <w:rFonts w:ascii="Times New Roman" w:hAnsi="Times New Roman" w:cs="Times New Roman" w:eastAsia="Times New Roman" w:hint="default"/>
          <w:spacing w:val="-1"/>
        </w:rPr>
        <w:t>)</w:t>
      </w:r>
      <w:r>
        <w:rPr/>
        <w:t>经营性资金往来发生额为</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p>
    <w:p>
      <w:pPr>
        <w:pStyle w:val="BodyText"/>
        <w:spacing w:line="436" w:lineRule="auto" w:before="117"/>
        <w:ind w:left="559" w:right="0" w:hanging="421"/>
        <w:jc w:val="left"/>
      </w:pPr>
      <w:r>
        <w:rPr/>
        <w:t>元；截止</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日余额（未扣除已计提的坏账准备）为</w:t>
      </w:r>
      <w:r>
        <w:rPr>
          <w:spacing w:val="-54"/>
        </w:rPr>
        <w:t> </w:t>
      </w:r>
      <w:r>
        <w:rPr>
          <w:rFonts w:ascii="Times New Roman" w:hAnsi="Times New Roman" w:cs="Times New Roman" w:eastAsia="Times New Roman" w:hint="default"/>
        </w:rPr>
        <w:t>2,820.00</w:t>
      </w:r>
      <w:r>
        <w:rPr>
          <w:rFonts w:ascii="Times New Roman" w:hAnsi="Times New Roman" w:cs="Times New Roman" w:eastAsia="Times New Roman" w:hint="default"/>
          <w:spacing w:val="-1"/>
        </w:rPr>
        <w:t> </w:t>
      </w:r>
      <w:r>
        <w:rPr/>
        <w:t>元。 </w:t>
      </w:r>
      <w:r>
        <w:rPr>
          <w:spacing w:val="-3"/>
        </w:rPr>
        <w:t>三、公司与子公司（含子公司的附属企业）之间往来的非经营性资金往来余额（未扣除</w:t>
      </w:r>
    </w:p>
    <w:p>
      <w:pPr>
        <w:pStyle w:val="BodyText"/>
        <w:spacing w:line="252" w:lineRule="exact"/>
        <w:ind w:left="139" w:right="0"/>
        <w:jc w:val="both"/>
      </w:pPr>
      <w:r>
        <w:rPr/>
        <w:t>已计提的坏账准备）为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0"/>
        <w:jc w:val="left"/>
      </w:pPr>
      <w:r>
        <w:rPr/>
        <w:t>四、</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年内</w:t>
      </w:r>
      <w:r>
        <w:rPr>
          <w:rFonts w:ascii="Times New Roman" w:hAnsi="Times New Roman" w:cs="Times New Roman" w:eastAsia="Times New Roman" w:hint="default"/>
        </w:rPr>
        <w:t>,</w:t>
      </w:r>
      <w:r>
        <w:rPr/>
        <w:t>其他关联方与公司</w:t>
      </w:r>
      <w:r>
        <w:rPr>
          <w:rFonts w:ascii="Times New Roman" w:hAnsi="Times New Roman" w:cs="Times New Roman" w:eastAsia="Times New Roman" w:hint="default"/>
        </w:rPr>
        <w:t>(</w:t>
      </w:r>
      <w:r>
        <w:rPr/>
        <w:t>含子公司</w:t>
      </w:r>
      <w:r>
        <w:rPr>
          <w:rFonts w:ascii="Times New Roman" w:hAnsi="Times New Roman" w:cs="Times New Roman" w:eastAsia="Times New Roman" w:hint="default"/>
        </w:rPr>
        <w:t>)</w:t>
      </w:r>
      <w:r>
        <w:rPr/>
        <w:t>非经营性资金往来发生额为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元；截止</w:t>
      </w:r>
    </w:p>
    <w:p>
      <w:pPr>
        <w:pStyle w:val="BodyText"/>
        <w:spacing w:line="240" w:lineRule="auto" w:before="117"/>
        <w:ind w:left="139"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日余额（未扣除已计提的坏账准备）为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w:t>
      </w:r>
    </w:p>
    <w:p>
      <w:pPr>
        <w:spacing w:after="0" w:line="240" w:lineRule="auto"/>
        <w:jc w:val="both"/>
        <w:sectPr>
          <w:pgSz w:w="11910" w:h="16840"/>
          <w:pgMar w:header="0" w:footer="982" w:top="1100" w:bottom="1180" w:left="1660" w:right="1580"/>
        </w:sectPr>
      </w:pPr>
    </w:p>
    <w:p>
      <w:pPr>
        <w:spacing w:line="240" w:lineRule="auto" w:before="2"/>
        <w:rPr>
          <w:rFonts w:ascii="宋体" w:hAnsi="宋体" w:cs="宋体" w:eastAsia="宋体" w:hint="default"/>
          <w:sz w:val="19"/>
          <w:szCs w:val="19"/>
        </w:rPr>
      </w:pPr>
    </w:p>
    <w:p>
      <w:pPr>
        <w:pStyle w:val="BodyText"/>
        <w:spacing w:line="240" w:lineRule="auto" w:before="35"/>
        <w:ind w:left="560" w:right="128"/>
        <w:jc w:val="left"/>
      </w:pPr>
      <w:r>
        <w:rPr>
          <w:rFonts w:ascii="Times New Roman" w:hAnsi="Times New Roman" w:cs="Times New Roman" w:eastAsia="Times New Roman" w:hint="default"/>
        </w:rPr>
        <w:t>1</w:t>
      </w:r>
      <w:r>
        <w:rPr/>
        <w:t>、垫付的工资、福利、保险、广告费及其他支出合计为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8"/>
          <w:szCs w:val="18"/>
        </w:rPr>
      </w:pPr>
    </w:p>
    <w:p>
      <w:pPr>
        <w:pStyle w:val="BodyText"/>
        <w:spacing w:line="240" w:lineRule="auto"/>
        <w:ind w:left="560" w:right="128"/>
        <w:jc w:val="left"/>
      </w:pPr>
      <w:r>
        <w:rPr>
          <w:rFonts w:ascii="Times New Roman" w:hAnsi="Times New Roman" w:cs="Times New Roman" w:eastAsia="Times New Roman" w:hint="default"/>
        </w:rPr>
        <w:t>2</w:t>
      </w:r>
      <w:r>
        <w:rPr/>
        <w:t>、承担实际履约的担保责任形成的资金为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18"/>
          <w:szCs w:val="18"/>
        </w:rPr>
      </w:pPr>
    </w:p>
    <w:p>
      <w:pPr>
        <w:pStyle w:val="BodyText"/>
        <w:spacing w:line="240" w:lineRule="auto"/>
        <w:ind w:left="560" w:right="128"/>
        <w:jc w:val="left"/>
      </w:pPr>
      <w:r>
        <w:rPr>
          <w:rFonts w:ascii="Times New Roman" w:hAnsi="Times New Roman" w:cs="Times New Roman" w:eastAsia="Times New Roman" w:hint="default"/>
        </w:rPr>
        <w:t>3</w:t>
      </w:r>
      <w:r>
        <w:rPr/>
        <w:t>、有偿或无偿地拆借公司的资金给其他关联方使用的资金为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128"/>
        <w:jc w:val="left"/>
      </w:pPr>
      <w:r>
        <w:rPr>
          <w:rFonts w:ascii="Times New Roman" w:hAnsi="Times New Roman" w:cs="Times New Roman" w:eastAsia="Times New Roman" w:hint="default"/>
        </w:rPr>
        <w:t>4</w:t>
      </w:r>
      <w:r>
        <w:rPr/>
        <w:t>、通过银行或非银行金融机构向其他关联方提供委托贷款的资金为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128"/>
        <w:jc w:val="left"/>
      </w:pPr>
      <w:r>
        <w:rPr>
          <w:rFonts w:ascii="Times New Roman" w:hAnsi="Times New Roman" w:cs="Times New Roman" w:eastAsia="Times New Roman" w:hint="default"/>
        </w:rPr>
        <w:t>5</w:t>
      </w:r>
      <w:r>
        <w:rPr/>
        <w:t>、委托其他关联方进行投资活动的资金为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128"/>
        <w:jc w:val="left"/>
      </w:pPr>
      <w:r>
        <w:rPr>
          <w:rFonts w:ascii="Times New Roman" w:hAnsi="Times New Roman" w:cs="Times New Roman" w:eastAsia="Times New Roman" w:hint="default"/>
        </w:rPr>
        <w:t>6</w:t>
      </w:r>
      <w:r>
        <w:rPr/>
        <w:t>、为其他关联方开具没有真实交易背景的商业承兑汇票的资金为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18"/>
          <w:szCs w:val="18"/>
        </w:rPr>
      </w:pPr>
    </w:p>
    <w:p>
      <w:pPr>
        <w:pStyle w:val="BodyText"/>
        <w:spacing w:line="240" w:lineRule="auto"/>
        <w:ind w:left="559" w:right="128"/>
        <w:jc w:val="left"/>
      </w:pPr>
      <w:r>
        <w:rPr>
          <w:rFonts w:ascii="Times New Roman" w:hAnsi="Times New Roman" w:cs="Times New Roman" w:eastAsia="Times New Roman" w:hint="default"/>
        </w:rPr>
        <w:t>7</w:t>
      </w:r>
      <w:r>
        <w:rPr/>
        <w:t>、代其他关联方偿还债务的资金为</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8"/>
          <w:szCs w:val="18"/>
        </w:rPr>
      </w:pPr>
    </w:p>
    <w:p>
      <w:pPr>
        <w:pStyle w:val="BodyText"/>
        <w:spacing w:line="240" w:lineRule="auto"/>
        <w:ind w:left="559" w:right="128"/>
        <w:jc w:val="left"/>
      </w:pPr>
      <w:r>
        <w:rPr>
          <w:rFonts w:ascii="Times New Roman" w:hAnsi="Times New Roman" w:cs="Times New Roman" w:eastAsia="Times New Roman" w:hint="default"/>
        </w:rPr>
        <w:t>8</w:t>
      </w:r>
      <w:r>
        <w:rPr/>
        <w:t>、中国证监会认定的其他方式的资金为</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18"/>
          <w:szCs w:val="18"/>
        </w:rPr>
      </w:pPr>
    </w:p>
    <w:p>
      <w:pPr>
        <w:pStyle w:val="BodyText"/>
        <w:spacing w:line="338" w:lineRule="auto"/>
        <w:ind w:left="139" w:right="134" w:firstLine="420"/>
        <w:jc w:val="left"/>
      </w:pPr>
      <w:r>
        <w:rPr/>
        <w:t>附件：广州广电运通金融电子股份有限公司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年度非经营性资金占用及其他关联资 金往来情况汇总表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5915" w:val="left" w:leader="none"/>
          <w:tab w:pos="8119" w:val="left" w:leader="none"/>
        </w:tabs>
        <w:spacing w:line="463" w:lineRule="auto"/>
        <w:ind w:left="5915" w:right="252" w:hanging="5356"/>
        <w:jc w:val="right"/>
      </w:pPr>
      <w:r>
        <w:rPr/>
        <w:t>立信羊城会计师事务所有限公司</w:t>
        <w:tab/>
        <w:t>中国注册会计师：</w:t>
      </w:r>
      <w:r>
        <w:rPr>
          <w:spacing w:val="-2"/>
        </w:rPr>
        <w:t> </w:t>
      </w:r>
      <w:r>
        <w:rPr/>
        <w:t>陈雄溢</w:t>
      </w:r>
      <w:r>
        <w:rPr/>
        <w:t> 中国注册会计师：</w:t>
      </w:r>
      <w:r>
        <w:rPr>
          <w:spacing w:val="-2"/>
        </w:rPr>
        <w:t> </w:t>
      </w:r>
      <w:r>
        <w:rPr/>
        <w:t>吴</w:t>
        <w:tab/>
        <w:t>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tabs>
          <w:tab w:pos="6125" w:val="left" w:leader="none"/>
        </w:tabs>
        <w:spacing w:line="240" w:lineRule="auto"/>
        <w:ind w:left="4445" w:right="97"/>
        <w:jc w:val="left"/>
      </w:pPr>
      <w:r>
        <w:rPr/>
        <w:t>中 国 • 广</w:t>
      </w:r>
      <w:r>
        <w:rPr>
          <w:spacing w:val="-2"/>
        </w:rPr>
        <w:t> </w:t>
      </w:r>
      <w:r>
        <w:rPr/>
        <w:t>州</w:t>
        <w:tab/>
        <w:t>二○一一年三月二十三日</w:t>
      </w:r>
    </w:p>
    <w:p>
      <w:pPr>
        <w:spacing w:after="0" w:line="240" w:lineRule="auto"/>
        <w:jc w:val="left"/>
        <w:sectPr>
          <w:pgSz w:w="11910" w:h="16840"/>
          <w:pgMar w:header="0" w:footer="982" w:top="1100" w:bottom="1180" w:left="1660" w:right="1660"/>
        </w:sectPr>
      </w:pPr>
    </w:p>
    <w:p>
      <w:pPr>
        <w:spacing w:line="240" w:lineRule="auto" w:before="10"/>
        <w:rPr>
          <w:rFonts w:ascii="宋体" w:hAnsi="宋体" w:cs="宋体" w:eastAsia="宋体" w:hint="default"/>
          <w:sz w:val="5"/>
          <w:szCs w:val="5"/>
        </w:rPr>
      </w:pPr>
    </w:p>
    <w:p>
      <w:pPr>
        <w:spacing w:line="720" w:lineRule="exact"/>
        <w:ind w:left="1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665.65pt;height:36pt;mso-position-horizontal-relative:char;mso-position-vertical-relative:line" coordorigin="0,0" coordsize="13313,720">
            <v:group style="position:absolute;left:7;top:713;width:13299;height:2" coordorigin="7,713" coordsize="13299,2">
              <v:shape style="position:absolute;left:7;top:713;width:13299;height:2" coordorigin="7,713" coordsize="13299,0" path="m7,713l13306,713e" filled="false" stroked="true" strokeweight=".72pt" strokecolor="#000000">
                <v:path arrowok="t"/>
              </v:shape>
              <v:shape style="position:absolute;left:26;top:0;width:1608;height:640" type="#_x0000_t75" stroked="false">
                <v:imagedata r:id="rId16" o:title=""/>
              </v:shape>
              <v:shape style="position:absolute;left:0;top:0;width:13313;height:7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5422" w:val="left" w:leader="none"/>
          <w:tab w:pos="13086" w:val="left" w:leader="none"/>
        </w:tabs>
        <w:spacing w:before="0"/>
        <w:ind w:left="166" w:right="0" w:firstLine="0"/>
        <w:jc w:val="left"/>
        <w:rPr>
          <w:rFonts w:ascii="宋体" w:hAnsi="宋体" w:cs="宋体" w:eastAsia="宋体" w:hint="default"/>
          <w:sz w:val="14"/>
          <w:szCs w:val="14"/>
        </w:rPr>
      </w:pPr>
      <w:r>
        <w:rPr>
          <w:rFonts w:ascii="宋体" w:hAnsi="宋体" w:cs="宋体" w:eastAsia="宋体" w:hint="default"/>
          <w:sz w:val="14"/>
          <w:szCs w:val="14"/>
        </w:rPr>
        <w:t>附件</w:t>
        <w:tab/>
      </w:r>
      <w:r>
        <w:rPr>
          <w:rFonts w:ascii="宋体" w:hAnsi="宋体" w:cs="宋体" w:eastAsia="宋体" w:hint="default"/>
          <w:spacing w:val="-1"/>
          <w:sz w:val="14"/>
          <w:szCs w:val="14"/>
        </w:rPr>
        <w:t>上市公司2010年度非经营性资金占用及其他关联资金往来情况汇总表</w:t>
        <w:tab/>
      </w:r>
      <w:r>
        <w:rPr>
          <w:rFonts w:ascii="宋体" w:hAnsi="宋体" w:cs="宋体" w:eastAsia="宋体" w:hint="default"/>
          <w:spacing w:val="-1"/>
          <w:w w:val="105"/>
          <w:sz w:val="14"/>
          <w:szCs w:val="14"/>
        </w:rPr>
        <w:t>单位：万元</w:t>
      </w:r>
      <w:r>
        <w:rPr>
          <w:rFonts w:ascii="宋体" w:hAnsi="宋体" w:cs="宋体" w:eastAsia="宋体" w:hint="default"/>
          <w:spacing w:val="-1"/>
          <w:sz w:val="14"/>
          <w:szCs w:val="14"/>
        </w:rPr>
      </w:r>
    </w:p>
    <w:p>
      <w:pPr>
        <w:spacing w:line="240" w:lineRule="auto" w:before="4"/>
        <w:rPr>
          <w:rFonts w:ascii="宋体" w:hAnsi="宋体" w:cs="宋体" w:eastAsia="宋体" w:hint="default"/>
          <w:sz w:val="25"/>
          <w:szCs w:val="25"/>
        </w:rPr>
      </w:pPr>
    </w:p>
    <w:p>
      <w:pPr>
        <w:spacing w:before="60"/>
        <w:ind w:left="238" w:right="0" w:firstLine="0"/>
        <w:jc w:val="left"/>
        <w:rPr>
          <w:rFonts w:ascii="宋体" w:hAnsi="宋体" w:cs="宋体" w:eastAsia="宋体" w:hint="default"/>
          <w:sz w:val="14"/>
          <w:szCs w:val="14"/>
        </w:rPr>
      </w:pPr>
      <w:r>
        <w:rPr>
          <w:rFonts w:ascii="宋体" w:hAnsi="宋体" w:cs="宋体" w:eastAsia="宋体" w:hint="default"/>
          <w:w w:val="105"/>
          <w:sz w:val="14"/>
          <w:szCs w:val="14"/>
        </w:rPr>
        <w:t>编制单位:广州广电运通金融电子股份有限公司</w:t>
      </w:r>
      <w:r>
        <w:rPr>
          <w:rFonts w:ascii="宋体" w:hAnsi="宋体" w:cs="宋体" w:eastAsia="宋体" w:hint="default"/>
          <w:sz w:val="14"/>
          <w:szCs w:val="14"/>
        </w:rPr>
      </w:r>
    </w:p>
    <w:tbl>
      <w:tblPr>
        <w:tblW w:w="0" w:type="auto"/>
        <w:jc w:val="left"/>
        <w:tblInd w:w="139" w:type="dxa"/>
        <w:tblLayout w:type="fixed"/>
        <w:tblCellMar>
          <w:top w:w="0" w:type="dxa"/>
          <w:left w:w="0" w:type="dxa"/>
          <w:bottom w:w="0" w:type="dxa"/>
          <w:right w:w="0" w:type="dxa"/>
        </w:tblCellMar>
        <w:tblLook w:val="01E0"/>
      </w:tblPr>
      <w:tblGrid>
        <w:gridCol w:w="2214"/>
        <w:gridCol w:w="1132"/>
        <w:gridCol w:w="1132"/>
        <w:gridCol w:w="1133"/>
        <w:gridCol w:w="1132"/>
        <w:gridCol w:w="1132"/>
        <w:gridCol w:w="1375"/>
        <w:gridCol w:w="1132"/>
        <w:gridCol w:w="1133"/>
        <w:gridCol w:w="1132"/>
        <w:gridCol w:w="1290"/>
      </w:tblGrid>
      <w:tr>
        <w:trPr>
          <w:trHeight w:val="1069" w:hRule="exact"/>
        </w:trPr>
        <w:tc>
          <w:tcPr>
            <w:tcW w:w="2214" w:type="dxa"/>
            <w:tcBorders>
              <w:top w:val="single" w:sz="11" w:space="0" w:color="000000"/>
              <w:left w:val="single" w:sz="7"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6"/>
              <w:jc w:val="center"/>
              <w:rPr>
                <w:rFonts w:ascii="宋体" w:hAnsi="宋体" w:cs="宋体" w:eastAsia="宋体" w:hint="default"/>
                <w:sz w:val="14"/>
                <w:szCs w:val="14"/>
              </w:rPr>
            </w:pPr>
            <w:r>
              <w:rPr>
                <w:rFonts w:ascii="宋体" w:hAnsi="宋体" w:cs="宋体" w:eastAsia="宋体" w:hint="default"/>
                <w:w w:val="105"/>
                <w:sz w:val="14"/>
                <w:szCs w:val="14"/>
              </w:rPr>
              <w:t>非经营性资金占用</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资金占用方名称</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0" w:lineRule="exact"/>
              <w:ind w:left="17" w:right="94"/>
              <w:jc w:val="left"/>
              <w:rPr>
                <w:rFonts w:ascii="宋体" w:hAnsi="宋体" w:cs="宋体" w:eastAsia="宋体" w:hint="default"/>
                <w:sz w:val="14"/>
                <w:szCs w:val="14"/>
              </w:rPr>
            </w:pPr>
            <w:r>
              <w:rPr>
                <w:rFonts w:ascii="宋体" w:hAnsi="宋体" w:cs="宋体" w:eastAsia="宋体" w:hint="default"/>
                <w:sz w:val="14"/>
                <w:szCs w:val="14"/>
              </w:rPr>
              <w:t>占用方与上市公</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司的关联关系</w:t>
            </w:r>
            <w:r>
              <w:rPr>
                <w:rFonts w:ascii="宋体" w:hAnsi="宋体" w:cs="宋体" w:eastAsia="宋体" w:hint="default"/>
                <w:sz w:val="14"/>
                <w:szCs w:val="14"/>
              </w:rPr>
            </w:r>
          </w:p>
        </w:tc>
        <w:tc>
          <w:tcPr>
            <w:tcW w:w="1133"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70" w:lineRule="exact" w:before="92"/>
              <w:ind w:left="17" w:right="382"/>
              <w:jc w:val="both"/>
              <w:rPr>
                <w:rFonts w:ascii="宋体" w:hAnsi="宋体" w:cs="宋体" w:eastAsia="宋体" w:hint="default"/>
                <w:sz w:val="14"/>
                <w:szCs w:val="14"/>
              </w:rPr>
            </w:pPr>
            <w:r>
              <w:rPr>
                <w:rFonts w:ascii="宋体" w:hAnsi="宋体" w:cs="宋体" w:eastAsia="宋体" w:hint="default"/>
                <w:sz w:val="14"/>
                <w:szCs w:val="14"/>
              </w:rPr>
              <w:t>上市公司核</w:t>
            </w:r>
            <w:r>
              <w:rPr>
                <w:rFonts w:ascii="宋体" w:hAnsi="宋体" w:cs="宋体" w:eastAsia="宋体" w:hint="default"/>
                <w:spacing w:val="-52"/>
                <w:sz w:val="14"/>
                <w:szCs w:val="14"/>
              </w:rPr>
              <w:t> </w:t>
            </w:r>
            <w:r>
              <w:rPr>
                <w:rFonts w:ascii="宋体" w:hAnsi="宋体" w:cs="宋体" w:eastAsia="宋体" w:hint="default"/>
                <w:sz w:val="14"/>
                <w:szCs w:val="14"/>
              </w:rPr>
              <w:t>算的会计科</w:t>
            </w:r>
            <w:r>
              <w:rPr>
                <w:rFonts w:ascii="宋体" w:hAnsi="宋体" w:cs="宋体" w:eastAsia="宋体" w:hint="default"/>
                <w:spacing w:val="-52"/>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0" w:lineRule="exact"/>
              <w:ind w:left="18" w:right="94"/>
              <w:jc w:val="left"/>
              <w:rPr>
                <w:rFonts w:ascii="宋体" w:hAnsi="宋体" w:cs="宋体" w:eastAsia="宋体" w:hint="default"/>
                <w:sz w:val="14"/>
                <w:szCs w:val="14"/>
              </w:rPr>
            </w:pPr>
            <w:r>
              <w:rPr>
                <w:rFonts w:ascii="宋体" w:hAnsi="宋体" w:cs="宋体" w:eastAsia="宋体" w:hint="default"/>
                <w:sz w:val="14"/>
                <w:szCs w:val="14"/>
              </w:rPr>
              <w:t>2010年期初占用</w:t>
            </w:r>
            <w:r>
              <w:rPr>
                <w:rFonts w:ascii="宋体" w:hAnsi="宋体" w:cs="宋体" w:eastAsia="宋体" w:hint="default"/>
                <w:spacing w:val="-46"/>
                <w:sz w:val="14"/>
                <w:szCs w:val="14"/>
              </w:rPr>
              <w:t> </w:t>
            </w:r>
            <w:r>
              <w:rPr>
                <w:rFonts w:ascii="宋体" w:hAnsi="宋体" w:cs="宋体" w:eastAsia="宋体" w:hint="default"/>
                <w:spacing w:val="-46"/>
                <w:sz w:val="14"/>
                <w:szCs w:val="14"/>
              </w:rPr>
            </w:r>
            <w:r>
              <w:rPr>
                <w:rFonts w:ascii="宋体" w:hAnsi="宋体" w:cs="宋体" w:eastAsia="宋体" w:hint="default"/>
                <w:w w:val="105"/>
                <w:sz w:val="14"/>
                <w:szCs w:val="14"/>
              </w:rPr>
              <w:t>资金余额</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170" w:lineRule="exact" w:before="92"/>
              <w:ind w:left="17" w:right="94"/>
              <w:jc w:val="both"/>
              <w:rPr>
                <w:rFonts w:ascii="宋体" w:hAnsi="宋体" w:cs="宋体" w:eastAsia="宋体" w:hint="default"/>
                <w:sz w:val="14"/>
                <w:szCs w:val="14"/>
              </w:rPr>
            </w:pPr>
            <w:r>
              <w:rPr>
                <w:rFonts w:ascii="宋体" w:hAnsi="宋体" w:cs="宋体" w:eastAsia="宋体" w:hint="default"/>
                <w:sz w:val="14"/>
                <w:szCs w:val="14"/>
              </w:rPr>
              <w:t>2010年度占用累</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sz w:val="14"/>
                <w:szCs w:val="14"/>
              </w:rPr>
              <w:t>计发生金额（不</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含利息）</w:t>
            </w:r>
            <w:r>
              <w:rPr>
                <w:rFonts w:ascii="宋体" w:hAnsi="宋体" w:cs="宋体" w:eastAsia="宋体" w:hint="default"/>
                <w:sz w:val="14"/>
                <w:szCs w:val="14"/>
              </w:rPr>
            </w:r>
          </w:p>
        </w:tc>
        <w:tc>
          <w:tcPr>
            <w:tcW w:w="1375"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0" w:lineRule="exact"/>
              <w:ind w:left="17" w:right="50"/>
              <w:jc w:val="left"/>
              <w:rPr>
                <w:rFonts w:ascii="宋体" w:hAnsi="宋体" w:cs="宋体" w:eastAsia="宋体" w:hint="default"/>
                <w:sz w:val="14"/>
                <w:szCs w:val="14"/>
              </w:rPr>
            </w:pPr>
            <w:r>
              <w:rPr>
                <w:rFonts w:ascii="宋体" w:hAnsi="宋体" w:cs="宋体" w:eastAsia="宋体" w:hint="default"/>
                <w:sz w:val="14"/>
                <w:szCs w:val="14"/>
              </w:rPr>
              <w:t>2010年度占用资金的</w:t>
            </w:r>
            <w:r>
              <w:rPr>
                <w:rFonts w:ascii="宋体" w:hAnsi="宋体" w:cs="宋体" w:eastAsia="宋体" w:hint="default"/>
                <w:spacing w:val="-38"/>
                <w:sz w:val="14"/>
                <w:szCs w:val="14"/>
              </w:rPr>
              <w:t> </w:t>
            </w:r>
            <w:r>
              <w:rPr>
                <w:rFonts w:ascii="宋体" w:hAnsi="宋体" w:cs="宋体" w:eastAsia="宋体" w:hint="default"/>
                <w:spacing w:val="-38"/>
                <w:sz w:val="14"/>
                <w:szCs w:val="14"/>
              </w:rPr>
            </w:r>
            <w:r>
              <w:rPr>
                <w:rFonts w:ascii="宋体" w:hAnsi="宋体" w:cs="宋体" w:eastAsia="宋体" w:hint="default"/>
                <w:w w:val="105"/>
                <w:sz w:val="14"/>
                <w:szCs w:val="14"/>
              </w:rPr>
              <w:t>利息（如有）</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0" w:lineRule="exact"/>
              <w:ind w:left="18" w:right="94"/>
              <w:jc w:val="left"/>
              <w:rPr>
                <w:rFonts w:ascii="宋体" w:hAnsi="宋体" w:cs="宋体" w:eastAsia="宋体" w:hint="default"/>
                <w:sz w:val="14"/>
                <w:szCs w:val="14"/>
              </w:rPr>
            </w:pPr>
            <w:r>
              <w:rPr>
                <w:rFonts w:ascii="宋体" w:hAnsi="宋体" w:cs="宋体" w:eastAsia="宋体" w:hint="default"/>
                <w:sz w:val="14"/>
                <w:szCs w:val="14"/>
              </w:rPr>
              <w:t>2010年度偿还累</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计发生金额</w:t>
            </w:r>
            <w:r>
              <w:rPr>
                <w:rFonts w:ascii="宋体" w:hAnsi="宋体" w:cs="宋体" w:eastAsia="宋体" w:hint="default"/>
                <w:sz w:val="14"/>
                <w:szCs w:val="14"/>
              </w:rPr>
            </w:r>
          </w:p>
        </w:tc>
        <w:tc>
          <w:tcPr>
            <w:tcW w:w="1133"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170" w:lineRule="exact"/>
              <w:ind w:left="17" w:right="96"/>
              <w:jc w:val="left"/>
              <w:rPr>
                <w:rFonts w:ascii="宋体" w:hAnsi="宋体" w:cs="宋体" w:eastAsia="宋体" w:hint="default"/>
                <w:sz w:val="14"/>
                <w:szCs w:val="14"/>
              </w:rPr>
            </w:pPr>
            <w:r>
              <w:rPr>
                <w:rFonts w:ascii="宋体" w:hAnsi="宋体" w:cs="宋体" w:eastAsia="宋体" w:hint="default"/>
                <w:sz w:val="14"/>
                <w:szCs w:val="14"/>
              </w:rPr>
              <w:t>2010年期末占用</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资金余额</w:t>
            </w:r>
            <w:r>
              <w:rPr>
                <w:rFonts w:ascii="宋体" w:hAnsi="宋体" w:cs="宋体" w:eastAsia="宋体" w:hint="default"/>
                <w:sz w:val="14"/>
                <w:szCs w:val="14"/>
              </w:rPr>
            </w:r>
          </w:p>
        </w:tc>
        <w:tc>
          <w:tcPr>
            <w:tcW w:w="1132" w:type="dxa"/>
            <w:tcBorders>
              <w:top w:val="single" w:sz="11"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占用形成原因</w:t>
            </w:r>
            <w:r>
              <w:rPr>
                <w:rFonts w:ascii="宋体" w:hAnsi="宋体" w:cs="宋体" w:eastAsia="宋体" w:hint="default"/>
                <w:sz w:val="14"/>
                <w:szCs w:val="14"/>
              </w:rPr>
            </w:r>
          </w:p>
        </w:tc>
        <w:tc>
          <w:tcPr>
            <w:tcW w:w="1290" w:type="dxa"/>
            <w:tcBorders>
              <w:top w:val="single" w:sz="11" w:space="0" w:color="000000"/>
              <w:left w:val="single" w:sz="4" w:space="0" w:color="000000"/>
              <w:bottom w:val="single" w:sz="4" w:space="0" w:color="000000"/>
              <w:right w:val="single" w:sz="7"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48"/>
              <w:jc w:val="right"/>
              <w:rPr>
                <w:rFonts w:ascii="宋体" w:hAnsi="宋体" w:cs="宋体" w:eastAsia="宋体" w:hint="default"/>
                <w:sz w:val="14"/>
                <w:szCs w:val="14"/>
              </w:rPr>
            </w:pPr>
            <w:r>
              <w:rPr>
                <w:rFonts w:ascii="宋体" w:hAnsi="宋体" w:cs="宋体" w:eastAsia="宋体" w:hint="default"/>
                <w:spacing w:val="-1"/>
                <w:sz w:val="14"/>
                <w:szCs w:val="14"/>
              </w:rPr>
              <w:t>占用性质</w:t>
            </w:r>
          </w:p>
        </w:tc>
      </w:tr>
      <w:tr>
        <w:trPr>
          <w:trHeight w:val="251" w:hRule="exact"/>
        </w:trPr>
        <w:tc>
          <w:tcPr>
            <w:tcW w:w="2214" w:type="dxa"/>
            <w:vMerge w:val="restart"/>
            <w:tcBorders>
              <w:top w:val="single" w:sz="4" w:space="0" w:color="000000"/>
              <w:left w:val="single" w:sz="7"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76" w:right="0"/>
              <w:jc w:val="left"/>
              <w:rPr>
                <w:rFonts w:ascii="宋体" w:hAnsi="宋体" w:cs="宋体" w:eastAsia="宋体" w:hint="default"/>
                <w:sz w:val="14"/>
                <w:szCs w:val="14"/>
              </w:rPr>
            </w:pPr>
            <w:r>
              <w:rPr>
                <w:rFonts w:ascii="宋体" w:hAnsi="宋体" w:cs="宋体" w:eastAsia="宋体" w:hint="default"/>
                <w:w w:val="105"/>
                <w:sz w:val="14"/>
                <w:szCs w:val="14"/>
              </w:rPr>
              <w:t>现大股东及其附属企业</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非经营性占用</w:t>
            </w:r>
            <w:r>
              <w:rPr>
                <w:rFonts w:ascii="宋体" w:hAnsi="宋体" w:cs="宋体" w:eastAsia="宋体" w:hint="default"/>
                <w:sz w:val="14"/>
                <w:szCs w:val="14"/>
              </w:rPr>
            </w:r>
          </w:p>
        </w:tc>
      </w:tr>
      <w:tr>
        <w:trPr>
          <w:trHeight w:val="252" w:hRule="exact"/>
        </w:trPr>
        <w:tc>
          <w:tcPr>
            <w:tcW w:w="2214" w:type="dxa"/>
            <w:vMerge/>
            <w:tcBorders>
              <w:left w:val="single" w:sz="7"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非经营性占用</w:t>
            </w:r>
            <w:r>
              <w:rPr>
                <w:rFonts w:ascii="宋体" w:hAnsi="宋体" w:cs="宋体" w:eastAsia="宋体" w:hint="default"/>
                <w:sz w:val="14"/>
                <w:szCs w:val="14"/>
              </w:rPr>
            </w:r>
          </w:p>
        </w:tc>
      </w:tr>
      <w:tr>
        <w:trPr>
          <w:trHeight w:val="252" w:hRule="exact"/>
        </w:trPr>
        <w:tc>
          <w:tcPr>
            <w:tcW w:w="2214"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14"/>
                <w:szCs w:val="14"/>
              </w:rPr>
            </w:pPr>
            <w:r>
              <w:rPr>
                <w:rFonts w:ascii="宋体" w:hAnsi="宋体" w:cs="宋体" w:eastAsia="宋体" w:hint="default"/>
                <w:w w:val="105"/>
                <w:sz w:val="14"/>
                <w:szCs w:val="14"/>
              </w:rPr>
              <w:t>小计</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
        </w:tc>
      </w:tr>
      <w:tr>
        <w:trPr>
          <w:trHeight w:val="251" w:hRule="exact"/>
        </w:trPr>
        <w:tc>
          <w:tcPr>
            <w:tcW w:w="2214" w:type="dxa"/>
            <w:vMerge w:val="restart"/>
            <w:tcBorders>
              <w:top w:val="single" w:sz="4" w:space="0" w:color="000000"/>
              <w:left w:val="single" w:sz="7"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376" w:right="0"/>
              <w:jc w:val="left"/>
              <w:rPr>
                <w:rFonts w:ascii="宋体" w:hAnsi="宋体" w:cs="宋体" w:eastAsia="宋体" w:hint="default"/>
                <w:sz w:val="14"/>
                <w:szCs w:val="14"/>
              </w:rPr>
            </w:pPr>
            <w:r>
              <w:rPr>
                <w:rFonts w:ascii="宋体" w:hAnsi="宋体" w:cs="宋体" w:eastAsia="宋体" w:hint="default"/>
                <w:w w:val="105"/>
                <w:sz w:val="14"/>
                <w:szCs w:val="14"/>
              </w:rPr>
              <w:t>前大股东及其附属企业</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3"/>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非经营性占用</w:t>
            </w:r>
            <w:r>
              <w:rPr>
                <w:rFonts w:ascii="宋体" w:hAnsi="宋体" w:cs="宋体" w:eastAsia="宋体" w:hint="default"/>
                <w:sz w:val="14"/>
                <w:szCs w:val="14"/>
              </w:rPr>
            </w:r>
          </w:p>
        </w:tc>
      </w:tr>
      <w:tr>
        <w:trPr>
          <w:trHeight w:val="252" w:hRule="exact"/>
        </w:trPr>
        <w:tc>
          <w:tcPr>
            <w:tcW w:w="2214" w:type="dxa"/>
            <w:vMerge/>
            <w:tcBorders>
              <w:left w:val="single" w:sz="7"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非经营性占用</w:t>
            </w:r>
            <w:r>
              <w:rPr>
                <w:rFonts w:ascii="宋体" w:hAnsi="宋体" w:cs="宋体" w:eastAsia="宋体" w:hint="default"/>
                <w:sz w:val="14"/>
                <w:szCs w:val="14"/>
              </w:rPr>
            </w:r>
          </w:p>
        </w:tc>
      </w:tr>
      <w:tr>
        <w:trPr>
          <w:trHeight w:val="251" w:hRule="exact"/>
        </w:trPr>
        <w:tc>
          <w:tcPr>
            <w:tcW w:w="2214"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14"/>
                <w:szCs w:val="14"/>
              </w:rPr>
            </w:pPr>
            <w:r>
              <w:rPr>
                <w:rFonts w:ascii="宋体" w:hAnsi="宋体" w:cs="宋体" w:eastAsia="宋体" w:hint="default"/>
                <w:w w:val="105"/>
                <w:sz w:val="14"/>
                <w:szCs w:val="14"/>
              </w:rPr>
              <w:t>小计</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
        </w:tc>
      </w:tr>
      <w:tr>
        <w:trPr>
          <w:trHeight w:val="252" w:hRule="exact"/>
        </w:trPr>
        <w:tc>
          <w:tcPr>
            <w:tcW w:w="2214"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14"/>
                <w:szCs w:val="14"/>
              </w:rPr>
            </w:pPr>
            <w:r>
              <w:rPr>
                <w:rFonts w:ascii="宋体" w:hAnsi="宋体" w:cs="宋体" w:eastAsia="宋体" w:hint="default"/>
                <w:w w:val="105"/>
                <w:sz w:val="14"/>
                <w:szCs w:val="14"/>
              </w:rPr>
              <w:t>总计</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
        </w:tc>
      </w:tr>
      <w:tr>
        <w:trPr>
          <w:trHeight w:val="512" w:hRule="exact"/>
        </w:trPr>
        <w:tc>
          <w:tcPr>
            <w:tcW w:w="2214"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6"/>
              <w:jc w:val="center"/>
              <w:rPr>
                <w:rFonts w:ascii="宋体" w:hAnsi="宋体" w:cs="宋体" w:eastAsia="宋体" w:hint="default"/>
                <w:sz w:val="14"/>
                <w:szCs w:val="14"/>
              </w:rPr>
            </w:pPr>
            <w:r>
              <w:rPr>
                <w:rFonts w:ascii="宋体" w:hAnsi="宋体" w:cs="宋体" w:eastAsia="宋体" w:hint="default"/>
                <w:w w:val="105"/>
                <w:sz w:val="14"/>
                <w:szCs w:val="14"/>
              </w:rPr>
              <w:t>其他关联资金往来</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资金往来名称</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7" w:right="94"/>
              <w:jc w:val="left"/>
              <w:rPr>
                <w:rFonts w:ascii="宋体" w:hAnsi="宋体" w:cs="宋体" w:eastAsia="宋体" w:hint="default"/>
                <w:sz w:val="14"/>
                <w:szCs w:val="14"/>
              </w:rPr>
            </w:pPr>
            <w:r>
              <w:rPr>
                <w:rFonts w:ascii="宋体" w:hAnsi="宋体" w:cs="宋体" w:eastAsia="宋体" w:hint="default"/>
                <w:sz w:val="14"/>
                <w:szCs w:val="14"/>
              </w:rPr>
              <w:t>往来方与上市公</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司的关系</w:t>
            </w:r>
            <w:r>
              <w:rPr>
                <w:rFonts w:ascii="宋体" w:hAnsi="宋体" w:cs="宋体" w:eastAsia="宋体" w:hint="default"/>
                <w:sz w:val="14"/>
                <w:szCs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7" w:right="96"/>
              <w:jc w:val="left"/>
              <w:rPr>
                <w:rFonts w:ascii="宋体" w:hAnsi="宋体" w:cs="宋体" w:eastAsia="宋体" w:hint="default"/>
                <w:sz w:val="14"/>
                <w:szCs w:val="14"/>
              </w:rPr>
            </w:pPr>
            <w:r>
              <w:rPr>
                <w:rFonts w:ascii="宋体" w:hAnsi="宋体" w:cs="宋体" w:eastAsia="宋体" w:hint="default"/>
                <w:sz w:val="14"/>
                <w:szCs w:val="14"/>
              </w:rPr>
              <w:t>上市公司核算的</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会计科目</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8" w:right="94"/>
              <w:jc w:val="left"/>
              <w:rPr>
                <w:rFonts w:ascii="宋体" w:hAnsi="宋体" w:cs="宋体" w:eastAsia="宋体" w:hint="default"/>
                <w:sz w:val="14"/>
                <w:szCs w:val="14"/>
              </w:rPr>
            </w:pPr>
            <w:r>
              <w:rPr>
                <w:rFonts w:ascii="宋体" w:hAnsi="宋体" w:cs="宋体" w:eastAsia="宋体" w:hint="default"/>
                <w:sz w:val="14"/>
                <w:szCs w:val="14"/>
              </w:rPr>
              <w:t>2010年期初往来</w:t>
            </w:r>
            <w:r>
              <w:rPr>
                <w:rFonts w:ascii="宋体" w:hAnsi="宋体" w:cs="宋体" w:eastAsia="宋体" w:hint="default"/>
                <w:spacing w:val="-46"/>
                <w:sz w:val="14"/>
                <w:szCs w:val="14"/>
              </w:rPr>
              <w:t> </w:t>
            </w:r>
            <w:r>
              <w:rPr>
                <w:rFonts w:ascii="宋体" w:hAnsi="宋体" w:cs="宋体" w:eastAsia="宋体" w:hint="default"/>
                <w:spacing w:val="-46"/>
                <w:sz w:val="14"/>
                <w:szCs w:val="14"/>
              </w:rPr>
            </w:r>
            <w:r>
              <w:rPr>
                <w:rFonts w:ascii="宋体" w:hAnsi="宋体" w:cs="宋体" w:eastAsia="宋体" w:hint="default"/>
                <w:w w:val="105"/>
                <w:sz w:val="14"/>
                <w:szCs w:val="14"/>
              </w:rPr>
              <w:t>资金余额</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5"/>
              <w:ind w:left="17" w:right="94"/>
              <w:jc w:val="both"/>
              <w:rPr>
                <w:rFonts w:ascii="宋体" w:hAnsi="宋体" w:cs="宋体" w:eastAsia="宋体" w:hint="default"/>
                <w:sz w:val="14"/>
                <w:szCs w:val="14"/>
              </w:rPr>
            </w:pPr>
            <w:r>
              <w:rPr>
                <w:rFonts w:ascii="宋体" w:hAnsi="宋体" w:cs="宋体" w:eastAsia="宋体" w:hint="default"/>
                <w:sz w:val="14"/>
                <w:szCs w:val="14"/>
              </w:rPr>
              <w:t>2010年度往来累</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sz w:val="14"/>
                <w:szCs w:val="14"/>
              </w:rPr>
              <w:t>计发生金额（不</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含利息）</w:t>
            </w:r>
            <w:r>
              <w:rPr>
                <w:rFonts w:ascii="宋体" w:hAnsi="宋体" w:cs="宋体" w:eastAsia="宋体" w:hint="default"/>
                <w:sz w:val="14"/>
                <w:szCs w:val="14"/>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7" w:right="50"/>
              <w:jc w:val="left"/>
              <w:rPr>
                <w:rFonts w:ascii="宋体" w:hAnsi="宋体" w:cs="宋体" w:eastAsia="宋体" w:hint="default"/>
                <w:sz w:val="14"/>
                <w:szCs w:val="14"/>
              </w:rPr>
            </w:pPr>
            <w:r>
              <w:rPr>
                <w:rFonts w:ascii="宋体" w:hAnsi="宋体" w:cs="宋体" w:eastAsia="宋体" w:hint="default"/>
                <w:sz w:val="14"/>
                <w:szCs w:val="14"/>
              </w:rPr>
              <w:t>2010年度往来资金的</w:t>
            </w:r>
            <w:r>
              <w:rPr>
                <w:rFonts w:ascii="宋体" w:hAnsi="宋体" w:cs="宋体" w:eastAsia="宋体" w:hint="default"/>
                <w:spacing w:val="-38"/>
                <w:sz w:val="14"/>
                <w:szCs w:val="14"/>
              </w:rPr>
              <w:t> </w:t>
            </w:r>
            <w:r>
              <w:rPr>
                <w:rFonts w:ascii="宋体" w:hAnsi="宋体" w:cs="宋体" w:eastAsia="宋体" w:hint="default"/>
                <w:spacing w:val="-38"/>
                <w:sz w:val="14"/>
                <w:szCs w:val="14"/>
              </w:rPr>
            </w:r>
            <w:r>
              <w:rPr>
                <w:rFonts w:ascii="宋体" w:hAnsi="宋体" w:cs="宋体" w:eastAsia="宋体" w:hint="default"/>
                <w:w w:val="105"/>
                <w:sz w:val="14"/>
                <w:szCs w:val="14"/>
              </w:rPr>
              <w:t>利息（如有）</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8" w:right="94"/>
              <w:jc w:val="left"/>
              <w:rPr>
                <w:rFonts w:ascii="宋体" w:hAnsi="宋体" w:cs="宋体" w:eastAsia="宋体" w:hint="default"/>
                <w:sz w:val="14"/>
                <w:szCs w:val="14"/>
              </w:rPr>
            </w:pPr>
            <w:r>
              <w:rPr>
                <w:rFonts w:ascii="宋体" w:hAnsi="宋体" w:cs="宋体" w:eastAsia="宋体" w:hint="default"/>
                <w:sz w:val="14"/>
                <w:szCs w:val="14"/>
              </w:rPr>
              <w:t>2010年度偿还累</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计发生金额</w:t>
            </w:r>
            <w:r>
              <w:rPr>
                <w:rFonts w:ascii="宋体" w:hAnsi="宋体" w:cs="宋体" w:eastAsia="宋体" w:hint="default"/>
                <w:sz w:val="14"/>
                <w:szCs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before="84"/>
              <w:ind w:left="17" w:right="96"/>
              <w:jc w:val="left"/>
              <w:rPr>
                <w:rFonts w:ascii="宋体" w:hAnsi="宋体" w:cs="宋体" w:eastAsia="宋体" w:hint="default"/>
                <w:sz w:val="14"/>
                <w:szCs w:val="14"/>
              </w:rPr>
            </w:pPr>
            <w:r>
              <w:rPr>
                <w:rFonts w:ascii="宋体" w:hAnsi="宋体" w:cs="宋体" w:eastAsia="宋体" w:hint="default"/>
                <w:sz w:val="14"/>
                <w:szCs w:val="14"/>
              </w:rPr>
              <w:t>2010年期末往来</w:t>
            </w:r>
            <w:r>
              <w:rPr>
                <w:rFonts w:ascii="宋体" w:hAnsi="宋体" w:cs="宋体" w:eastAsia="宋体" w:hint="default"/>
                <w:spacing w:val="-45"/>
                <w:sz w:val="14"/>
                <w:szCs w:val="14"/>
              </w:rPr>
              <w:t> </w:t>
            </w:r>
            <w:r>
              <w:rPr>
                <w:rFonts w:ascii="宋体" w:hAnsi="宋体" w:cs="宋体" w:eastAsia="宋体" w:hint="default"/>
                <w:spacing w:val="-45"/>
                <w:sz w:val="14"/>
                <w:szCs w:val="14"/>
              </w:rPr>
            </w:r>
            <w:r>
              <w:rPr>
                <w:rFonts w:ascii="宋体" w:hAnsi="宋体" w:cs="宋体" w:eastAsia="宋体" w:hint="default"/>
                <w:w w:val="105"/>
                <w:sz w:val="14"/>
                <w:szCs w:val="14"/>
              </w:rPr>
              <w:t>资金余额</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往来形成原因</w:t>
            </w:r>
            <w:r>
              <w:rPr>
                <w:rFonts w:ascii="宋体" w:hAnsi="宋体" w:cs="宋体" w:eastAsia="宋体" w:hint="default"/>
                <w:sz w:val="14"/>
                <w:szCs w:val="14"/>
              </w:rPr>
            </w: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348"/>
              <w:jc w:val="right"/>
              <w:rPr>
                <w:rFonts w:ascii="宋体" w:hAnsi="宋体" w:cs="宋体" w:eastAsia="宋体" w:hint="default"/>
                <w:sz w:val="14"/>
                <w:szCs w:val="14"/>
              </w:rPr>
            </w:pPr>
            <w:r>
              <w:rPr>
                <w:rFonts w:ascii="宋体" w:hAnsi="宋体" w:cs="宋体" w:eastAsia="宋体" w:hint="default"/>
                <w:spacing w:val="-1"/>
                <w:sz w:val="14"/>
                <w:szCs w:val="14"/>
              </w:rPr>
              <w:t>往来性质</w:t>
            </w:r>
          </w:p>
        </w:tc>
      </w:tr>
      <w:tr>
        <w:trPr>
          <w:trHeight w:val="431" w:hRule="exact"/>
        </w:trPr>
        <w:tc>
          <w:tcPr>
            <w:tcW w:w="2214" w:type="dxa"/>
            <w:tcBorders>
              <w:top w:val="single" w:sz="4" w:space="0" w:color="000000"/>
              <w:left w:val="single" w:sz="7" w:space="0" w:color="000000"/>
              <w:bottom w:val="single" w:sz="4" w:space="0" w:color="000000"/>
              <w:right w:val="single" w:sz="4" w:space="0" w:color="000000"/>
            </w:tcBorders>
          </w:tcPr>
          <w:p>
            <w:pPr>
              <w:pStyle w:val="TableParagraph"/>
              <w:spacing w:line="240" w:lineRule="auto" w:before="104"/>
              <w:ind w:right="6"/>
              <w:jc w:val="center"/>
              <w:rPr>
                <w:rFonts w:ascii="宋体" w:hAnsi="宋体" w:cs="宋体" w:eastAsia="宋体" w:hint="default"/>
                <w:sz w:val="14"/>
                <w:szCs w:val="14"/>
              </w:rPr>
            </w:pPr>
            <w:r>
              <w:rPr>
                <w:rFonts w:ascii="宋体" w:hAnsi="宋体" w:cs="宋体" w:eastAsia="宋体" w:hint="default"/>
                <w:w w:val="105"/>
                <w:sz w:val="14"/>
                <w:szCs w:val="14"/>
              </w:rPr>
              <w:t>大股东及其附属企业</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50"/>
              <w:ind w:left="18" w:right="96"/>
              <w:jc w:val="left"/>
              <w:rPr>
                <w:rFonts w:ascii="宋体" w:hAnsi="宋体" w:cs="宋体" w:eastAsia="宋体" w:hint="default"/>
                <w:sz w:val="14"/>
                <w:szCs w:val="14"/>
              </w:rPr>
            </w:pPr>
            <w:r>
              <w:rPr>
                <w:rFonts w:ascii="宋体" w:hAnsi="宋体" w:cs="宋体" w:eastAsia="宋体" w:hint="default"/>
                <w:sz w:val="14"/>
                <w:szCs w:val="14"/>
              </w:rPr>
              <w:t>广州无线电集团</w:t>
            </w:r>
            <w:r>
              <w:rPr>
                <w:rFonts w:ascii="宋体" w:hAnsi="宋体" w:cs="宋体" w:eastAsia="宋体" w:hint="default"/>
                <w:spacing w:val="-46"/>
                <w:sz w:val="14"/>
                <w:szCs w:val="14"/>
              </w:rPr>
              <w:t> </w:t>
            </w:r>
            <w:r>
              <w:rPr>
                <w:rFonts w:ascii="宋体" w:hAnsi="宋体" w:cs="宋体" w:eastAsia="宋体" w:hint="default"/>
                <w:spacing w:val="-46"/>
                <w:sz w:val="14"/>
                <w:szCs w:val="14"/>
              </w:rPr>
            </w:r>
            <w:r>
              <w:rPr>
                <w:rFonts w:ascii="宋体" w:hAnsi="宋体" w:cs="宋体" w:eastAsia="宋体" w:hint="default"/>
                <w:w w:val="105"/>
                <w:sz w:val="14"/>
                <w:szCs w:val="14"/>
              </w:rPr>
              <w:t>有限公司</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7" w:right="0"/>
              <w:jc w:val="left"/>
              <w:rPr>
                <w:rFonts w:ascii="宋体" w:hAnsi="宋体" w:cs="宋体" w:eastAsia="宋体" w:hint="default"/>
                <w:sz w:val="14"/>
                <w:szCs w:val="14"/>
              </w:rPr>
            </w:pPr>
            <w:r>
              <w:rPr>
                <w:rFonts w:ascii="宋体" w:hAnsi="宋体" w:cs="宋体" w:eastAsia="宋体" w:hint="default"/>
                <w:w w:val="105"/>
                <w:sz w:val="14"/>
                <w:szCs w:val="14"/>
              </w:rPr>
              <w:t>母公司</w:t>
            </w:r>
            <w:r>
              <w:rPr>
                <w:rFonts w:ascii="宋体" w:hAnsi="宋体" w:cs="宋体" w:eastAsia="宋体" w:hint="default"/>
                <w:sz w:val="14"/>
                <w:szCs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7" w:right="0"/>
              <w:jc w:val="left"/>
              <w:rPr>
                <w:rFonts w:ascii="宋体" w:hAnsi="宋体" w:cs="宋体" w:eastAsia="宋体" w:hint="default"/>
                <w:sz w:val="14"/>
                <w:szCs w:val="14"/>
              </w:rPr>
            </w:pPr>
            <w:r>
              <w:rPr>
                <w:rFonts w:ascii="宋体" w:hAnsi="宋体" w:cs="宋体" w:eastAsia="宋体" w:hint="default"/>
                <w:w w:val="105"/>
                <w:sz w:val="14"/>
                <w:szCs w:val="14"/>
              </w:rPr>
              <w:t>其他应收款</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宋体" w:hAnsi="宋体" w:cs="宋体" w:eastAsia="宋体" w:hint="default"/>
                <w:sz w:val="14"/>
                <w:szCs w:val="14"/>
              </w:rPr>
            </w:pPr>
            <w:r>
              <w:rPr>
                <w:rFonts w:ascii="宋体"/>
                <w:sz w:val="14"/>
              </w:rPr>
              <w:t>0.49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宋体" w:hAnsi="宋体" w:cs="宋体" w:eastAsia="宋体" w:hint="default"/>
                <w:sz w:val="14"/>
                <w:szCs w:val="14"/>
              </w:rPr>
            </w:pPr>
            <w:r>
              <w:rPr>
                <w:rFonts w:ascii="宋体"/>
                <w:sz w:val="14"/>
              </w:rPr>
              <w:t>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4"/>
              <w:jc w:val="right"/>
              <w:rPr>
                <w:rFonts w:ascii="宋体" w:hAnsi="宋体" w:cs="宋体" w:eastAsia="宋体" w:hint="default"/>
                <w:sz w:val="14"/>
                <w:szCs w:val="14"/>
              </w:rPr>
            </w:pPr>
            <w:r>
              <w:rPr>
                <w:rFonts w:ascii="宋体"/>
                <w:sz w:val="14"/>
              </w:rPr>
              <w:t>0.20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5"/>
              <w:jc w:val="right"/>
              <w:rPr>
                <w:rFonts w:ascii="宋体" w:hAnsi="宋体" w:cs="宋体" w:eastAsia="宋体" w:hint="default"/>
                <w:sz w:val="14"/>
                <w:szCs w:val="14"/>
              </w:rPr>
            </w:pPr>
            <w:r>
              <w:rPr>
                <w:rFonts w:ascii="宋体"/>
                <w:spacing w:val="-1"/>
                <w:sz w:val="14"/>
              </w:rPr>
              <w:t>0.28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 w:right="0"/>
              <w:jc w:val="left"/>
              <w:rPr>
                <w:rFonts w:ascii="宋体" w:hAnsi="宋体" w:cs="宋体" w:eastAsia="宋体" w:hint="default"/>
                <w:sz w:val="14"/>
                <w:szCs w:val="14"/>
              </w:rPr>
            </w:pPr>
            <w:r>
              <w:rPr>
                <w:rFonts w:ascii="宋体" w:hAnsi="宋体" w:cs="宋体" w:eastAsia="宋体" w:hint="default"/>
                <w:w w:val="105"/>
                <w:sz w:val="14"/>
                <w:szCs w:val="14"/>
              </w:rPr>
              <w:t>押金</w:t>
            </w:r>
            <w:r>
              <w:rPr>
                <w:rFonts w:ascii="宋体" w:hAnsi="宋体" w:cs="宋体" w:eastAsia="宋体" w:hint="default"/>
                <w:sz w:val="14"/>
                <w:szCs w:val="14"/>
              </w:rPr>
            </w: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04"/>
              <w:ind w:left="18" w:right="0"/>
              <w:jc w:val="left"/>
              <w:rPr>
                <w:rFonts w:ascii="宋体" w:hAnsi="宋体" w:cs="宋体" w:eastAsia="宋体" w:hint="default"/>
                <w:sz w:val="14"/>
                <w:szCs w:val="14"/>
              </w:rPr>
            </w:pPr>
            <w:r>
              <w:rPr>
                <w:rFonts w:ascii="宋体" w:hAnsi="宋体" w:cs="宋体" w:eastAsia="宋体" w:hint="default"/>
                <w:w w:val="105"/>
                <w:sz w:val="14"/>
                <w:szCs w:val="14"/>
              </w:rPr>
              <w:t>经营性往来</w:t>
            </w:r>
            <w:r>
              <w:rPr>
                <w:rFonts w:ascii="宋体" w:hAnsi="宋体" w:cs="宋体" w:eastAsia="宋体" w:hint="default"/>
                <w:sz w:val="14"/>
                <w:szCs w:val="14"/>
              </w:rPr>
            </w:r>
          </w:p>
        </w:tc>
      </w:tr>
      <w:tr>
        <w:trPr>
          <w:trHeight w:val="467" w:hRule="exact"/>
        </w:trPr>
        <w:tc>
          <w:tcPr>
            <w:tcW w:w="2214" w:type="dxa"/>
            <w:vMerge w:val="restart"/>
            <w:tcBorders>
              <w:top w:val="single" w:sz="4" w:space="0" w:color="000000"/>
              <w:left w:val="single" w:sz="7"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89" w:right="0"/>
              <w:jc w:val="left"/>
              <w:rPr>
                <w:rFonts w:ascii="宋体" w:hAnsi="宋体" w:cs="宋体" w:eastAsia="宋体" w:hint="default"/>
                <w:sz w:val="14"/>
                <w:szCs w:val="14"/>
              </w:rPr>
            </w:pPr>
            <w:r>
              <w:rPr>
                <w:rFonts w:ascii="宋体" w:hAnsi="宋体" w:cs="宋体" w:eastAsia="宋体" w:hint="default"/>
                <w:w w:val="105"/>
                <w:sz w:val="14"/>
                <w:szCs w:val="14"/>
              </w:rPr>
              <w:t>上市公司的子公司及其附属企业</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5"/>
              <w:ind w:left="18" w:right="96"/>
              <w:jc w:val="left"/>
              <w:rPr>
                <w:rFonts w:ascii="宋体" w:hAnsi="宋体" w:cs="宋体" w:eastAsia="宋体" w:hint="default"/>
                <w:sz w:val="14"/>
                <w:szCs w:val="14"/>
              </w:rPr>
            </w:pPr>
            <w:r>
              <w:rPr>
                <w:rFonts w:ascii="宋体" w:hAnsi="宋体" w:cs="宋体" w:eastAsia="宋体" w:hint="default"/>
                <w:sz w:val="14"/>
                <w:szCs w:val="14"/>
              </w:rPr>
              <w:t>深圳广电银通金</w:t>
            </w:r>
            <w:r>
              <w:rPr>
                <w:rFonts w:ascii="宋体" w:hAnsi="宋体" w:cs="宋体" w:eastAsia="宋体" w:hint="default"/>
                <w:spacing w:val="-46"/>
                <w:sz w:val="14"/>
                <w:szCs w:val="14"/>
              </w:rPr>
              <w:t> </w:t>
            </w:r>
            <w:r>
              <w:rPr>
                <w:rFonts w:ascii="宋体" w:hAnsi="宋体" w:cs="宋体" w:eastAsia="宋体" w:hint="default"/>
                <w:spacing w:val="-46"/>
                <w:sz w:val="14"/>
                <w:szCs w:val="14"/>
              </w:rPr>
            </w:r>
            <w:r>
              <w:rPr>
                <w:rFonts w:ascii="宋体" w:hAnsi="宋体" w:cs="宋体" w:eastAsia="宋体" w:hint="default"/>
                <w:sz w:val="14"/>
                <w:szCs w:val="14"/>
              </w:rPr>
              <w:t>融电子科技有限</w:t>
            </w:r>
          </w:p>
          <w:p>
            <w:pPr>
              <w:pStyle w:val="TableParagraph"/>
              <w:spacing w:line="151" w:lineRule="exact"/>
              <w:ind w:left="18" w:right="0"/>
              <w:jc w:val="left"/>
              <w:rPr>
                <w:rFonts w:ascii="宋体" w:hAnsi="宋体" w:cs="宋体" w:eastAsia="宋体" w:hint="default"/>
                <w:sz w:val="14"/>
                <w:szCs w:val="14"/>
              </w:rPr>
            </w:pPr>
            <w:r>
              <w:rPr>
                <w:rFonts w:ascii="宋体" w:hAnsi="宋体" w:cs="宋体" w:eastAsia="宋体" w:hint="default"/>
                <w:w w:val="105"/>
                <w:sz w:val="14"/>
                <w:szCs w:val="14"/>
              </w:rPr>
              <w:t>公司</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7" w:right="0"/>
              <w:jc w:val="left"/>
              <w:rPr>
                <w:rFonts w:ascii="宋体" w:hAnsi="宋体" w:cs="宋体" w:eastAsia="宋体" w:hint="default"/>
                <w:sz w:val="14"/>
                <w:szCs w:val="14"/>
              </w:rPr>
            </w:pPr>
            <w:r>
              <w:rPr>
                <w:rFonts w:ascii="宋体" w:hAnsi="宋体" w:cs="宋体" w:eastAsia="宋体" w:hint="default"/>
                <w:w w:val="105"/>
                <w:sz w:val="14"/>
                <w:szCs w:val="14"/>
              </w:rPr>
              <w:t>全资子公司</w:t>
            </w:r>
            <w:r>
              <w:rPr>
                <w:rFonts w:ascii="宋体" w:hAnsi="宋体" w:cs="宋体" w:eastAsia="宋体" w:hint="default"/>
                <w:sz w:val="14"/>
                <w:szCs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7"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4"/>
              <w:jc w:val="right"/>
              <w:rPr>
                <w:rFonts w:ascii="宋体" w:hAnsi="宋体" w:cs="宋体" w:eastAsia="宋体" w:hint="default"/>
                <w:sz w:val="14"/>
                <w:szCs w:val="14"/>
              </w:rPr>
            </w:pPr>
            <w:r>
              <w:rPr>
                <w:rFonts w:ascii="宋体"/>
                <w:sz w:val="14"/>
              </w:rPr>
              <w:t>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4"/>
              <w:jc w:val="right"/>
              <w:rPr>
                <w:rFonts w:ascii="宋体" w:hAnsi="宋体" w:cs="宋体" w:eastAsia="宋体" w:hint="default"/>
                <w:sz w:val="14"/>
                <w:szCs w:val="14"/>
              </w:rPr>
            </w:pPr>
            <w:r>
              <w:rPr>
                <w:rFonts w:ascii="宋体"/>
                <w:spacing w:val="-1"/>
                <w:sz w:val="14"/>
              </w:rPr>
              <w:t>3,686.50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3"/>
              <w:jc w:val="right"/>
              <w:rPr>
                <w:rFonts w:ascii="宋体" w:hAnsi="宋体" w:cs="宋体" w:eastAsia="宋体" w:hint="default"/>
                <w:sz w:val="14"/>
                <w:szCs w:val="14"/>
              </w:rPr>
            </w:pPr>
            <w:r>
              <w:rPr>
                <w:rFonts w:ascii="宋体"/>
                <w:spacing w:val="-1"/>
                <w:sz w:val="14"/>
              </w:rPr>
              <w:t>3,686.50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5"/>
              <w:jc w:val="right"/>
              <w:rPr>
                <w:rFonts w:ascii="宋体" w:hAnsi="宋体" w:cs="宋体" w:eastAsia="宋体" w:hint="default"/>
                <w:sz w:val="14"/>
                <w:szCs w:val="14"/>
              </w:rPr>
            </w:pPr>
            <w:r>
              <w:rPr>
                <w:rFonts w:ascii="宋体"/>
                <w:spacing w:val="-1"/>
                <w:sz w:val="14"/>
              </w:rPr>
              <w:t>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 w:right="0"/>
              <w:jc w:val="left"/>
              <w:rPr>
                <w:rFonts w:ascii="宋体" w:hAnsi="宋体" w:cs="宋体" w:eastAsia="宋体" w:hint="default"/>
                <w:sz w:val="14"/>
                <w:szCs w:val="14"/>
              </w:rPr>
            </w:pPr>
            <w:r>
              <w:rPr>
                <w:rFonts w:ascii="宋体" w:hAnsi="宋体" w:cs="宋体" w:eastAsia="宋体" w:hint="default"/>
                <w:w w:val="105"/>
                <w:sz w:val="14"/>
                <w:szCs w:val="14"/>
              </w:rPr>
              <w:t>销售</w:t>
            </w:r>
            <w:r>
              <w:rPr>
                <w:rFonts w:ascii="宋体" w:hAnsi="宋体" w:cs="宋体" w:eastAsia="宋体" w:hint="default"/>
                <w:sz w:val="14"/>
                <w:szCs w:val="14"/>
              </w:rPr>
            </w: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22"/>
              <w:ind w:left="18" w:right="0"/>
              <w:jc w:val="left"/>
              <w:rPr>
                <w:rFonts w:ascii="宋体" w:hAnsi="宋体" w:cs="宋体" w:eastAsia="宋体" w:hint="default"/>
                <w:sz w:val="14"/>
                <w:szCs w:val="14"/>
              </w:rPr>
            </w:pPr>
            <w:r>
              <w:rPr>
                <w:rFonts w:ascii="宋体" w:hAnsi="宋体" w:cs="宋体" w:eastAsia="宋体" w:hint="default"/>
                <w:w w:val="105"/>
                <w:sz w:val="14"/>
                <w:szCs w:val="14"/>
              </w:rPr>
              <w:t>经营性往来</w:t>
            </w:r>
            <w:r>
              <w:rPr>
                <w:rFonts w:ascii="宋体" w:hAnsi="宋体" w:cs="宋体" w:eastAsia="宋体" w:hint="default"/>
                <w:sz w:val="14"/>
                <w:szCs w:val="14"/>
              </w:rPr>
            </w:r>
          </w:p>
        </w:tc>
      </w:tr>
      <w:tr>
        <w:trPr>
          <w:trHeight w:val="692" w:hRule="exact"/>
        </w:trPr>
        <w:tc>
          <w:tcPr>
            <w:tcW w:w="2214" w:type="dxa"/>
            <w:vMerge/>
            <w:tcBorders>
              <w:left w:val="single" w:sz="7"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79"/>
              <w:ind w:left="18" w:right="95"/>
              <w:jc w:val="left"/>
              <w:rPr>
                <w:rFonts w:ascii="宋体" w:hAnsi="宋体" w:cs="宋体" w:eastAsia="宋体" w:hint="default"/>
                <w:sz w:val="14"/>
                <w:szCs w:val="14"/>
              </w:rPr>
            </w:pPr>
            <w:r>
              <w:rPr>
                <w:rFonts w:ascii="宋体"/>
                <w:w w:val="105"/>
                <w:sz w:val="14"/>
              </w:rPr>
              <w:t>GRG</w:t>
            </w:r>
            <w:r>
              <w:rPr>
                <w:rFonts w:ascii="宋体"/>
                <w:spacing w:val="-8"/>
                <w:w w:val="105"/>
                <w:sz w:val="14"/>
              </w:rPr>
              <w:t> </w:t>
            </w:r>
            <w:r>
              <w:rPr>
                <w:rFonts w:ascii="宋体"/>
                <w:w w:val="105"/>
                <w:sz w:val="14"/>
              </w:rPr>
              <w:t>Banking</w:t>
            </w:r>
            <w:r>
              <w:rPr>
                <w:rFonts w:ascii="宋体"/>
                <w:w w:val="102"/>
                <w:sz w:val="14"/>
              </w:rPr>
              <w:t> </w:t>
            </w:r>
            <w:r>
              <w:rPr>
                <w:rFonts w:ascii="宋体"/>
                <w:w w:val="105"/>
                <w:sz w:val="14"/>
              </w:rPr>
              <w:t>Equipment</w:t>
            </w:r>
            <w:r>
              <w:rPr>
                <w:rFonts w:ascii="宋体"/>
                <w:spacing w:val="-23"/>
                <w:w w:val="105"/>
                <w:sz w:val="14"/>
              </w:rPr>
              <w:t> </w:t>
            </w:r>
            <w:r>
              <w:rPr>
                <w:rFonts w:ascii="宋体"/>
                <w:w w:val="105"/>
                <w:sz w:val="14"/>
              </w:rPr>
              <w:t>(HK)</w:t>
            </w:r>
            <w:r>
              <w:rPr>
                <w:rFonts w:ascii="宋体"/>
                <w:w w:val="102"/>
                <w:sz w:val="14"/>
              </w:rPr>
              <w:t> </w:t>
            </w:r>
            <w:r>
              <w:rPr>
                <w:rFonts w:ascii="宋体"/>
                <w:w w:val="105"/>
                <w:sz w:val="14"/>
              </w:rPr>
              <w:t>Co.,</w:t>
            </w:r>
            <w:r>
              <w:rPr>
                <w:rFonts w:ascii="宋体"/>
                <w:spacing w:val="-22"/>
                <w:w w:val="105"/>
                <w:sz w:val="14"/>
              </w:rPr>
              <w:t> </w:t>
            </w:r>
            <w:r>
              <w:rPr>
                <w:rFonts w:ascii="宋体"/>
                <w:w w:val="105"/>
                <w:sz w:val="14"/>
              </w:rPr>
              <w:t>Limited</w:t>
            </w:r>
            <w:r>
              <w:rPr>
                <w:rFonts w:ascii="宋体"/>
                <w:sz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14"/>
                <w:szCs w:val="14"/>
              </w:rPr>
            </w:pPr>
            <w:r>
              <w:rPr>
                <w:rFonts w:ascii="宋体" w:hAnsi="宋体" w:cs="宋体" w:eastAsia="宋体" w:hint="default"/>
                <w:w w:val="105"/>
                <w:sz w:val="14"/>
                <w:szCs w:val="14"/>
              </w:rPr>
              <w:t>全资子公司</w:t>
            </w:r>
            <w:r>
              <w:rPr>
                <w:rFonts w:ascii="宋体" w:hAnsi="宋体" w:cs="宋体" w:eastAsia="宋体" w:hint="default"/>
                <w:sz w:val="14"/>
                <w:szCs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14"/>
                <w:szCs w:val="14"/>
              </w:rPr>
            </w:pPr>
            <w:r>
              <w:rPr>
                <w:rFonts w:ascii="宋体" w:hAnsi="宋体" w:cs="宋体" w:eastAsia="宋体" w:hint="default"/>
                <w:w w:val="105"/>
                <w:sz w:val="14"/>
                <w:szCs w:val="14"/>
              </w:rPr>
              <w:t>应收账款</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4"/>
                <w:szCs w:val="14"/>
              </w:rPr>
            </w:pPr>
            <w:r>
              <w:rPr>
                <w:rFonts w:ascii="宋体"/>
                <w:sz w:val="14"/>
              </w:rPr>
              <w:t>16.56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4"/>
                <w:szCs w:val="14"/>
              </w:rPr>
            </w:pPr>
            <w:r>
              <w:rPr>
                <w:rFonts w:ascii="宋体"/>
                <w:spacing w:val="-1"/>
                <w:sz w:val="14"/>
              </w:rPr>
              <w:t>7,038.26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4"/>
                <w:szCs w:val="14"/>
              </w:rPr>
            </w:pPr>
            <w:r>
              <w:rPr>
                <w:rFonts w:ascii="宋体"/>
                <w:spacing w:val="-1"/>
                <w:sz w:val="14"/>
              </w:rPr>
              <w:t>1,360.11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5"/>
              <w:jc w:val="right"/>
              <w:rPr>
                <w:rFonts w:ascii="宋体" w:hAnsi="宋体" w:cs="宋体" w:eastAsia="宋体" w:hint="default"/>
                <w:sz w:val="14"/>
                <w:szCs w:val="14"/>
              </w:rPr>
            </w:pPr>
            <w:r>
              <w:rPr>
                <w:rFonts w:ascii="宋体"/>
                <w:spacing w:val="-1"/>
                <w:sz w:val="14"/>
              </w:rPr>
              <w:t>5,694.70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销售</w:t>
            </w:r>
            <w:r>
              <w:rPr>
                <w:rFonts w:ascii="宋体" w:hAnsi="宋体" w:cs="宋体" w:eastAsia="宋体" w:hint="default"/>
                <w:sz w:val="14"/>
                <w:szCs w:val="14"/>
              </w:rPr>
            </w: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 w:right="0"/>
              <w:jc w:val="left"/>
              <w:rPr>
                <w:rFonts w:ascii="宋体" w:hAnsi="宋体" w:cs="宋体" w:eastAsia="宋体" w:hint="default"/>
                <w:sz w:val="14"/>
                <w:szCs w:val="14"/>
              </w:rPr>
            </w:pPr>
            <w:r>
              <w:rPr>
                <w:rFonts w:ascii="宋体" w:hAnsi="宋体" w:cs="宋体" w:eastAsia="宋体" w:hint="default"/>
                <w:w w:val="105"/>
                <w:sz w:val="14"/>
                <w:szCs w:val="14"/>
              </w:rPr>
              <w:t>经营性往来</w:t>
            </w:r>
            <w:r>
              <w:rPr>
                <w:rFonts w:ascii="宋体" w:hAnsi="宋体" w:cs="宋体" w:eastAsia="宋体" w:hint="default"/>
                <w:sz w:val="14"/>
                <w:szCs w:val="14"/>
              </w:rPr>
            </w:r>
          </w:p>
        </w:tc>
      </w:tr>
      <w:tr>
        <w:trPr>
          <w:trHeight w:val="251" w:hRule="exact"/>
        </w:trPr>
        <w:tc>
          <w:tcPr>
            <w:tcW w:w="2214" w:type="dxa"/>
            <w:vMerge w:val="restart"/>
            <w:tcBorders>
              <w:top w:val="single" w:sz="4" w:space="0" w:color="000000"/>
              <w:left w:val="single" w:sz="7"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33" w:right="0"/>
              <w:jc w:val="left"/>
              <w:rPr>
                <w:rFonts w:ascii="宋体" w:hAnsi="宋体" w:cs="宋体" w:eastAsia="宋体" w:hint="default"/>
                <w:sz w:val="14"/>
                <w:szCs w:val="14"/>
              </w:rPr>
            </w:pPr>
            <w:r>
              <w:rPr>
                <w:rFonts w:ascii="宋体" w:hAnsi="宋体" w:cs="宋体" w:eastAsia="宋体" w:hint="default"/>
                <w:w w:val="105"/>
                <w:sz w:val="14"/>
                <w:szCs w:val="14"/>
              </w:rPr>
              <w:t>关联自然人及其控制的法人</w:t>
            </w:r>
            <w:r>
              <w:rPr>
                <w:rFonts w:ascii="宋体" w:hAnsi="宋体" w:cs="宋体" w:eastAsia="宋体" w:hint="default"/>
                <w:sz w:val="14"/>
                <w:szCs w:val="14"/>
              </w:rPr>
            </w:r>
          </w:p>
        </w:tc>
        <w:tc>
          <w:tcPr>
            <w:tcW w:w="1132" w:type="dxa"/>
            <w:tcBorders>
              <w:top w:val="single" w:sz="4" w:space="0" w:color="000000"/>
              <w:left w:val="single" w:sz="4" w:space="0" w:color="000000"/>
              <w:bottom w:val="single" w:sz="3" w:space="0" w:color="000000"/>
              <w:right w:val="single" w:sz="4" w:space="0" w:color="000000"/>
            </w:tcBorders>
          </w:tcPr>
          <w:p>
            <w:pPr/>
          </w:p>
        </w:tc>
        <w:tc>
          <w:tcPr>
            <w:tcW w:w="1132" w:type="dxa"/>
            <w:tcBorders>
              <w:top w:val="single" w:sz="4" w:space="0" w:color="000000"/>
              <w:left w:val="single" w:sz="4" w:space="0" w:color="000000"/>
              <w:bottom w:val="single" w:sz="3" w:space="0" w:color="000000"/>
              <w:right w:val="single" w:sz="4" w:space="0" w:color="000000"/>
            </w:tcBorders>
          </w:tcPr>
          <w:p>
            <w:pPr/>
          </w:p>
        </w:tc>
        <w:tc>
          <w:tcPr>
            <w:tcW w:w="1133" w:type="dxa"/>
            <w:tcBorders>
              <w:top w:val="single" w:sz="4" w:space="0" w:color="000000"/>
              <w:left w:val="single" w:sz="4" w:space="0" w:color="000000"/>
              <w:bottom w:val="single" w:sz="3" w:space="0" w:color="000000"/>
              <w:right w:val="single" w:sz="4" w:space="0" w:color="000000"/>
            </w:tcBorders>
          </w:tcPr>
          <w:p>
            <w:pPr/>
          </w:p>
        </w:tc>
        <w:tc>
          <w:tcPr>
            <w:tcW w:w="1132" w:type="dxa"/>
            <w:tcBorders>
              <w:top w:val="single" w:sz="4" w:space="0" w:color="000000"/>
              <w:left w:val="single" w:sz="4" w:space="0" w:color="000000"/>
              <w:bottom w:val="single" w:sz="3" w:space="0" w:color="000000"/>
              <w:right w:val="single" w:sz="4" w:space="0" w:color="000000"/>
            </w:tcBorders>
          </w:tcPr>
          <w:p>
            <w:pPr/>
          </w:p>
        </w:tc>
        <w:tc>
          <w:tcPr>
            <w:tcW w:w="1132" w:type="dxa"/>
            <w:tcBorders>
              <w:top w:val="single" w:sz="4" w:space="0" w:color="000000"/>
              <w:left w:val="single" w:sz="4" w:space="0" w:color="000000"/>
              <w:bottom w:val="single" w:sz="3" w:space="0" w:color="000000"/>
              <w:right w:val="single" w:sz="4" w:space="0" w:color="000000"/>
            </w:tcBorders>
          </w:tcPr>
          <w:p>
            <w:pPr/>
          </w:p>
        </w:tc>
        <w:tc>
          <w:tcPr>
            <w:tcW w:w="1375" w:type="dxa"/>
            <w:tcBorders>
              <w:top w:val="single" w:sz="4" w:space="0" w:color="000000"/>
              <w:left w:val="single" w:sz="4" w:space="0" w:color="000000"/>
              <w:bottom w:val="single" w:sz="3" w:space="0" w:color="000000"/>
              <w:right w:val="single" w:sz="4" w:space="0" w:color="000000"/>
            </w:tcBorders>
          </w:tcPr>
          <w:p>
            <w:pPr/>
          </w:p>
        </w:tc>
        <w:tc>
          <w:tcPr>
            <w:tcW w:w="1132" w:type="dxa"/>
            <w:tcBorders>
              <w:top w:val="single" w:sz="4" w:space="0" w:color="000000"/>
              <w:left w:val="single" w:sz="4" w:space="0" w:color="000000"/>
              <w:bottom w:val="single" w:sz="3" w:space="0" w:color="000000"/>
              <w:right w:val="single" w:sz="4" w:space="0" w:color="000000"/>
            </w:tcBorders>
          </w:tcPr>
          <w:p>
            <w:pPr/>
          </w:p>
        </w:tc>
        <w:tc>
          <w:tcPr>
            <w:tcW w:w="1133" w:type="dxa"/>
            <w:tcBorders>
              <w:top w:val="single" w:sz="4" w:space="0" w:color="000000"/>
              <w:left w:val="single" w:sz="4" w:space="0" w:color="000000"/>
              <w:bottom w:val="single" w:sz="3" w:space="0" w:color="000000"/>
              <w:right w:val="single" w:sz="4" w:space="0" w:color="000000"/>
            </w:tcBorders>
          </w:tcPr>
          <w:p>
            <w:pPr/>
          </w:p>
        </w:tc>
        <w:tc>
          <w:tcPr>
            <w:tcW w:w="1132" w:type="dxa"/>
            <w:tcBorders>
              <w:top w:val="single" w:sz="4" w:space="0" w:color="000000"/>
              <w:left w:val="single" w:sz="4" w:space="0" w:color="000000"/>
              <w:bottom w:val="single" w:sz="3" w:space="0" w:color="000000"/>
              <w:right w:val="single" w:sz="4" w:space="0" w:color="000000"/>
            </w:tcBorders>
          </w:tcPr>
          <w:p>
            <w:pPr/>
          </w:p>
        </w:tc>
        <w:tc>
          <w:tcPr>
            <w:tcW w:w="1290"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非经营性往来</w:t>
            </w:r>
            <w:r>
              <w:rPr>
                <w:rFonts w:ascii="宋体" w:hAnsi="宋体" w:cs="宋体" w:eastAsia="宋体" w:hint="default"/>
                <w:sz w:val="14"/>
                <w:szCs w:val="14"/>
              </w:rPr>
            </w:r>
          </w:p>
        </w:tc>
      </w:tr>
      <w:tr>
        <w:trPr>
          <w:trHeight w:val="251" w:hRule="exact"/>
        </w:trPr>
        <w:tc>
          <w:tcPr>
            <w:tcW w:w="2214" w:type="dxa"/>
            <w:vMerge/>
            <w:tcBorders>
              <w:left w:val="single" w:sz="7"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133" w:type="dxa"/>
            <w:tcBorders>
              <w:top w:val="single" w:sz="3" w:space="0" w:color="000000"/>
              <w:left w:val="single" w:sz="4"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375" w:type="dxa"/>
            <w:tcBorders>
              <w:top w:val="single" w:sz="3" w:space="0" w:color="000000"/>
              <w:left w:val="single" w:sz="4"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133" w:type="dxa"/>
            <w:tcBorders>
              <w:top w:val="single" w:sz="3" w:space="0" w:color="000000"/>
              <w:left w:val="single" w:sz="4" w:space="0" w:color="000000"/>
              <w:bottom w:val="single" w:sz="4" w:space="0" w:color="000000"/>
              <w:right w:val="single" w:sz="4" w:space="0" w:color="000000"/>
            </w:tcBorders>
          </w:tcPr>
          <w:p>
            <w:pPr/>
          </w:p>
        </w:tc>
        <w:tc>
          <w:tcPr>
            <w:tcW w:w="1132" w:type="dxa"/>
            <w:tcBorders>
              <w:top w:val="single" w:sz="3" w:space="0" w:color="000000"/>
              <w:left w:val="single" w:sz="4" w:space="0" w:color="000000"/>
              <w:bottom w:val="single" w:sz="4" w:space="0" w:color="000000"/>
              <w:right w:val="single" w:sz="4" w:space="0" w:color="000000"/>
            </w:tcBorders>
          </w:tcPr>
          <w:p>
            <w:pPr/>
          </w:p>
        </w:tc>
        <w:tc>
          <w:tcPr>
            <w:tcW w:w="1290" w:type="dxa"/>
            <w:tcBorders>
              <w:top w:val="single" w:sz="3"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非经营性往来</w:t>
            </w:r>
            <w:r>
              <w:rPr>
                <w:rFonts w:ascii="宋体" w:hAnsi="宋体" w:cs="宋体" w:eastAsia="宋体" w:hint="default"/>
                <w:sz w:val="14"/>
                <w:szCs w:val="14"/>
              </w:rPr>
            </w:r>
          </w:p>
        </w:tc>
      </w:tr>
      <w:tr>
        <w:trPr>
          <w:trHeight w:val="252" w:hRule="exact"/>
        </w:trPr>
        <w:tc>
          <w:tcPr>
            <w:tcW w:w="2214" w:type="dxa"/>
            <w:vMerge w:val="restart"/>
            <w:tcBorders>
              <w:top w:val="single" w:sz="4" w:space="0" w:color="000000"/>
              <w:left w:val="single" w:sz="7" w:space="0" w:color="000000"/>
              <w:right w:val="single" w:sz="4" w:space="0" w:color="000000"/>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5" w:right="0"/>
              <w:jc w:val="left"/>
              <w:rPr>
                <w:rFonts w:ascii="宋体" w:hAnsi="宋体" w:cs="宋体" w:eastAsia="宋体" w:hint="default"/>
                <w:sz w:val="14"/>
                <w:szCs w:val="14"/>
              </w:rPr>
            </w:pPr>
            <w:r>
              <w:rPr>
                <w:rFonts w:ascii="宋体" w:hAnsi="宋体" w:cs="宋体" w:eastAsia="宋体" w:hint="default"/>
                <w:w w:val="105"/>
                <w:sz w:val="14"/>
                <w:szCs w:val="14"/>
              </w:rPr>
              <w:t>其他关联人及其附属企业</w:t>
            </w:r>
            <w:r>
              <w:rPr>
                <w:rFonts w:ascii="宋体" w:hAnsi="宋体" w:cs="宋体" w:eastAsia="宋体" w:hint="default"/>
                <w:sz w:val="14"/>
                <w:szCs w:val="14"/>
              </w:rPr>
            </w: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非经营性往来</w:t>
            </w:r>
            <w:r>
              <w:rPr>
                <w:rFonts w:ascii="宋体" w:hAnsi="宋体" w:cs="宋体" w:eastAsia="宋体" w:hint="default"/>
                <w:sz w:val="14"/>
                <w:szCs w:val="14"/>
              </w:rPr>
            </w:r>
          </w:p>
        </w:tc>
      </w:tr>
      <w:tr>
        <w:trPr>
          <w:trHeight w:val="251" w:hRule="exact"/>
        </w:trPr>
        <w:tc>
          <w:tcPr>
            <w:tcW w:w="2214" w:type="dxa"/>
            <w:vMerge/>
            <w:tcBorders>
              <w:left w:val="single" w:sz="7"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4"/>
              <w:ind w:left="18" w:right="0"/>
              <w:jc w:val="left"/>
              <w:rPr>
                <w:rFonts w:ascii="宋体" w:hAnsi="宋体" w:cs="宋体" w:eastAsia="宋体" w:hint="default"/>
                <w:sz w:val="14"/>
                <w:szCs w:val="14"/>
              </w:rPr>
            </w:pPr>
            <w:r>
              <w:rPr>
                <w:rFonts w:ascii="宋体" w:hAnsi="宋体" w:cs="宋体" w:eastAsia="宋体" w:hint="default"/>
                <w:w w:val="105"/>
                <w:sz w:val="14"/>
                <w:szCs w:val="14"/>
              </w:rPr>
              <w:t>非经营性往来</w:t>
            </w:r>
            <w:r>
              <w:rPr>
                <w:rFonts w:ascii="宋体" w:hAnsi="宋体" w:cs="宋体" w:eastAsia="宋体" w:hint="default"/>
                <w:sz w:val="14"/>
                <w:szCs w:val="14"/>
              </w:rPr>
            </w:r>
          </w:p>
        </w:tc>
      </w:tr>
      <w:tr>
        <w:trPr>
          <w:trHeight w:val="252" w:hRule="exact"/>
        </w:trPr>
        <w:tc>
          <w:tcPr>
            <w:tcW w:w="2214" w:type="dxa"/>
            <w:tcBorders>
              <w:top w:val="single" w:sz="4" w:space="0" w:color="000000"/>
              <w:left w:val="single" w:sz="7" w:space="0" w:color="000000"/>
              <w:bottom w:val="single" w:sz="11" w:space="0" w:color="000000"/>
              <w:right w:val="single" w:sz="4" w:space="0" w:color="000000"/>
            </w:tcBorders>
          </w:tcPr>
          <w:p>
            <w:pPr>
              <w:pStyle w:val="TableParagraph"/>
              <w:spacing w:line="240" w:lineRule="auto" w:before="14"/>
              <w:ind w:right="7"/>
              <w:jc w:val="center"/>
              <w:rPr>
                <w:rFonts w:ascii="宋体" w:hAnsi="宋体" w:cs="宋体" w:eastAsia="宋体" w:hint="default"/>
                <w:sz w:val="14"/>
                <w:szCs w:val="14"/>
              </w:rPr>
            </w:pPr>
            <w:r>
              <w:rPr>
                <w:rFonts w:ascii="宋体" w:hAnsi="宋体" w:cs="宋体" w:eastAsia="宋体" w:hint="default"/>
                <w:w w:val="105"/>
                <w:sz w:val="14"/>
                <w:szCs w:val="14"/>
              </w:rPr>
              <w:t>总计</w:t>
            </w:r>
            <w:r>
              <w:rPr>
                <w:rFonts w:ascii="宋体" w:hAnsi="宋体" w:cs="宋体" w:eastAsia="宋体" w:hint="default"/>
                <w:sz w:val="14"/>
                <w:szCs w:val="14"/>
              </w:rPr>
            </w:r>
          </w:p>
        </w:tc>
        <w:tc>
          <w:tcPr>
            <w:tcW w:w="1132" w:type="dxa"/>
            <w:tcBorders>
              <w:top w:val="single" w:sz="4" w:space="0" w:color="000000"/>
              <w:left w:val="single" w:sz="4" w:space="0" w:color="000000"/>
              <w:bottom w:val="single" w:sz="11" w:space="0" w:color="000000"/>
              <w:right w:val="single" w:sz="4" w:space="0" w:color="000000"/>
            </w:tcBorders>
          </w:tcPr>
          <w:p>
            <w:pPr/>
          </w:p>
        </w:tc>
        <w:tc>
          <w:tcPr>
            <w:tcW w:w="1132" w:type="dxa"/>
            <w:tcBorders>
              <w:top w:val="single" w:sz="4" w:space="0" w:color="000000"/>
              <w:left w:val="single" w:sz="4" w:space="0" w:color="000000"/>
              <w:bottom w:val="single" w:sz="11" w:space="0" w:color="000000"/>
              <w:right w:val="single" w:sz="4" w:space="0" w:color="000000"/>
            </w:tcBorders>
          </w:tcPr>
          <w:p>
            <w:pPr/>
          </w:p>
        </w:tc>
        <w:tc>
          <w:tcPr>
            <w:tcW w:w="1133" w:type="dxa"/>
            <w:tcBorders>
              <w:top w:val="single" w:sz="4" w:space="0" w:color="000000"/>
              <w:left w:val="single" w:sz="4" w:space="0" w:color="000000"/>
              <w:bottom w:val="single" w:sz="11" w:space="0" w:color="000000"/>
              <w:right w:val="single" w:sz="4" w:space="0" w:color="000000"/>
            </w:tcBorders>
          </w:tcPr>
          <w:p>
            <w:pPr/>
          </w:p>
        </w:tc>
        <w:tc>
          <w:tcPr>
            <w:tcW w:w="1132" w:type="dxa"/>
            <w:tcBorders>
              <w:top w:val="single" w:sz="4" w:space="0" w:color="000000"/>
              <w:left w:val="single" w:sz="4" w:space="0" w:color="000000"/>
              <w:bottom w:val="single" w:sz="11" w:space="0" w:color="000000"/>
              <w:right w:val="single" w:sz="4" w:space="0" w:color="000000"/>
            </w:tcBorders>
          </w:tcPr>
          <w:p>
            <w:pPr>
              <w:pStyle w:val="TableParagraph"/>
              <w:spacing w:line="240" w:lineRule="auto" w:before="14"/>
              <w:ind w:right="86"/>
              <w:jc w:val="right"/>
              <w:rPr>
                <w:rFonts w:ascii="宋体" w:hAnsi="宋体" w:cs="宋体" w:eastAsia="宋体" w:hint="default"/>
                <w:sz w:val="14"/>
                <w:szCs w:val="14"/>
              </w:rPr>
            </w:pPr>
            <w:r>
              <w:rPr>
                <w:rFonts w:ascii="宋体"/>
                <w:sz w:val="14"/>
              </w:rPr>
              <w:t>17.04</w:t>
            </w:r>
          </w:p>
        </w:tc>
        <w:tc>
          <w:tcPr>
            <w:tcW w:w="1132" w:type="dxa"/>
            <w:tcBorders>
              <w:top w:val="single" w:sz="4" w:space="0" w:color="000000"/>
              <w:left w:val="single" w:sz="4" w:space="0" w:color="000000"/>
              <w:bottom w:val="single" w:sz="11" w:space="0" w:color="000000"/>
              <w:right w:val="single" w:sz="4" w:space="0" w:color="000000"/>
            </w:tcBorders>
          </w:tcPr>
          <w:p>
            <w:pPr>
              <w:pStyle w:val="TableParagraph"/>
              <w:spacing w:line="240" w:lineRule="auto" w:before="14"/>
              <w:ind w:right="86"/>
              <w:jc w:val="right"/>
              <w:rPr>
                <w:rFonts w:ascii="宋体" w:hAnsi="宋体" w:cs="宋体" w:eastAsia="宋体" w:hint="default"/>
                <w:sz w:val="14"/>
                <w:szCs w:val="14"/>
              </w:rPr>
            </w:pPr>
            <w:r>
              <w:rPr>
                <w:rFonts w:ascii="宋体"/>
                <w:spacing w:val="-1"/>
                <w:sz w:val="14"/>
              </w:rPr>
              <w:t>10,724.75</w:t>
            </w:r>
          </w:p>
        </w:tc>
        <w:tc>
          <w:tcPr>
            <w:tcW w:w="1375" w:type="dxa"/>
            <w:tcBorders>
              <w:top w:val="single" w:sz="4" w:space="0" w:color="000000"/>
              <w:left w:val="single" w:sz="4" w:space="0" w:color="000000"/>
              <w:bottom w:val="single" w:sz="11" w:space="0" w:color="000000"/>
              <w:right w:val="single" w:sz="4" w:space="0" w:color="000000"/>
            </w:tcBorders>
          </w:tcPr>
          <w:p>
            <w:pPr/>
          </w:p>
        </w:tc>
        <w:tc>
          <w:tcPr>
            <w:tcW w:w="1132" w:type="dxa"/>
            <w:tcBorders>
              <w:top w:val="single" w:sz="4" w:space="0" w:color="000000"/>
              <w:left w:val="single" w:sz="4" w:space="0" w:color="000000"/>
              <w:bottom w:val="single" w:sz="11" w:space="0" w:color="000000"/>
              <w:right w:val="single" w:sz="4" w:space="0" w:color="000000"/>
            </w:tcBorders>
          </w:tcPr>
          <w:p>
            <w:pPr>
              <w:pStyle w:val="TableParagraph"/>
              <w:spacing w:line="240" w:lineRule="auto" w:before="14"/>
              <w:ind w:right="86"/>
              <w:jc w:val="right"/>
              <w:rPr>
                <w:rFonts w:ascii="宋体" w:hAnsi="宋体" w:cs="宋体" w:eastAsia="宋体" w:hint="default"/>
                <w:sz w:val="14"/>
                <w:szCs w:val="14"/>
              </w:rPr>
            </w:pPr>
            <w:r>
              <w:rPr>
                <w:rFonts w:ascii="宋体"/>
                <w:spacing w:val="-1"/>
                <w:sz w:val="14"/>
              </w:rPr>
              <w:t>5,046.81</w:t>
            </w:r>
          </w:p>
        </w:tc>
        <w:tc>
          <w:tcPr>
            <w:tcW w:w="1133" w:type="dxa"/>
            <w:tcBorders>
              <w:top w:val="single" w:sz="4" w:space="0" w:color="000000"/>
              <w:left w:val="single" w:sz="4" w:space="0" w:color="000000"/>
              <w:bottom w:val="single" w:sz="11" w:space="0" w:color="000000"/>
              <w:right w:val="single" w:sz="4" w:space="0" w:color="000000"/>
            </w:tcBorders>
          </w:tcPr>
          <w:p>
            <w:pPr>
              <w:pStyle w:val="TableParagraph"/>
              <w:spacing w:line="240" w:lineRule="auto" w:before="14"/>
              <w:ind w:right="87"/>
              <w:jc w:val="right"/>
              <w:rPr>
                <w:rFonts w:ascii="宋体" w:hAnsi="宋体" w:cs="宋体" w:eastAsia="宋体" w:hint="default"/>
                <w:sz w:val="14"/>
                <w:szCs w:val="14"/>
              </w:rPr>
            </w:pPr>
            <w:r>
              <w:rPr>
                <w:rFonts w:ascii="宋体"/>
                <w:spacing w:val="-1"/>
                <w:sz w:val="14"/>
              </w:rPr>
              <w:t>5,694.99</w:t>
            </w:r>
          </w:p>
        </w:tc>
        <w:tc>
          <w:tcPr>
            <w:tcW w:w="1132" w:type="dxa"/>
            <w:tcBorders>
              <w:top w:val="single" w:sz="4" w:space="0" w:color="000000"/>
              <w:left w:val="single" w:sz="4" w:space="0" w:color="000000"/>
              <w:bottom w:val="single" w:sz="11" w:space="0" w:color="000000"/>
              <w:right w:val="single" w:sz="4" w:space="0" w:color="000000"/>
            </w:tcBorders>
          </w:tcPr>
          <w:p>
            <w:pPr/>
          </w:p>
        </w:tc>
        <w:tc>
          <w:tcPr>
            <w:tcW w:w="1290" w:type="dxa"/>
            <w:tcBorders>
              <w:top w:val="single" w:sz="4" w:space="0" w:color="000000"/>
              <w:left w:val="single" w:sz="4" w:space="0" w:color="000000"/>
              <w:bottom w:val="single" w:sz="11" w:space="0" w:color="000000"/>
              <w:right w:val="single" w:sz="7" w:space="0" w:color="000000"/>
            </w:tcBorders>
          </w:tcPr>
          <w:p>
            <w:pPr/>
          </w:p>
        </w:tc>
      </w:tr>
    </w:tbl>
    <w:p>
      <w:pPr>
        <w:spacing w:line="240" w:lineRule="auto" w:before="11"/>
        <w:rPr>
          <w:rFonts w:ascii="宋体" w:hAnsi="宋体" w:cs="宋体" w:eastAsia="宋体" w:hint="default"/>
          <w:sz w:val="6"/>
          <w:szCs w:val="6"/>
        </w:rPr>
      </w:pPr>
    </w:p>
    <w:p>
      <w:pPr>
        <w:tabs>
          <w:tab w:pos="5782" w:val="left" w:leader="none"/>
          <w:tab w:pos="10552" w:val="left" w:leader="none"/>
        </w:tabs>
        <w:spacing w:before="60"/>
        <w:ind w:left="166" w:right="0" w:firstLine="0"/>
        <w:jc w:val="left"/>
        <w:rPr>
          <w:rFonts w:ascii="宋体" w:hAnsi="宋体" w:cs="宋体" w:eastAsia="宋体" w:hint="default"/>
          <w:sz w:val="14"/>
          <w:szCs w:val="14"/>
        </w:rPr>
      </w:pPr>
      <w:r>
        <w:rPr>
          <w:rFonts w:ascii="宋体" w:hAnsi="宋体" w:cs="宋体" w:eastAsia="宋体" w:hint="default"/>
          <w:spacing w:val="-1"/>
          <w:sz w:val="14"/>
          <w:szCs w:val="14"/>
        </w:rPr>
        <w:t>法定代表人：</w:t>
        <w:tab/>
        <w:t>主管会计工作负责人：</w:t>
        <w:tab/>
      </w:r>
      <w:r>
        <w:rPr>
          <w:rFonts w:ascii="宋体" w:hAnsi="宋体" w:cs="宋体" w:eastAsia="宋体" w:hint="default"/>
          <w:spacing w:val="-1"/>
          <w:w w:val="105"/>
          <w:sz w:val="14"/>
          <w:szCs w:val="14"/>
        </w:rPr>
        <w:t>会计机构负责人：</w:t>
      </w:r>
      <w:r>
        <w:rPr>
          <w:rFonts w:ascii="宋体" w:hAnsi="宋体" w:cs="宋体" w:eastAsia="宋体" w:hint="default"/>
          <w:spacing w:val="-1"/>
          <w:sz w:val="14"/>
          <w:szCs w:val="1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6649" w:right="7350" w:firstLine="0"/>
        <w:jc w:val="center"/>
        <w:rPr>
          <w:rFonts w:ascii="Times New Roman" w:hAnsi="Times New Roman" w:cs="Times New Roman" w:eastAsia="Times New Roman" w:hint="default"/>
          <w:sz w:val="18"/>
          <w:szCs w:val="18"/>
        </w:rPr>
      </w:pPr>
      <w:r>
        <w:rPr>
          <w:rFonts w:ascii="Times New Roman"/>
          <w:sz w:val="18"/>
        </w:rPr>
        <w:t>50</w:t>
      </w:r>
    </w:p>
    <w:p>
      <w:pPr>
        <w:spacing w:after="0"/>
        <w:jc w:val="center"/>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0" w:footer="0" w:top="320" w:bottom="280" w:left="1660" w:right="9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pStyle w:val="BodyText"/>
        <w:spacing w:line="240" w:lineRule="auto" w:before="35"/>
        <w:ind w:right="0"/>
        <w:jc w:val="left"/>
      </w:pPr>
      <w:r>
        <w:rPr/>
        <w:t>（五）独立董事对公司关联方资金往来和对外担保情况的专项说明及独立意见</w:t>
      </w:r>
    </w:p>
    <w:p>
      <w:pPr>
        <w:spacing w:line="240" w:lineRule="auto" w:before="13"/>
        <w:rPr>
          <w:rFonts w:ascii="宋体" w:hAnsi="宋体" w:cs="宋体" w:eastAsia="宋体" w:hint="default"/>
          <w:sz w:val="17"/>
          <w:szCs w:val="17"/>
        </w:rPr>
      </w:pPr>
    </w:p>
    <w:p>
      <w:pPr>
        <w:pStyle w:val="BodyText"/>
        <w:spacing w:line="333" w:lineRule="auto"/>
        <w:ind w:left="139" w:right="215" w:firstLine="420"/>
        <w:jc w:val="both"/>
      </w:pPr>
      <w:r>
        <w:rPr>
          <w:spacing w:val="-13"/>
        </w:rPr>
        <w:t>根据《公司法》、《证券法》、《关于规范上市公司关联方资金往来及上市公司担保若干问</w:t>
      </w:r>
      <w:r>
        <w:rPr/>
        <w:t> </w:t>
      </w:r>
      <w:r>
        <w:rPr>
          <w:spacing w:val="-13"/>
        </w:rPr>
        <w:t>题的通知》（证监发</w:t>
      </w:r>
      <w:r>
        <w:rPr>
          <w:rFonts w:ascii="Times New Roman" w:hAnsi="Times New Roman" w:cs="Times New Roman" w:eastAsia="Times New Roman" w:hint="default"/>
          <w:spacing w:val="-13"/>
        </w:rPr>
        <w:t>[2003]56</w:t>
      </w:r>
      <w:r>
        <w:rPr>
          <w:rFonts w:ascii="Times New Roman" w:hAnsi="Times New Roman" w:cs="Times New Roman" w:eastAsia="Times New Roman" w:hint="default"/>
        </w:rPr>
        <w:t> </w:t>
      </w:r>
      <w:r>
        <w:rPr>
          <w:spacing w:val="-16"/>
        </w:rPr>
        <w:t>号）、《关于规范上市公司对外担保行为的通知》（证监发</w:t>
      </w:r>
      <w:r>
        <w:rPr>
          <w:rFonts w:ascii="Times New Roman" w:hAnsi="Times New Roman" w:cs="Times New Roman" w:eastAsia="Times New Roman" w:hint="default"/>
          <w:spacing w:val="-16"/>
        </w:rPr>
        <w:t>[2005]120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3"/>
        </w:rPr>
        <w:t>号）以及《公司章程》等有关规定和要求，作为公司独立董事，本着实事求是的态度，对公</w:t>
      </w:r>
      <w:r>
        <w:rPr>
          <w:spacing w:val="-81"/>
        </w:rPr>
        <w:t> </w:t>
      </w:r>
      <w:r>
        <w:rPr>
          <w:spacing w:val="-81"/>
        </w:rPr>
      </w:r>
      <w:r>
        <w:rPr/>
        <w:t>司关联方资金往来和对外担保情况发表如下独立意见：</w:t>
      </w:r>
    </w:p>
    <w:p>
      <w:pPr>
        <w:pStyle w:val="BodyText"/>
        <w:spacing w:line="328" w:lineRule="auto" w:before="153"/>
        <w:ind w:left="139" w:right="107" w:firstLine="420"/>
        <w:jc w:val="left"/>
      </w:pPr>
      <w:r>
        <w:rPr/>
        <w:t>截止</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日，公司与关联方的资金往来能够严格遵守（证监发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1"/>
        </w:rPr>
        <w:t> </w:t>
      </w:r>
      <w:r>
        <w:rPr/>
        <w:t>号） </w:t>
      </w:r>
      <w:r>
        <w:rPr>
          <w:spacing w:val="-3"/>
        </w:rPr>
        <w:t>及《公司章程》等有关规定，关联方之间发生的资金往来都属经营性往来，规模较小且价格</w:t>
      </w:r>
      <w:r>
        <w:rPr>
          <w:spacing w:val="-80"/>
        </w:rPr>
        <w:t> </w:t>
      </w:r>
      <w:r>
        <w:rPr>
          <w:spacing w:val="-80"/>
        </w:rPr>
      </w:r>
      <w:r>
        <w:rPr>
          <w:spacing w:val="-3"/>
        </w:rPr>
        <w:t>公允，不存在与证监发</w:t>
      </w:r>
      <w:r>
        <w:rPr>
          <w:rFonts w:ascii="Times New Roman" w:hAnsi="Times New Roman" w:cs="Times New Roman" w:eastAsia="Times New Roman" w:hint="default"/>
          <w:spacing w:val="-3"/>
        </w:rPr>
        <w:t>[2003]56</w:t>
      </w:r>
      <w:r>
        <w:rPr>
          <w:rFonts w:ascii="Times New Roman" w:hAnsi="Times New Roman" w:cs="Times New Roman" w:eastAsia="Times New Roman" w:hint="default"/>
          <w:spacing w:val="-10"/>
        </w:rPr>
        <w:t> </w:t>
      </w:r>
      <w:r>
        <w:rPr/>
        <w:t>号文规定相违背的情形。公司控股股东不存在占用公司资金 的情况，也不存在以前年度发生并累计至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日的违规关联方占用资金情况。</w:t>
      </w:r>
    </w:p>
    <w:p>
      <w:pPr>
        <w:pStyle w:val="BodyText"/>
        <w:spacing w:line="321" w:lineRule="auto" w:before="133"/>
        <w:ind w:left="139" w:right="216" w:firstLine="420"/>
        <w:jc w:val="both"/>
      </w:pPr>
      <w:r>
        <w:rPr/>
        <w:t>截止</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日，公司没有为股东、实际控制人及其关联方、任何非法人单位 或个人以及公司控股子公司提供担保，没有发生与证监发</w:t>
      </w:r>
      <w:r>
        <w:rPr>
          <w:rFonts w:ascii="Times New Roman" w:hAnsi="Times New Roman" w:cs="Times New Roman" w:eastAsia="Times New Roman" w:hint="default"/>
        </w:rPr>
        <w:t>[2003]56</w:t>
      </w:r>
      <w:r>
        <w:rPr>
          <w:rFonts w:ascii="Times New Roman" w:hAnsi="Times New Roman" w:cs="Times New Roman" w:eastAsia="Times New Roman" w:hint="default"/>
          <w:spacing w:val="26"/>
        </w:rPr>
        <w:t> </w:t>
      </w:r>
      <w:r>
        <w:rPr/>
        <w:t>号文、证监发</w:t>
      </w:r>
      <w:r>
        <w:rPr>
          <w:rFonts w:ascii="Times New Roman" w:hAnsi="Times New Roman" w:cs="Times New Roman" w:eastAsia="Times New Roman" w:hint="default"/>
        </w:rPr>
        <w:t>[2005]120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号文规定相违背的担保事项。</w:t>
      </w:r>
    </w:p>
    <w:p>
      <w:pPr>
        <w:spacing w:line="240" w:lineRule="auto" w:before="0"/>
        <w:rPr>
          <w:rFonts w:ascii="宋体" w:hAnsi="宋体" w:cs="宋体" w:eastAsia="宋体" w:hint="default"/>
          <w:sz w:val="20"/>
          <w:szCs w:val="20"/>
        </w:rPr>
      </w:pPr>
    </w:p>
    <w:p>
      <w:pPr>
        <w:pStyle w:val="Heading3"/>
        <w:spacing w:line="240" w:lineRule="auto" w:before="150"/>
        <w:ind w:right="0"/>
        <w:jc w:val="left"/>
        <w:rPr>
          <w:b w:val="0"/>
          <w:bCs w:val="0"/>
        </w:rPr>
      </w:pPr>
      <w:r>
        <w:rPr/>
        <w:t>七、报告期内重大合同及其履行情况</w:t>
      </w:r>
      <w:r>
        <w:rPr>
          <w:b w:val="0"/>
          <w:bCs w:val="0"/>
        </w:rPr>
      </w:r>
    </w:p>
    <w:p>
      <w:pPr>
        <w:pStyle w:val="BodyText"/>
        <w:spacing w:line="240" w:lineRule="auto" w:before="181"/>
        <w:ind w:right="0"/>
        <w:jc w:val="left"/>
      </w:pPr>
      <w:r>
        <w:rPr/>
        <w:t>（一）本报告期公司无重大托管、承包、租赁情况。</w:t>
      </w:r>
    </w:p>
    <w:p>
      <w:pPr>
        <w:spacing w:line="240" w:lineRule="auto" w:before="13"/>
        <w:rPr>
          <w:rFonts w:ascii="宋体" w:hAnsi="宋体" w:cs="宋体" w:eastAsia="宋体" w:hint="default"/>
          <w:sz w:val="17"/>
          <w:szCs w:val="17"/>
        </w:rPr>
      </w:pPr>
    </w:p>
    <w:p>
      <w:pPr>
        <w:pStyle w:val="BodyText"/>
        <w:spacing w:line="240" w:lineRule="auto"/>
        <w:ind w:right="0"/>
        <w:jc w:val="left"/>
      </w:pPr>
      <w:r>
        <w:rPr/>
        <w:t>（二）本报告期内公司无担保事项。</w:t>
      </w:r>
    </w:p>
    <w:p>
      <w:pPr>
        <w:spacing w:line="240" w:lineRule="auto" w:before="13"/>
        <w:rPr>
          <w:rFonts w:ascii="宋体" w:hAnsi="宋体" w:cs="宋体" w:eastAsia="宋体" w:hint="default"/>
          <w:sz w:val="17"/>
          <w:szCs w:val="17"/>
        </w:rPr>
      </w:pPr>
    </w:p>
    <w:p>
      <w:pPr>
        <w:pStyle w:val="BodyText"/>
        <w:spacing w:line="240" w:lineRule="auto"/>
        <w:ind w:right="0"/>
        <w:jc w:val="left"/>
      </w:pPr>
      <w:r>
        <w:rPr/>
        <w:t>（三）本报告期内公司无委托他人进行现金资产管理事项。</w:t>
      </w:r>
    </w:p>
    <w:p>
      <w:pPr>
        <w:pStyle w:val="BodyText"/>
        <w:spacing w:line="510" w:lineRule="exact" w:before="72"/>
        <w:ind w:left="560" w:right="200" w:hanging="420"/>
        <w:jc w:val="left"/>
        <w:rPr>
          <w:rFonts w:ascii="Times New Roman" w:hAnsi="Times New Roman" w:cs="Times New Roman" w:eastAsia="Times New Roman" w:hint="default"/>
        </w:rPr>
      </w:pPr>
      <w:r>
        <w:rPr/>
        <w:t>（四）关于重大销售合同履行情况的说明。 本报告期，公司公告了与中国银行股份有限公司签订的销售合同（详见公司 </w:t>
      </w:r>
      <w:r>
        <w:rPr>
          <w:rFonts w:ascii="Times New Roman" w:hAnsi="Times New Roman" w:cs="Times New Roman" w:eastAsia="Times New Roman" w:hint="default"/>
        </w:rPr>
        <w:t>2010 </w:t>
      </w:r>
      <w:r>
        <w:rPr/>
        <w:t>年</w:t>
      </w:r>
      <w:r>
        <w:rPr>
          <w:spacing w:val="-44"/>
        </w:rPr>
        <w:t> </w:t>
      </w:r>
      <w:r>
        <w:rPr>
          <w:rFonts w:ascii="Times New Roman" w:hAnsi="Times New Roman" w:cs="Times New Roman" w:eastAsia="Times New Roman" w:hint="default"/>
        </w:rPr>
        <w:t>5</w:t>
      </w:r>
    </w:p>
    <w:p>
      <w:pPr>
        <w:pStyle w:val="BodyText"/>
        <w:spacing w:line="240" w:lineRule="auto" w:before="42"/>
        <w:ind w:right="0"/>
        <w:jc w:val="left"/>
      </w:pP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日刊</w:t>
      </w:r>
      <w:r>
        <w:rPr>
          <w:spacing w:val="-2"/>
        </w:rPr>
        <w:t>登</w:t>
      </w:r>
      <w:r>
        <w:rPr/>
        <w:t>的临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01</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
        </w:rPr>
        <w:t>日</w:t>
      </w:r>
      <w:r>
        <w:rPr/>
        <w:t>刊登的临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号公</w:t>
      </w:r>
      <w:r>
        <w:rPr>
          <w:spacing w:val="-2"/>
        </w:rPr>
        <w:t>告</w:t>
      </w:r>
      <w:r>
        <w:rPr>
          <w:spacing w:val="-105"/>
        </w:rPr>
        <w:t>）</w:t>
      </w:r>
      <w:r>
        <w:rPr/>
        <w:t>，上述合同均</w:t>
      </w:r>
    </w:p>
    <w:p>
      <w:pPr>
        <w:pStyle w:val="BodyText"/>
        <w:spacing w:line="240" w:lineRule="auto" w:before="99"/>
        <w:ind w:left="139" w:right="0"/>
        <w:jc w:val="left"/>
      </w:pPr>
      <w:r>
        <w:rPr/>
        <w:t>按其要求履行。截至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日，根据公司的会计收入确认原则，尚有部分合同额</w:t>
      </w:r>
    </w:p>
    <w:p>
      <w:pPr>
        <w:pStyle w:val="BodyText"/>
        <w:spacing w:line="240" w:lineRule="auto" w:before="99"/>
        <w:ind w:left="139" w:right="0"/>
        <w:jc w:val="left"/>
      </w:pPr>
      <w:r>
        <w:rPr/>
        <w:t>未确认为</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年的营业收入，将在以后相应的会计期间确认。</w:t>
      </w:r>
    </w:p>
    <w:p>
      <w:pPr>
        <w:spacing w:line="240" w:lineRule="auto" w:before="10"/>
        <w:rPr>
          <w:rFonts w:ascii="宋体" w:hAnsi="宋体" w:cs="宋体" w:eastAsia="宋体" w:hint="default"/>
          <w:sz w:val="16"/>
          <w:szCs w:val="16"/>
        </w:rPr>
      </w:pPr>
    </w:p>
    <w:p>
      <w:pPr>
        <w:pStyle w:val="BodyText"/>
        <w:spacing w:line="240" w:lineRule="auto"/>
        <w:ind w:left="55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日，公司披露了全资子公司运通国际中标土耳其</w:t>
      </w:r>
      <w:r>
        <w:rPr>
          <w:spacing w:val="-55"/>
        </w:rPr>
        <w:t> </w:t>
      </w:r>
      <w:r>
        <w:rPr>
          <w:rFonts w:ascii="Times New Roman" w:hAnsi="Times New Roman" w:cs="Times New Roman" w:eastAsia="Times New Roman" w:hint="default"/>
        </w:rPr>
        <w:t>Ziraat</w:t>
      </w:r>
      <w:r>
        <w:rPr>
          <w:rFonts w:ascii="Times New Roman" w:hAnsi="Times New Roman" w:cs="Times New Roman" w:eastAsia="Times New Roman" w:hint="default"/>
          <w:spacing w:val="10"/>
        </w:rPr>
        <w:t> </w:t>
      </w:r>
      <w:r>
        <w:rPr>
          <w:rFonts w:ascii="Times New Roman" w:hAnsi="Times New Roman" w:cs="Times New Roman" w:eastAsia="Times New Roman" w:hint="default"/>
        </w:rPr>
        <w:t>Bank</w:t>
      </w:r>
      <w:r>
        <w:rPr>
          <w:rFonts w:ascii="Times New Roman" w:hAnsi="Times New Roman" w:cs="Times New Roman" w:eastAsia="Times New Roman" w:hint="default"/>
          <w:spacing w:val="-1"/>
        </w:rPr>
        <w:t> </w:t>
      </w:r>
      <w:r>
        <w:rPr/>
        <w:t>的公告（详</w:t>
      </w:r>
    </w:p>
    <w:p>
      <w:pPr>
        <w:pStyle w:val="BodyText"/>
        <w:spacing w:line="321" w:lineRule="auto" w:before="99"/>
        <w:ind w:left="139" w:right="0"/>
        <w:jc w:val="left"/>
      </w:pPr>
      <w:r>
        <w:rPr/>
        <w:t>见编号为临</w:t>
      </w:r>
      <w:r>
        <w:rPr>
          <w:spacing w:val="12"/>
        </w:rPr>
        <w:t> </w:t>
      </w:r>
      <w:r>
        <w:rPr>
          <w:rFonts w:ascii="Times New Roman" w:hAnsi="Times New Roman" w:cs="Times New Roman" w:eastAsia="Times New Roman" w:hint="default"/>
          <w:spacing w:val="-1"/>
        </w:rPr>
        <w:t>2010-020</w:t>
      </w:r>
      <w:r>
        <w:rPr>
          <w:rFonts w:ascii="Times New Roman" w:hAnsi="Times New Roman" w:cs="Times New Roman" w:eastAsia="Times New Roman" w:hint="default"/>
          <w:spacing w:val="12"/>
        </w:rPr>
        <w:t> </w:t>
      </w:r>
      <w:r>
        <w:rPr>
          <w:spacing w:val="-3"/>
        </w:rPr>
        <w:t>号的公告），目前产品尚在测试过程中，设备运行良好。由于未完成</w:t>
      </w:r>
      <w:r>
        <w:rPr>
          <w:spacing w:val="-103"/>
        </w:rPr>
        <w:t> </w:t>
      </w:r>
      <w:r>
        <w:rPr>
          <w:spacing w:val="-103"/>
        </w:rPr>
      </w:r>
      <w:r>
        <w:rPr/>
        <w:t>最终测试，公司尚未签订正式合同。</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八、公司或持股</w:t>
      </w:r>
      <w:r>
        <w:rPr>
          <w:spacing w:val="-62"/>
        </w:rPr>
        <w:t> </w:t>
      </w:r>
      <w:r>
        <w:rPr>
          <w:rFonts w:ascii="Times New Roman" w:hAnsi="Times New Roman" w:cs="Times New Roman" w:eastAsia="Times New Roman" w:hint="default"/>
        </w:rPr>
        <w:t>5%</w:t>
      </w:r>
      <w:r>
        <w:rPr/>
        <w:t>以上股东在报告期内或持续到报告期内的承诺事项</w:t>
      </w:r>
      <w:r>
        <w:rPr>
          <w:b w:val="0"/>
          <w:bCs w:val="0"/>
        </w:rPr>
      </w:r>
    </w:p>
    <w:p>
      <w:pPr>
        <w:pStyle w:val="BodyText"/>
        <w:spacing w:line="240" w:lineRule="auto" w:before="201"/>
        <w:ind w:left="560" w:right="0"/>
        <w:jc w:val="left"/>
      </w:pPr>
      <w:r>
        <w:rPr>
          <w:rFonts w:ascii="Times New Roman" w:hAnsi="Times New Roman" w:cs="Times New Roman" w:eastAsia="Times New Roman" w:hint="default"/>
        </w:rPr>
        <w:t>1</w:t>
      </w:r>
      <w:r>
        <w:rPr/>
        <w:t>、股份限售的承诺</w:t>
      </w:r>
    </w:p>
    <w:p>
      <w:pPr>
        <w:spacing w:line="240" w:lineRule="auto" w:before="7"/>
        <w:rPr>
          <w:rFonts w:ascii="宋体" w:hAnsi="宋体" w:cs="宋体" w:eastAsia="宋体" w:hint="default"/>
          <w:sz w:val="19"/>
          <w:szCs w:val="19"/>
        </w:rPr>
      </w:pPr>
    </w:p>
    <w:p>
      <w:pPr>
        <w:pStyle w:val="BodyText"/>
        <w:spacing w:line="321" w:lineRule="auto"/>
        <w:ind w:right="97" w:firstLine="420"/>
        <w:jc w:val="left"/>
      </w:pPr>
      <w:r>
        <w:rPr/>
        <w:t>（</w:t>
      </w:r>
      <w:r>
        <w:rPr>
          <w:rFonts w:ascii="Times New Roman" w:hAnsi="Times New Roman" w:cs="Times New Roman" w:eastAsia="Times New Roman" w:hint="default"/>
        </w:rPr>
        <w:t>1</w:t>
      </w:r>
      <w:r>
        <w:rPr/>
        <w:t>）公司控股股东广州无线电集团有限公司承诺自公司首次公开发行股票并上市之日 起</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spacing w:val="-3"/>
        </w:rPr>
        <w:t>个月内，不转让或者委托他人管理其所持有的公司股份，也不由公司回购该部分股份。</w:t>
      </w:r>
    </w:p>
    <w:p>
      <w:pPr>
        <w:pStyle w:val="BodyText"/>
        <w:spacing w:line="321" w:lineRule="auto" w:before="176"/>
        <w:ind w:right="0" w:firstLine="420"/>
        <w:jc w:val="left"/>
      </w:pPr>
      <w:r>
        <w:rPr>
          <w:spacing w:val="-3"/>
        </w:rPr>
        <w:t>（</w:t>
      </w:r>
      <w:r>
        <w:rPr>
          <w:rFonts w:ascii="Times New Roman" w:hAnsi="Times New Roman" w:cs="Times New Roman" w:eastAsia="Times New Roman" w:hint="default"/>
          <w:spacing w:val="-3"/>
        </w:rPr>
        <w:t>2</w:t>
      </w:r>
      <w:r>
        <w:rPr>
          <w:spacing w:val="-3"/>
        </w:rPr>
        <w:t>）担任公司董事、监事及高级管理人员的赵友永、杨海洲、王俊、叶子瑜、祝立新、</w:t>
      </w:r>
      <w:r>
        <w:rPr/>
        <w:t> </w:t>
      </w:r>
      <w:r>
        <w:rPr>
          <w:spacing w:val="-3"/>
        </w:rPr>
        <w:t>冯丰穗、陈振光、曾文、束萌、蒋春晨、陈建良、李叶东和康丰承诺，在其任职期间每年转</w:t>
      </w:r>
    </w:p>
    <w:p>
      <w:pPr>
        <w:spacing w:after="0" w:line="321" w:lineRule="auto"/>
        <w:jc w:val="left"/>
        <w:sectPr>
          <w:footerReference w:type="default" r:id="rId20"/>
          <w:pgSz w:w="11910" w:h="16840"/>
          <w:pgMar w:footer="982" w:header="0" w:top="1100" w:bottom="1180" w:left="1660" w:right="1580"/>
          <w:pgNumType w:start="51"/>
        </w:sectPr>
      </w:pPr>
    </w:p>
    <w:p>
      <w:pPr>
        <w:spacing w:line="240" w:lineRule="auto" w:before="9"/>
        <w:rPr>
          <w:rFonts w:ascii="宋体" w:hAnsi="宋体" w:cs="宋体" w:eastAsia="宋体" w:hint="default"/>
          <w:sz w:val="23"/>
          <w:szCs w:val="23"/>
        </w:rPr>
      </w:pPr>
    </w:p>
    <w:p>
      <w:pPr>
        <w:pStyle w:val="BodyText"/>
        <w:spacing w:line="321" w:lineRule="auto" w:before="35"/>
        <w:ind w:right="197"/>
        <w:jc w:val="both"/>
      </w:pPr>
      <w:r>
        <w:rPr/>
        <w:t>让的股份不超过其所持有本公司股份总数的 </w:t>
      </w:r>
      <w:r>
        <w:rPr>
          <w:rFonts w:ascii="Times New Roman" w:hAnsi="Times New Roman" w:cs="Times New Roman" w:eastAsia="Times New Roman" w:hint="default"/>
        </w:rPr>
        <w:t>25%</w:t>
      </w:r>
      <w:r>
        <w:rPr/>
        <w:t>，离职后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个月内，不转让其所持有的本 公司股份。</w:t>
      </w:r>
    </w:p>
    <w:p>
      <w:pPr>
        <w:spacing w:line="240" w:lineRule="auto" w:before="4"/>
        <w:rPr>
          <w:rFonts w:ascii="宋体" w:hAnsi="宋体" w:cs="宋体" w:eastAsia="宋体" w:hint="default"/>
          <w:sz w:val="15"/>
          <w:szCs w:val="15"/>
        </w:rPr>
      </w:pPr>
    </w:p>
    <w:p>
      <w:pPr>
        <w:pStyle w:val="BodyText"/>
        <w:spacing w:line="240" w:lineRule="auto"/>
        <w:ind w:left="560" w:right="8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日离任的张招兴董事承诺：离职后</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个月内，不转让其所持有的</w:t>
      </w:r>
    </w:p>
    <w:p>
      <w:pPr>
        <w:pStyle w:val="BodyText"/>
        <w:spacing w:line="321" w:lineRule="auto" w:before="99"/>
        <w:ind w:right="197" w:hanging="1"/>
        <w:jc w:val="both"/>
      </w:pPr>
      <w:r>
        <w:rPr/>
        <w:t>本公司股份，离任</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个月后的</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个月内通过证券交易所挂牌交易出售本公司股票数量占其 所持有本公司股票总数（包括有限售条件和无限售条件的股份）的比例不超过</w:t>
      </w:r>
      <w:r>
        <w:rPr>
          <w:spacing w:val="-54"/>
        </w:rPr>
        <w:t> </w:t>
      </w:r>
      <w:r>
        <w:rPr>
          <w:rFonts w:ascii="Times New Roman" w:hAnsi="Times New Roman" w:cs="Times New Roman" w:eastAsia="Times New Roman" w:hint="default"/>
        </w:rPr>
        <w:t>50</w:t>
      </w:r>
      <w:r>
        <w:rPr/>
        <w:t>％。</w:t>
      </w:r>
    </w:p>
    <w:p>
      <w:pPr>
        <w:pStyle w:val="BodyText"/>
        <w:spacing w:line="240" w:lineRule="auto" w:before="176"/>
        <w:ind w:left="560" w:right="84"/>
        <w:jc w:val="left"/>
      </w:pPr>
      <w:r>
        <w:rPr>
          <w:rFonts w:ascii="Times New Roman" w:hAnsi="Times New Roman" w:cs="Times New Roman" w:eastAsia="Times New Roman" w:hint="default"/>
        </w:rPr>
        <w:t>2</w:t>
      </w:r>
      <w:r>
        <w:rPr/>
        <w:t>、避免同业竞争的承诺</w:t>
      </w:r>
    </w:p>
    <w:p>
      <w:pPr>
        <w:spacing w:line="240" w:lineRule="auto" w:before="7"/>
        <w:rPr>
          <w:rFonts w:ascii="宋体" w:hAnsi="宋体" w:cs="宋体" w:eastAsia="宋体" w:hint="default"/>
          <w:sz w:val="19"/>
          <w:szCs w:val="19"/>
        </w:rPr>
      </w:pPr>
    </w:p>
    <w:p>
      <w:pPr>
        <w:pStyle w:val="BodyText"/>
        <w:spacing w:line="340" w:lineRule="auto"/>
        <w:ind w:right="194" w:firstLine="420"/>
        <w:jc w:val="both"/>
      </w:pPr>
      <w:r>
        <w:rPr>
          <w:spacing w:val="-3"/>
        </w:rPr>
        <w:t>为避免在以后的经营中产生同业竞争，公司控股股东广电集团和其他三名发起人股东梅</w:t>
      </w:r>
      <w:r>
        <w:rPr/>
        <w:t> </w:t>
      </w:r>
      <w:r>
        <w:rPr>
          <w:spacing w:val="-8"/>
        </w:rPr>
        <w:t>州敬基实业有限公司、盈富泰克创业投资有限公司、广州藤川科技有限公司向公司出具了《关</w:t>
      </w:r>
      <w:r>
        <w:rPr>
          <w:spacing w:val="-80"/>
        </w:rPr>
        <w:t> </w:t>
      </w:r>
      <w:r>
        <w:rPr>
          <w:spacing w:val="-80"/>
        </w:rPr>
      </w:r>
      <w:r>
        <w:rPr>
          <w:spacing w:val="-3"/>
        </w:rPr>
        <w:t>于避免与广州广电运通金融电子股份有限公司同业竞争的承诺函》，承诺其以后不从事与本</w:t>
      </w:r>
      <w:r>
        <w:rPr>
          <w:spacing w:val="-84"/>
        </w:rPr>
        <w:t> </w:t>
      </w:r>
      <w:r>
        <w:rPr>
          <w:spacing w:val="-84"/>
        </w:rPr>
      </w:r>
      <w:r>
        <w:rPr/>
        <w:t>公司业务相同或相近的业务。</w:t>
      </w:r>
    </w:p>
    <w:p>
      <w:pPr>
        <w:spacing w:line="240" w:lineRule="auto" w:before="13"/>
        <w:rPr>
          <w:rFonts w:ascii="宋体" w:hAnsi="宋体" w:cs="宋体" w:eastAsia="宋体" w:hint="default"/>
          <w:sz w:val="13"/>
          <w:szCs w:val="13"/>
        </w:rPr>
      </w:pPr>
    </w:p>
    <w:p>
      <w:pPr>
        <w:pStyle w:val="BodyText"/>
        <w:spacing w:line="240" w:lineRule="auto"/>
        <w:ind w:left="560" w:right="84"/>
        <w:jc w:val="left"/>
        <w:rPr>
          <w:rFonts w:ascii="Times New Roman" w:hAnsi="Times New Roman" w:cs="Times New Roman" w:eastAsia="Times New Roman" w:hint="default"/>
        </w:rPr>
      </w:pPr>
      <w:r>
        <w:rPr/>
        <w:t>报告期内，公司股东及高级管理人员均严格遵守了其所做的承诺。截止</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13</w:t>
      </w:r>
    </w:p>
    <w:p>
      <w:pPr>
        <w:pStyle w:val="BodyText"/>
        <w:spacing w:line="240" w:lineRule="auto" w:before="99"/>
        <w:ind w:right="0"/>
        <w:jc w:val="both"/>
      </w:pPr>
      <w:r>
        <w:rPr/>
        <w:t>日，公司控股股东广电集团没转让或者委托他人管理其所持有的公司股份。自</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p>
    <w:p>
      <w:pPr>
        <w:pStyle w:val="BodyText"/>
        <w:spacing w:line="240" w:lineRule="auto" w:before="99"/>
        <w:ind w:right="0"/>
        <w:jc w:val="both"/>
      </w:pPr>
      <w:r>
        <w:rPr>
          <w:rFonts w:ascii="Times New Roman" w:hAnsi="Times New Roman" w:cs="Times New Roman" w:eastAsia="Times New Roman" w:hint="default"/>
        </w:rPr>
        <w:t>13 </w:t>
      </w:r>
      <w:r>
        <w:rPr>
          <w:rFonts w:ascii="Times New Roman" w:hAnsi="Times New Roman" w:cs="Times New Roman" w:eastAsia="Times New Roman" w:hint="default"/>
          <w:spacing w:val="6"/>
        </w:rPr>
        <w:t> </w:t>
      </w:r>
      <w:r>
        <w:rPr/>
        <w:t>日公司部分限售股解禁后，在任的董事、监事和高级管理人员每年转让的股份未超过其</w:t>
      </w:r>
    </w:p>
    <w:p>
      <w:pPr>
        <w:pStyle w:val="BodyText"/>
        <w:spacing w:line="331" w:lineRule="auto" w:before="99"/>
        <w:ind w:left="139" w:right="194"/>
        <w:jc w:val="both"/>
      </w:pPr>
      <w:r>
        <w:rPr/>
        <w:t>所持有本公司股份总数的</w:t>
      </w:r>
      <w:r>
        <w:rPr>
          <w:spacing w:val="-46"/>
        </w:rPr>
        <w:t> </w:t>
      </w:r>
      <w:r>
        <w:rPr>
          <w:rFonts w:ascii="Times New Roman" w:hAnsi="Times New Roman" w:cs="Times New Roman" w:eastAsia="Times New Roman" w:hint="default"/>
        </w:rPr>
        <w:t>25%</w:t>
      </w:r>
      <w:r>
        <w:rPr/>
        <w:t>；张招兴董事自</w:t>
      </w:r>
      <w:r>
        <w:rPr>
          <w:spacing w:val="-4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日离任至</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日 </w:t>
      </w:r>
      <w:r>
        <w:rPr>
          <w:spacing w:val="-3"/>
        </w:rPr>
        <w:t>前通过证券交易所挂牌交易出售本公司股票数量占其所持有本公司股票总数（包括有限售条</w:t>
      </w:r>
      <w:r>
        <w:rPr>
          <w:spacing w:val="-79"/>
        </w:rPr>
        <w:t> </w:t>
      </w:r>
      <w:r>
        <w:rPr>
          <w:spacing w:val="-79"/>
        </w:rPr>
      </w:r>
      <w:r>
        <w:rPr/>
        <w:t>件和无限售条件的股份）的比例不超过</w:t>
      </w:r>
      <w:r>
        <w:rPr>
          <w:spacing w:val="-53"/>
        </w:rPr>
        <w:t> </w:t>
      </w:r>
      <w:r>
        <w:rPr>
          <w:rFonts w:ascii="Times New Roman" w:hAnsi="Times New Roman" w:cs="Times New Roman" w:eastAsia="Times New Roman" w:hint="default"/>
        </w:rPr>
        <w:t>50</w:t>
      </w:r>
      <w:r>
        <w:rPr/>
        <w:t>％。</w:t>
      </w:r>
    </w:p>
    <w:p>
      <w:pPr>
        <w:pStyle w:val="BodyText"/>
        <w:spacing w:line="340" w:lineRule="auto" w:before="167"/>
        <w:ind w:left="139" w:right="84" w:firstLine="420"/>
        <w:jc w:val="left"/>
      </w:pPr>
      <w:r>
        <w:rPr>
          <w:spacing w:val="-3"/>
        </w:rPr>
        <w:t>报告期内，公司控股股东与其他三名发起人股东均遵守避免同业竞争的承诺，未曾从事</w:t>
      </w:r>
      <w:r>
        <w:rPr/>
        <w:t> 与本公司业务相同或相近的业务。</w:t>
      </w:r>
    </w:p>
    <w:p>
      <w:pPr>
        <w:spacing w:line="240" w:lineRule="auto" w:before="0"/>
        <w:rPr>
          <w:rFonts w:ascii="宋体" w:hAnsi="宋体" w:cs="宋体" w:eastAsia="宋体" w:hint="default"/>
          <w:sz w:val="20"/>
          <w:szCs w:val="20"/>
        </w:rPr>
      </w:pPr>
    </w:p>
    <w:p>
      <w:pPr>
        <w:pStyle w:val="Heading3"/>
        <w:spacing w:line="240" w:lineRule="auto" w:before="169"/>
        <w:ind w:right="0"/>
        <w:jc w:val="both"/>
        <w:rPr>
          <w:b w:val="0"/>
          <w:bCs w:val="0"/>
        </w:rPr>
      </w:pPr>
      <w:r>
        <w:rPr/>
        <w:t>九、公司聘任会计师事务所情况</w:t>
      </w:r>
      <w:r>
        <w:rPr>
          <w:b w:val="0"/>
          <w:bCs w:val="0"/>
        </w:rPr>
      </w:r>
    </w:p>
    <w:p>
      <w:pPr>
        <w:pStyle w:val="BodyText"/>
        <w:spacing w:line="340" w:lineRule="auto" w:before="181"/>
        <w:ind w:right="194" w:firstLine="420"/>
        <w:jc w:val="both"/>
      </w:pPr>
      <w:r>
        <w:rPr>
          <w:spacing w:val="-8"/>
        </w:rPr>
        <w:t>报告期内，公司聘任的会计师事务所没有发生变更，立信羊城会计师事务所有限公司（原</w:t>
      </w:r>
      <w:r>
        <w:rPr/>
        <w:t> </w:t>
      </w:r>
      <w:r>
        <w:rPr>
          <w:spacing w:val="-3"/>
        </w:rPr>
        <w:t>广东羊城会计师事务所有限公司）为公司审计机构以及公开发行股票并上市的申报审计事务</w:t>
      </w:r>
      <w:r>
        <w:rPr>
          <w:spacing w:val="-79"/>
        </w:rPr>
        <w:t> </w:t>
      </w:r>
      <w:r>
        <w:rPr>
          <w:spacing w:val="-79"/>
        </w:rPr>
      </w:r>
      <w:r>
        <w:rPr/>
        <w:t>所，该所已连续为公司提供审计服务</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年。公司需支付该会计师事务所的</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年度审计费</w:t>
      </w:r>
    </w:p>
    <w:p>
      <w:pPr>
        <w:pStyle w:val="BodyText"/>
        <w:spacing w:line="321" w:lineRule="auto" w:before="1"/>
        <w:ind w:right="195"/>
        <w:jc w:val="both"/>
      </w:pPr>
      <w:r>
        <w:rPr/>
        <w:t>用为</w:t>
      </w:r>
      <w:r>
        <w:rPr>
          <w:spacing w:val="-48"/>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t>万元。为公司审计业务签字的注册会计师符合《证券期货审计业务签字注册会计师 定期轮换规定》的文件要求。</w:t>
      </w:r>
    </w:p>
    <w:p>
      <w:pPr>
        <w:spacing w:line="240" w:lineRule="auto" w:before="0"/>
        <w:rPr>
          <w:rFonts w:ascii="宋体" w:hAnsi="宋体" w:cs="宋体" w:eastAsia="宋体" w:hint="default"/>
          <w:sz w:val="20"/>
          <w:szCs w:val="20"/>
        </w:rPr>
      </w:pPr>
    </w:p>
    <w:p>
      <w:pPr>
        <w:pStyle w:val="Heading3"/>
        <w:spacing w:line="240" w:lineRule="auto" w:before="150"/>
        <w:ind w:right="0"/>
        <w:jc w:val="both"/>
        <w:rPr>
          <w:b w:val="0"/>
          <w:bCs w:val="0"/>
        </w:rPr>
      </w:pPr>
      <w:r>
        <w:rPr/>
        <w:t>十、受监管部门处罚、通报批评、公开谴责及巡检整改情况</w:t>
      </w:r>
      <w:r>
        <w:rPr>
          <w:b w:val="0"/>
          <w:bCs w:val="0"/>
        </w:rPr>
      </w:r>
    </w:p>
    <w:p>
      <w:pPr>
        <w:pStyle w:val="BodyText"/>
        <w:spacing w:line="340" w:lineRule="auto" w:before="181"/>
        <w:ind w:right="84" w:firstLine="420"/>
        <w:jc w:val="left"/>
      </w:pPr>
      <w:r>
        <w:rPr>
          <w:spacing w:val="-3"/>
        </w:rPr>
        <w:t>报告期内，公司、公司董事、监事、高级管理人员未受到有权机关调查、司法纪检部门</w:t>
      </w:r>
      <w:r>
        <w:rPr/>
        <w:t> 采取强制措施、被移送司法机关或追究刑事责任、中国证监会稽查、中国证监会行政处罚、 证券市场禁入、认定为不适当人选被其他行政管理部门处罚及证券交易所公开谴责的情形。</w:t>
      </w:r>
    </w:p>
    <w:p>
      <w:pPr>
        <w:spacing w:line="240" w:lineRule="auto" w:before="0"/>
        <w:rPr>
          <w:rFonts w:ascii="宋体" w:hAnsi="宋体" w:cs="宋体" w:eastAsia="宋体" w:hint="default"/>
          <w:sz w:val="20"/>
          <w:szCs w:val="20"/>
        </w:rPr>
      </w:pPr>
    </w:p>
    <w:p>
      <w:pPr>
        <w:pStyle w:val="Heading3"/>
        <w:spacing w:line="240" w:lineRule="auto" w:before="133"/>
        <w:ind w:right="0"/>
        <w:jc w:val="both"/>
        <w:rPr>
          <w:b w:val="0"/>
          <w:bCs w:val="0"/>
        </w:rPr>
      </w:pPr>
      <w:r>
        <w:rPr/>
        <w:t>十一、公司股东及高级管理人员违规买卖公司股票情况</w:t>
      </w:r>
      <w:r>
        <w:rPr>
          <w:b w:val="0"/>
          <w:bCs w:val="0"/>
        </w:rPr>
      </w:r>
    </w:p>
    <w:p>
      <w:pPr>
        <w:pStyle w:val="BodyText"/>
        <w:spacing w:line="240" w:lineRule="auto" w:before="181"/>
        <w:ind w:left="560" w:right="84"/>
        <w:jc w:val="left"/>
      </w:pPr>
      <w:r>
        <w:rPr/>
        <w:t>报告期内，公司股东及高级管理人员未出现违规买卖公司股票的情况。</w:t>
      </w:r>
    </w:p>
    <w:p>
      <w:pPr>
        <w:spacing w:after="0" w:line="240" w:lineRule="auto"/>
        <w:jc w:val="left"/>
        <w:sectPr>
          <w:pgSz w:w="11910" w:h="16840"/>
          <w:pgMar w:header="0"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26"/>
        <w:ind w:left="340" w:right="0"/>
        <w:jc w:val="left"/>
        <w:rPr>
          <w:b w:val="0"/>
          <w:bCs w:val="0"/>
        </w:rPr>
      </w:pPr>
      <w:r>
        <w:rPr/>
        <w:t>十二、公司信息披露索引</w:t>
      </w:r>
      <w:r>
        <w:rPr>
          <w:b w:val="0"/>
          <w:bCs w:val="0"/>
        </w:rPr>
      </w:r>
    </w:p>
    <w:p>
      <w:pPr>
        <w:pStyle w:val="BodyText"/>
        <w:spacing w:line="321" w:lineRule="auto" w:before="181"/>
        <w:ind w:left="339" w:right="0" w:firstLine="420"/>
        <w:jc w:val="left"/>
      </w:pPr>
      <w:r>
        <w:rPr>
          <w:spacing w:val="-3"/>
          <w:w w:val="99"/>
        </w:rPr>
        <w:t>根据《公司章程》规定，《证券时报》和巨潮资讯网（</w:t>
      </w:r>
      <w:hyperlink r:id="rId10">
        <w:r>
          <w:rPr>
            <w:rFonts w:ascii="Times New Roman" w:hAnsi="Times New Roman" w:cs="Times New Roman" w:eastAsia="Times New Roman" w:hint="default"/>
            <w:spacing w:val="-3"/>
            <w:w w:val="99"/>
          </w:rPr>
          <w:t>www.cninfo.com.cn</w:t>
        </w:r>
      </w:hyperlink>
      <w:r>
        <w:rPr>
          <w:spacing w:val="-3"/>
          <w:w w:val="99"/>
        </w:rPr>
        <w:t>）为刊登公司</w:t>
      </w:r>
      <w:r>
        <w:rPr>
          <w:w w:val="99"/>
        </w:rPr>
        <w:t> </w:t>
      </w:r>
      <w:r>
        <w:rPr/>
        <w:t>公告和其他需要披露信息的指定媒体。</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年公司公告情况如下：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638"/>
        <w:gridCol w:w="1450"/>
        <w:gridCol w:w="5231"/>
        <w:gridCol w:w="1440"/>
      </w:tblGrid>
      <w:tr>
        <w:trPr>
          <w:trHeight w:val="322" w:hRule="exact"/>
        </w:trPr>
        <w:tc>
          <w:tcPr>
            <w:tcW w:w="63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公告名称</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公告日期</w:t>
            </w:r>
            <w:r>
              <w:rPr>
                <w:rFonts w:ascii="宋体" w:hAnsi="宋体" w:cs="宋体" w:eastAsia="宋体" w:hint="default"/>
                <w:sz w:val="21"/>
                <w:szCs w:val="21"/>
              </w:rPr>
            </w:r>
          </w:p>
        </w:tc>
      </w:tr>
      <w:tr>
        <w:trPr>
          <w:trHeight w:val="63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《关于公司被认定为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年度国家规划布局内重点软</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件企业的公告》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年度业绩快报》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2010-2-26</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《关于子公司被认定为高新技术企业的公告》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2010-3-3</w:t>
            </w:r>
          </w:p>
        </w:tc>
      </w:tr>
      <w:tr>
        <w:trPr>
          <w:trHeight w:val="32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《第二届监事会第六次会议决议公告》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《二○○九年度募集资金使用情况专项报告》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63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年向广州海格机械有限公司采购部分原材料的</w:t>
            </w:r>
            <w:r>
              <w:rPr>
                <w:rFonts w:ascii="宋体" w:hAnsi="宋体" w:cs="宋体" w:eastAsia="宋体" w:hint="default"/>
                <w:sz w:val="21"/>
                <w:szCs w:val="21"/>
              </w:rPr>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《关于委托物业管理的关联交易公告》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009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《关于设立投资公司的公告》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63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年开展远期结售汇业务、人民币外汇掉期</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业务的公告》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年年度报告网上说明会的公告》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04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2010-3-31</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年第一季度报告》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2010-4-22</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2010-4-22</w:t>
            </w:r>
          </w:p>
        </w:tc>
      </w:tr>
      <w:tr>
        <w:trPr>
          <w:trHeight w:val="32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014</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2010-4-23</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015</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年度权益分派实施公告》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2010-5-5</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016</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2010-5-27</w:t>
            </w:r>
          </w:p>
        </w:tc>
      </w:tr>
      <w:tr>
        <w:trPr>
          <w:trHeight w:val="63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017</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《关于首次公开发行前已发行股份上市流通提示性公</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2010-8-10</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2010-02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2010-8-25</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018</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《第二届董事会第十次（临时）会议决议公告》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2010-8-31</w:t>
            </w:r>
          </w:p>
        </w:tc>
      </w:tr>
      <w:tr>
        <w:trPr>
          <w:trHeight w:val="635"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019</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《关于全资子公司广电运通国际有限公司参与</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GRGI</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首次公开发行股票新股申购的公告》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2010-8-31</w:t>
            </w:r>
          </w:p>
        </w:tc>
      </w:tr>
      <w:tr>
        <w:trPr>
          <w:trHeight w:val="63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020</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《关于全资子公司广电运通国际有限公司的中标通知</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2010-9-4</w:t>
            </w:r>
          </w:p>
        </w:tc>
      </w:tr>
      <w:tr>
        <w:trPr>
          <w:trHeight w:val="634"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021</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《关于全资</w:t>
            </w:r>
            <w:r>
              <w:rPr>
                <w:rFonts w:ascii="宋体" w:hAnsi="宋体" w:cs="宋体" w:eastAsia="宋体" w:hint="default"/>
                <w:spacing w:val="-74"/>
                <w:sz w:val="21"/>
                <w:szCs w:val="21"/>
              </w:rPr>
              <w:t> </w:t>
            </w:r>
            <w:r>
              <w:rPr>
                <w:rFonts w:ascii="宋体" w:hAnsi="宋体" w:cs="宋体" w:eastAsia="宋体" w:hint="default"/>
                <w:spacing w:val="24"/>
                <w:sz w:val="21"/>
                <w:szCs w:val="21"/>
              </w:rPr>
              <w:t>子公司广电</w:t>
            </w:r>
            <w:r>
              <w:rPr>
                <w:rFonts w:ascii="宋体" w:hAnsi="宋体" w:cs="宋体" w:eastAsia="宋体" w:hint="default"/>
                <w:spacing w:val="-74"/>
                <w:sz w:val="21"/>
                <w:szCs w:val="21"/>
              </w:rPr>
              <w:t> </w:t>
            </w:r>
            <w:r>
              <w:rPr>
                <w:rFonts w:ascii="宋体" w:hAnsi="宋体" w:cs="宋体" w:eastAsia="宋体" w:hint="default"/>
                <w:spacing w:val="24"/>
                <w:sz w:val="21"/>
                <w:szCs w:val="21"/>
              </w:rPr>
              <w:t>运通国际有</w:t>
            </w:r>
            <w:r>
              <w:rPr>
                <w:rFonts w:ascii="宋体" w:hAnsi="宋体" w:cs="宋体" w:eastAsia="宋体" w:hint="default"/>
                <w:spacing w:val="-74"/>
                <w:sz w:val="21"/>
                <w:szCs w:val="21"/>
              </w:rPr>
              <w:t> </w:t>
            </w:r>
            <w:r>
              <w:rPr>
                <w:rFonts w:ascii="宋体" w:hAnsi="宋体" w:cs="宋体" w:eastAsia="宋体" w:hint="default"/>
                <w:spacing w:val="24"/>
                <w:sz w:val="21"/>
                <w:szCs w:val="21"/>
              </w:rPr>
              <w:t>限公司参股</w:t>
            </w:r>
            <w:r>
              <w:rPr>
                <w:rFonts w:ascii="宋体" w:hAnsi="宋体" w:cs="宋体" w:eastAsia="宋体" w:hint="default"/>
                <w:spacing w:val="-74"/>
                <w:sz w:val="21"/>
                <w:szCs w:val="21"/>
              </w:rPr>
              <w:t> </w:t>
            </w:r>
            <w:r>
              <w:rPr>
                <w:rFonts w:ascii="宋体" w:hAnsi="宋体" w:cs="宋体" w:eastAsia="宋体" w:hint="default"/>
                <w:sz w:val="21"/>
                <w:szCs w:val="21"/>
              </w:rPr>
              <w:t>的</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GRGI</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在澳大利亚证券交易所挂牌上市的公告》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2010-10-14</w:t>
            </w:r>
          </w:p>
        </w:tc>
      </w:tr>
      <w:tr>
        <w:trPr>
          <w:trHeight w:val="32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2010-03</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年第三季度报告》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2010-10-28</w:t>
            </w:r>
          </w:p>
        </w:tc>
      </w:tr>
      <w:tr>
        <w:trPr>
          <w:trHeight w:val="322"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022</w:t>
            </w:r>
          </w:p>
        </w:tc>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《重大合同公告》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2010-12-2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before="26"/>
        <w:ind w:left="340" w:right="0"/>
        <w:jc w:val="left"/>
        <w:rPr>
          <w:b w:val="0"/>
          <w:bCs w:val="0"/>
        </w:rPr>
      </w:pPr>
      <w:r>
        <w:rPr/>
        <w:t>十三、报告期内，公司无其他重要事项。</w:t>
      </w:r>
      <w:r>
        <w:rPr>
          <w:b w:val="0"/>
          <w:bCs w:val="0"/>
        </w:rPr>
      </w:r>
    </w:p>
    <w:p>
      <w:pPr>
        <w:spacing w:after="0" w:line="240" w:lineRule="auto"/>
        <w:jc w:val="left"/>
        <w:sectPr>
          <w:pgSz w:w="11910" w:h="16840"/>
          <w:pgMar w:header="0" w:footer="982" w:top="1100" w:bottom="1180" w:left="1460" w:right="1460"/>
        </w:sectPr>
      </w:pPr>
    </w:p>
    <w:p>
      <w:pPr>
        <w:spacing w:line="240" w:lineRule="auto" w:before="12"/>
        <w:rPr>
          <w:rFonts w:ascii="宋体" w:hAnsi="宋体" w:cs="宋体" w:eastAsia="宋体" w:hint="default"/>
          <w:b/>
          <w:bCs/>
          <w:sz w:val="29"/>
          <w:szCs w:val="29"/>
        </w:rPr>
      </w:pPr>
    </w:p>
    <w:p>
      <w:pPr>
        <w:pStyle w:val="Heading2"/>
        <w:spacing w:line="240" w:lineRule="auto"/>
        <w:ind w:right="78"/>
        <w:jc w:val="center"/>
        <w:rPr>
          <w:b w:val="0"/>
          <w:bCs w:val="0"/>
        </w:rPr>
      </w:pPr>
      <w:bookmarkStart w:name="_TOC_250001" w:id="10"/>
      <w:r>
        <w:rPr/>
        <w:t>第十节</w:t>
      </w:r>
      <w:r>
        <w:rPr>
          <w:spacing w:val="-4"/>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before="26"/>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一、审计报告（全文附后）</w:t>
      </w:r>
      <w:r>
        <w:rPr>
          <w:rFonts w:ascii="宋体" w:hAnsi="宋体" w:cs="宋体" w:eastAsia="宋体" w:hint="default"/>
          <w:sz w:val="24"/>
          <w:szCs w:val="24"/>
        </w:rPr>
      </w:r>
    </w:p>
    <w:p>
      <w:pPr>
        <w:pStyle w:val="BodyText"/>
        <w:spacing w:line="240" w:lineRule="auto" w:before="181"/>
        <w:ind w:left="560" w:right="0"/>
        <w:jc w:val="left"/>
      </w:pPr>
      <w:r>
        <w:rPr/>
        <w:t>立信羊城会计师事务所有限公司对公司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年年度财务报告出具了标准无保留意见的</w:t>
      </w:r>
    </w:p>
    <w:p>
      <w:pPr>
        <w:pStyle w:val="BodyText"/>
        <w:spacing w:line="240" w:lineRule="auto" w:before="99"/>
        <w:ind w:right="0"/>
        <w:jc w:val="left"/>
      </w:pPr>
      <w:r>
        <w:rPr/>
        <w:t>审计报告</w:t>
      </w:r>
      <w:r>
        <w:rPr>
          <w:spacing w:val="-105"/>
        </w:rPr>
        <w:t>。</w:t>
      </w:r>
      <w:r>
        <w:rPr>
          <w:spacing w:val="-106"/>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t>】羊</w:t>
      </w:r>
      <w:r>
        <w:rPr>
          <w:spacing w:val="-2"/>
        </w:rPr>
        <w:t>查</w:t>
      </w:r>
      <w:r>
        <w:rPr/>
        <w:t>字第</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1"/>
        </w:rPr>
        <w:t>15</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spacing w:val="-105"/>
        </w:rPr>
        <w:t>）</w:t>
      </w:r>
      <w:r>
        <w:rPr/>
        <w:t>。</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t>二、经审计的会计报表及其附注（全文附后）</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8"/>
          <w:szCs w:val="18"/>
        </w:rPr>
      </w:pPr>
    </w:p>
    <w:p>
      <w:pPr>
        <w:spacing w:before="0"/>
        <w:ind w:left="0" w:right="77"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5"/>
        <w:rPr>
          <w:rFonts w:ascii="宋体" w:hAnsi="宋体" w:cs="宋体" w:eastAsia="宋体" w:hint="default"/>
          <w:b/>
          <w:bCs/>
          <w:sz w:val="9"/>
          <w:szCs w:val="9"/>
        </w:rPr>
      </w:pPr>
    </w:p>
    <w:p>
      <w:pPr>
        <w:pStyle w:val="BodyText"/>
        <w:spacing w:line="240" w:lineRule="auto" w:before="35"/>
        <w:ind w:left="0" w:right="216"/>
        <w:jc w:val="right"/>
      </w:pPr>
      <w:r>
        <w:rPr/>
        <w:t>【</w:t>
      </w:r>
      <w:r>
        <w:rPr>
          <w:rFonts w:ascii="Times New Roman" w:hAnsi="Times New Roman" w:cs="Times New Roman" w:eastAsia="Times New Roman" w:hint="default"/>
        </w:rPr>
        <w:t>2011</w:t>
      </w:r>
      <w:r>
        <w:rPr/>
        <w:t>】羊查字第</w:t>
      </w:r>
      <w:r>
        <w:rPr>
          <w:spacing w:val="-64"/>
        </w:rPr>
        <w:t> </w:t>
      </w:r>
      <w:r>
        <w:rPr>
          <w:rFonts w:ascii="Times New Roman" w:hAnsi="Times New Roman" w:cs="Times New Roman" w:eastAsia="Times New Roman" w:hint="default"/>
        </w:rPr>
        <w:t>21159</w:t>
      </w:r>
      <w:r>
        <w:rPr>
          <w:rFonts w:ascii="Times New Roman" w:hAnsi="Times New Roman" w:cs="Times New Roman" w:eastAsia="Times New Roman" w:hint="default"/>
          <w:spacing w:val="-12"/>
        </w:rPr>
        <w:t> </w:t>
      </w:r>
      <w:r>
        <w:rPr/>
        <w:t>号</w:t>
      </w:r>
    </w:p>
    <w:p>
      <w:pPr>
        <w:pStyle w:val="Heading4"/>
        <w:spacing w:line="240" w:lineRule="auto" w:before="123"/>
        <w:ind w:left="139" w:right="0"/>
        <w:jc w:val="left"/>
        <w:rPr>
          <w:b w:val="0"/>
          <w:bCs w:val="0"/>
        </w:rPr>
      </w:pPr>
      <w:r>
        <w:rPr/>
        <w:t>广州广电运通金融电子股份有限公司全体股东：</w:t>
      </w:r>
      <w:r>
        <w:rPr>
          <w:b w:val="0"/>
          <w:bCs w:val="0"/>
        </w:rPr>
      </w:r>
    </w:p>
    <w:p>
      <w:pPr>
        <w:spacing w:line="240" w:lineRule="auto" w:before="8"/>
        <w:rPr>
          <w:rFonts w:ascii="宋体" w:hAnsi="宋体" w:cs="宋体" w:eastAsia="宋体" w:hint="default"/>
          <w:b/>
          <w:bCs/>
          <w:sz w:val="19"/>
          <w:szCs w:val="19"/>
        </w:rPr>
      </w:pPr>
    </w:p>
    <w:p>
      <w:pPr>
        <w:pStyle w:val="BodyText"/>
        <w:spacing w:line="420" w:lineRule="auto" w:before="35"/>
        <w:ind w:left="139" w:right="105" w:firstLine="420"/>
        <w:jc w:val="left"/>
      </w:pPr>
      <w:r>
        <w:rPr/>
        <w:t>我们审计了后附的广州广电运通金融电子股份有限公司（以下简称贵公司）财务报表， 包括</w:t>
      </w:r>
      <w:r>
        <w:rPr>
          <w:spacing w:val="-57"/>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4"/>
        </w:rPr>
        <w:t> </w:t>
      </w:r>
      <w:r>
        <w:rPr>
          <w:spacing w:val="-6"/>
        </w:rPr>
        <w:t>日的资产负债表和合并资产负债表、</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5"/>
        </w:rPr>
        <w:t> </w:t>
      </w:r>
      <w:r>
        <w:rPr/>
        <w:t>年度的利润表和合并利润表、</w:t>
      </w:r>
    </w:p>
    <w:p>
      <w:pPr>
        <w:pStyle w:val="BodyText"/>
        <w:spacing w:line="396" w:lineRule="auto" w:before="15"/>
        <w:ind w:left="139" w:right="205"/>
        <w:jc w:val="left"/>
      </w:pPr>
      <w:r>
        <w:rPr>
          <w:rFonts w:ascii="Times New Roman" w:hAnsi="Times New Roman" w:cs="Times New Roman" w:eastAsia="Times New Roman" w:hint="default"/>
        </w:rPr>
        <w:t>2010 </w:t>
      </w:r>
      <w:r>
        <w:rPr/>
        <w:t>年度的现金流量表和合并现金流量表、</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年度的所有者权益变动表和合并所有者权 益变动表以及财务报表附注。</w:t>
      </w:r>
    </w:p>
    <w:p>
      <w:pPr>
        <w:pStyle w:val="Heading4"/>
        <w:spacing w:line="240" w:lineRule="auto" w:before="145"/>
        <w:ind w:left="562" w:right="0"/>
        <w:jc w:val="left"/>
        <w:rPr>
          <w:b w:val="0"/>
          <w:bCs w:val="0"/>
        </w:rPr>
      </w:pPr>
      <w:r>
        <w:rPr/>
        <w:t>一、管理层对财务报表的责任</w:t>
      </w:r>
      <w:r>
        <w:rPr>
          <w:b w:val="0"/>
          <w:bCs w:val="0"/>
        </w:rPr>
      </w:r>
    </w:p>
    <w:p>
      <w:pPr>
        <w:spacing w:line="240" w:lineRule="auto" w:before="10"/>
        <w:rPr>
          <w:rFonts w:ascii="宋体" w:hAnsi="宋体" w:cs="宋体" w:eastAsia="宋体" w:hint="default"/>
          <w:b/>
          <w:bCs/>
          <w:sz w:val="21"/>
          <w:szCs w:val="21"/>
        </w:rPr>
      </w:pPr>
    </w:p>
    <w:p>
      <w:pPr>
        <w:pStyle w:val="BodyText"/>
        <w:spacing w:line="408" w:lineRule="auto"/>
        <w:ind w:left="139" w:right="216" w:firstLine="420"/>
        <w:jc w:val="both"/>
      </w:pPr>
      <w:r>
        <w:rPr>
          <w:spacing w:val="-6"/>
        </w:rPr>
        <w:t>按照企业会计准则的规定编制财务报表是贵公司管理层的责任。这种责任包括：（</w:t>
      </w:r>
      <w:r>
        <w:rPr>
          <w:rFonts w:ascii="Times New Roman" w:hAnsi="Times New Roman" w:cs="Times New Roman" w:eastAsia="Times New Roman" w:hint="default"/>
          <w:spacing w:val="-6"/>
        </w:rPr>
        <w:t>1</w:t>
      </w:r>
      <w:r>
        <w:rPr>
          <w:spacing w:val="-6"/>
        </w:rPr>
        <w:t>）设</w:t>
      </w:r>
      <w:r>
        <w:rPr>
          <w:spacing w:val="-32"/>
        </w:rPr>
        <w:t> </w:t>
      </w:r>
      <w:r>
        <w:rPr>
          <w:spacing w:val="-3"/>
        </w:rPr>
        <w:t>计、实施和维护与财务报表编制相关的内部控制，以使财务报表不存在由于舞弊或错误而导</w:t>
      </w:r>
      <w:r>
        <w:rPr>
          <w:spacing w:val="-79"/>
        </w:rPr>
        <w:t> </w:t>
      </w:r>
      <w:r>
        <w:rPr>
          <w:spacing w:val="-79"/>
        </w:rPr>
      </w:r>
      <w:r>
        <w:rPr>
          <w:spacing w:val="-6"/>
        </w:rPr>
        <w:t>致的重大错报；（</w:t>
      </w:r>
      <w:r>
        <w:rPr>
          <w:rFonts w:ascii="Times New Roman" w:hAnsi="Times New Roman" w:cs="Times New Roman" w:eastAsia="Times New Roman" w:hint="default"/>
          <w:spacing w:val="-6"/>
        </w:rPr>
        <w:t>2</w:t>
      </w:r>
      <w:r>
        <w:rPr>
          <w:spacing w:val="-6"/>
        </w:rPr>
        <w:t>）选择和运用恰当的会计政策；（</w:t>
      </w:r>
      <w:r>
        <w:rPr>
          <w:rFonts w:ascii="Times New Roman" w:hAnsi="Times New Roman" w:cs="Times New Roman" w:eastAsia="Times New Roman" w:hint="default"/>
          <w:spacing w:val="-6"/>
        </w:rPr>
        <w:t>3</w:t>
      </w:r>
      <w:r>
        <w:rPr>
          <w:spacing w:val="-6"/>
        </w:rPr>
        <w:t>）作出合理的会计估计。</w:t>
      </w:r>
    </w:p>
    <w:p>
      <w:pPr>
        <w:spacing w:line="487" w:lineRule="auto" w:before="104"/>
        <w:ind w:left="559"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3"/>
          <w:sz w:val="21"/>
          <w:szCs w:val="21"/>
        </w:rPr>
        <w:t>我们的责任是在实施审计工作的基础上对财务报表发表审计意见。我们按照中国注册会</w:t>
      </w:r>
    </w:p>
    <w:p>
      <w:pPr>
        <w:pStyle w:val="BodyText"/>
        <w:spacing w:line="417" w:lineRule="auto"/>
        <w:ind w:left="139" w:right="0"/>
        <w:jc w:val="left"/>
      </w:pPr>
      <w:r>
        <w:rPr>
          <w:spacing w:val="2"/>
        </w:rPr>
        <w:t>计师审计准则的规定执行了审计工作。中国注册会计师审计准则要求我们遵守职业道德规</w:t>
      </w:r>
      <w:r>
        <w:rPr>
          <w:spacing w:val="-85"/>
        </w:rPr>
        <w:t> </w:t>
      </w:r>
      <w:r>
        <w:rPr>
          <w:spacing w:val="-85"/>
        </w:rPr>
      </w:r>
      <w:r>
        <w:rPr/>
        <w:t>范，计划和实施审计工作以对财务报表是否不存在重大错报获取合理保证。</w:t>
      </w:r>
    </w:p>
    <w:p>
      <w:pPr>
        <w:pStyle w:val="BodyText"/>
        <w:spacing w:line="420" w:lineRule="auto" w:before="129"/>
        <w:ind w:left="139" w:right="100" w:firstLine="420"/>
        <w:jc w:val="left"/>
      </w:pPr>
      <w:r>
        <w:rPr>
          <w:spacing w:val="-3"/>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w:t>
      </w:r>
      <w:r>
        <w:rPr>
          <w:spacing w:val="-85"/>
        </w:rPr>
        <w:t> </w:t>
      </w:r>
      <w:r>
        <w:rPr>
          <w:spacing w:val="-85"/>
        </w:rPr>
      </w:r>
      <w:r>
        <w:rPr>
          <w:spacing w:val="-5"/>
        </w:rPr>
        <w:t>估。在进行风险评估时，我们考虑与财务报表编制相关的内部控制，以设计恰当的审计程序，</w:t>
      </w:r>
      <w:r>
        <w:rPr>
          <w:spacing w:val="-98"/>
        </w:rPr>
        <w:t> </w:t>
      </w:r>
      <w:r>
        <w:rPr>
          <w:spacing w:val="-98"/>
        </w:rPr>
      </w:r>
      <w:r>
        <w:rPr>
          <w:spacing w:val="-3"/>
        </w:rPr>
        <w:t>但目的并非对内部控制的有效性发表意见。审计工作还包括评价管理层选用会计政策的恰当</w:t>
      </w:r>
      <w:r>
        <w:rPr>
          <w:spacing w:val="-79"/>
        </w:rPr>
        <w:t> </w:t>
      </w:r>
      <w:r>
        <w:rPr>
          <w:spacing w:val="-79"/>
        </w:rPr>
      </w:r>
      <w:r>
        <w:rPr/>
        <w:t>性和作出会计估计的合理性，以及评价财务报表的总体列报。</w:t>
      </w:r>
    </w:p>
    <w:p>
      <w:pPr>
        <w:pStyle w:val="BodyText"/>
        <w:spacing w:line="240" w:lineRule="auto" w:before="125"/>
        <w:ind w:left="559" w:right="0"/>
        <w:jc w:val="left"/>
      </w:pPr>
      <w:r>
        <w:rPr/>
        <w:t>我们相信，我们获取的审计证据是充分、适当的，为发表审计意见提供了基础。</w:t>
      </w:r>
    </w:p>
    <w:p>
      <w:pPr>
        <w:spacing w:after="0" w:line="240" w:lineRule="auto"/>
        <w:jc w:val="left"/>
        <w:sectPr>
          <w:pgSz w:w="11910" w:h="16840"/>
          <w:pgMar w:header="0"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487" w:lineRule="auto"/>
        <w:ind w:left="560" w:right="128"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3"/>
        </w:rPr>
        <w:t>我们认为，贵公司财务报表已经按照企业会计准则的规定编制，在所有重大方面公允反</w:t>
      </w:r>
    </w:p>
    <w:p>
      <w:pPr>
        <w:pStyle w:val="BodyText"/>
        <w:spacing w:line="278" w:lineRule="exact"/>
        <w:ind w:left="562" w:right="128" w:hanging="423"/>
        <w:jc w:val="left"/>
      </w:pPr>
      <w:r>
        <w:rPr/>
        <w:t>映了贵公司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tabs>
          <w:tab w:pos="4869" w:val="left" w:leader="none"/>
          <w:tab w:pos="7032" w:val="left" w:leader="none"/>
        </w:tabs>
        <w:spacing w:line="360" w:lineRule="auto" w:before="149"/>
        <w:ind w:left="4925" w:right="1339" w:hanging="4364"/>
        <w:jc w:val="left"/>
        <w:rPr>
          <w:b w:val="0"/>
          <w:bCs w:val="0"/>
        </w:rPr>
      </w:pPr>
      <w:r>
        <w:rPr>
          <w:w w:val="95"/>
        </w:rPr>
        <w:t>立信羊城会计师事务所有限公司</w:t>
        <w:tab/>
      </w:r>
      <w:r>
        <w:rPr/>
        <w:t>中国注册会计师：陈雄溢</w:t>
      </w:r>
      <w:r>
        <w:rPr>
          <w:w w:val="99"/>
        </w:rPr>
        <w:t> </w:t>
      </w:r>
      <w:r>
        <w:rPr>
          <w:w w:val="95"/>
        </w:rPr>
        <w:t>中国注册会计师：吴</w:t>
        <w:tab/>
      </w:r>
      <w:r>
        <w:rPr/>
        <w:t>震</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BodyText"/>
        <w:tabs>
          <w:tab w:pos="3977" w:val="left" w:leader="none"/>
        </w:tabs>
        <w:spacing w:line="240" w:lineRule="auto"/>
        <w:ind w:left="2297" w:right="128"/>
        <w:jc w:val="left"/>
      </w:pPr>
      <w:r>
        <w:rPr/>
        <w:t>中 国 • 广</w:t>
      </w:r>
      <w:r>
        <w:rPr>
          <w:spacing w:val="-2"/>
        </w:rPr>
        <w:t> </w:t>
      </w:r>
      <w:r>
        <w:rPr/>
        <w:t>州</w:t>
        <w:tab/>
        <w:t>二○一一年三月二十三日</w:t>
      </w:r>
    </w:p>
    <w:p>
      <w:pPr>
        <w:spacing w:after="0" w:line="240" w:lineRule="auto"/>
        <w:jc w:val="left"/>
        <w:sectPr>
          <w:pgSz w:w="11910" w:h="16840"/>
          <w:pgMar w:header="0" w:footer="982" w:top="1100" w:bottom="1180" w:left="1660" w:right="1660"/>
        </w:sectPr>
      </w:pPr>
    </w:p>
    <w:p>
      <w:pPr>
        <w:spacing w:line="240" w:lineRule="auto" w:before="7"/>
        <w:rPr>
          <w:rFonts w:ascii="宋体" w:hAnsi="宋体" w:cs="宋体" w:eastAsia="宋体" w:hint="default"/>
          <w:sz w:val="19"/>
          <w:szCs w:val="19"/>
        </w:rPr>
      </w:pPr>
    </w:p>
    <w:p>
      <w:pPr>
        <w:pStyle w:val="Heading3"/>
        <w:spacing w:line="240" w:lineRule="auto" w:before="26"/>
        <w:ind w:left="3797" w:right="3585"/>
        <w:jc w:val="center"/>
        <w:rPr>
          <w:b w:val="0"/>
          <w:bCs w:val="0"/>
        </w:rPr>
      </w:pPr>
      <w:r>
        <w:rPr/>
        <w:t>资 产 负 债</w:t>
      </w:r>
      <w:r>
        <w:rPr>
          <w:spacing w:val="-6"/>
        </w:rPr>
        <w:t> </w:t>
      </w:r>
      <w:r>
        <w:rPr/>
        <w:t>表</w:t>
      </w:r>
      <w:r>
        <w:rPr>
          <w:b w:val="0"/>
          <w:bCs w:val="0"/>
        </w:rPr>
      </w:r>
    </w:p>
    <w:p>
      <w:pPr>
        <w:tabs>
          <w:tab w:pos="4705" w:val="left" w:leader="none"/>
          <w:tab w:pos="7868" w:val="left" w:leader="none"/>
        </w:tabs>
        <w:spacing w:before="202"/>
        <w:ind w:left="400"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单位：元</w:t>
      </w:r>
    </w:p>
    <w:p>
      <w:pPr>
        <w:spacing w:line="240" w:lineRule="auto" w:before="13"/>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645"/>
        <w:gridCol w:w="1508"/>
        <w:gridCol w:w="1620"/>
        <w:gridCol w:w="1530"/>
        <w:gridCol w:w="1560"/>
      </w:tblGrid>
      <w:tr>
        <w:trPr>
          <w:trHeight w:val="342" w:hRule="exact"/>
        </w:trPr>
        <w:tc>
          <w:tcPr>
            <w:tcW w:w="264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1561" w:val="left" w:leader="none"/>
              </w:tabs>
              <w:spacing w:line="240" w:lineRule="auto"/>
              <w:ind w:left="566" w:right="0"/>
              <w:jc w:val="left"/>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3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2" w:hRule="exact"/>
        </w:trPr>
        <w:tc>
          <w:tcPr>
            <w:tcW w:w="2645"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3"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5"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998,997,804.01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896,508,639.42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1,086,045,644.56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1,006,649,354.65</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678,300.00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678,300.00</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979,491,643.96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982,045,954.79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409,280,151.25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395,623,901.48</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23,279,458.94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20,967,158.94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12,467,615.84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11,839,677.85</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20,197,216.45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10,725,298.83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11,735,424.22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5,646,542.69</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399,064,330.36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395,114,905.91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421,028,899.06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417,223,736.92</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2,421,030,453.72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2,305,361,957.89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1,941,236,034.93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1,837,661,513.59</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15,823,315.12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123,209,422.74</w:t>
            </w: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123,209,422.74</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301,493,115.70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254,550,028.06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214,233,495.24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160,313,968.56</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591,453.00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591,453.00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38,168,109.68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38,168,109.68</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14,694,045.13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14,257,872.10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13,722,881.03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13,701,815.77</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946,852.52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946,852.52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946,852.52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946,852.52</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348,663.56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215,145.74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19,004,959.17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13,638,824.64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9,882,807.02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7,569,083.79</w:t>
            </w: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352,902,404.20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407,194,453.06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277,169,291.23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343,909,253.06</w:t>
            </w:r>
          </w:p>
        </w:tc>
      </w:tr>
      <w:tr>
        <w:trPr>
          <w:trHeight w:val="310" w:hRule="exact"/>
        </w:trPr>
        <w:tc>
          <w:tcPr>
            <w:tcW w:w="2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2,773,932,857.92</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2,712,556,410.95</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2,218,405,326.16</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2,181,570,766.65</w:t>
            </w:r>
          </w:p>
        </w:tc>
      </w:tr>
    </w:tbl>
    <w:p>
      <w:pPr>
        <w:tabs>
          <w:tab w:pos="2988" w:val="left" w:leader="none"/>
          <w:tab w:pos="6926" w:val="left" w:leader="none"/>
        </w:tabs>
        <w:spacing w:before="10"/>
        <w:ind w:left="40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82" w:top="1100" w:bottom="1180" w:left="1400" w:right="1400"/>
        </w:sectPr>
      </w:pPr>
    </w:p>
    <w:p>
      <w:pPr>
        <w:spacing w:line="240" w:lineRule="auto" w:before="12"/>
        <w:rPr>
          <w:rFonts w:ascii="宋体" w:hAnsi="宋体" w:cs="宋体" w:eastAsia="宋体" w:hint="default"/>
          <w:sz w:val="21"/>
          <w:szCs w:val="21"/>
        </w:rPr>
      </w:pPr>
    </w:p>
    <w:p>
      <w:pPr>
        <w:pStyle w:val="Heading3"/>
        <w:spacing w:line="240" w:lineRule="auto" w:before="26"/>
        <w:ind w:left="0" w:right="656"/>
        <w:jc w:val="center"/>
        <w:rPr>
          <w:b w:val="0"/>
          <w:bCs w:val="0"/>
        </w:rPr>
      </w:pPr>
      <w:r>
        <w:rPr/>
        <w:t>资 产 负 债</w:t>
      </w:r>
      <w:r>
        <w:rPr>
          <w:spacing w:val="-7"/>
        </w:rPr>
        <w:t> </w:t>
      </w:r>
      <w:r>
        <w:rPr/>
        <w:t>表（续）</w:t>
      </w:r>
      <w:r>
        <w:rPr>
          <w:b w:val="0"/>
          <w:bCs w:val="0"/>
        </w:rPr>
      </w:r>
    </w:p>
    <w:p>
      <w:pPr>
        <w:tabs>
          <w:tab w:pos="4145" w:val="left" w:leader="none"/>
          <w:tab w:pos="7624" w:val="left" w:leader="none"/>
        </w:tabs>
        <w:spacing w:before="44"/>
        <w:ind w:left="0" w:right="777" w:firstLine="0"/>
        <w:jc w:val="center"/>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11"/>
          <w:sz w:val="18"/>
          <w:szCs w:val="18"/>
        </w:rPr>
        <w:t>单位：元</w:t>
      </w:r>
    </w:p>
    <w:p>
      <w:pPr>
        <w:spacing w:line="240" w:lineRule="auto" w:before="13"/>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644"/>
        <w:gridCol w:w="1620"/>
        <w:gridCol w:w="1524"/>
        <w:gridCol w:w="1486"/>
        <w:gridCol w:w="1830"/>
      </w:tblGrid>
      <w:tr>
        <w:trPr>
          <w:trHeight w:val="323" w:hRule="exact"/>
        </w:trPr>
        <w:tc>
          <w:tcPr>
            <w:tcW w:w="26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b/>
                <w:bCs/>
                <w:sz w:val="18"/>
                <w:szCs w:val="18"/>
              </w:rPr>
              <w:t>负债和所有者权益</w:t>
            </w:r>
            <w:r>
              <w:rPr>
                <w:rFonts w:ascii="宋体" w:hAnsi="宋体" w:cs="宋体" w:eastAsia="宋体" w:hint="default"/>
                <w:sz w:val="18"/>
                <w:szCs w:val="18"/>
              </w:rPr>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26" w:hRule="exact"/>
        </w:trPr>
        <w:tc>
          <w:tcPr>
            <w:tcW w:w="2644" w:type="dxa"/>
            <w:vMerge/>
            <w:tcBorders>
              <w:left w:val="single" w:sz="4" w:space="0" w:color="000000"/>
              <w:bottom w:val="single" w:sz="8" w:space="0" w:color="000000"/>
              <w:right w:val="single" w:sz="4" w:space="0" w:color="000000"/>
            </w:tcBorders>
          </w:tcPr>
          <w:p>
            <w:pPr/>
          </w:p>
        </w:tc>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2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48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8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8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166,671,556.08</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166,671,556.08</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167,643,737.51</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167,643,737.51</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48,447,248.07</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48,447,248.07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56,713,622.39</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56,713,622.39</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239,169,544.54</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285,986,977.00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127,093,760.36</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180,907,166.57</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75,056,381.65</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64,181,568.46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72,023,214.26</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66,244,010.94</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60,627,457.69</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48,609,624.99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34,831,989.25</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25,844,482.00</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106,190,057.43</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102,557,080.55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52,230,387.74</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48,274,078.76</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35,009,075.23</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31,446,731.92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22,609,461.98</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21,732,221.93</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731,171,320.69</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747,900,787.07</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533,146,173.49</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567,359,320.10</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9"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10,354,622.01</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10,354,622.01</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16,579,442.22</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10,354,622.01</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10,354,622.01</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828"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747,750,762.91</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764,480,229.29</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543,500,795.50</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577,713,942.11</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77"/>
              <w:jc w:val="right"/>
              <w:rPr>
                <w:rFonts w:ascii="宋体" w:hAnsi="宋体" w:cs="宋体" w:eastAsia="宋体" w:hint="default"/>
                <w:sz w:val="18"/>
                <w:szCs w:val="18"/>
              </w:rPr>
            </w:pPr>
            <w:r>
              <w:rPr>
                <w:rFonts w:ascii="宋体" w:hAnsi="宋体" w:cs="宋体" w:eastAsia="宋体" w:hint="default"/>
                <w:b/>
                <w:bCs/>
                <w:spacing w:val="1"/>
                <w:w w:val="99"/>
                <w:sz w:val="18"/>
                <w:szCs w:val="18"/>
              </w:rPr>
              <w:t>所有</w:t>
            </w:r>
            <w:r>
              <w:rPr>
                <w:rFonts w:ascii="宋体" w:hAnsi="宋体" w:cs="宋体" w:eastAsia="宋体" w:hint="default"/>
                <w:b/>
                <w:bCs/>
                <w:w w:val="99"/>
                <w:sz w:val="18"/>
                <w:szCs w:val="18"/>
              </w:rPr>
              <w:t>者</w:t>
            </w:r>
            <w:r>
              <w:rPr>
                <w:rFonts w:ascii="宋体" w:hAnsi="宋体" w:cs="宋体" w:eastAsia="宋体" w:hint="default"/>
                <w:b/>
                <w:bCs/>
                <w:spacing w:val="1"/>
                <w:w w:val="99"/>
                <w:sz w:val="18"/>
                <w:szCs w:val="18"/>
              </w:rPr>
              <w:t>权</w:t>
            </w:r>
            <w:r>
              <w:rPr>
                <w:rFonts w:ascii="宋体" w:hAnsi="宋体" w:cs="宋体" w:eastAsia="宋体" w:hint="default"/>
                <w:b/>
                <w:bCs/>
                <w:w w:val="99"/>
                <w:sz w:val="18"/>
                <w:szCs w:val="18"/>
              </w:rPr>
              <w:t>益</w:t>
            </w:r>
            <w:r>
              <w:rPr>
                <w:rFonts w:ascii="宋体" w:hAnsi="宋体" w:cs="宋体" w:eastAsia="宋体" w:hint="default"/>
                <w:b/>
                <w:bCs/>
                <w:spacing w:val="1"/>
                <w:w w:val="99"/>
                <w:sz w:val="18"/>
                <w:szCs w:val="18"/>
              </w:rPr>
              <w:t>（或</w:t>
            </w:r>
            <w:r>
              <w:rPr>
                <w:rFonts w:ascii="宋体" w:hAnsi="宋体" w:cs="宋体" w:eastAsia="宋体" w:hint="default"/>
                <w:b/>
                <w:bCs/>
                <w:w w:val="99"/>
                <w:sz w:val="18"/>
                <w:szCs w:val="18"/>
              </w:rPr>
              <w:t>股</w:t>
            </w:r>
            <w:r>
              <w:rPr>
                <w:rFonts w:ascii="宋体" w:hAnsi="宋体" w:cs="宋体" w:eastAsia="宋体" w:hint="default"/>
                <w:b/>
                <w:bCs/>
                <w:spacing w:val="1"/>
                <w:w w:val="99"/>
                <w:sz w:val="18"/>
                <w:szCs w:val="18"/>
              </w:rPr>
              <w:t>东</w:t>
            </w:r>
            <w:r>
              <w:rPr>
                <w:rFonts w:ascii="宋体" w:hAnsi="宋体" w:cs="宋体" w:eastAsia="宋体" w:hint="default"/>
                <w:b/>
                <w:bCs/>
                <w:w w:val="99"/>
                <w:sz w:val="18"/>
                <w:szCs w:val="18"/>
              </w:rPr>
              <w:t>权</w:t>
            </w:r>
            <w:r>
              <w:rPr>
                <w:rFonts w:ascii="宋体" w:hAnsi="宋体" w:cs="宋体" w:eastAsia="宋体" w:hint="default"/>
                <w:b/>
                <w:bCs/>
                <w:spacing w:val="1"/>
                <w:w w:val="99"/>
                <w:sz w:val="18"/>
                <w:szCs w:val="18"/>
              </w:rPr>
              <w:t>益</w:t>
            </w:r>
            <w:r>
              <w:rPr>
                <w:rFonts w:ascii="宋体" w:hAnsi="宋体" w:cs="宋体" w:eastAsia="宋体" w:hint="default"/>
                <w:b/>
                <w:bCs/>
                <w:spacing w:val="-90"/>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342,141,624.00</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342,141,624.00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342,141,624.00</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342,141,624.00</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367,819,147.99</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358,611,843.56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358,611,843.56</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358,611,843.56</w:t>
            </w: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0.00</w:t>
            </w: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152,095,250.24</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152,095,250.24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103,987,649.57</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103,987,649.57</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1,146,422,224.77</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1,095,227,463.86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856,254,785.41</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799,115,707.41</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-626,888.12</w:t>
            </w:r>
            <w:r>
              <w:rPr>
                <w:rFonts w:ascii="Times New Roman"/>
                <w:sz w:val="18"/>
              </w:rPr>
            </w: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-129,082.64</w:t>
            </w:r>
            <w:r>
              <w:rPr>
                <w:rFonts w:ascii="Times New Roman"/>
                <w:sz w:val="18"/>
              </w:rPr>
            </w: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74"/>
              <w:jc w:val="right"/>
              <w:rPr>
                <w:rFonts w:ascii="宋体" w:hAnsi="宋体" w:cs="宋体" w:eastAsia="宋体" w:hint="default"/>
                <w:sz w:val="18"/>
                <w:szCs w:val="18"/>
              </w:rPr>
            </w:pPr>
            <w:r>
              <w:rPr>
                <w:rFonts w:ascii="宋体" w:hAnsi="宋体" w:cs="宋体" w:eastAsia="宋体" w:hint="default"/>
                <w:b/>
                <w:bCs/>
                <w:w w:val="95"/>
                <w:sz w:val="18"/>
                <w:szCs w:val="18"/>
              </w:rPr>
              <w:t>归属于母公司所有者权益合计</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2,007,851,358.88</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1,948,076,181.66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1,660,866,819.90</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1,603,856,824.54</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18,330,736.13</w:t>
            </w:r>
          </w:p>
        </w:tc>
        <w:tc>
          <w:tcPr>
            <w:tcW w:w="152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14,037,710.76</w:t>
            </w:r>
          </w:p>
        </w:tc>
        <w:tc>
          <w:tcPr>
            <w:tcW w:w="183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9"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2,026,182,095.01</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1,948,076,181.66</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1,674,904,530.66</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1,603,856,824.54</w:t>
            </w:r>
          </w:p>
        </w:tc>
      </w:tr>
      <w:tr>
        <w:trPr>
          <w:trHeight w:val="256" w:hRule="exact"/>
        </w:trPr>
        <w:tc>
          <w:tcPr>
            <w:tcW w:w="2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89"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2,773,932,857.92</w:t>
            </w:r>
          </w:p>
        </w:tc>
        <w:tc>
          <w:tcPr>
            <w:tcW w:w="15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2,712,556,410.95</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2,218,405,326.16</w:t>
            </w:r>
          </w:p>
        </w:tc>
        <w:tc>
          <w:tcPr>
            <w:tcW w:w="18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2,181,570,766.65</w:t>
            </w:r>
          </w:p>
        </w:tc>
      </w:tr>
    </w:tbl>
    <w:p>
      <w:pPr>
        <w:tabs>
          <w:tab w:pos="3088" w:val="left" w:leader="none"/>
          <w:tab w:pos="6666" w:val="left" w:leader="none"/>
        </w:tabs>
        <w:spacing w:before="11"/>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82" w:top="1100" w:bottom="1180" w:left="1660" w:right="880"/>
        </w:sectPr>
      </w:pPr>
    </w:p>
    <w:p>
      <w:pPr>
        <w:spacing w:line="240" w:lineRule="auto" w:before="7"/>
        <w:rPr>
          <w:rFonts w:ascii="宋体" w:hAnsi="宋体" w:cs="宋体" w:eastAsia="宋体" w:hint="default"/>
          <w:sz w:val="19"/>
          <w:szCs w:val="19"/>
        </w:rPr>
      </w:pPr>
    </w:p>
    <w:p>
      <w:pPr>
        <w:pStyle w:val="Heading3"/>
        <w:tabs>
          <w:tab w:pos="481" w:val="left" w:leader="none"/>
          <w:tab w:pos="963" w:val="left" w:leader="none"/>
        </w:tabs>
        <w:spacing w:line="240" w:lineRule="auto" w:before="26"/>
        <w:ind w:left="0" w:right="647"/>
        <w:jc w:val="center"/>
        <w:rPr>
          <w:b w:val="0"/>
          <w:bCs w:val="0"/>
        </w:rPr>
      </w:pPr>
      <w:r>
        <w:rPr>
          <w:w w:val="95"/>
        </w:rPr>
        <w:t>利</w:t>
        <w:tab/>
        <w:t>润</w:t>
        <w:tab/>
      </w:r>
      <w:r>
        <w:rPr/>
        <w:t>表</w:t>
      </w:r>
      <w:r>
        <w:rPr>
          <w:b w:val="0"/>
          <w:bCs w:val="0"/>
        </w:rPr>
      </w:r>
    </w:p>
    <w:p>
      <w:pPr>
        <w:tabs>
          <w:tab w:pos="4450" w:val="left" w:leader="none"/>
          <w:tab w:pos="7734" w:val="left" w:leader="none"/>
        </w:tabs>
        <w:spacing w:before="47"/>
        <w:ind w:left="140" w:right="0" w:firstLine="0"/>
        <w:jc w:val="left"/>
        <w:rPr>
          <w:rFonts w:ascii="宋体" w:hAnsi="宋体" w:cs="宋体" w:eastAsia="宋体" w:hint="default"/>
          <w:sz w:val="18"/>
          <w:szCs w:val="18"/>
        </w:rPr>
      </w:pPr>
      <w:r>
        <w:rPr>
          <w:rFonts w:ascii="宋体" w:hAnsi="宋体" w:cs="宋体" w:eastAsia="宋体" w:hint="default"/>
          <w:spacing w:val="-1"/>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r>
      <w:r>
        <w:rPr>
          <w:rFonts w:ascii="宋体" w:hAnsi="宋体" w:cs="宋体" w:eastAsia="宋体" w:hint="default"/>
          <w:spacing w:val="-3"/>
          <w:sz w:val="18"/>
          <w:szCs w:val="18"/>
        </w:rPr>
        <w:t>单位：元</w:t>
      </w:r>
    </w:p>
    <w:p>
      <w:pPr>
        <w:spacing w:line="240" w:lineRule="auto" w:before="13"/>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3454"/>
        <w:gridCol w:w="1390"/>
        <w:gridCol w:w="1484"/>
        <w:gridCol w:w="1470"/>
        <w:gridCol w:w="1440"/>
      </w:tblGrid>
      <w:tr>
        <w:trPr>
          <w:trHeight w:val="326" w:hRule="exact"/>
        </w:trPr>
        <w:tc>
          <w:tcPr>
            <w:tcW w:w="3454" w:type="dxa"/>
            <w:vMerge w:val="restart"/>
            <w:tcBorders>
              <w:top w:val="single" w:sz="4"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874" w:type="dxa"/>
            <w:gridSpan w:val="2"/>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10" w:type="dxa"/>
            <w:gridSpan w:val="2"/>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32" w:hRule="exact"/>
        </w:trPr>
        <w:tc>
          <w:tcPr>
            <w:tcW w:w="3454" w:type="dxa"/>
            <w:vMerge/>
            <w:tcBorders>
              <w:left w:val="single" w:sz="8" w:space="0" w:color="000000"/>
              <w:bottom w:val="single" w:sz="8" w:space="0" w:color="000000"/>
              <w:right w:val="single" w:sz="8" w:space="0" w:color="000000"/>
            </w:tcBorders>
          </w:tcPr>
          <w:p>
            <w:pP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6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39"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1,724,211,269.52</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1,628,050,268.18</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1,488,739,930.16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1,404,528,606.36</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1,724,211,269.52</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1,628,050,268.18</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1,488,739,930.16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1,404,528,606.36</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1,270,385,350.10</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1,196,830,166.91</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1,150,297,599.53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1,088,251,708.32</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874,983,893.11</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829,811,777.02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853,051,747.18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816,665,201.89</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23,318,202.50</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12,708,413.77</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16,004,398.04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8,614,235.68</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212,427,778.48</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222,254,219.18</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163,831,289.01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160,662,558.98</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154,191,940.23</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pacing w:val="-1"/>
                <w:sz w:val="18"/>
              </w:rPr>
              <w:t>125,623,411.08</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121,499,332.85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106,198,899.14</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-2,001,712.70</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-543,122.67</w:t>
            </w:r>
            <w:r>
              <w:rPr>
                <w:rFonts w:ascii="Times New Roman"/>
                <w:sz w:val="18"/>
              </w:rPr>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-8,697,707.70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-8,463,734.20</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7,465,248.48</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6,975,468.53</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4,608,540.15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4,574,546.83</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pacing w:val="-9"/>
                <w:sz w:val="18"/>
                <w:szCs w:val="18"/>
              </w:rPr>
              <w:t>加：公允价值变动收益（损失以“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27,000,000.00</w:t>
            </w: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453,825,919.42</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458,220,101.27</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338,442,330.63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316,276,898.04</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9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72,866,089.01</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68,424,252.46</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85,346,393.10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77,517,818.58</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9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1,131,524.08</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49,388.32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793,869.50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392,359.47</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777,085.92</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5"/>
              <w:jc w:val="right"/>
              <w:rPr>
                <w:rFonts w:ascii="Times New Roman" w:hAnsi="Times New Roman" w:cs="Times New Roman" w:eastAsia="Times New Roman" w:hint="default"/>
                <w:sz w:val="18"/>
                <w:szCs w:val="18"/>
              </w:rPr>
            </w:pPr>
            <w:r>
              <w:rPr>
                <w:rFonts w:ascii="Times New Roman"/>
                <w:sz w:val="18"/>
              </w:rPr>
              <w:t>9,250.74</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2"/>
                <w:sz w:val="18"/>
              </w:rPr>
              <w:t>115,916.11</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108,203.51</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525,560,484.35</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526,594,965.41</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422,994,854.23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393,402,357.15</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9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49,855,769.35</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45,518,958.69</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35,723,215.33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30,964,056.73</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475,704,715.00</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481,076,006.72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387,271,638.90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362,438,300.42</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475,131,689.63</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481,076,006.72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387,933,928.14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362,438,300.42</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573,025.37</w:t>
            </w: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-662,289.24</w:t>
            </w:r>
            <w:r>
              <w:rPr>
                <w:rFonts w:ascii="Times New Roman"/>
                <w:sz w:val="18"/>
              </w:rPr>
            </w: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1.39</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1.41</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1.06</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1.39</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1.41</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1.13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1.06</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8,709,498.95</w:t>
            </w: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-48,880.48</w:t>
            </w:r>
            <w:r>
              <w:rPr>
                <w:rFonts w:ascii="Times New Roman"/>
                <w:sz w:val="18"/>
              </w:rPr>
            </w:r>
          </w:p>
        </w:tc>
        <w:tc>
          <w:tcPr>
            <w:tcW w:w="1440" w:type="dxa"/>
            <w:tcBorders>
              <w:top w:val="single" w:sz="8" w:space="0" w:color="000000"/>
              <w:left w:val="single" w:sz="8" w:space="0" w:color="000000"/>
              <w:bottom w:val="single" w:sz="8" w:space="0" w:color="000000"/>
              <w:right w:val="single" w:sz="8" w:space="0" w:color="000000"/>
            </w:tcBorders>
          </w:tcPr>
          <w:p>
            <w:pP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484,414,213.95</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481,076,006.72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387,222,758.42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362,438,300.42</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483,841,188.58</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481,076,006.72</w:t>
            </w: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387,885,047.66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pacing w:val="-1"/>
                <w:sz w:val="18"/>
              </w:rPr>
              <w:t>362,438,300.42</w:t>
            </w:r>
          </w:p>
        </w:tc>
      </w:tr>
      <w:tr>
        <w:trPr>
          <w:trHeight w:val="312" w:hRule="exact"/>
        </w:trPr>
        <w:tc>
          <w:tcPr>
            <w:tcW w:w="3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7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3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573,025.37</w:t>
            </w:r>
          </w:p>
        </w:tc>
        <w:tc>
          <w:tcPr>
            <w:tcW w:w="1484" w:type="dxa"/>
            <w:tcBorders>
              <w:top w:val="single" w:sz="8" w:space="0" w:color="000000"/>
              <w:left w:val="single" w:sz="8" w:space="0" w:color="000000"/>
              <w:bottom w:val="single" w:sz="8" w:space="0" w:color="000000"/>
              <w:right w:val="single" w:sz="8" w:space="0" w:color="000000"/>
            </w:tcBorders>
          </w:tcPr>
          <w:p>
            <w:pPr/>
          </w:p>
        </w:tc>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w w:val="95"/>
                <w:sz w:val="18"/>
              </w:rPr>
              <w:t>-662,289.24</w:t>
            </w:r>
            <w:r>
              <w:rPr>
                <w:rFonts w:ascii="Times New Roman"/>
                <w:sz w:val="18"/>
              </w:rPr>
            </w:r>
          </w:p>
        </w:tc>
        <w:tc>
          <w:tcPr>
            <w:tcW w:w="1440" w:type="dxa"/>
            <w:tcBorders>
              <w:top w:val="single" w:sz="8" w:space="0" w:color="000000"/>
              <w:left w:val="single" w:sz="8" w:space="0" w:color="000000"/>
              <w:bottom w:val="single" w:sz="8" w:space="0" w:color="000000"/>
              <w:right w:val="single" w:sz="8" w:space="0" w:color="000000"/>
            </w:tcBorders>
          </w:tcPr>
          <w:p>
            <w:pPr/>
          </w:p>
        </w:tc>
      </w:tr>
    </w:tbl>
    <w:p>
      <w:pPr>
        <w:tabs>
          <w:tab w:pos="2908" w:val="left" w:leader="none"/>
          <w:tab w:pos="6666" w:val="left" w:leader="none"/>
        </w:tabs>
        <w:spacing w:before="11"/>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jc w:val="left"/>
        <w:rPr>
          <w:rFonts w:ascii="宋体" w:hAnsi="宋体" w:cs="宋体" w:eastAsia="宋体" w:hint="default"/>
          <w:sz w:val="18"/>
          <w:szCs w:val="18"/>
        </w:rPr>
        <w:sectPr>
          <w:pgSz w:w="11910" w:h="16840"/>
          <w:pgMar w:header="0" w:footer="982" w:top="1100" w:bottom="1180" w:left="1660" w:right="740"/>
        </w:sectPr>
      </w:pPr>
    </w:p>
    <w:p>
      <w:pPr>
        <w:spacing w:line="240" w:lineRule="auto" w:before="12"/>
        <w:rPr>
          <w:rFonts w:ascii="宋体" w:hAnsi="宋体" w:cs="宋体" w:eastAsia="宋体" w:hint="default"/>
          <w:sz w:val="21"/>
          <w:szCs w:val="21"/>
        </w:rPr>
      </w:pPr>
    </w:p>
    <w:p>
      <w:pPr>
        <w:pStyle w:val="Heading3"/>
        <w:spacing w:line="240" w:lineRule="auto" w:before="26"/>
        <w:ind w:left="0" w:right="0"/>
        <w:jc w:val="center"/>
        <w:rPr>
          <w:b w:val="0"/>
          <w:bCs w:val="0"/>
        </w:rPr>
      </w:pPr>
      <w:r>
        <w:rPr/>
        <w:t>现 金 流 量</w:t>
      </w:r>
      <w:r>
        <w:rPr>
          <w:spacing w:val="-5"/>
        </w:rPr>
        <w:t> </w:t>
      </w:r>
      <w:r>
        <w:rPr/>
        <w:t>表</w:t>
      </w:r>
      <w:r>
        <w:rPr>
          <w:b w:val="0"/>
          <w:bCs w:val="0"/>
        </w:rPr>
      </w:r>
    </w:p>
    <w:p>
      <w:pPr>
        <w:tabs>
          <w:tab w:pos="4379" w:val="left" w:leader="none"/>
          <w:tab w:pos="7394" w:val="left" w:leader="none"/>
        </w:tabs>
        <w:spacing w:before="95"/>
        <w:ind w:left="0" w:right="189" w:firstLine="0"/>
        <w:jc w:val="center"/>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14"/>
        <w:gridCol w:w="1546"/>
        <w:gridCol w:w="1394"/>
        <w:gridCol w:w="1554"/>
        <w:gridCol w:w="1402"/>
      </w:tblGrid>
      <w:tr>
        <w:trPr>
          <w:trHeight w:val="397" w:hRule="exact"/>
        </w:trPr>
        <w:tc>
          <w:tcPr>
            <w:tcW w:w="3514"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81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4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95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31" w:hRule="exact"/>
        </w:trPr>
        <w:tc>
          <w:tcPr>
            <w:tcW w:w="3514" w:type="dxa"/>
            <w:vMerge/>
            <w:tcBorders>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1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20"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1,387,701,247.97</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1,224,028,694.67</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1,435,328,095.13</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1,337,892,177.39</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69,421,904.01</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69,421,904.01</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102,297,805.29</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102,297,805.29</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37,898,016.24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31,663,427.85</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45,346,383.55</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40,023,917.65</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1,495,021,168.22</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1,325,114,026.53</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1,582,972,283.97</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1,480,213,900.33</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836,307,169.56</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817,335,235.77</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847,998,147.46</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844,332,419.09</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179,638,163.81</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123,862,589.60</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154,302,402.15</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115,142,264.02</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155,478,093.82</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137,670,893.17</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170,488,528.68</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156,449,632.66</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204,675,381.99</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153,356,419.06</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155,432,412.82</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105,083,982.39</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1,376,098,809.18</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1,232,225,137.60</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1,328,221,491.11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1,221,008,298.16</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118,922,359.04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92,888,888.93</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254,750,792.86</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259,205,602.17</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4,288,162.06</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492,162.06</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6,505,342.43</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2"/>
                <w:sz w:val="18"/>
              </w:rPr>
              <w:t>856,111.67</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1120" w:right="112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514"/>
        <w:gridCol w:w="1546"/>
        <w:gridCol w:w="1394"/>
        <w:gridCol w:w="1554"/>
        <w:gridCol w:w="1402"/>
      </w:tblGrid>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4,288,162.06</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492,162.06</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6,505,342.43</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2"/>
                <w:sz w:val="18"/>
              </w:rPr>
              <w:t>856,111.67</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65,400,680.90</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62,406,491.07</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91,534,038.61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89,174,117.57</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6,616,010.69</w:t>
            </w: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72,016,691.59</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62,406,491.07</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91,534,038.61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89,174,117.57</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-67,728,529.53</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-61,914,329.01</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-85,028,696.18</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-88,318,005.90</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3,720,000.00</w:t>
            </w: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3,720,000.00</w:t>
            </w: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3,720,000.00</w:t>
            </w: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136,994,942.74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136,994,942.74</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57,974,668.50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57,974,668.50</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46" w:type="dxa"/>
            <w:tcBorders>
              <w:top w:val="single" w:sz="8" w:space="0" w:color="000000"/>
              <w:left w:val="single" w:sz="8" w:space="0" w:color="000000"/>
              <w:bottom w:val="single" w:sz="8" w:space="0" w:color="000000"/>
              <w:right w:val="single" w:sz="8" w:space="0" w:color="000000"/>
            </w:tcBorders>
          </w:tcPr>
          <w:p>
            <w:pPr/>
          </w:p>
        </w:tc>
        <w:tc>
          <w:tcPr>
            <w:tcW w:w="1394" w:type="dxa"/>
            <w:tcBorders>
              <w:top w:val="single" w:sz="8" w:space="0" w:color="000000"/>
              <w:left w:val="single" w:sz="8" w:space="0" w:color="000000"/>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
        </w:tc>
        <w:tc>
          <w:tcPr>
            <w:tcW w:w="1402" w:type="dxa"/>
            <w:tcBorders>
              <w:top w:val="single" w:sz="8" w:space="0" w:color="000000"/>
              <w:left w:val="single" w:sz="8" w:space="0" w:color="000000"/>
              <w:bottom w:val="single" w:sz="8" w:space="0" w:color="000000"/>
              <w:right w:val="single" w:sz="8" w:space="0" w:color="000000"/>
            </w:tcBorders>
          </w:tcPr>
          <w:p>
            <w:pP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136,994,942.74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136,994,942.74</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57,974,668.50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57,974,668.50</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-133,274,942.74</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-136,994,942.74</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-57,974,668.50</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-57,974,668.50</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-4,966,727.32</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-4,120,332.41</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231,468.03</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z w:val="18"/>
              </w:rPr>
              <w:t>231,847.70</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-87,047,840.55</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-110,140,715.23</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2"/>
                <w:sz w:val="18"/>
              </w:rPr>
              <w:t>111,978,896.21</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113,144,775.47</w:t>
            </w:r>
          </w:p>
        </w:tc>
      </w:tr>
      <w:tr>
        <w:trPr>
          <w:trHeight w:val="397"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1,086,045,644.56</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1,006,649,354.65</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974,066,748.35</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893,504,579.18</w:t>
            </w:r>
          </w:p>
        </w:tc>
      </w:tr>
      <w:tr>
        <w:trPr>
          <w:trHeight w:val="396" w:hRule="exact"/>
        </w:trPr>
        <w:tc>
          <w:tcPr>
            <w:tcW w:w="3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4"/>
              <w:jc w:val="right"/>
              <w:rPr>
                <w:rFonts w:ascii="Times New Roman" w:hAnsi="Times New Roman" w:cs="Times New Roman" w:eastAsia="Times New Roman" w:hint="default"/>
                <w:sz w:val="18"/>
                <w:szCs w:val="18"/>
              </w:rPr>
            </w:pPr>
            <w:r>
              <w:rPr>
                <w:rFonts w:ascii="Times New Roman"/>
                <w:spacing w:val="-1"/>
                <w:sz w:val="18"/>
              </w:rPr>
              <w:t>998,997,804.01</w:t>
            </w:r>
          </w:p>
        </w:tc>
        <w:tc>
          <w:tcPr>
            <w:tcW w:w="13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5"/>
              <w:jc w:val="right"/>
              <w:rPr>
                <w:rFonts w:ascii="Times New Roman" w:hAnsi="Times New Roman" w:cs="Times New Roman" w:eastAsia="Times New Roman" w:hint="default"/>
                <w:sz w:val="18"/>
                <w:szCs w:val="18"/>
              </w:rPr>
            </w:pPr>
            <w:r>
              <w:rPr>
                <w:rFonts w:ascii="Times New Roman"/>
                <w:spacing w:val="-1"/>
                <w:sz w:val="18"/>
              </w:rPr>
              <w:t>896,508,639.42</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1,086,045,644.56</w:t>
            </w:r>
          </w:p>
        </w:tc>
        <w:tc>
          <w:tcPr>
            <w:tcW w:w="1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1,006,649,354.65</w:t>
            </w:r>
          </w:p>
        </w:tc>
      </w:tr>
    </w:tbl>
    <w:p>
      <w:pPr>
        <w:tabs>
          <w:tab w:pos="3718" w:val="left" w:leader="none"/>
          <w:tab w:pos="7206" w:val="left" w:leader="none"/>
        </w:tabs>
        <w:spacing w:line="207" w:lineRule="exact" w:before="0"/>
        <w:ind w:left="680"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法定代表人：赵友永</w:t>
        <w:tab/>
      </w:r>
      <w:r>
        <w:rPr>
          <w:rFonts w:ascii="宋体" w:hAnsi="宋体" w:cs="宋体" w:eastAsia="宋体" w:hint="default"/>
          <w:spacing w:val="-2"/>
          <w:sz w:val="18"/>
          <w:szCs w:val="18"/>
        </w:rPr>
        <w:t>主管会计工作负责人：蒋春晨</w:t>
        <w:tab/>
      </w:r>
      <w:r>
        <w:rPr>
          <w:rFonts w:ascii="宋体" w:hAnsi="宋体" w:cs="宋体" w:eastAsia="宋体" w:hint="default"/>
          <w:spacing w:val="-3"/>
          <w:sz w:val="18"/>
          <w:szCs w:val="18"/>
        </w:rPr>
        <w:t>会计机构负责人：符昀</w:t>
      </w:r>
    </w:p>
    <w:p>
      <w:pPr>
        <w:spacing w:after="0" w:line="207" w:lineRule="exact"/>
        <w:jc w:val="left"/>
        <w:rPr>
          <w:rFonts w:ascii="宋体" w:hAnsi="宋体" w:cs="宋体" w:eastAsia="宋体" w:hint="default"/>
          <w:sz w:val="18"/>
          <w:szCs w:val="18"/>
        </w:rPr>
        <w:sectPr>
          <w:pgSz w:w="11910" w:h="16840"/>
          <w:pgMar w:header="0" w:footer="982" w:top="1100" w:bottom="1180" w:left="1120" w:right="1120"/>
        </w:sectPr>
      </w:pPr>
    </w:p>
    <w:p>
      <w:pPr>
        <w:spacing w:line="240" w:lineRule="auto" w:before="12"/>
        <w:rPr>
          <w:rFonts w:ascii="宋体" w:hAnsi="宋体" w:cs="宋体" w:eastAsia="宋体" w:hint="default"/>
          <w:sz w:val="2"/>
          <w:szCs w:val="2"/>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60.5pt;height:.75pt;mso-position-horizontal-relative:char;mso-position-vertical-relative:line" coordorigin="0,0" coordsize="15210,15">
            <v:group style="position:absolute;left:7;top:7;width:15196;height:2" coordorigin="7,7" coordsize="15196,2">
              <v:shape style="position:absolute;left:7;top:7;width:15196;height:2" coordorigin="7,7" coordsize="15196,0" path="m7,7l1520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824" w:right="6306"/>
        <w:jc w:val="center"/>
        <w:rPr>
          <w:b w:val="0"/>
          <w:bCs w:val="0"/>
        </w:rPr>
      </w:pPr>
      <w:r>
        <w:rPr/>
        <w:t>合并所有者权益变动表</w:t>
      </w:r>
      <w:r>
        <w:rPr>
          <w:b w:val="0"/>
          <w:bCs w:val="0"/>
        </w:rPr>
      </w:r>
    </w:p>
    <w:p>
      <w:pPr>
        <w:spacing w:line="240" w:lineRule="auto" w:before="13"/>
        <w:rPr>
          <w:rFonts w:ascii="宋体" w:hAnsi="宋体" w:cs="宋体" w:eastAsia="宋体" w:hint="default"/>
          <w:b/>
          <w:bCs/>
          <w:sz w:val="11"/>
          <w:szCs w:val="11"/>
        </w:rPr>
      </w:pPr>
    </w:p>
    <w:p>
      <w:pPr>
        <w:tabs>
          <w:tab w:pos="7704" w:val="left" w:leader="none"/>
          <w:tab w:pos="14274" w:val="left" w:leader="none"/>
        </w:tabs>
        <w:spacing w:before="44"/>
        <w:ind w:left="414"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tab/>
        <w:t>单位：元</w:t>
      </w:r>
    </w:p>
    <w:p>
      <w:pPr>
        <w:spacing w:line="240" w:lineRule="auto" w:before="8"/>
        <w:rPr>
          <w:rFonts w:ascii="宋体" w:hAnsi="宋体" w:cs="宋体" w:eastAsia="宋体" w:hint="default"/>
          <w:sz w:val="4"/>
          <w:szCs w:val="4"/>
        </w:rPr>
      </w:pPr>
    </w:p>
    <w:tbl>
      <w:tblPr>
        <w:tblW w:w="0" w:type="auto"/>
        <w:jc w:val="left"/>
        <w:tblInd w:w="297" w:type="dxa"/>
        <w:tblLayout w:type="fixed"/>
        <w:tblCellMar>
          <w:top w:w="0" w:type="dxa"/>
          <w:left w:w="0" w:type="dxa"/>
          <w:bottom w:w="0" w:type="dxa"/>
          <w:right w:w="0" w:type="dxa"/>
        </w:tblCellMar>
        <w:tblLook w:val="01E0"/>
      </w:tblPr>
      <w:tblGrid>
        <w:gridCol w:w="2476"/>
        <w:gridCol w:w="1427"/>
        <w:gridCol w:w="1447"/>
        <w:gridCol w:w="877"/>
        <w:gridCol w:w="840"/>
        <w:gridCol w:w="1464"/>
        <w:gridCol w:w="952"/>
        <w:gridCol w:w="1632"/>
        <w:gridCol w:w="1150"/>
        <w:gridCol w:w="1300"/>
        <w:gridCol w:w="1572"/>
      </w:tblGrid>
      <w:tr>
        <w:trPr>
          <w:trHeight w:val="328" w:hRule="exact"/>
        </w:trPr>
        <w:tc>
          <w:tcPr>
            <w:tcW w:w="247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1631" w:val="left" w:leader="none"/>
              </w:tabs>
              <w:spacing w:line="240" w:lineRule="auto" w:before="119"/>
              <w:ind w:left="64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660" w:type="dxa"/>
            <w:gridSpan w:val="10"/>
            <w:tcBorders>
              <w:top w:val="single" w:sz="8" w:space="0" w:color="000000"/>
              <w:left w:val="single" w:sz="8" w:space="0" w:color="000000"/>
              <w:bottom w:val="single" w:sz="8" w:space="0" w:color="000000"/>
              <w:right w:val="single" w:sz="8" w:space="0" w:color="000000"/>
            </w:tcBorders>
          </w:tcPr>
          <w:p>
            <w:pPr>
              <w:pStyle w:val="TableParagraph"/>
              <w:spacing w:line="228" w:lineRule="exact"/>
              <w:ind w:right="200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2" w:hRule="exact"/>
        </w:trPr>
        <w:tc>
          <w:tcPr>
            <w:tcW w:w="2476" w:type="dxa"/>
            <w:vMerge/>
            <w:tcBorders>
              <w:left w:val="single" w:sz="8" w:space="0" w:color="000000"/>
              <w:right w:val="single" w:sz="8" w:space="0" w:color="000000"/>
            </w:tcBorders>
          </w:tcPr>
          <w:p>
            <w:pPr/>
          </w:p>
        </w:tc>
        <w:tc>
          <w:tcPr>
            <w:tcW w:w="9788" w:type="dxa"/>
            <w:gridSpan w:val="8"/>
            <w:tcBorders>
              <w:top w:val="single" w:sz="8" w:space="0" w:color="000000"/>
              <w:left w:val="single" w:sz="8" w:space="0" w:color="000000"/>
              <w:bottom w:val="single" w:sz="8" w:space="0" w:color="000000"/>
              <w:right w:val="single" w:sz="8"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00"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2"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0" w:hRule="exact"/>
        </w:trPr>
        <w:tc>
          <w:tcPr>
            <w:tcW w:w="2476" w:type="dxa"/>
            <w:vMerge/>
            <w:tcBorders>
              <w:left w:val="single" w:sz="8" w:space="0" w:color="000000"/>
              <w:bottom w:val="single" w:sz="8" w:space="0" w:color="000000"/>
              <w:right w:val="single" w:sz="8" w:space="0" w:color="000000"/>
            </w:tcBorders>
          </w:tcPr>
          <w:p>
            <w:pP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141" w:lineRule="exact"/>
              <w:ind w:left="34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198" w:lineRule="exact"/>
              <w:ind w:left="25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77" w:type="dxa"/>
            <w:tcBorders>
              <w:top w:val="single" w:sz="8" w:space="0" w:color="000000"/>
              <w:left w:val="single" w:sz="8" w:space="0" w:color="000000"/>
              <w:bottom w:val="single" w:sz="8" w:space="0" w:color="000000"/>
              <w:right w:val="single" w:sz="8" w:space="0" w:color="000000"/>
            </w:tcBorders>
          </w:tcPr>
          <w:p>
            <w:pPr>
              <w:pStyle w:val="TableParagraph"/>
              <w:spacing w:line="163" w:lineRule="auto" w:before="10"/>
              <w:ind w:left="249" w:right="1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163" w:lineRule="auto" w:before="10"/>
              <w:ind w:left="320" w:right="13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163" w:lineRule="auto" w:before="10"/>
              <w:ind w:left="285" w:right="10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0" w:type="dxa"/>
            <w:vMerge/>
            <w:tcBorders>
              <w:left w:val="single" w:sz="8" w:space="0" w:color="000000"/>
              <w:bottom w:val="single" w:sz="8" w:space="0" w:color="000000"/>
              <w:right w:val="single" w:sz="8" w:space="0" w:color="000000"/>
            </w:tcBorders>
          </w:tcPr>
          <w:p>
            <w:pPr/>
          </w:p>
        </w:tc>
        <w:tc>
          <w:tcPr>
            <w:tcW w:w="1572" w:type="dxa"/>
            <w:vMerge/>
            <w:tcBorders>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1" w:right="0"/>
              <w:jc w:val="left"/>
              <w:rPr>
                <w:rFonts w:ascii="Times New Roman" w:hAnsi="Times New Roman" w:cs="Times New Roman" w:eastAsia="Times New Roman" w:hint="default"/>
                <w:sz w:val="18"/>
                <w:szCs w:val="18"/>
              </w:rPr>
            </w:pPr>
            <w:r>
              <w:rPr>
                <w:rFonts w:ascii="Times New Roman"/>
                <w:sz w:val="18"/>
              </w:rPr>
              <w:t>342,141,624.00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103,987,649.57</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856,254,785.41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-129,082.64</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14,037,710.76</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1,674,904,530.66</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1" w:right="0"/>
              <w:jc w:val="left"/>
              <w:rPr>
                <w:rFonts w:ascii="Times New Roman" w:hAnsi="Times New Roman" w:cs="Times New Roman" w:eastAsia="Times New Roman" w:hint="default"/>
                <w:sz w:val="18"/>
                <w:szCs w:val="18"/>
              </w:rPr>
            </w:pPr>
            <w:r>
              <w:rPr>
                <w:rFonts w:ascii="Times New Roman"/>
                <w:sz w:val="18"/>
              </w:rPr>
              <w:t>342,141,624.00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103,987,649.57</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856,254,785.41</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-129,082.64</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14,037,710.76</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1,674,904,530.66</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290,167,439.36</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-497,805.48</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4,293,025.37</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351,277,564.35</w:t>
            </w: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475,131,689.63</w:t>
            </w: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573,025.37</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475,704,715.00</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-497,805.48</w:t>
            </w: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8,709,498.95</w:t>
            </w: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27"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9,207,304.43</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475,131,689.63</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-497,805.48</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573,025.37</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484,414,213.95</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1"/>
                <w:sz w:val="18"/>
                <w:szCs w:val="18"/>
              </w:rPr>
              <w:t>）</w:t>
            </w:r>
            <w:r>
              <w:rPr>
                <w:rFonts w:ascii="宋体" w:hAnsi="宋体" w:cs="宋体" w:eastAsia="宋体" w:hint="default"/>
                <w:sz w:val="18"/>
                <w:szCs w:val="18"/>
              </w:rPr>
              <w:t>所有者</w:t>
            </w:r>
            <w:r>
              <w:rPr>
                <w:rFonts w:ascii="宋体" w:hAnsi="宋体" w:cs="宋体" w:eastAsia="宋体" w:hint="default"/>
                <w:spacing w:val="-2"/>
                <w:sz w:val="18"/>
                <w:szCs w:val="18"/>
              </w:rPr>
              <w:t>投</w:t>
            </w:r>
            <w:r>
              <w:rPr>
                <w:rFonts w:ascii="宋体" w:hAnsi="宋体" w:cs="宋体" w:eastAsia="宋体" w:hint="default"/>
                <w:sz w:val="18"/>
                <w:szCs w:val="18"/>
              </w:rPr>
              <w:t>入和减少资本</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3,720,000.00</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3,720,000.00</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3,720,000.00</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pacing w:val="-31"/>
                <w:sz w:val="18"/>
                <w:szCs w:val="18"/>
              </w:rPr>
              <w:t>2</w:t>
            </w:r>
            <w:r>
              <w:rPr>
                <w:rFonts w:ascii="宋体" w:hAnsi="宋体" w:cs="宋体" w:eastAsia="宋体" w:hint="default"/>
                <w:spacing w:val="-31"/>
                <w:sz w:val="18"/>
                <w:szCs w:val="18"/>
              </w:rPr>
              <w:t>．股份支付计入所有者权益的金</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-184,964,250.27</w:t>
            </w: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48,107,600.67</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w:t>
            </w: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3</w:t>
            </w:r>
            <w:r>
              <w:rPr>
                <w:rFonts w:ascii="宋体" w:hAnsi="宋体" w:cs="宋体" w:eastAsia="宋体" w:hint="default"/>
                <w:spacing w:val="-34"/>
                <w:sz w:val="18"/>
                <w:szCs w:val="18"/>
              </w:rPr>
              <w:t>．对所有者（或股东）的分配</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7" w:type="dxa"/>
            <w:tcBorders>
              <w:top w:val="single" w:sz="8" w:space="0" w:color="000000"/>
              <w:left w:val="single" w:sz="8" w:space="0" w:color="000000"/>
              <w:bottom w:val="single" w:sz="8" w:space="0" w:color="000000"/>
              <w:right w:val="single" w:sz="8" w:space="0" w:color="000000"/>
            </w:tcBorders>
          </w:tcPr>
          <w:p>
            <w:pPr/>
          </w:p>
        </w:tc>
        <w:tc>
          <w:tcPr>
            <w:tcW w:w="1447" w:type="dxa"/>
            <w:tcBorders>
              <w:top w:val="single" w:sz="8" w:space="0" w:color="000000"/>
              <w:left w:val="single" w:sz="8" w:space="0" w:color="000000"/>
              <w:bottom w:val="single" w:sz="8" w:space="0" w:color="000000"/>
              <w:right w:val="single" w:sz="8" w:space="0" w:color="000000"/>
            </w:tcBorders>
          </w:tcPr>
          <w:p>
            <w:pP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
        </w:tc>
        <w:tc>
          <w:tcPr>
            <w:tcW w:w="1150"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572"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2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41" w:right="0"/>
              <w:jc w:val="left"/>
              <w:rPr>
                <w:rFonts w:ascii="Times New Roman" w:hAnsi="Times New Roman" w:cs="Times New Roman" w:eastAsia="Times New Roman" w:hint="default"/>
                <w:sz w:val="18"/>
                <w:szCs w:val="18"/>
              </w:rPr>
            </w:pPr>
            <w:r>
              <w:rPr>
                <w:rFonts w:ascii="Times New Roman"/>
                <w:sz w:val="18"/>
              </w:rPr>
              <w:t>342,141,624.00</w:t>
            </w:r>
          </w:p>
        </w:tc>
        <w:tc>
          <w:tcPr>
            <w:tcW w:w="14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367,819,147.99</w:t>
            </w:r>
          </w:p>
        </w:tc>
        <w:tc>
          <w:tcPr>
            <w:tcW w:w="877" w:type="dxa"/>
            <w:tcBorders>
              <w:top w:val="single" w:sz="8" w:space="0" w:color="000000"/>
              <w:left w:val="single" w:sz="8" w:space="0" w:color="000000"/>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4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152,095,250.24</w:t>
            </w:r>
          </w:p>
        </w:tc>
        <w:tc>
          <w:tcPr>
            <w:tcW w:w="952" w:type="dxa"/>
            <w:tcBorders>
              <w:top w:val="single" w:sz="8" w:space="0" w:color="000000"/>
              <w:left w:val="single" w:sz="8" w:space="0" w:color="000000"/>
              <w:bottom w:val="single" w:sz="8" w:space="0" w:color="000000"/>
              <w:right w:val="single" w:sz="8" w:space="0" w:color="000000"/>
            </w:tcBorders>
          </w:tcPr>
          <w:p>
            <w:pP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1,146,422,224.77</w:t>
            </w:r>
          </w:p>
        </w:tc>
        <w:tc>
          <w:tcPr>
            <w:tcW w:w="11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-626,888.12</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18,330,736.13</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2,026,182,095.01</w:t>
            </w:r>
          </w:p>
        </w:tc>
      </w:tr>
    </w:tbl>
    <w:p>
      <w:pPr>
        <w:tabs>
          <w:tab w:pos="5820" w:val="left" w:leader="none"/>
          <w:tab w:pos="12210" w:val="left" w:leader="none"/>
        </w:tabs>
        <w:spacing w:before="11"/>
        <w:ind w:left="69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headerReference w:type="default" r:id="rId21"/>
          <w:footerReference w:type="default" r:id="rId22"/>
          <w:pgSz w:w="16840" w:h="11910" w:orient="landscape"/>
          <w:pgMar w:header="400" w:footer="978" w:top="1060" w:bottom="1160" w:left="700" w:right="560"/>
          <w:pgNumType w:start="61"/>
        </w:sectPr>
      </w:pPr>
    </w:p>
    <w:p>
      <w:pPr>
        <w:spacing w:line="240" w:lineRule="auto" w:before="12"/>
        <w:rPr>
          <w:rFonts w:ascii="宋体" w:hAnsi="宋体" w:cs="宋体" w:eastAsia="宋体" w:hint="default"/>
          <w:sz w:val="2"/>
          <w:szCs w:val="2"/>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760.5pt;height:.75pt;mso-position-horizontal-relative:char;mso-position-vertical-relative:line" coordorigin="0,0" coordsize="15210,15">
            <v:group style="position:absolute;left:7;top:7;width:15196;height:2" coordorigin="7,7" coordsize="15196,2">
              <v:shape style="position:absolute;left:7;top:7;width:15196;height:2" coordorigin="7,7" coordsize="15196,0" path="m7,7l15203,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305" w:right="6223"/>
        <w:jc w:val="center"/>
        <w:rPr>
          <w:b w:val="0"/>
          <w:bCs w:val="0"/>
        </w:rPr>
      </w:pPr>
      <w:r>
        <w:rPr/>
        <w:t>合并所有者权益变动表</w:t>
      </w:r>
      <w:r>
        <w:rPr>
          <w:rFonts w:ascii="Times New Roman" w:hAnsi="Times New Roman" w:cs="Times New Roman" w:eastAsia="Times New Roman" w:hint="default"/>
        </w:rPr>
        <w:t>(</w:t>
      </w:r>
      <w:r>
        <w:rPr/>
        <w:t>续）</w:t>
      </w:r>
      <w:r>
        <w:rPr>
          <w:b w:val="0"/>
          <w:bCs w:val="0"/>
        </w:rPr>
      </w:r>
    </w:p>
    <w:p>
      <w:pPr>
        <w:tabs>
          <w:tab w:pos="7810" w:val="left" w:leader="none"/>
          <w:tab w:pos="11724" w:val="left" w:leader="none"/>
        </w:tabs>
        <w:spacing w:before="198"/>
        <w:ind w:left="250" w:right="0" w:firstLine="0"/>
        <w:jc w:val="left"/>
        <w:rPr>
          <w:rFonts w:ascii="宋体" w:hAnsi="宋体" w:cs="宋体" w:eastAsia="宋体" w:hint="default"/>
          <w:sz w:val="18"/>
          <w:szCs w:val="18"/>
        </w:rPr>
      </w:pPr>
      <w:r>
        <w:rPr>
          <w:rFonts w:ascii="宋体" w:hAnsi="宋体" w:cs="宋体" w:eastAsia="宋体" w:hint="default"/>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单位：元</w:t>
      </w:r>
    </w:p>
    <w:p>
      <w:pPr>
        <w:spacing w:line="240" w:lineRule="auto" w:before="1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2448"/>
        <w:gridCol w:w="1440"/>
        <w:gridCol w:w="1440"/>
        <w:gridCol w:w="900"/>
        <w:gridCol w:w="900"/>
        <w:gridCol w:w="1440"/>
        <w:gridCol w:w="900"/>
        <w:gridCol w:w="1620"/>
        <w:gridCol w:w="1080"/>
        <w:gridCol w:w="1260"/>
        <w:gridCol w:w="1620"/>
      </w:tblGrid>
      <w:tr>
        <w:trPr>
          <w:trHeight w:val="305" w:hRule="exact"/>
        </w:trPr>
        <w:tc>
          <w:tcPr>
            <w:tcW w:w="2448"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tabs>
                <w:tab w:pos="1754" w:val="left" w:leader="none"/>
              </w:tabs>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2600" w:type="dxa"/>
            <w:gridSpan w:val="10"/>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266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05" w:hRule="exact"/>
        </w:trPr>
        <w:tc>
          <w:tcPr>
            <w:tcW w:w="2448" w:type="dxa"/>
            <w:vMerge/>
            <w:tcBorders>
              <w:left w:val="single" w:sz="8" w:space="0" w:color="000000"/>
              <w:right w:val="single" w:sz="8" w:space="0" w:color="000000"/>
            </w:tcBorders>
          </w:tcPr>
          <w:p>
            <w:pPr/>
          </w:p>
        </w:tc>
        <w:tc>
          <w:tcPr>
            <w:tcW w:w="9720" w:type="dxa"/>
            <w:gridSpan w:val="8"/>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60" w:type="dxa"/>
            <w:vMerge w:val="restart"/>
            <w:tcBorders>
              <w:top w:val="single" w:sz="8" w:space="0" w:color="000000"/>
              <w:left w:val="single" w:sz="8" w:space="0" w:color="000000"/>
              <w:right w:val="single" w:sz="8" w:space="0" w:color="000000"/>
            </w:tcBorders>
          </w:tcPr>
          <w:p>
            <w:pPr>
              <w:pStyle w:val="TableParagraph"/>
              <w:spacing w:line="182" w:lineRule="auto" w:before="127"/>
              <w:ind w:left="530" w:right="16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80" w:hRule="exact"/>
        </w:trPr>
        <w:tc>
          <w:tcPr>
            <w:tcW w:w="2448" w:type="dxa"/>
            <w:vMerge/>
            <w:tcBorders>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143" w:lineRule="exact"/>
              <w:ind w:left="350"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08" w:lineRule="exact"/>
              <w:ind w:left="26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143" w:lineRule="exact"/>
              <w:ind w:right="0"/>
              <w:jc w:val="center"/>
              <w:rPr>
                <w:rFonts w:ascii="宋体" w:hAnsi="宋体" w:cs="宋体" w:eastAsia="宋体" w:hint="default"/>
                <w:sz w:val="18"/>
                <w:szCs w:val="18"/>
              </w:rPr>
            </w:pPr>
            <w:r>
              <w:rPr>
                <w:rFonts w:ascii="宋体" w:hAnsi="宋体" w:cs="宋体" w:eastAsia="宋体" w:hint="default"/>
                <w:spacing w:val="-9"/>
                <w:sz w:val="18"/>
                <w:szCs w:val="18"/>
              </w:rPr>
              <w:t>减：库存</w:t>
            </w:r>
          </w:p>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143" w:lineRule="exact"/>
              <w:ind w:left="260"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08" w:lineRule="exact"/>
              <w:ind w:left="260"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00" w:type="dxa"/>
            <w:tcBorders>
              <w:top w:val="single" w:sz="8" w:space="0" w:color="000000"/>
              <w:left w:val="single" w:sz="8" w:space="0" w:color="000000"/>
              <w:bottom w:val="single" w:sz="8" w:space="0" w:color="000000"/>
              <w:right w:val="single" w:sz="8" w:space="0" w:color="000000"/>
            </w:tcBorders>
          </w:tcPr>
          <w:p>
            <w:pPr>
              <w:pStyle w:val="TableParagraph"/>
              <w:spacing w:line="143" w:lineRule="exact"/>
              <w:ind w:left="170"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08" w:lineRule="exact"/>
              <w:ind w:left="17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5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8" w:space="0" w:color="000000"/>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285,118,020.00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415,635,447.56</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67,743,819.53</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561,588,291.31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-80,202.16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14,700,000.00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70" w:right="0"/>
              <w:jc w:val="left"/>
              <w:rPr>
                <w:rFonts w:ascii="Times New Roman" w:hAnsi="Times New Roman" w:cs="Times New Roman" w:eastAsia="Times New Roman" w:hint="default"/>
                <w:sz w:val="18"/>
                <w:szCs w:val="18"/>
              </w:rPr>
            </w:pPr>
            <w:r>
              <w:rPr>
                <w:rFonts w:ascii="Times New Roman"/>
                <w:sz w:val="18"/>
              </w:rPr>
              <w:t>1,344,705,376.24</w:t>
            </w: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285,118,020.00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415,635,447.56</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67,743,819.53</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561,588,291.31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-80,202.16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14,700,000.00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70" w:right="0"/>
              <w:jc w:val="left"/>
              <w:rPr>
                <w:rFonts w:ascii="Times New Roman" w:hAnsi="Times New Roman" w:cs="Times New Roman" w:eastAsia="Times New Roman" w:hint="default"/>
                <w:sz w:val="18"/>
                <w:szCs w:val="18"/>
              </w:rPr>
            </w:pPr>
            <w:r>
              <w:rPr>
                <w:rFonts w:ascii="Times New Roman"/>
                <w:sz w:val="18"/>
              </w:rPr>
              <w:t>1,344,705,376.24</w:t>
            </w: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57,023,604.00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-57,023,604.00</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36,243,830.04</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294,666,494.10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-48,880.48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-662,289.24</w:t>
            </w:r>
            <w:r>
              <w:rPr>
                <w:rFonts w:ascii="Times New Roman"/>
                <w:sz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330,199,154.42</w:t>
            </w: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387,933,928.14</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-662,289.24</w:t>
            </w:r>
            <w:r>
              <w:rPr>
                <w:rFonts w:ascii="Times New Roman"/>
                <w:sz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387,271,638.90</w:t>
            </w: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-48,880.48</w:t>
            </w: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09" w:right="0"/>
              <w:jc w:val="left"/>
              <w:rPr>
                <w:rFonts w:ascii="Times New Roman" w:hAnsi="Times New Roman" w:cs="Times New Roman" w:eastAsia="Times New Roman" w:hint="default"/>
                <w:sz w:val="18"/>
                <w:szCs w:val="18"/>
              </w:rPr>
            </w:pPr>
            <w:r>
              <w:rPr>
                <w:rFonts w:ascii="Times New Roman"/>
                <w:sz w:val="18"/>
              </w:rPr>
              <w:t>-48,880.48</w:t>
            </w: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387,933,928.14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2" w:right="0"/>
              <w:jc w:val="center"/>
              <w:rPr>
                <w:rFonts w:ascii="Times New Roman" w:hAnsi="Times New Roman" w:cs="Times New Roman" w:eastAsia="Times New Roman" w:hint="default"/>
                <w:sz w:val="18"/>
                <w:szCs w:val="18"/>
              </w:rPr>
            </w:pPr>
            <w:r>
              <w:rPr>
                <w:rFonts w:ascii="Times New Roman"/>
                <w:sz w:val="18"/>
              </w:rPr>
              <w:t>-48,880.48</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w w:val="95"/>
                <w:sz w:val="18"/>
              </w:rPr>
              <w:t>-662,289.24</w:t>
            </w:r>
            <w:r>
              <w:rPr>
                <w:rFonts w:ascii="Times New Roman"/>
                <w:sz w:val="18"/>
              </w:rPr>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37" w:right="0"/>
              <w:jc w:val="left"/>
              <w:rPr>
                <w:rFonts w:ascii="Times New Roman" w:hAnsi="Times New Roman" w:cs="Times New Roman" w:eastAsia="Times New Roman" w:hint="default"/>
                <w:sz w:val="18"/>
                <w:szCs w:val="18"/>
              </w:rPr>
            </w:pPr>
            <w:r>
              <w:rPr>
                <w:rFonts w:ascii="Times New Roman"/>
                <w:sz w:val="18"/>
              </w:rPr>
              <w:t>387,222,758.42</w:t>
            </w: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（三）所有者投入和减少资</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pacing w:val="-37"/>
                <w:sz w:val="18"/>
                <w:szCs w:val="18"/>
              </w:rPr>
              <w:t>2</w:t>
            </w:r>
            <w:r>
              <w:rPr>
                <w:rFonts w:ascii="宋体" w:hAnsi="宋体" w:cs="宋体" w:eastAsia="宋体" w:hint="default"/>
                <w:spacing w:val="-37"/>
                <w:sz w:val="18"/>
                <w:szCs w:val="18"/>
              </w:rPr>
              <w:t>．股份支付计入所有者权益的金额</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36,243,830.04</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07" w:right="0"/>
              <w:jc w:val="left"/>
              <w:rPr>
                <w:rFonts w:ascii="Times New Roman" w:hAnsi="Times New Roman" w:cs="Times New Roman" w:eastAsia="Times New Roman" w:hint="default"/>
                <w:sz w:val="18"/>
                <w:szCs w:val="18"/>
              </w:rPr>
            </w:pPr>
            <w:r>
              <w:rPr>
                <w:rFonts w:ascii="Times New Roman"/>
                <w:sz w:val="18"/>
              </w:rPr>
              <w:t>-93,267,434.04</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-57,023,604.00</w:t>
            </w: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36,243,830.04</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07" w:right="0"/>
              <w:jc w:val="left"/>
              <w:rPr>
                <w:rFonts w:ascii="Times New Roman" w:hAnsi="Times New Roman" w:cs="Times New Roman" w:eastAsia="Times New Roman" w:hint="default"/>
                <w:sz w:val="18"/>
                <w:szCs w:val="18"/>
              </w:rPr>
            </w:pPr>
            <w:r>
              <w:rPr>
                <w:rFonts w:ascii="Times New Roman"/>
                <w:sz w:val="18"/>
              </w:rPr>
              <w:t>-36,243,830.04</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407" w:right="0"/>
              <w:jc w:val="left"/>
              <w:rPr>
                <w:rFonts w:ascii="Times New Roman" w:hAnsi="Times New Roman" w:cs="Times New Roman" w:eastAsia="Times New Roman" w:hint="default"/>
                <w:sz w:val="18"/>
                <w:szCs w:val="18"/>
              </w:rPr>
            </w:pPr>
            <w:r>
              <w:rPr>
                <w:rFonts w:ascii="Times New Roman"/>
                <w:sz w:val="18"/>
              </w:rPr>
              <w:t>-57,023,604.00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-57,023,604.00</w:t>
            </w: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57,023,604.00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-57,023,604.00</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pacing w:val="-34"/>
                <w:sz w:val="18"/>
                <w:szCs w:val="18"/>
              </w:rPr>
              <w:t>1</w:t>
            </w:r>
            <w:r>
              <w:rPr>
                <w:rFonts w:ascii="宋体" w:hAnsi="宋体" w:cs="宋体" w:eastAsia="宋体" w:hint="default"/>
                <w:spacing w:val="-34"/>
                <w:sz w:val="18"/>
                <w:szCs w:val="18"/>
              </w:rPr>
              <w:t>．资本公积转增资本（或股本）</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57,023,604.00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-57,023,604.00</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．盈余公积转增资本（或股本）</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4"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56" w:hRule="exact"/>
        </w:trPr>
        <w:tc>
          <w:tcPr>
            <w:tcW w:w="24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342,141,624.00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358,611,843.56</w:t>
            </w:r>
          </w:p>
        </w:tc>
        <w:tc>
          <w:tcPr>
            <w:tcW w:w="900" w:type="dxa"/>
            <w:tcBorders>
              <w:top w:val="single" w:sz="8" w:space="0" w:color="000000"/>
              <w:left w:val="single" w:sz="8" w:space="0" w:color="000000"/>
              <w:bottom w:val="single" w:sz="8" w:space="0" w:color="000000"/>
              <w:right w:val="single" w:sz="8" w:space="0" w:color="000000"/>
            </w:tcBorders>
          </w:tcPr>
          <w:p>
            <w:pPr/>
          </w:p>
        </w:tc>
        <w:tc>
          <w:tcPr>
            <w:tcW w:w="90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103,987,649.57</w:t>
            </w:r>
          </w:p>
        </w:tc>
        <w:tc>
          <w:tcPr>
            <w:tcW w:w="9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377" w:right="0"/>
              <w:jc w:val="left"/>
              <w:rPr>
                <w:rFonts w:ascii="Times New Roman" w:hAnsi="Times New Roman" w:cs="Times New Roman" w:eastAsia="Times New Roman" w:hint="default"/>
                <w:sz w:val="18"/>
                <w:szCs w:val="18"/>
              </w:rPr>
            </w:pPr>
            <w:r>
              <w:rPr>
                <w:rFonts w:ascii="Times New Roman"/>
                <w:sz w:val="18"/>
              </w:rPr>
              <w:t>856,254,785.41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4" w:right="0"/>
              <w:jc w:val="center"/>
              <w:rPr>
                <w:rFonts w:ascii="Times New Roman" w:hAnsi="Times New Roman" w:cs="Times New Roman" w:eastAsia="Times New Roman" w:hint="default"/>
                <w:sz w:val="18"/>
                <w:szCs w:val="18"/>
              </w:rPr>
            </w:pPr>
            <w:r>
              <w:rPr>
                <w:rFonts w:ascii="Times New Roman"/>
                <w:sz w:val="18"/>
              </w:rPr>
              <w:t>-129,082.6</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14,037,710.76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1,674,904,530.66</w:t>
            </w:r>
          </w:p>
        </w:tc>
      </w:tr>
    </w:tbl>
    <w:p>
      <w:pPr>
        <w:tabs>
          <w:tab w:pos="6370" w:val="left" w:leader="none"/>
          <w:tab w:pos="12130" w:val="left" w:leader="none"/>
        </w:tabs>
        <w:spacing w:before="11"/>
        <w:ind w:left="880"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line="240" w:lineRule="auto" w:before="2"/>
        <w:rPr>
          <w:rFonts w:ascii="宋体" w:hAnsi="宋体" w:cs="宋体" w:eastAsia="宋体" w:hint="default"/>
          <w:sz w:val="5"/>
          <w:szCs w:val="5"/>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754.05pt;height:.9pt;mso-position-horizontal-relative:char;mso-position-vertical-relative:line" coordorigin="0,0" coordsize="15081,18">
            <v:group style="position:absolute;left:9;top:9;width:15063;height:2" coordorigin="9,9" coordsize="15063,2">
              <v:shape style="position:absolute;left:9;top:9;width:15063;height:2" coordorigin="9,9" coordsize="15063,0" path="m9,9l15071,9e" filled="false" stroked="true" strokeweight=".90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400" w:footer="978" w:top="1060" w:bottom="1160" w:left="600" w:right="700"/>
        </w:sectPr>
      </w:pPr>
    </w:p>
    <w:p>
      <w:pPr>
        <w:pStyle w:val="Heading3"/>
        <w:spacing w:line="240" w:lineRule="auto" w:before="13"/>
        <w:ind w:left="6012" w:right="6013"/>
        <w:jc w:val="center"/>
        <w:rPr>
          <w:b w:val="0"/>
          <w:bCs w:val="0"/>
        </w:rPr>
      </w:pPr>
      <w:r>
        <w:rPr/>
        <w:pict>
          <v:group style="position:absolute;margin-left:41.030998pt;margin-top:2.245647pt;width:759.8pt;height:.1pt;mso-position-horizontal-relative:page;mso-position-vertical-relative:paragraph;z-index:-734704" coordorigin="821,45" coordsize="15196,2">
            <v:shape style="position:absolute;left:821;top:45;width:15196;height:2" coordorigin="821,45" coordsize="15196,0" path="m821,45l16016,45e" filled="false" stroked="true" strokeweight=".72pt" strokecolor="#000000">
              <v:path arrowok="t"/>
            </v:shape>
            <w10:wrap type="none"/>
          </v:group>
        </w:pict>
      </w:r>
      <w:r>
        <w:rPr/>
        <w:t>母公司所有者权益变动表</w:t>
      </w:r>
      <w:r>
        <w:rPr>
          <w:b w:val="0"/>
          <w:bCs w:val="0"/>
        </w:rPr>
      </w:r>
    </w:p>
    <w:p>
      <w:pPr>
        <w:spacing w:line="240" w:lineRule="auto" w:before="11"/>
        <w:rPr>
          <w:rFonts w:ascii="宋体" w:hAnsi="宋体" w:cs="宋体" w:eastAsia="宋体" w:hint="default"/>
          <w:b/>
          <w:bCs/>
          <w:sz w:val="16"/>
          <w:szCs w:val="16"/>
        </w:rPr>
      </w:pPr>
    </w:p>
    <w:p>
      <w:pPr>
        <w:tabs>
          <w:tab w:pos="6962" w:val="left" w:leader="none"/>
          <w:tab w:pos="14297" w:val="left" w:leader="none"/>
        </w:tabs>
        <w:spacing w:before="44"/>
        <w:ind w:left="514" w:right="0" w:firstLine="0"/>
        <w:jc w:val="left"/>
        <w:rPr>
          <w:rFonts w:ascii="宋体" w:hAnsi="宋体" w:cs="宋体" w:eastAsia="宋体" w:hint="default"/>
          <w:sz w:val="18"/>
          <w:szCs w:val="18"/>
        </w:rPr>
      </w:pPr>
      <w:r>
        <w:rPr>
          <w:rFonts w:ascii="宋体" w:hAnsi="宋体" w:cs="宋体" w:eastAsia="宋体" w:hint="default"/>
          <w:spacing w:val="-2"/>
          <w:sz w:val="18"/>
          <w:szCs w:val="18"/>
        </w:rPr>
        <w:t>编制单位：广州广电运通金融电子股份有限公司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tab/>
      </w:r>
      <w:r>
        <w:rPr>
          <w:rFonts w:ascii="宋体" w:hAnsi="宋体" w:cs="宋体" w:eastAsia="宋体" w:hint="default"/>
          <w:spacing w:val="-8"/>
          <w:sz w:val="18"/>
          <w:szCs w:val="18"/>
        </w:rPr>
        <w:t>单位：元</w:t>
      </w:r>
    </w:p>
    <w:p>
      <w:pPr>
        <w:spacing w:line="240" w:lineRule="auto" w:before="13"/>
        <w:rPr>
          <w:rFonts w:ascii="宋体" w:hAnsi="宋体" w:cs="宋体" w:eastAsia="宋体" w:hint="default"/>
          <w:sz w:val="3"/>
          <w:szCs w:val="3"/>
        </w:rPr>
      </w:pPr>
    </w:p>
    <w:tbl>
      <w:tblPr>
        <w:tblW w:w="0" w:type="auto"/>
        <w:jc w:val="left"/>
        <w:tblInd w:w="396" w:type="dxa"/>
        <w:tblLayout w:type="fixed"/>
        <w:tblCellMar>
          <w:top w:w="0" w:type="dxa"/>
          <w:left w:w="0" w:type="dxa"/>
          <w:bottom w:w="0" w:type="dxa"/>
          <w:right w:w="0" w:type="dxa"/>
        </w:tblCellMar>
        <w:tblLook w:val="01E0"/>
      </w:tblPr>
      <w:tblGrid>
        <w:gridCol w:w="3545"/>
        <w:gridCol w:w="1772"/>
        <w:gridCol w:w="1367"/>
        <w:gridCol w:w="1116"/>
        <w:gridCol w:w="1100"/>
        <w:gridCol w:w="1399"/>
        <w:gridCol w:w="1400"/>
        <w:gridCol w:w="1517"/>
        <w:gridCol w:w="1517"/>
      </w:tblGrid>
      <w:tr>
        <w:trPr>
          <w:trHeight w:val="376" w:hRule="exact"/>
        </w:trPr>
        <w:tc>
          <w:tcPr>
            <w:tcW w:w="3545"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tabs>
                <w:tab w:pos="2347" w:val="left" w:leader="none"/>
              </w:tabs>
              <w:spacing w:line="240" w:lineRule="auto"/>
              <w:ind w:left="99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18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74" w:hRule="exact"/>
        </w:trPr>
        <w:tc>
          <w:tcPr>
            <w:tcW w:w="3545" w:type="dxa"/>
            <w:vMerge/>
            <w:tcBorders>
              <w:left w:val="single" w:sz="8" w:space="0" w:color="000000"/>
              <w:bottom w:val="single" w:sz="8" w:space="0" w:color="000000"/>
              <w:right w:val="single" w:sz="8" w:space="0" w:color="000000"/>
            </w:tcBorders>
          </w:tcPr>
          <w:p>
            <w:pP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63" w:right="0"/>
              <w:jc w:val="center"/>
              <w:rPr>
                <w:rFonts w:ascii="宋体" w:hAnsi="宋体" w:cs="宋体" w:eastAsia="宋体" w:hint="default"/>
                <w:sz w:val="18"/>
                <w:szCs w:val="18"/>
              </w:rPr>
            </w:pPr>
            <w:r>
              <w:rPr>
                <w:rFonts w:ascii="宋体" w:hAnsi="宋体" w:cs="宋体" w:eastAsia="宋体" w:hint="default"/>
                <w:sz w:val="18"/>
                <w:szCs w:val="18"/>
              </w:rPr>
              <w:t>实收资本（或股本）</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15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342,141,624.00</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103,987,649.57</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799,115,707.41</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1,603,856,824.54</w:t>
            </w: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342,141,624.00</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103,987,649.57</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799,115,707.41</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1,603,856,824.54</w:t>
            </w: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pacing w:val="-4"/>
                <w:sz w:val="18"/>
                <w:szCs w:val="18"/>
              </w:rPr>
              <w:t>三、本年增减变动金额（减少以</w:t>
            </w:r>
            <w:r>
              <w:rPr>
                <w:rFonts w:ascii="Times New Roman" w:hAnsi="Times New Roman" w:cs="Times New Roman" w:eastAsia="Times New Roman" w:hint="default"/>
                <w:b/>
                <w:bCs/>
                <w:spacing w:val="-4"/>
                <w:sz w:val="18"/>
                <w:szCs w:val="18"/>
              </w:rPr>
              <w:t>“-”</w:t>
            </w:r>
            <w:r>
              <w:rPr>
                <w:rFonts w:ascii="宋体" w:hAnsi="宋体" w:cs="宋体" w:eastAsia="宋体" w:hint="default"/>
                <w:b/>
                <w:bCs/>
                <w:spacing w:val="-4"/>
                <w:sz w:val="18"/>
                <w:szCs w:val="18"/>
              </w:rPr>
              <w:t>号填列）</w:t>
            </w:r>
            <w:r>
              <w:rPr>
                <w:rFonts w:ascii="宋体" w:hAnsi="宋体" w:cs="宋体" w:eastAsia="宋体" w:hint="default"/>
                <w:spacing w:val="-4"/>
                <w:sz w:val="18"/>
                <w:szCs w:val="18"/>
              </w:rPr>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296,111,756.45</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344,219,357.12</w:t>
            </w: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481,076,006.72</w:t>
            </w: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．所有者投入资本</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．股份支付计入所有者权益的金额</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．其他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-184,964,250.27</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．提取盈余公积</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48,107,600.67</w:t>
            </w: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-48,107,600.67</w:t>
            </w: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．提取一般风险准备</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．对所有者（或股东）的分配</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-136,856,649.60</w:t>
            </w: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4</w:t>
            </w:r>
            <w:r>
              <w:rPr>
                <w:rFonts w:ascii="宋体" w:hAnsi="宋体" w:cs="宋体" w:eastAsia="宋体" w:hint="default"/>
                <w:sz w:val="18"/>
                <w:szCs w:val="18"/>
              </w:rPr>
              <w:t>．其他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．资本公积转增资本（或股本）</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．盈余公积转增资本（或股本）</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．盈余公积弥补亏损</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4</w:t>
            </w:r>
            <w:r>
              <w:rPr>
                <w:rFonts w:ascii="宋体" w:hAnsi="宋体" w:cs="宋体" w:eastAsia="宋体" w:hint="default"/>
                <w:sz w:val="18"/>
                <w:szCs w:val="18"/>
              </w:rPr>
              <w:t>．其他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．本期提取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0"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．本期使用</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72" w:type="dxa"/>
            <w:tcBorders>
              <w:top w:val="single" w:sz="8" w:space="0" w:color="000000"/>
              <w:left w:val="single" w:sz="8" w:space="0" w:color="000000"/>
              <w:bottom w:val="single" w:sz="8" w:space="0" w:color="000000"/>
              <w:right w:val="single" w:sz="8" w:space="0" w:color="000000"/>
            </w:tcBorders>
          </w:tcPr>
          <w:p>
            <w:pPr/>
          </w:p>
        </w:tc>
        <w:tc>
          <w:tcPr>
            <w:tcW w:w="1367" w:type="dxa"/>
            <w:tcBorders>
              <w:top w:val="single" w:sz="8" w:space="0" w:color="000000"/>
              <w:left w:val="single" w:sz="8" w:space="0" w:color="000000"/>
              <w:bottom w:val="single" w:sz="8" w:space="0" w:color="000000"/>
              <w:right w:val="single" w:sz="8" w:space="0" w:color="000000"/>
            </w:tcBorders>
          </w:tcPr>
          <w:p>
            <w:pPr/>
          </w:p>
        </w:tc>
        <w:tc>
          <w:tcPr>
            <w:tcW w:w="1116" w:type="dxa"/>
            <w:tcBorders>
              <w:top w:val="single" w:sz="8" w:space="0" w:color="000000"/>
              <w:left w:val="single" w:sz="8" w:space="0" w:color="000000"/>
              <w:bottom w:val="single" w:sz="8" w:space="0" w:color="000000"/>
              <w:right w:val="single" w:sz="8" w:space="0" w:color="000000"/>
            </w:tcBorders>
          </w:tcPr>
          <w:p>
            <w:pPr/>
          </w:p>
        </w:tc>
        <w:tc>
          <w:tcPr>
            <w:tcW w:w="11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400"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c>
          <w:tcPr>
            <w:tcW w:w="1517" w:type="dxa"/>
            <w:tcBorders>
              <w:top w:val="single" w:sz="8" w:space="0" w:color="000000"/>
              <w:left w:val="single" w:sz="8" w:space="0" w:color="000000"/>
              <w:bottom w:val="single" w:sz="8" w:space="0" w:color="000000"/>
              <w:right w:val="single" w:sz="8" w:space="0" w:color="000000"/>
            </w:tcBorders>
          </w:tcPr>
          <w:p>
            <w:pPr/>
          </w:p>
        </w:tc>
      </w:tr>
      <w:tr>
        <w:trPr>
          <w:trHeight w:val="262" w:hRule="exact"/>
        </w:trPr>
        <w:tc>
          <w:tcPr>
            <w:tcW w:w="3545"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772"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342,141,624.00</w:t>
            </w:r>
          </w:p>
        </w:tc>
        <w:tc>
          <w:tcPr>
            <w:tcW w:w="1367"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358,611,843.56</w:t>
            </w:r>
          </w:p>
        </w:tc>
        <w:tc>
          <w:tcPr>
            <w:tcW w:w="1116" w:type="dxa"/>
            <w:tcBorders>
              <w:top w:val="single" w:sz="8" w:space="0" w:color="000000"/>
              <w:left w:val="single" w:sz="8" w:space="0" w:color="000000"/>
              <w:bottom w:val="single" w:sz="7" w:space="0" w:color="000000"/>
              <w:right w:val="single" w:sz="8" w:space="0" w:color="000000"/>
            </w:tcBorders>
          </w:tcPr>
          <w:p>
            <w:pPr/>
          </w:p>
        </w:tc>
        <w:tc>
          <w:tcPr>
            <w:tcW w:w="1100" w:type="dxa"/>
            <w:tcBorders>
              <w:top w:val="single" w:sz="8" w:space="0" w:color="000000"/>
              <w:left w:val="single" w:sz="8" w:space="0" w:color="000000"/>
              <w:bottom w:val="single" w:sz="7" w:space="0" w:color="000000"/>
              <w:right w:val="single" w:sz="8" w:space="0" w:color="000000"/>
            </w:tcBorders>
          </w:tcPr>
          <w:p>
            <w:pPr/>
          </w:p>
        </w:tc>
        <w:tc>
          <w:tcPr>
            <w:tcW w:w="1399"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152,095,250.24</w:t>
            </w:r>
          </w:p>
        </w:tc>
        <w:tc>
          <w:tcPr>
            <w:tcW w:w="1400" w:type="dxa"/>
            <w:tcBorders>
              <w:top w:val="single" w:sz="8" w:space="0" w:color="000000"/>
              <w:left w:val="single" w:sz="8" w:space="0" w:color="000000"/>
              <w:bottom w:val="single" w:sz="7" w:space="0" w:color="000000"/>
              <w:right w:val="single" w:sz="8" w:space="0" w:color="000000"/>
            </w:tcBorders>
          </w:tcPr>
          <w:p>
            <w:pPr/>
          </w:p>
        </w:tc>
        <w:tc>
          <w:tcPr>
            <w:tcW w:w="1517"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1,095,227,463.86</w:t>
            </w:r>
          </w:p>
        </w:tc>
        <w:tc>
          <w:tcPr>
            <w:tcW w:w="1517"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1,948,076,181.66</w:t>
            </w:r>
          </w:p>
        </w:tc>
      </w:tr>
    </w:tbl>
    <w:p>
      <w:pPr>
        <w:tabs>
          <w:tab w:pos="6997" w:val="left" w:leader="none"/>
          <w:tab w:pos="12757" w:val="left" w:leader="none"/>
        </w:tabs>
        <w:spacing w:before="10"/>
        <w:ind w:left="967"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pgSz w:w="16840" w:h="11910" w:orient="landscape"/>
          <w:pgMar w:header="400" w:footer="978" w:top="1060" w:bottom="1160" w:left="700" w:right="700"/>
        </w:sectPr>
      </w:pPr>
    </w:p>
    <w:p>
      <w:pPr>
        <w:pStyle w:val="Heading3"/>
        <w:spacing w:line="240" w:lineRule="auto" w:before="13"/>
        <w:ind w:left="6012" w:right="6014"/>
        <w:jc w:val="center"/>
        <w:rPr>
          <w:b w:val="0"/>
          <w:bCs w:val="0"/>
        </w:rPr>
      </w:pPr>
      <w:r>
        <w:rPr/>
        <w:pict>
          <v:group style="position:absolute;margin-left:41.030998pt;margin-top:2.245647pt;width:759.8pt;height:.1pt;mso-position-horizontal-relative:page;mso-position-vertical-relative:paragraph;z-index:-734680" coordorigin="821,45" coordsize="15196,2">
            <v:shape style="position:absolute;left:821;top:45;width:15196;height:2" coordorigin="821,45" coordsize="15196,0" path="m821,45l16016,45e" filled="false" stroked="true" strokeweight=".72pt" strokecolor="#000000">
              <v:path arrowok="t"/>
            </v:shape>
            <w10:wrap type="none"/>
          </v:group>
        </w:pict>
      </w:r>
      <w:r>
        <w:rPr/>
        <w:t>母公司所有者权益变动表（续）</w:t>
      </w:r>
      <w:r>
        <w:rPr>
          <w:b w:val="0"/>
          <w:bCs w:val="0"/>
        </w:rPr>
      </w:r>
    </w:p>
    <w:p>
      <w:pPr>
        <w:spacing w:line="240" w:lineRule="auto" w:before="6"/>
        <w:rPr>
          <w:rFonts w:ascii="宋体" w:hAnsi="宋体" w:cs="宋体" w:eastAsia="宋体" w:hint="default"/>
          <w:b/>
          <w:bCs/>
          <w:sz w:val="27"/>
          <w:szCs w:val="27"/>
        </w:rPr>
      </w:pPr>
    </w:p>
    <w:p>
      <w:pPr>
        <w:tabs>
          <w:tab w:pos="7477" w:val="left" w:leader="none"/>
          <w:tab w:pos="13856" w:val="left" w:leader="none"/>
        </w:tabs>
        <w:spacing w:before="0"/>
        <w:ind w:left="438" w:right="0" w:firstLine="0"/>
        <w:jc w:val="left"/>
        <w:rPr>
          <w:rFonts w:ascii="宋体" w:hAnsi="宋体" w:cs="宋体" w:eastAsia="宋体" w:hint="default"/>
          <w:sz w:val="16"/>
          <w:szCs w:val="16"/>
        </w:rPr>
      </w:pPr>
      <w:r>
        <w:rPr>
          <w:rFonts w:ascii="宋体" w:hAnsi="宋体" w:cs="宋体" w:eastAsia="宋体" w:hint="default"/>
          <w:w w:val="95"/>
          <w:position w:val="1"/>
          <w:sz w:val="16"/>
          <w:szCs w:val="16"/>
        </w:rPr>
        <w:t>编制单位：广州广电运通金融电子股份有限公司</w:t>
        <w:tab/>
      </w:r>
      <w:r>
        <w:rPr>
          <w:rFonts w:ascii="Times New Roman" w:hAnsi="Times New Roman" w:cs="Times New Roman" w:eastAsia="Times New Roman" w:hint="default"/>
          <w:position w:val="1"/>
          <w:sz w:val="18"/>
          <w:szCs w:val="18"/>
        </w:rPr>
        <w:t>2010</w:t>
      </w:r>
      <w:r>
        <w:rPr>
          <w:rFonts w:ascii="宋体" w:hAnsi="宋体" w:cs="宋体" w:eastAsia="宋体" w:hint="default"/>
          <w:sz w:val="18"/>
          <w:szCs w:val="18"/>
        </w:rPr>
        <w:t>年</w:t>
        <w:tab/>
      </w:r>
      <w:r>
        <w:rPr>
          <w:rFonts w:ascii="宋体" w:hAnsi="宋体" w:cs="宋体" w:eastAsia="宋体" w:hint="default"/>
          <w:position w:val="1"/>
          <w:sz w:val="16"/>
          <w:szCs w:val="16"/>
        </w:rPr>
        <w:t>单位：元</w:t>
      </w:r>
      <w:r>
        <w:rPr>
          <w:rFonts w:ascii="宋体" w:hAnsi="宋体" w:cs="宋体" w:eastAsia="宋体" w:hint="default"/>
          <w:sz w:val="16"/>
          <w:szCs w:val="16"/>
        </w:rPr>
      </w:r>
    </w:p>
    <w:p>
      <w:pPr>
        <w:spacing w:line="240" w:lineRule="auto" w:before="10"/>
        <w:rPr>
          <w:rFonts w:ascii="宋体" w:hAnsi="宋体" w:cs="宋体" w:eastAsia="宋体" w:hint="default"/>
          <w:sz w:val="4"/>
          <w:szCs w:val="4"/>
        </w:rPr>
      </w:pPr>
    </w:p>
    <w:tbl>
      <w:tblPr>
        <w:tblW w:w="0" w:type="auto"/>
        <w:jc w:val="left"/>
        <w:tblInd w:w="321" w:type="dxa"/>
        <w:tblLayout w:type="fixed"/>
        <w:tblCellMar>
          <w:top w:w="0" w:type="dxa"/>
          <w:left w:w="0" w:type="dxa"/>
          <w:bottom w:w="0" w:type="dxa"/>
          <w:right w:w="0" w:type="dxa"/>
        </w:tblCellMar>
        <w:tblLook w:val="01E0"/>
      </w:tblPr>
      <w:tblGrid>
        <w:gridCol w:w="3600"/>
        <w:gridCol w:w="1800"/>
        <w:gridCol w:w="1260"/>
        <w:gridCol w:w="1080"/>
        <w:gridCol w:w="1260"/>
        <w:gridCol w:w="1260"/>
        <w:gridCol w:w="1440"/>
        <w:gridCol w:w="1440"/>
        <w:gridCol w:w="1620"/>
      </w:tblGrid>
      <w:tr>
        <w:trPr>
          <w:trHeight w:val="332" w:hRule="exact"/>
        </w:trPr>
        <w:tc>
          <w:tcPr>
            <w:tcW w:w="360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tabs>
                <w:tab w:pos="2330" w:val="left" w:leader="none"/>
              </w:tabs>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1160"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31" w:hRule="exact"/>
        </w:trPr>
        <w:tc>
          <w:tcPr>
            <w:tcW w:w="3600" w:type="dxa"/>
            <w:vMerge/>
            <w:tcBorders>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5" w:right="0"/>
              <w:jc w:val="center"/>
              <w:rPr>
                <w:rFonts w:ascii="宋体" w:hAnsi="宋体" w:cs="宋体" w:eastAsia="宋体" w:hint="default"/>
                <w:sz w:val="18"/>
                <w:szCs w:val="18"/>
              </w:rPr>
            </w:pPr>
            <w:r>
              <w:rPr>
                <w:rFonts w:ascii="宋体" w:hAnsi="宋体" w:cs="宋体" w:eastAsia="宋体" w:hint="default"/>
                <w:sz w:val="18"/>
                <w:szCs w:val="18"/>
              </w:rPr>
              <w:t>实收资本（或股本）</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pacing w:val="-8"/>
                <w:sz w:val="18"/>
                <w:szCs w:val="18"/>
              </w:rPr>
              <w:t>减：库存股</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6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285,118,020.00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415,635,447.5</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67,743,819.53</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529,944,841.03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1,298,442,128.12</w:t>
            </w: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285,118,020.00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415,635,447.5</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67,743,819.53</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529,944,841.03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1,298,442,128.12</w:t>
            </w: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w w:val="95"/>
                <w:sz w:val="18"/>
                <w:szCs w:val="18"/>
              </w:rPr>
              <w:t>三、本年增减变动金额（减少以</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号填列）</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57,023,604.00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36,243,830.04</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269,170,866.38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305,414,696.42</w:t>
            </w: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362,438,300.42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362,438,300.42</w:t>
            </w: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362,438,300.42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362,438,300.42</w:t>
            </w: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．所有者投入资本</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．股份支付计入所有者权益的金额</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．其他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36,243,830.04</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-93,267,434.04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-57,023,604.00</w:t>
            </w: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．提取盈余公积</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36,243,830.04</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-36,243,830.04</w:t>
            </w: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．提取一般风险准备</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．对所有者（或股东）的分配</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-57,023,604.00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-57,023,604.00</w:t>
            </w: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4</w:t>
            </w:r>
            <w:r>
              <w:rPr>
                <w:rFonts w:ascii="宋体" w:hAnsi="宋体" w:cs="宋体" w:eastAsia="宋体" w:hint="default"/>
                <w:sz w:val="18"/>
                <w:szCs w:val="18"/>
              </w:rPr>
              <w:t>．其他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．资本公积转增资本（或股本）</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-57,023,604.0</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．盈余公积转增资本（或股本）</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3</w:t>
            </w:r>
            <w:r>
              <w:rPr>
                <w:rFonts w:ascii="宋体" w:hAnsi="宋体" w:cs="宋体" w:eastAsia="宋体" w:hint="default"/>
                <w:sz w:val="18"/>
                <w:szCs w:val="18"/>
              </w:rPr>
              <w:t>．盈余公积弥补亏损</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4</w:t>
            </w:r>
            <w:r>
              <w:rPr>
                <w:rFonts w:ascii="宋体" w:hAnsi="宋体" w:cs="宋体" w:eastAsia="宋体" w:hint="default"/>
                <w:sz w:val="18"/>
                <w:szCs w:val="18"/>
              </w:rPr>
              <w:t>．其他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1</w:t>
            </w:r>
            <w:r>
              <w:rPr>
                <w:rFonts w:ascii="宋体" w:hAnsi="宋体" w:cs="宋体" w:eastAsia="宋体" w:hint="default"/>
                <w:sz w:val="18"/>
                <w:szCs w:val="18"/>
              </w:rPr>
              <w:t>．本期提取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458" w:right="0"/>
              <w:jc w:val="left"/>
              <w:rPr>
                <w:rFonts w:ascii="宋体" w:hAnsi="宋体" w:cs="宋体" w:eastAsia="宋体" w:hint="default"/>
                <w:sz w:val="18"/>
                <w:szCs w:val="18"/>
              </w:rPr>
            </w:pPr>
            <w:r>
              <w:rPr>
                <w:rFonts w:ascii="Times New Roman" w:hAnsi="Times New Roman" w:cs="Times New Roman" w:eastAsia="Times New Roman" w:hint="default"/>
                <w:position w:val="1"/>
                <w:sz w:val="18"/>
                <w:szCs w:val="18"/>
              </w:rPr>
              <w:t>2</w:t>
            </w:r>
            <w:r>
              <w:rPr>
                <w:rFonts w:ascii="宋体" w:hAnsi="宋体" w:cs="宋体" w:eastAsia="宋体" w:hint="default"/>
                <w:sz w:val="18"/>
                <w:szCs w:val="18"/>
              </w:rPr>
              <w:t>．本期使用</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1"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7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0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272" w:hRule="exact"/>
        </w:trPr>
        <w:tc>
          <w:tcPr>
            <w:tcW w:w="3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342,141,624.00</w:t>
            </w: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358,611,843.5</w:t>
            </w:r>
          </w:p>
        </w:tc>
        <w:tc>
          <w:tcPr>
            <w:tcW w:w="108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
        </w:tc>
        <w:tc>
          <w:tcPr>
            <w:tcW w:w="1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103,987,649.5</w:t>
            </w:r>
          </w:p>
        </w:tc>
        <w:tc>
          <w:tcPr>
            <w:tcW w:w="1440" w:type="dxa"/>
            <w:tcBorders>
              <w:top w:val="single" w:sz="8" w:space="0" w:color="000000"/>
              <w:left w:val="single" w:sz="8" w:space="0" w:color="000000"/>
              <w:bottom w:val="single" w:sz="8" w:space="0" w:color="000000"/>
              <w:right w:val="single" w:sz="8" w:space="0" w:color="000000"/>
            </w:tcBorders>
          </w:tcPr>
          <w:p>
            <w:pP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799,115,707.41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1,603,856,824.54</w:t>
            </w:r>
          </w:p>
        </w:tc>
      </w:tr>
    </w:tbl>
    <w:p>
      <w:pPr>
        <w:tabs>
          <w:tab w:pos="6468" w:val="left" w:leader="none"/>
          <w:tab w:pos="12498" w:val="left" w:leader="none"/>
        </w:tabs>
        <w:spacing w:before="11"/>
        <w:ind w:left="1338" w:right="0" w:firstLine="0"/>
        <w:jc w:val="left"/>
        <w:rPr>
          <w:rFonts w:ascii="宋体" w:hAnsi="宋体" w:cs="宋体" w:eastAsia="宋体" w:hint="default"/>
          <w:sz w:val="18"/>
          <w:szCs w:val="18"/>
        </w:rPr>
      </w:pPr>
      <w:r>
        <w:rPr>
          <w:rFonts w:ascii="宋体" w:hAnsi="宋体" w:cs="宋体" w:eastAsia="宋体" w:hint="default"/>
          <w:sz w:val="18"/>
          <w:szCs w:val="18"/>
        </w:rPr>
        <w:t>法定代表人：赵友永</w:t>
        <w:tab/>
        <w:t>主管会计工作负责人：蒋春晨</w:t>
        <w:tab/>
        <w:t>会计机构负责人：符昀</w:t>
      </w:r>
    </w:p>
    <w:p>
      <w:pPr>
        <w:spacing w:after="0"/>
        <w:jc w:val="left"/>
        <w:rPr>
          <w:rFonts w:ascii="宋体" w:hAnsi="宋体" w:cs="宋体" w:eastAsia="宋体" w:hint="default"/>
          <w:sz w:val="18"/>
          <w:szCs w:val="18"/>
        </w:rPr>
        <w:sectPr>
          <w:pgSz w:w="16840" w:h="11910" w:orient="landscape"/>
          <w:pgMar w:header="400" w:footer="978" w:top="1060" w:bottom="1160" w:left="700" w:right="700"/>
        </w:sectPr>
      </w:pPr>
    </w:p>
    <w:p>
      <w:pPr>
        <w:spacing w:line="240" w:lineRule="auto" w:before="4"/>
        <w:rPr>
          <w:rFonts w:ascii="宋体" w:hAnsi="宋体" w:cs="宋体" w:eastAsia="宋体" w:hint="default"/>
          <w:sz w:val="20"/>
          <w:szCs w:val="20"/>
        </w:rPr>
      </w:pPr>
    </w:p>
    <w:p>
      <w:pPr>
        <w:pStyle w:val="Heading1"/>
        <w:spacing w:line="357" w:lineRule="auto"/>
        <w:ind w:left="2538" w:right="1980" w:hanging="554"/>
        <w:jc w:val="left"/>
        <w:rPr>
          <w:b w:val="0"/>
          <w:bCs w:val="0"/>
        </w:rPr>
      </w:pPr>
      <w:r>
        <w:rPr/>
        <w:t>广州广电运通金融电子股份有限公司</w:t>
      </w:r>
      <w:r>
        <w:rPr>
          <w:w w:val="99"/>
        </w:rPr>
        <w:t> </w:t>
      </w:r>
      <w:r>
        <w:rPr/>
        <w:t>二</w:t>
      </w:r>
      <w:r>
        <w:rPr>
          <w:spacing w:val="-82"/>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w:t>
      </w:r>
      <w:r>
        <w:rPr>
          <w:spacing w:val="-83"/>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年度财务报表附注</w:t>
      </w:r>
      <w:r>
        <w:rPr>
          <w:b w:val="0"/>
          <w:bCs w:val="0"/>
        </w:rPr>
      </w:r>
    </w:p>
    <w:p>
      <w:pPr>
        <w:spacing w:line="240" w:lineRule="auto" w:before="9"/>
        <w:rPr>
          <w:rFonts w:ascii="宋体" w:hAnsi="宋体" w:cs="宋体" w:eastAsia="宋体" w:hint="default"/>
          <w:b/>
          <w:bCs/>
          <w:sz w:val="43"/>
          <w:szCs w:val="43"/>
        </w:rPr>
      </w:pPr>
    </w:p>
    <w:p>
      <w:pPr>
        <w:pStyle w:val="Heading3"/>
        <w:spacing w:line="240" w:lineRule="auto"/>
        <w:ind w:left="678" w:right="1980"/>
        <w:jc w:val="left"/>
        <w:rPr>
          <w:b w:val="0"/>
          <w:bCs w:val="0"/>
        </w:rPr>
      </w:pPr>
      <w:r>
        <w:rPr/>
        <w:t>一、</w:t>
      </w:r>
      <w:r>
        <w:rPr>
          <w:spacing w:val="-68"/>
        </w:rPr>
        <w:t> </w:t>
      </w:r>
      <w:r>
        <w:rPr/>
        <w:t>公司基本情况</w:t>
      </w:r>
      <w:r>
        <w:rPr>
          <w:b w:val="0"/>
          <w:bCs w:val="0"/>
        </w:rPr>
      </w:r>
    </w:p>
    <w:p>
      <w:pPr>
        <w:pStyle w:val="BodyText"/>
        <w:spacing w:line="331" w:lineRule="auto" w:before="159"/>
        <w:ind w:left="139" w:right="149" w:firstLine="420"/>
        <w:jc w:val="both"/>
      </w:pPr>
      <w:r>
        <w:rPr>
          <w:spacing w:val="2"/>
        </w:rPr>
        <w:t>广州广电运通金融电子股份有限公司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本公司或公司</w:t>
      </w:r>
      <w:r>
        <w:rPr>
          <w:rFonts w:ascii="Times New Roman" w:hAnsi="Times New Roman" w:cs="Times New Roman" w:eastAsia="Times New Roman" w:hint="default"/>
          <w:spacing w:val="2"/>
        </w:rPr>
        <w:t>”)</w:t>
      </w:r>
      <w:r>
        <w:rPr>
          <w:spacing w:val="2"/>
        </w:rPr>
        <w:t>前身系广州广电运通金融电 </w:t>
      </w:r>
      <w:r>
        <w:rPr>
          <w:spacing w:val="-5"/>
        </w:rPr>
        <w:t>子有限公司，成立于</w:t>
      </w:r>
      <w:r>
        <w:rPr>
          <w:spacing w:val="-53"/>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8 </w:t>
      </w:r>
      <w:r>
        <w:rPr>
          <w:spacing w:val="-7"/>
        </w:rPr>
        <w:t>日，</w:t>
      </w:r>
      <w:r>
        <w:rPr>
          <w:rFonts w:ascii="Times New Roman" w:hAnsi="Times New Roman" w:cs="Times New Roman" w:eastAsia="Times New Roman" w:hint="default"/>
          <w:spacing w:val="-7"/>
        </w:rPr>
        <w:t>2005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10 </w:t>
      </w:r>
      <w:r>
        <w:rPr/>
        <w:t>月经广州市人民政府办公厅穗府办函</w:t>
      </w:r>
      <w:r>
        <w:rPr>
          <w:rFonts w:ascii="Times New Roman" w:hAnsi="Times New Roman" w:cs="Times New Roman" w:eastAsia="Times New Roman" w:hint="default"/>
        </w:rPr>
        <w:t>[2005]161 </w:t>
      </w:r>
      <w:r>
        <w:rPr/>
        <w:t>号文批准，广州市经济贸易委员会穗经贸函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20"/>
        </w:rPr>
        <w:t> </w:t>
      </w:r>
      <w:r>
        <w:rPr>
          <w:spacing w:val="-3"/>
        </w:rPr>
        <w:t>号文批复，由广州无线电集团有限公司、深</w:t>
      </w:r>
      <w:r>
        <w:rPr/>
        <w:t> 圳市德通投资有限公司、盈富泰克创业投资有限公司、梅州敬基金属制品有限公司、广州藤川科</w:t>
      </w:r>
      <w:r>
        <w:rPr>
          <w:spacing w:val="-97"/>
        </w:rPr>
        <w:t> </w:t>
      </w:r>
      <w:r>
        <w:rPr>
          <w:spacing w:val="-97"/>
        </w:rPr>
      </w:r>
      <w:r>
        <w:rPr/>
        <w:t>技有限公司作为发起人，以发起设立方式将广州广电运通金融电子有限公司整体变更为广州广电</w:t>
      </w:r>
      <w:r>
        <w:rPr>
          <w:spacing w:val="-97"/>
        </w:rPr>
        <w:t> </w:t>
      </w:r>
      <w:r>
        <w:rPr>
          <w:spacing w:val="-97"/>
        </w:rPr>
      </w:r>
      <w:r>
        <w:rPr/>
        <w:t>运通金融电子股份有限公司。注册资本为</w:t>
      </w:r>
      <w:r>
        <w:rPr>
          <w:spacing w:val="-57"/>
        </w:rPr>
        <w:t> </w:t>
      </w:r>
      <w:r>
        <w:rPr>
          <w:rFonts w:ascii="Times New Roman" w:hAnsi="Times New Roman" w:cs="Times New Roman" w:eastAsia="Times New Roman" w:hint="default"/>
        </w:rPr>
        <w:t>106,559,010.00</w:t>
      </w:r>
      <w:r>
        <w:rPr>
          <w:rFonts w:ascii="Times New Roman" w:hAnsi="Times New Roman" w:cs="Times New Roman" w:eastAsia="Times New Roman" w:hint="default"/>
          <w:spacing w:val="-4"/>
        </w:rPr>
        <w:t> </w:t>
      </w:r>
      <w:r>
        <w:rPr>
          <w:spacing w:val="-8"/>
        </w:rPr>
        <w:t>元，于</w:t>
      </w:r>
      <w:r>
        <w:rPr>
          <w:spacing w:val="-5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日取得广州市工 </w:t>
      </w:r>
      <w:r>
        <w:rPr>
          <w:spacing w:val="-3"/>
        </w:rPr>
        <w:t>商行政管理局核发的变更后的企业法人营业执照，注册号为：</w:t>
      </w:r>
      <w:r>
        <w:rPr>
          <w:rFonts w:ascii="Times New Roman" w:hAnsi="Times New Roman" w:cs="Times New Roman" w:eastAsia="Times New Roman" w:hint="default"/>
          <w:spacing w:val="-3"/>
        </w:rPr>
        <w:t>4401011103795</w:t>
      </w:r>
      <w:r>
        <w:rPr>
          <w:spacing w:val="-3"/>
        </w:rPr>
        <w:t>。注册地为广东省广</w:t>
      </w:r>
      <w:r>
        <w:rPr>
          <w:spacing w:val="-61"/>
        </w:rPr>
        <w:t> </w:t>
      </w:r>
      <w:r>
        <w:rPr>
          <w:spacing w:val="-61"/>
        </w:rPr>
      </w:r>
      <w:r>
        <w:rPr/>
        <w:t>州市，总部地址位于广州市黄埔大道西平云路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w:t>
      </w:r>
    </w:p>
    <w:p>
      <w:pPr>
        <w:pStyle w:val="BodyText"/>
        <w:spacing w:line="240" w:lineRule="auto" w:before="15"/>
        <w:ind w:left="560" w:right="0"/>
        <w:jc w:val="left"/>
      </w:pP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月，经本公司股东大会审议通过，股东盈富泰克创业投资有限公司将持有本公司</w:t>
      </w:r>
    </w:p>
    <w:p>
      <w:pPr>
        <w:pStyle w:val="BodyText"/>
        <w:spacing w:line="326" w:lineRule="auto" w:before="104"/>
        <w:ind w:right="150" w:hanging="1"/>
        <w:jc w:val="both"/>
      </w:pPr>
      <w:r>
        <w:rPr>
          <w:rFonts w:ascii="Times New Roman" w:hAnsi="Times New Roman" w:cs="Times New Roman" w:eastAsia="Times New Roman" w:hint="default"/>
        </w:rPr>
        <w:t>10.657%</w:t>
      </w:r>
      <w:r>
        <w:rPr/>
        <w:t>股权中的</w:t>
      </w:r>
      <w:r>
        <w:rPr>
          <w:spacing w:val="-30"/>
        </w:rPr>
        <w:t> </w:t>
      </w:r>
      <w:r>
        <w:rPr>
          <w:rFonts w:ascii="Times New Roman" w:hAnsi="Times New Roman" w:cs="Times New Roman" w:eastAsia="Times New Roman" w:hint="default"/>
        </w:rPr>
        <w:t>5.026%</w:t>
      </w:r>
      <w:r>
        <w:rPr/>
        <w:t>转让给股东广州无线电集团有限公司，股东深圳市德通投资有限公司将 持有本公司</w:t>
      </w:r>
      <w:r>
        <w:rPr>
          <w:spacing w:val="-55"/>
        </w:rPr>
        <w:t> </w:t>
      </w:r>
      <w:r>
        <w:rPr>
          <w:rFonts w:ascii="Times New Roman" w:hAnsi="Times New Roman" w:cs="Times New Roman" w:eastAsia="Times New Roman" w:hint="default"/>
        </w:rPr>
        <w:t>17.762%</w:t>
      </w:r>
      <w:r>
        <w:rPr/>
        <w:t>的股权全部转让给自然人股东叶子瑜等</w:t>
      </w:r>
      <w:r>
        <w:rPr>
          <w:spacing w:val="-55"/>
        </w:rPr>
        <w:t> </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人。</w:t>
      </w:r>
    </w:p>
    <w:p>
      <w:pPr>
        <w:pStyle w:val="BodyText"/>
        <w:spacing w:line="326" w:lineRule="auto" w:before="20"/>
        <w:ind w:right="139" w:firstLine="420"/>
        <w:jc w:val="both"/>
      </w:pPr>
      <w:r>
        <w:rPr/>
        <w:t>经中国证券监督管理委员会证监发行字</w:t>
      </w:r>
      <w:r>
        <w:rPr>
          <w:rFonts w:ascii="Times New Roman" w:hAnsi="Times New Roman" w:cs="Times New Roman" w:eastAsia="Times New Roman" w:hint="default"/>
        </w:rPr>
        <w:t>[2007]188</w:t>
      </w:r>
      <w:r>
        <w:rPr>
          <w:rFonts w:ascii="Times New Roman" w:hAnsi="Times New Roman" w:cs="Times New Roman" w:eastAsia="Times New Roman" w:hint="default"/>
          <w:spacing w:val="9"/>
        </w:rPr>
        <w:t> </w:t>
      </w:r>
      <w:r>
        <w:rPr>
          <w:spacing w:val="-5"/>
        </w:rPr>
        <w:t>号《关于核准广州广电运通金融电子股份有</w:t>
      </w:r>
      <w:r>
        <w:rPr/>
        <w:t> 限公司首次公开发行股票的通知》核准，本公司获准向社会公开发行人民币普通股（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t>股）</w:t>
      </w:r>
      <w:r>
        <w:rPr>
          <w:rFonts w:ascii="Times New Roman" w:hAnsi="Times New Roman" w:cs="Times New Roman" w:eastAsia="Times New Roman" w:hint="default"/>
        </w:rPr>
        <w:t>3600</w:t>
      </w:r>
      <w:r>
        <w:rPr>
          <w:rFonts w:ascii="Times New Roman" w:hAnsi="Times New Roman" w:cs="Times New Roman" w:eastAsia="Times New Roman" w:hint="default"/>
          <w:spacing w:val="-1"/>
        </w:rPr>
        <w:t> </w:t>
      </w:r>
      <w:r>
        <w:rPr>
          <w:spacing w:val="7"/>
        </w:rPr>
        <w:t>万股。并于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13  </w:t>
      </w:r>
      <w:r>
        <w:rPr>
          <w:rFonts w:ascii="Times New Roman" w:hAnsi="Times New Roman" w:cs="Times New Roman" w:eastAsia="Times New Roman" w:hint="default"/>
          <w:spacing w:val="6"/>
        </w:rPr>
        <w:t> </w:t>
      </w:r>
      <w:r>
        <w:rPr>
          <w:spacing w:val="8"/>
        </w:rPr>
        <w:t>日在深圳证券交易所挂牌交易，发行上市后注册资本由人民币</w:t>
      </w:r>
      <w:r>
        <w:rPr/>
      </w:r>
    </w:p>
    <w:p>
      <w:pPr>
        <w:pStyle w:val="BodyText"/>
        <w:spacing w:line="326" w:lineRule="auto" w:before="20"/>
        <w:ind w:right="149"/>
        <w:jc w:val="both"/>
      </w:pPr>
      <w:r>
        <w:rPr>
          <w:rFonts w:ascii="Times New Roman" w:hAnsi="Times New Roman" w:cs="Times New Roman" w:eastAsia="Times New Roman" w:hint="default"/>
        </w:rPr>
        <w:t>106,559,010.00</w:t>
      </w:r>
      <w:r>
        <w:rPr>
          <w:rFonts w:ascii="Times New Roman" w:hAnsi="Times New Roman" w:cs="Times New Roman" w:eastAsia="Times New Roman" w:hint="default"/>
          <w:spacing w:val="-2"/>
        </w:rPr>
        <w:t> </w:t>
      </w:r>
      <w:r>
        <w:rPr/>
        <w:t>元增加至</w:t>
      </w:r>
      <w:r>
        <w:rPr>
          <w:spacing w:val="-56"/>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2"/>
        </w:rPr>
        <w:t> </w:t>
      </w:r>
      <w:r>
        <w:rPr/>
        <w:t>元。证券简称为</w:t>
      </w:r>
      <w:r>
        <w:rPr>
          <w:rFonts w:ascii="Times New Roman" w:hAnsi="Times New Roman" w:cs="Times New Roman" w:eastAsia="Times New Roman" w:hint="default"/>
        </w:rPr>
        <w:t>“</w:t>
      </w:r>
      <w:r>
        <w:rPr/>
        <w:t>广电运通</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“002152”</w:t>
      </w:r>
      <w:r>
        <w:rPr/>
        <w:t>，所属 行业为专用设备制造业。</w:t>
      </w:r>
    </w:p>
    <w:p>
      <w:pPr>
        <w:pStyle w:val="BodyText"/>
        <w:spacing w:line="240" w:lineRule="auto" w:before="44"/>
        <w:ind w:left="560" w:right="0"/>
        <w:jc w:val="left"/>
        <w:rPr>
          <w:rFonts w:ascii="Times New Roman" w:hAnsi="Times New Roman" w:cs="Times New Roman" w:eastAsia="Times New Roman" w:hint="default"/>
        </w:rPr>
      </w:pPr>
      <w:r>
        <w:rPr/>
        <w:t>经本公司第一届董事会第十五次会议、</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日股东大会决议通过，本公司以</w:t>
      </w:r>
      <w:r>
        <w:rPr>
          <w:spacing w:val="-52"/>
        </w:rPr>
        <w:t> </w:t>
      </w:r>
      <w:r>
        <w:rPr>
          <w:rFonts w:ascii="Times New Roman" w:hAnsi="Times New Roman" w:cs="Times New Roman" w:eastAsia="Times New Roman" w:hint="default"/>
        </w:rPr>
        <w:t>2007</w:t>
      </w:r>
    </w:p>
    <w:p>
      <w:pPr>
        <w:pStyle w:val="BodyText"/>
        <w:spacing w:line="240" w:lineRule="auto" w:before="104"/>
        <w:ind w:right="0"/>
        <w:jc w:val="both"/>
      </w:pPr>
      <w:r>
        <w:rPr/>
        <w:t>年末总股本为基数，以资本公积向全体股东每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股股本。</w:t>
      </w:r>
    </w:p>
    <w:p>
      <w:pPr>
        <w:pStyle w:val="BodyText"/>
        <w:spacing w:line="240" w:lineRule="auto" w:before="104"/>
        <w:ind w:left="560" w:right="0"/>
        <w:jc w:val="left"/>
      </w:pPr>
      <w:r>
        <w:rPr/>
        <w:t>经本公司第二届董事会第二次会议、</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日股东大会决议通过，本公司以</w:t>
      </w:r>
      <w:r>
        <w:rPr>
          <w:spacing w:val="-6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p>
    <w:p>
      <w:pPr>
        <w:pStyle w:val="BodyText"/>
        <w:spacing w:line="240" w:lineRule="auto" w:before="104"/>
        <w:ind w:right="0"/>
        <w:jc w:val="both"/>
      </w:pPr>
      <w:r>
        <w:rPr/>
        <w:t>末总股本为基数，以资本公积向全体股东每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股股本。</w:t>
      </w:r>
    </w:p>
    <w:p>
      <w:pPr>
        <w:pStyle w:val="BodyText"/>
        <w:spacing w:line="240" w:lineRule="auto" w:before="104"/>
        <w:ind w:left="560"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日，本公司取得变更后的企业法人营业执照，注册号为：</w:t>
      </w:r>
      <w:r>
        <w:rPr>
          <w:rFonts w:ascii="Times New Roman" w:hAnsi="Times New Roman" w:cs="Times New Roman" w:eastAsia="Times New Roman" w:hint="default"/>
        </w:rPr>
        <w:t>440101000000880</w:t>
      </w:r>
      <w:r>
        <w:rPr/>
        <w:t>。</w:t>
      </w:r>
    </w:p>
    <w:p>
      <w:pPr>
        <w:pStyle w:val="BodyText"/>
        <w:spacing w:line="240" w:lineRule="auto" w:before="104"/>
        <w:ind w:right="0"/>
        <w:jc w:val="both"/>
      </w:pPr>
      <w:r>
        <w:rPr/>
        <w:t>注册地为广州市萝岗区科学城科林路</w:t>
      </w:r>
      <w:r>
        <w:rPr>
          <w:spacing w:val="-53"/>
        </w:rPr>
        <w:t> </w:t>
      </w:r>
      <w:r>
        <w:rPr>
          <w:rFonts w:ascii="Times New Roman" w:hAnsi="Times New Roman" w:cs="Times New Roman" w:eastAsia="Times New Roman" w:hint="default"/>
        </w:rPr>
        <w:t>9 </w:t>
      </w:r>
      <w:r>
        <w:rPr/>
        <w:t>号。</w:t>
      </w:r>
    </w:p>
    <w:p>
      <w:pPr>
        <w:pStyle w:val="BodyText"/>
        <w:spacing w:line="240" w:lineRule="auto" w:before="104"/>
        <w:ind w:left="560" w:right="0"/>
        <w:jc w:val="left"/>
        <w:rPr>
          <w:rFonts w:ascii="Times New Roman" w:hAnsi="Times New Roman" w:cs="Times New Roman" w:eastAsia="Times New Roman" w:hint="default"/>
        </w:rPr>
      </w:pPr>
      <w:r>
        <w:rPr/>
        <w:t>截止</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spacing w:val="-2"/>
        </w:rPr>
        <w:t>日</w:t>
      </w:r>
      <w:r>
        <w:rPr>
          <w:spacing w:val="-106"/>
        </w:rPr>
        <w:t>，</w:t>
      </w:r>
      <w:r>
        <w:rPr/>
        <w:t>本公司注册资本为人民币</w:t>
      </w:r>
      <w:r>
        <w:rPr>
          <w:spacing w:val="-69"/>
        </w:rPr>
        <w:t> </w:t>
      </w:r>
      <w:r>
        <w:rPr>
          <w:rFonts w:ascii="Times New Roman" w:hAnsi="Times New Roman" w:cs="Times New Roman" w:eastAsia="Times New Roman" w:hint="default"/>
        </w:rPr>
        <w:t>342</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4.00</w:t>
      </w:r>
      <w:r>
        <w:rPr>
          <w:rFonts w:ascii="Times New Roman" w:hAnsi="Times New Roman" w:cs="Times New Roman" w:eastAsia="Times New Roman" w:hint="default"/>
          <w:spacing w:val="-17"/>
        </w:rPr>
        <w:t> </w:t>
      </w:r>
      <w:r>
        <w:rPr>
          <w:spacing w:val="-2"/>
        </w:rPr>
        <w:t>元</w:t>
      </w:r>
      <w:r>
        <w:rPr>
          <w:spacing w:val="-105"/>
        </w:rPr>
        <w:t>，</w:t>
      </w:r>
      <w:r>
        <w:rPr/>
        <w:t>总</w:t>
      </w:r>
      <w:r>
        <w:rPr>
          <w:spacing w:val="-2"/>
        </w:rPr>
        <w:t>股</w:t>
      </w:r>
      <w:r>
        <w:rPr/>
        <w:t>本为</w:t>
      </w:r>
      <w:r>
        <w:rPr>
          <w:spacing w:val="-69"/>
        </w:rPr>
        <w:t> </w:t>
      </w:r>
      <w:r>
        <w:rPr>
          <w:rFonts w:ascii="Times New Roman" w:hAnsi="Times New Roman" w:cs="Times New Roman" w:eastAsia="Times New Roman" w:hint="default"/>
        </w:rPr>
        <w:t>342</w:t>
      </w:r>
      <w:r>
        <w:rPr>
          <w:rFonts w:ascii="Times New Roman" w:hAnsi="Times New Roman" w:cs="Times New Roman" w:eastAsia="Times New Roman" w:hint="default"/>
          <w:spacing w:val="-1"/>
        </w:rPr>
        <w:t>,1</w:t>
      </w:r>
      <w:r>
        <w:rPr>
          <w:rFonts w:ascii="Times New Roman" w:hAnsi="Times New Roman" w:cs="Times New Roman" w:eastAsia="Times New Roman" w:hint="default"/>
        </w:rPr>
        <w:t>41</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326" w:lineRule="auto" w:before="104"/>
        <w:ind w:left="559" w:right="145" w:hanging="420"/>
        <w:jc w:val="left"/>
      </w:pPr>
      <w:r>
        <w:rPr/>
        <w:t>股，其中可流通股份为</w:t>
      </w:r>
      <w:r>
        <w:rPr>
          <w:spacing w:val="-54"/>
        </w:rPr>
        <w:t> </w:t>
      </w:r>
      <w:r>
        <w:rPr>
          <w:rFonts w:ascii="Times New Roman" w:hAnsi="Times New Roman" w:cs="Times New Roman" w:eastAsia="Times New Roman" w:hint="default"/>
        </w:rPr>
        <w:t>150,611,845.00 </w:t>
      </w:r>
      <w:r>
        <w:rPr/>
        <w:t>股，限售的流通股为</w:t>
      </w:r>
      <w:r>
        <w:rPr>
          <w:spacing w:val="-54"/>
        </w:rPr>
        <w:t> </w:t>
      </w:r>
      <w:r>
        <w:rPr>
          <w:rFonts w:ascii="Times New Roman" w:hAnsi="Times New Roman" w:cs="Times New Roman" w:eastAsia="Times New Roman" w:hint="default"/>
        </w:rPr>
        <w:t>191,529,779.00</w:t>
      </w:r>
      <w:r>
        <w:rPr>
          <w:rFonts w:ascii="Times New Roman" w:hAnsi="Times New Roman" w:cs="Times New Roman" w:eastAsia="Times New Roman" w:hint="default"/>
          <w:spacing w:val="-2"/>
        </w:rPr>
        <w:t> </w:t>
      </w:r>
      <w:r>
        <w:rPr/>
        <w:t>股。 本公司经营范围：研制、生产、销售电子计算机设备、货币类自助设备、税务应用设备。电</w:t>
      </w:r>
    </w:p>
    <w:p>
      <w:pPr>
        <w:pStyle w:val="BodyText"/>
        <w:spacing w:line="345" w:lineRule="auto" w:before="45"/>
        <w:ind w:left="139" w:right="150"/>
        <w:jc w:val="both"/>
      </w:pPr>
      <w:r>
        <w:rPr/>
        <w:t>子计算机系统集成及技术服务。电子计算机软件开发。本企业生产产品的技术咨询和售后服务。</w:t>
      </w:r>
      <w:r>
        <w:rPr>
          <w:spacing w:val="-97"/>
        </w:rPr>
        <w:t> </w:t>
      </w:r>
      <w:r>
        <w:rPr>
          <w:spacing w:val="-97"/>
        </w:rPr>
      </w:r>
      <w:r>
        <w:rPr>
          <w:spacing w:val="-5"/>
        </w:rPr>
        <w:t>货物和技术进出口（国家限定经营或禁止进出口的商品和技术除外）。对自动柜员机提供日常维修</w:t>
      </w:r>
      <w:r>
        <w:rPr>
          <w:spacing w:val="-89"/>
        </w:rPr>
        <w:t> </w:t>
      </w:r>
      <w:r>
        <w:rPr>
          <w:spacing w:val="-89"/>
        </w:rPr>
      </w:r>
      <w:r>
        <w:rPr/>
        <w:t>与管理服务。对现金及有价证券提供清分处理服务。</w:t>
      </w:r>
    </w:p>
    <w:p>
      <w:pPr>
        <w:spacing w:after="0" w:line="345" w:lineRule="auto"/>
        <w:jc w:val="both"/>
        <w:sectPr>
          <w:headerReference w:type="default" r:id="rId23"/>
          <w:footerReference w:type="default" r:id="rId24"/>
          <w:pgSz w:w="11910" w:h="16840"/>
          <w:pgMar w:header="400" w:footer="982" w:top="1100" w:bottom="1180" w:left="1660" w:right="1120"/>
          <w:pgNumType w:start="65"/>
        </w:sectPr>
      </w:pPr>
    </w:p>
    <w:p>
      <w:pPr>
        <w:spacing w:line="240" w:lineRule="auto" w:before="2"/>
        <w:rPr>
          <w:rFonts w:ascii="宋体" w:hAnsi="宋体" w:cs="宋体" w:eastAsia="宋体" w:hint="default"/>
          <w:sz w:val="19"/>
          <w:szCs w:val="19"/>
        </w:rPr>
      </w:pPr>
    </w:p>
    <w:p>
      <w:pPr>
        <w:pStyle w:val="BodyText"/>
        <w:spacing w:line="357" w:lineRule="auto" w:before="35"/>
        <w:ind w:right="151" w:firstLine="538"/>
        <w:jc w:val="both"/>
      </w:pPr>
      <w:r>
        <w:rPr>
          <w:spacing w:val="2"/>
        </w:rPr>
        <w:t>本公司治理层权力机构包括：股东大会、董事会和监事会。实行董事会领导下的总经理负</w:t>
      </w:r>
      <w:r>
        <w:rPr/>
        <w:t> 责制，公司下设财务部、人力资源部、证券部、企管部、制造中心、国内市场部、海外市场部、</w:t>
      </w:r>
      <w:r>
        <w:rPr>
          <w:spacing w:val="-97"/>
        </w:rPr>
        <w:t> </w:t>
      </w:r>
      <w:r>
        <w:rPr>
          <w:spacing w:val="-97"/>
        </w:rPr>
      </w:r>
      <w:r>
        <w:rPr/>
        <w:t>研究院、客户服务中心等职能部门。</w:t>
      </w:r>
    </w:p>
    <w:p>
      <w:pPr>
        <w:spacing w:line="240" w:lineRule="auto" w:before="8"/>
        <w:rPr>
          <w:rFonts w:ascii="宋体" w:hAnsi="宋体" w:cs="宋体" w:eastAsia="宋体" w:hint="default"/>
          <w:sz w:val="29"/>
          <w:szCs w:val="29"/>
        </w:rPr>
      </w:pPr>
    </w:p>
    <w:p>
      <w:pPr>
        <w:pStyle w:val="Heading3"/>
        <w:spacing w:line="240" w:lineRule="auto"/>
        <w:ind w:left="759" w:right="1980"/>
        <w:jc w:val="left"/>
        <w:rPr>
          <w:b w:val="0"/>
          <w:bCs w:val="0"/>
        </w:rPr>
      </w:pPr>
      <w:r>
        <w:rPr/>
        <w:t>二、主要会计政策、会计估计和前期差错</w:t>
      </w:r>
      <w:r>
        <w:rPr>
          <w:b w:val="0"/>
          <w:bCs w:val="0"/>
        </w:rPr>
      </w:r>
    </w:p>
    <w:p>
      <w:pPr>
        <w:spacing w:line="338" w:lineRule="auto" w:before="157"/>
        <w:ind w:left="680"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pacing w:val="2"/>
          <w:sz w:val="21"/>
          <w:szCs w:val="21"/>
        </w:rPr>
        <w:t>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w:t>
      </w:r>
      <w:r>
        <w:rPr>
          <w:rFonts w:ascii="宋体" w:hAnsi="宋体" w:cs="宋体" w:eastAsia="宋体" w:hint="default"/>
          <w:sz w:val="21"/>
          <w:szCs w:val="21"/>
        </w:rPr>
      </w:r>
    </w:p>
    <w:p>
      <w:pPr>
        <w:pStyle w:val="BodyText"/>
        <w:spacing w:line="240" w:lineRule="auto" w:before="22"/>
        <w:ind w:left="139" w:right="0"/>
        <w:jc w:val="left"/>
      </w:pPr>
      <w:r>
        <w:rPr/>
        <w:t>和其他各项会计准则及其他相关规定进行确认和计量，在此基础上编制财务报表。</w:t>
      </w:r>
    </w:p>
    <w:p>
      <w:pPr>
        <w:spacing w:line="338" w:lineRule="auto" w:before="133"/>
        <w:ind w:left="675" w:right="1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公司所编制的财务报表符合企业会计准则的要求，真实、完整地反映了报告期公司的财务状</w:t>
      </w:r>
    </w:p>
    <w:p>
      <w:pPr>
        <w:pStyle w:val="BodyText"/>
        <w:spacing w:line="240" w:lineRule="auto" w:before="47"/>
        <w:ind w:left="139" w:right="1980"/>
        <w:jc w:val="left"/>
      </w:pPr>
      <w:r>
        <w:rPr/>
        <w:t>况、经营成果、现金流量等有关信息。</w:t>
      </w:r>
    </w:p>
    <w:p>
      <w:pPr>
        <w:pStyle w:val="Heading4"/>
        <w:spacing w:line="240" w:lineRule="auto" w:before="134"/>
        <w:ind w:left="677" w:right="198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117"/>
        <w:ind w:left="675" w:right="1980"/>
        <w:jc w:val="left"/>
      </w:pPr>
      <w:r>
        <w:rPr/>
        <w:t>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336" w:lineRule="auto" w:before="118"/>
        <w:ind w:left="675" w:right="590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
          <w:w w:val="99"/>
          <w:sz w:val="21"/>
          <w:szCs w:val="21"/>
        </w:rPr>
        <w:t> </w:t>
      </w:r>
      <w:r>
        <w:rPr>
          <w:rFonts w:ascii="宋体" w:hAnsi="宋体" w:cs="宋体" w:eastAsia="宋体" w:hint="default"/>
          <w:sz w:val="21"/>
          <w:szCs w:val="21"/>
        </w:rPr>
        <w:t>采用人民币为记账本位币。</w:t>
      </w:r>
    </w:p>
    <w:p>
      <w:pPr>
        <w:pStyle w:val="Heading4"/>
        <w:spacing w:line="240" w:lineRule="auto" w:before="49"/>
        <w:ind w:left="677" w:right="198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同一控制下和非同一控制下企业合并的会计处理方法</w:t>
      </w:r>
      <w:r>
        <w:rPr>
          <w:b w:val="0"/>
          <w:bCs w:val="0"/>
        </w:rPr>
      </w:r>
    </w:p>
    <w:p>
      <w:pPr>
        <w:spacing w:line="336" w:lineRule="auto" w:before="118"/>
        <w:ind w:left="675" w:right="1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本公司在企业合并中取得的资产和负债，按照合并日在被合并方的账面价值计量。在合并中</w:t>
      </w:r>
    </w:p>
    <w:p>
      <w:pPr>
        <w:pStyle w:val="BodyText"/>
        <w:spacing w:line="355" w:lineRule="auto" w:before="50"/>
        <w:ind w:left="139" w:right="145"/>
        <w:jc w:val="left"/>
      </w:pPr>
      <w:r>
        <w:rPr/>
        <w:t>取得的净资产账面价值与支付的合并对价账面价值（或发行股份面值总额）的差额，调整资本公</w:t>
      </w:r>
      <w:r>
        <w:rPr>
          <w:spacing w:val="-97"/>
        </w:rPr>
        <w:t> </w:t>
      </w:r>
      <w:r>
        <w:rPr>
          <w:spacing w:val="-97"/>
        </w:rPr>
      </w:r>
      <w:r>
        <w:rPr/>
        <w:t>积，资本公积不足冲减的，调整留存收益。</w:t>
      </w:r>
    </w:p>
    <w:p>
      <w:pPr>
        <w:pStyle w:val="BodyText"/>
        <w:spacing w:line="355" w:lineRule="auto" w:before="33"/>
        <w:ind w:left="139" w:right="0" w:firstLine="535"/>
        <w:jc w:val="left"/>
      </w:pPr>
      <w:r>
        <w:rPr>
          <w:spacing w:val="2"/>
        </w:rPr>
        <w:t>本公司为进行企业合并而发生的各项直接相关费用，包括为进行企业合并而支付的审计费</w:t>
      </w:r>
      <w:r>
        <w:rPr/>
        <w:t> 用、评估费用、法律服务费等，于发生时计入当期损益。</w:t>
      </w:r>
    </w:p>
    <w:p>
      <w:pPr>
        <w:pStyle w:val="BodyText"/>
        <w:spacing w:line="355" w:lineRule="auto" w:before="33"/>
        <w:ind w:left="139" w:right="150" w:firstLine="535"/>
        <w:jc w:val="left"/>
      </w:pPr>
      <w:r>
        <w:rPr>
          <w:spacing w:val="-3"/>
        </w:rPr>
        <w:t>企业合并中发行权益性证券发生的手续费、佣金等，抵减权益性证券溢价收入，溢价收入不</w:t>
      </w:r>
      <w:r>
        <w:rPr/>
        <w:t> 足冲减的，冲减留存收益。</w:t>
      </w:r>
    </w:p>
    <w:p>
      <w:pPr>
        <w:pStyle w:val="BodyText"/>
        <w:spacing w:line="357" w:lineRule="auto" w:before="32"/>
        <w:ind w:left="139" w:right="0" w:firstLine="535"/>
        <w:jc w:val="left"/>
      </w:pPr>
      <w:r>
        <w:rPr>
          <w:spacing w:val="-3"/>
        </w:rPr>
        <w:t>被合并各方采用的会计政策与本公司不一致的，本公司在合并日按照本公司会计政策进行调</w:t>
      </w:r>
      <w:r>
        <w:rPr/>
        <w:t> 整，在此基础上按照企业会计准则规定确认。</w:t>
      </w:r>
    </w:p>
    <w:p>
      <w:pPr>
        <w:spacing w:line="338" w:lineRule="auto" w:before="30"/>
        <w:ind w:left="675" w:right="14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本公司在购买日对作为企业合并对价付出的资产、发生或承担的负债按照公允价值计量。公</w:t>
      </w:r>
    </w:p>
    <w:p>
      <w:pPr>
        <w:pStyle w:val="BodyText"/>
        <w:spacing w:line="357" w:lineRule="auto" w:before="47"/>
        <w:ind w:left="675" w:right="4765" w:hanging="536"/>
        <w:jc w:val="left"/>
      </w:pPr>
      <w:r>
        <w:rPr/>
        <w:t>允价值与其账面价值的差额，计入当期损益。 本公司在购买日对合并成本进行分配。</w:t>
      </w:r>
    </w:p>
    <w:p>
      <w:pPr>
        <w:pStyle w:val="BodyText"/>
        <w:spacing w:line="355" w:lineRule="auto" w:before="30"/>
        <w:ind w:left="139" w:right="0" w:firstLine="529"/>
        <w:jc w:val="left"/>
      </w:pPr>
      <w:r>
        <w:rPr>
          <w:spacing w:val="-3"/>
        </w:rPr>
        <w:t>本公司对合并成本大于合并中取得的被购买方可辨认净资产公允价值份额的差额，确认为商</w:t>
      </w:r>
      <w:r>
        <w:rPr/>
        <w:t> 誉；合并成本小于合并中取得的被购买方可辨认净资产公允价值份额的差额，计入当期损益。</w:t>
      </w:r>
    </w:p>
    <w:p>
      <w:pPr>
        <w:pStyle w:val="BodyText"/>
        <w:spacing w:line="355" w:lineRule="auto" w:before="33"/>
        <w:ind w:left="139" w:right="134" w:firstLine="529"/>
        <w:jc w:val="left"/>
      </w:pPr>
      <w:r>
        <w:rPr/>
        <w:t>企业合并中取得的被购买方除无形资产外的其他各项资</w:t>
      </w:r>
      <w:r>
        <w:rPr>
          <w:spacing w:val="-98"/>
        </w:rPr>
        <w:t>产</w:t>
      </w:r>
      <w:r>
        <w:rPr/>
        <w:t>（不仅限于被购买方原已确认的资</w:t>
      </w:r>
      <w:r>
        <w:rPr/>
        <w:t> 产</w:t>
      </w:r>
      <w:r>
        <w:rPr>
          <w:spacing w:val="-105"/>
        </w:rPr>
        <w:t>）</w:t>
      </w:r>
      <w:r>
        <w:rPr>
          <w:spacing w:val="-47"/>
        </w:rPr>
        <w:t>，</w:t>
      </w:r>
      <w:r>
        <w:rPr/>
        <w:t>其所带来的经济利益很可能流入本公司且公允价值能够可靠计量的</w:t>
      </w:r>
      <w:r>
        <w:rPr>
          <w:spacing w:val="-47"/>
        </w:rPr>
        <w:t>，</w:t>
      </w:r>
      <w:r>
        <w:rPr/>
        <w:t>单独确认并按公允价值</w:t>
      </w:r>
    </w:p>
    <w:p>
      <w:pPr>
        <w:spacing w:after="0" w:line="355" w:lineRule="auto"/>
        <w:jc w:val="left"/>
        <w:sectPr>
          <w:pgSz w:w="11910" w:h="16840"/>
          <w:pgMar w:header="400" w:footer="982" w:top="1100" w:bottom="1180" w:left="1660" w:right="1120"/>
        </w:sectPr>
      </w:pPr>
    </w:p>
    <w:p>
      <w:pPr>
        <w:spacing w:line="240" w:lineRule="auto" w:before="2"/>
        <w:rPr>
          <w:rFonts w:ascii="宋体" w:hAnsi="宋体" w:cs="宋体" w:eastAsia="宋体" w:hint="default"/>
          <w:sz w:val="19"/>
          <w:szCs w:val="19"/>
        </w:rPr>
      </w:pPr>
    </w:p>
    <w:p>
      <w:pPr>
        <w:pStyle w:val="BodyText"/>
        <w:spacing w:line="357" w:lineRule="auto" w:before="35"/>
        <w:ind w:right="211"/>
        <w:jc w:val="both"/>
      </w:pPr>
      <w:r>
        <w:rPr/>
        <w:t>计量；公允价值能够可靠计量的无形资产，单独确认为无形资产并按公允价值计量；取得的被购</w:t>
      </w:r>
      <w:r>
        <w:rPr>
          <w:spacing w:val="-97"/>
        </w:rPr>
        <w:t> </w:t>
      </w:r>
      <w:r>
        <w:rPr>
          <w:spacing w:val="-97"/>
        </w:rPr>
      </w:r>
      <w:r>
        <w:rPr/>
        <w:t>买方除或有负债以外的其他各项负债，履行有关义务很可能导致经济利益流出本公司且公允价值</w:t>
      </w:r>
      <w:r>
        <w:rPr>
          <w:spacing w:val="-97"/>
        </w:rPr>
        <w:t> </w:t>
      </w:r>
      <w:r>
        <w:rPr>
          <w:spacing w:val="-97"/>
        </w:rPr>
      </w:r>
      <w:r>
        <w:rPr/>
        <w:t>能够可靠计量的，单独确认并按照公允价值计量；取得的被购买方或有负债，其公允价值能可靠</w:t>
      </w:r>
      <w:r>
        <w:rPr>
          <w:spacing w:val="-97"/>
        </w:rPr>
        <w:t> </w:t>
      </w:r>
      <w:r>
        <w:rPr>
          <w:spacing w:val="-97"/>
        </w:rPr>
      </w:r>
      <w:r>
        <w:rPr/>
        <w:t>计量的，单独确认为负债并按照公允价值计量。</w:t>
      </w:r>
    </w:p>
    <w:p>
      <w:pPr>
        <w:pStyle w:val="BodyText"/>
        <w:spacing w:line="348" w:lineRule="auto" w:before="31"/>
        <w:ind w:left="669" w:right="96" w:firstLine="2"/>
        <w:jc w:val="left"/>
      </w:pPr>
      <w:r>
        <w:rPr>
          <w:rFonts w:ascii="Times New Roman" w:hAnsi="Times New Roman" w:cs="Times New Roman" w:eastAsia="Times New Roman" w:hint="default"/>
          <w:b/>
          <w:bCs/>
        </w:rPr>
        <w:t>(</w:t>
      </w:r>
      <w:r>
        <w:rPr>
          <w:rFonts w:ascii="宋体" w:hAnsi="宋体" w:cs="宋体" w:eastAsia="宋体" w:hint="default"/>
          <w:b/>
          <w:bCs/>
        </w:rPr>
        <w:t>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合并财务报表的编制方法</w:t>
      </w:r>
      <w:r>
        <w:rPr>
          <w:rFonts w:ascii="宋体" w:hAnsi="宋体" w:cs="宋体" w:eastAsia="宋体" w:hint="default"/>
          <w:b/>
          <w:bCs/>
          <w:spacing w:val="1"/>
          <w:w w:val="99"/>
        </w:rPr>
        <w:t> </w:t>
      </w:r>
      <w:r>
        <w:rPr/>
        <w:t>本公司合并财务报表的合并范围以控制为基础确定，所有子公司均纳入合并财务报表。 </w:t>
      </w:r>
      <w:r>
        <w:rPr>
          <w:spacing w:val="-3"/>
        </w:rPr>
        <w:t>所有纳入合并财务报表合并范围的子公司所采用的会计政策、会计期间与本公司一致，如子</w:t>
      </w:r>
    </w:p>
    <w:p>
      <w:pPr>
        <w:pStyle w:val="BodyText"/>
        <w:spacing w:line="355" w:lineRule="auto" w:before="38"/>
        <w:ind w:left="139" w:right="211"/>
        <w:jc w:val="both"/>
      </w:pPr>
      <w:r>
        <w:rPr/>
        <w:t>公司采用的会计政策、会计期间与本公司不一致的，在编制合并财务报表时，按本公司的会计政</w:t>
      </w:r>
      <w:r>
        <w:rPr>
          <w:spacing w:val="-97"/>
        </w:rPr>
        <w:t> </w:t>
      </w:r>
      <w:r>
        <w:rPr>
          <w:spacing w:val="-97"/>
        </w:rPr>
      </w:r>
      <w:r>
        <w:rPr/>
        <w:t>策、会计期间进行必要的调整。</w:t>
      </w:r>
    </w:p>
    <w:p>
      <w:pPr>
        <w:pStyle w:val="BodyText"/>
        <w:spacing w:line="355" w:lineRule="auto" w:before="33"/>
        <w:ind w:left="139" w:right="209" w:firstLine="529"/>
        <w:jc w:val="both"/>
      </w:pPr>
      <w:r>
        <w:rPr>
          <w:spacing w:val="-3"/>
        </w:rPr>
        <w:t>合并财务报表以本公司及子公司的财务报表为基础，根据其他有关资料，按照权益法调整对</w:t>
      </w:r>
      <w:r>
        <w:rPr/>
        <w:t> 子公司的长期股权投资后，由本公司编制。</w:t>
      </w:r>
    </w:p>
    <w:p>
      <w:pPr>
        <w:pStyle w:val="BodyText"/>
        <w:spacing w:line="355" w:lineRule="auto" w:before="33"/>
        <w:ind w:left="139" w:right="210" w:firstLine="529"/>
        <w:jc w:val="both"/>
      </w:pPr>
      <w:r>
        <w:rPr>
          <w:spacing w:val="-3"/>
        </w:rPr>
        <w:t>合并财务报表时抵销本公司与各子公司、各子公司相互之间发生的内部交易对合并资产负债</w:t>
      </w:r>
      <w:r>
        <w:rPr/>
        <w:t> 表、合并利润表、合并现金流量表、合并所有者权益变动表的影响。</w:t>
      </w:r>
    </w:p>
    <w:p>
      <w:pPr>
        <w:pStyle w:val="BodyText"/>
        <w:spacing w:line="355" w:lineRule="auto" w:before="33"/>
        <w:ind w:left="139" w:right="213" w:firstLine="529"/>
        <w:jc w:val="both"/>
      </w:pPr>
      <w:r>
        <w:rPr>
          <w:spacing w:val="2"/>
        </w:rPr>
        <w:t>子公司少数股东分担的当期亏损超过了少数股东在该子公司期初所有者权益中所享有份额</w:t>
      </w:r>
      <w:r>
        <w:rPr/>
        <w:t> 而形成的余额，冲减少数股东权益。</w:t>
      </w:r>
    </w:p>
    <w:p>
      <w:pPr>
        <w:pStyle w:val="BodyText"/>
        <w:spacing w:line="357" w:lineRule="auto" w:before="32"/>
        <w:ind w:left="139" w:right="210" w:firstLine="529"/>
        <w:jc w:val="both"/>
      </w:pPr>
      <w:r>
        <w:rPr>
          <w:spacing w:val="-3"/>
        </w:rPr>
        <w:t>在报告期内，若因同一控制下企业合并增加子公司的，则调整合并资产负债表的期初数；将</w:t>
      </w:r>
      <w:r>
        <w:rPr/>
        <w:t> 子公司合并当期期初至报告期末的收入、费用、利润纳入合并利润表；将子公司合并当期期初至</w:t>
      </w:r>
      <w:r>
        <w:rPr>
          <w:spacing w:val="-97"/>
        </w:rPr>
        <w:t> </w:t>
      </w:r>
      <w:r>
        <w:rPr>
          <w:spacing w:val="-97"/>
        </w:rPr>
      </w:r>
      <w:r>
        <w:rPr/>
        <w:t>报告期末的现金流量纳入合并现金流量表。</w:t>
      </w:r>
    </w:p>
    <w:p>
      <w:pPr>
        <w:pStyle w:val="BodyText"/>
        <w:spacing w:line="357" w:lineRule="auto" w:before="31"/>
        <w:ind w:left="139" w:right="96" w:firstLine="529"/>
        <w:jc w:val="left"/>
      </w:pPr>
      <w:r>
        <w:rPr/>
        <w:t>在报告期内，若因非同一控制下企业合并增加子公司的，则不调整合并资产负债表期初数； 将子公司自购买日至报告期末的收入、费用、利润纳入合并利润表；该子公司自购买日至报告期</w:t>
      </w:r>
      <w:r>
        <w:rPr>
          <w:spacing w:val="-97"/>
        </w:rPr>
        <w:t> </w:t>
      </w:r>
      <w:r>
        <w:rPr>
          <w:spacing w:val="-97"/>
        </w:rPr>
      </w:r>
      <w:r>
        <w:rPr/>
        <w:t>末的现金流量纳入合并现金流量表。</w:t>
      </w:r>
    </w:p>
    <w:p>
      <w:pPr>
        <w:pStyle w:val="BodyText"/>
        <w:spacing w:line="355" w:lineRule="auto" w:before="30"/>
        <w:ind w:left="139" w:right="209" w:firstLine="529"/>
        <w:jc w:val="both"/>
      </w:pPr>
      <w:r>
        <w:rPr>
          <w:spacing w:val="-3"/>
        </w:rPr>
        <w:t>在报告期内，本公司处置子公司，则该子公司期初至处置日的收入、费用、利润纳入合并利</w:t>
      </w:r>
      <w:r>
        <w:rPr/>
        <w:t> 润表；该子公司期初至处置日的现金流量纳入合并现金流量表。</w:t>
      </w:r>
    </w:p>
    <w:p>
      <w:pPr>
        <w:spacing w:line="336" w:lineRule="auto" w:before="33"/>
        <w:ind w:left="678" w:right="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在编制现金流量表时，将本公司库存现金以及可以随时用于支付的存款确认为现金。将同</w:t>
      </w:r>
    </w:p>
    <w:p>
      <w:pPr>
        <w:pStyle w:val="BodyText"/>
        <w:spacing w:line="355" w:lineRule="auto" w:before="50"/>
        <w:ind w:left="139" w:right="209"/>
        <w:jc w:val="both"/>
      </w:pPr>
      <w:r>
        <w:rPr>
          <w:spacing w:val="-5"/>
        </w:rPr>
        <w:t>时具备期限短（从购买日起三个月内到期）、流动性强、易于转换为已知现金、价值变动风险很小</w:t>
      </w:r>
      <w:r>
        <w:rPr>
          <w:spacing w:val="-89"/>
        </w:rPr>
        <w:t> </w:t>
      </w:r>
      <w:r>
        <w:rPr>
          <w:spacing w:val="-89"/>
        </w:rPr>
      </w:r>
      <w:r>
        <w:rPr/>
        <w:t>四个条件的投资，确定为现金等价物。</w:t>
      </w:r>
    </w:p>
    <w:p>
      <w:pPr>
        <w:pStyle w:val="Heading4"/>
        <w:spacing w:line="240" w:lineRule="auto" w:before="33"/>
        <w:ind w:left="678" w:right="96"/>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外币业务和外币报表折算</w:t>
      </w:r>
      <w:r>
        <w:rPr>
          <w:b w:val="0"/>
          <w:bCs w:val="0"/>
        </w:rPr>
      </w:r>
    </w:p>
    <w:p>
      <w:pPr>
        <w:pStyle w:val="BodyText"/>
        <w:spacing w:line="336" w:lineRule="auto" w:before="117"/>
        <w:ind w:left="678" w:right="1976"/>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外币业务采用交易发生日的即期汇率作为折算汇率折合成人民币记账。</w:t>
      </w:r>
    </w:p>
    <w:p>
      <w:pPr>
        <w:pStyle w:val="BodyText"/>
        <w:spacing w:line="357" w:lineRule="auto" w:before="50"/>
        <w:ind w:left="139" w:right="211" w:firstLine="538"/>
        <w:jc w:val="both"/>
      </w:pPr>
      <w:r>
        <w:rPr>
          <w:spacing w:val="2"/>
        </w:rPr>
        <w:t>外币货币性项目余额按资产负债表日即期汇率折算，由此产生的汇兑差额，除属于与购建</w:t>
      </w:r>
      <w:r>
        <w:rPr/>
        <w:t> 符合资本化条件的资产相关的外币专门借款产生的汇兑差额按照借款费用资本化的原则处理外，</w:t>
      </w:r>
      <w:r>
        <w:rPr>
          <w:spacing w:val="-97"/>
        </w:rPr>
        <w:t> </w:t>
      </w:r>
      <w:r>
        <w:rPr>
          <w:spacing w:val="-97"/>
        </w:rPr>
      </w:r>
      <w:r>
        <w:rPr/>
        <w:t>均计入当期损益。以历史成本计量的外币非货币性项目，仍采用交易发生日的即期汇率折算，不</w:t>
      </w:r>
      <w:r>
        <w:rPr>
          <w:spacing w:val="-97"/>
        </w:rPr>
        <w:t> </w:t>
      </w:r>
      <w:r>
        <w:rPr>
          <w:spacing w:val="-97"/>
        </w:rPr>
      </w:r>
      <w:r>
        <w:rPr/>
        <w:t>改变其记账本位币金额。以公允价值计量的外币非货币性项目，采用公允价值确定日的即期汇率</w:t>
      </w:r>
    </w:p>
    <w:p>
      <w:pPr>
        <w:spacing w:after="0" w:line="357" w:lineRule="auto"/>
        <w:jc w:val="both"/>
        <w:sectPr>
          <w:pgSz w:w="11910" w:h="16840"/>
          <w:pgMar w:header="400" w:footer="982" w:top="1100" w:bottom="1180" w:left="1660" w:right="1060"/>
        </w:sectPr>
      </w:pPr>
    </w:p>
    <w:p>
      <w:pPr>
        <w:spacing w:line="240" w:lineRule="auto" w:before="2"/>
        <w:rPr>
          <w:rFonts w:ascii="宋体" w:hAnsi="宋体" w:cs="宋体" w:eastAsia="宋体" w:hint="default"/>
          <w:sz w:val="19"/>
          <w:szCs w:val="19"/>
        </w:rPr>
      </w:pPr>
    </w:p>
    <w:p>
      <w:pPr>
        <w:pStyle w:val="BodyText"/>
        <w:spacing w:line="240" w:lineRule="auto" w:before="35"/>
        <w:ind w:right="1980"/>
        <w:jc w:val="left"/>
      </w:pPr>
      <w:r>
        <w:rPr/>
        <w:t>折算，由此产生的汇兑差额计入当期损益或资本公积。</w:t>
      </w:r>
    </w:p>
    <w:p>
      <w:pPr>
        <w:spacing w:line="338" w:lineRule="auto" w:before="133"/>
        <w:ind w:left="678" w:right="13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5"/>
          <w:sz w:val="21"/>
          <w:szCs w:val="21"/>
        </w:rPr>
        <w:t>资产负债表中的资产和负债项目，采用资产负债表日的即期汇率折算；所有者权益项目除</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实</w:t>
      </w:r>
    </w:p>
    <w:p>
      <w:pPr>
        <w:pStyle w:val="BodyText"/>
        <w:spacing w:line="348" w:lineRule="auto" w:before="22"/>
        <w:ind w:right="150"/>
        <w:jc w:val="both"/>
      </w:pPr>
      <w:r>
        <w:rPr>
          <w:spacing w:val="-2"/>
        </w:rPr>
        <w:t>收资本</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w:t>
      </w:r>
      <w:r>
        <w:rPr>
          <w:spacing w:val="-76"/>
        </w:rPr>
        <w:t> </w:t>
      </w:r>
      <w:r>
        <w:rPr>
          <w:spacing w:val="-76"/>
        </w:rPr>
      </w:r>
      <w:r>
        <w:rPr/>
        <w:t>目，采用年度平均汇率折算。按照上述折算产生的外币财务报表折算差额，在资产负债表所有者</w:t>
      </w:r>
      <w:r>
        <w:rPr>
          <w:spacing w:val="-97"/>
        </w:rPr>
        <w:t> </w:t>
      </w:r>
      <w:r>
        <w:rPr>
          <w:spacing w:val="-97"/>
        </w:rPr>
      </w:r>
      <w:r>
        <w:rPr/>
        <w:t>权益项目下单独列示。</w:t>
      </w:r>
    </w:p>
    <w:p>
      <w:pPr>
        <w:pStyle w:val="BodyText"/>
        <w:spacing w:line="355" w:lineRule="auto" w:before="40"/>
        <w:ind w:right="151" w:firstLine="538"/>
        <w:jc w:val="both"/>
      </w:pPr>
      <w:r>
        <w:rPr>
          <w:spacing w:val="2"/>
        </w:rPr>
        <w:t>处置境外经营时，将资产负债表中所有者权益项目下列示的、与该境外经营相关的外币财</w:t>
      </w:r>
      <w:r>
        <w:rPr/>
        <w:t> 务报表折算差额，自所有者权益项目转入处置当期损益；部分处置境外经营的，按处置的比例计</w:t>
      </w:r>
      <w:r>
        <w:rPr>
          <w:spacing w:val="-97"/>
        </w:rPr>
        <w:t> </w:t>
      </w:r>
      <w:r>
        <w:rPr>
          <w:spacing w:val="-97"/>
        </w:rPr>
      </w:r>
      <w:r>
        <w:rPr/>
        <w:t>算处置部分的外币财务报表折算差额，转入处置当期损益。</w:t>
      </w:r>
    </w:p>
    <w:p>
      <w:pPr>
        <w:spacing w:line="348" w:lineRule="auto" w:before="33"/>
        <w:ind w:left="560" w:right="413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357" w:lineRule="auto" w:before="12"/>
        <w:ind w:right="150" w:firstLine="420"/>
        <w:jc w:val="both"/>
      </w:pPr>
      <w:r>
        <w:rPr/>
        <w:t>管理层按照取得持有金融资产和承担金融负债的目的，将其划分为：以公允价值计量且其变 动计入当期损益的金融资产或金融负债，包括交易性金融资产或金融负债（和直接指定为以公允</w:t>
      </w:r>
      <w:r>
        <w:rPr>
          <w:spacing w:val="-97"/>
        </w:rPr>
        <w:t> </w:t>
      </w:r>
      <w:r>
        <w:rPr>
          <w:spacing w:val="-97"/>
        </w:rPr>
      </w:r>
      <w:r>
        <w:rPr>
          <w:spacing w:val="-5"/>
        </w:rPr>
        <w:t>价值计量且其变动计入当期损益的金融资产或金融负债）；持有至到期投资；应收款项；可供出售</w:t>
      </w:r>
      <w:r>
        <w:rPr>
          <w:spacing w:val="-91"/>
        </w:rPr>
        <w:t> </w:t>
      </w:r>
      <w:r>
        <w:rPr>
          <w:spacing w:val="-91"/>
        </w:rPr>
      </w:r>
      <w:r>
        <w:rPr/>
        <w:t>金融资产；其他金融负债等。</w:t>
      </w:r>
    </w:p>
    <w:p>
      <w:pPr>
        <w:pStyle w:val="Heading4"/>
        <w:spacing w:line="240" w:lineRule="auto" w:before="31"/>
        <w:ind w:left="677" w:right="198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38" w:lineRule="auto" w:before="117"/>
        <w:ind w:left="680" w:right="0"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w:t>
      </w:r>
      <w:r>
        <w:rPr/>
      </w:r>
    </w:p>
    <w:p>
      <w:pPr>
        <w:pStyle w:val="BodyText"/>
        <w:spacing w:line="357" w:lineRule="auto" w:before="47"/>
        <w:ind w:left="680" w:right="0" w:hanging="540"/>
        <w:jc w:val="left"/>
      </w:pPr>
      <w:r>
        <w:rPr/>
        <w:t>息）作为初始确认金额，相关的交易费用计入当期损益。 持有期间将取得的利息或现金股利确认为投资收益，期末将公允价值变动计入当期损益。 </w:t>
      </w:r>
      <w:r>
        <w:rPr>
          <w:spacing w:val="2"/>
        </w:rPr>
        <w:t>处置时，其公允价值与初始入账金额之间的差额确认为投资收益，同时调整公允价值变动</w:t>
      </w:r>
      <w:r>
        <w:rPr/>
      </w:r>
    </w:p>
    <w:p>
      <w:pPr>
        <w:pStyle w:val="BodyText"/>
        <w:spacing w:line="240" w:lineRule="auto" w:before="30"/>
        <w:ind w:right="1980"/>
        <w:jc w:val="left"/>
      </w:pPr>
      <w:r>
        <w:rPr/>
        <w:t>损益。</w:t>
      </w:r>
    </w:p>
    <w:p>
      <w:pPr>
        <w:pStyle w:val="BodyText"/>
        <w:spacing w:line="336" w:lineRule="auto" w:before="134"/>
        <w:ind w:left="680" w:right="0" w:hanging="1"/>
        <w:jc w:val="left"/>
      </w:pPr>
      <w:r>
        <w:rPr/>
        <w:t>（</w:t>
      </w:r>
      <w:r>
        <w:rPr>
          <w:rFonts w:ascii="Times New Roman" w:hAnsi="Times New Roman" w:cs="Times New Roman" w:eastAsia="Times New Roman" w:hint="default"/>
        </w:rPr>
        <w:t>2</w:t>
      </w:r>
      <w:r>
        <w:rPr/>
        <w:t>）持有至到期投资 </w:t>
      </w:r>
      <w:r>
        <w:rPr>
          <w:spacing w:val="2"/>
        </w:rPr>
        <w:t>取得时按公允价值（扣除已到付息期但尚未领取的债券利息）和相关交易费用之和作为初</w:t>
      </w:r>
      <w:r>
        <w:rPr/>
      </w:r>
    </w:p>
    <w:p>
      <w:pPr>
        <w:pStyle w:val="BodyText"/>
        <w:spacing w:line="240" w:lineRule="auto" w:before="50"/>
        <w:ind w:right="1980"/>
        <w:jc w:val="left"/>
      </w:pPr>
      <w:r>
        <w:rPr/>
        <w:t>始确认金额。</w:t>
      </w:r>
    </w:p>
    <w:p>
      <w:pPr>
        <w:pStyle w:val="BodyText"/>
        <w:spacing w:line="357" w:lineRule="auto" w:before="133"/>
        <w:ind w:right="150" w:firstLine="540"/>
        <w:jc w:val="both"/>
      </w:pPr>
      <w:r>
        <w:rPr>
          <w:spacing w:val="2"/>
        </w:rPr>
        <w:t>持有期间按照摊余成本和实际利率计算确认利息收入，计入投资收益。实际利率在取得时 </w:t>
      </w:r>
      <w:r>
        <w:rPr/>
        <w:t>确定，在该预期存续期间或适用的更短期间内保持不变。</w:t>
      </w:r>
    </w:p>
    <w:p>
      <w:pPr>
        <w:pStyle w:val="BodyText"/>
        <w:spacing w:line="240" w:lineRule="auto" w:before="30"/>
        <w:ind w:left="680" w:right="1980"/>
        <w:jc w:val="left"/>
      </w:pPr>
      <w:r>
        <w:rPr/>
        <w:t>处置时，将所取得价款与该投资账面价值之间的差额计入投资收益。</w:t>
      </w:r>
    </w:p>
    <w:p>
      <w:pPr>
        <w:pStyle w:val="BodyText"/>
        <w:spacing w:line="338" w:lineRule="auto" w:before="133"/>
        <w:ind w:left="680" w:right="0" w:hanging="1"/>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w:t>
      </w:r>
      <w:r>
        <w:rPr/>
      </w:r>
    </w:p>
    <w:p>
      <w:pPr>
        <w:pStyle w:val="BodyText"/>
        <w:spacing w:line="357" w:lineRule="auto" w:before="47"/>
        <w:ind w:right="151"/>
        <w:jc w:val="both"/>
      </w:pPr>
      <w:r>
        <w:rPr/>
        <w:t>市场上有报价的债务工具的债权，包括应收账款、其他应收款等，以向购货方应收的合同或协议</w:t>
      </w:r>
      <w:r>
        <w:rPr>
          <w:spacing w:val="-97"/>
        </w:rPr>
        <w:t> </w:t>
      </w:r>
      <w:r>
        <w:rPr>
          <w:spacing w:val="-97"/>
        </w:rPr>
      </w:r>
      <w:r>
        <w:rPr/>
        <w:t>价款作为初始确认金额；具有融资性质的，按其现值进行初始确认。</w:t>
      </w:r>
    </w:p>
    <w:p>
      <w:pPr>
        <w:pStyle w:val="BodyText"/>
        <w:spacing w:line="240" w:lineRule="auto" w:before="30"/>
        <w:ind w:left="680" w:right="0"/>
        <w:jc w:val="left"/>
      </w:pPr>
      <w:r>
        <w:rPr/>
        <w:t>收回或处置时，将取得的价款与该应收款项账面价值之间的差额计入当期损益。</w:t>
      </w:r>
    </w:p>
    <w:p>
      <w:pPr>
        <w:spacing w:after="0" w:line="240" w:lineRule="auto"/>
        <w:jc w:val="left"/>
        <w:sectPr>
          <w:pgSz w:w="11910" w:h="16840"/>
          <w:pgMar w:header="400" w:footer="982" w:top="1100" w:bottom="1180" w:left="1660" w:right="1120"/>
        </w:sectPr>
      </w:pPr>
    </w:p>
    <w:p>
      <w:pPr>
        <w:spacing w:line="240" w:lineRule="auto" w:before="2"/>
        <w:rPr>
          <w:rFonts w:ascii="宋体" w:hAnsi="宋体" w:cs="宋体" w:eastAsia="宋体" w:hint="default"/>
          <w:sz w:val="19"/>
          <w:szCs w:val="19"/>
        </w:rPr>
      </w:pPr>
    </w:p>
    <w:p>
      <w:pPr>
        <w:pStyle w:val="BodyText"/>
        <w:spacing w:line="336" w:lineRule="auto" w:before="35"/>
        <w:ind w:left="680" w:right="96" w:hanging="1"/>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w:t>
      </w:r>
      <w:r>
        <w:rPr/>
      </w:r>
    </w:p>
    <w:p>
      <w:pPr>
        <w:pStyle w:val="BodyText"/>
        <w:spacing w:line="355" w:lineRule="auto" w:before="50"/>
        <w:ind w:left="680" w:right="96" w:hanging="540"/>
        <w:jc w:val="left"/>
      </w:pPr>
      <w:r>
        <w:rPr/>
        <w:t>息）和相关交易费用之和作为初始确认金额。 </w:t>
      </w:r>
      <w:r>
        <w:rPr>
          <w:spacing w:val="2"/>
        </w:rPr>
        <w:t>持有期间将取得的利息或现金股利确认为投资收益。期末以公允价值计量且将公允价值变</w:t>
      </w:r>
      <w:r>
        <w:rPr/>
      </w:r>
    </w:p>
    <w:p>
      <w:pPr>
        <w:pStyle w:val="BodyText"/>
        <w:spacing w:line="355" w:lineRule="auto" w:before="33"/>
        <w:ind w:left="680" w:right="96" w:hanging="540"/>
        <w:jc w:val="left"/>
      </w:pPr>
      <w:r>
        <w:rPr>
          <w:spacing w:val="-7"/>
        </w:rPr>
        <w:t>动计入资本公积（其他资本公积）。</w:t>
      </w:r>
      <w:r>
        <w:rPr>
          <w:spacing w:val="-98"/>
        </w:rPr>
        <w:t> </w:t>
      </w:r>
      <w:r>
        <w:rPr>
          <w:spacing w:val="-98"/>
        </w:rPr>
      </w:r>
      <w:r>
        <w:rPr>
          <w:spacing w:val="2"/>
        </w:rPr>
        <w:t>处置时，将取得的价款与该金融资产账面价值之间的差额，计入投资损益；同时，将原直</w:t>
      </w:r>
      <w:r>
        <w:rPr/>
      </w:r>
    </w:p>
    <w:p>
      <w:pPr>
        <w:pStyle w:val="BodyText"/>
        <w:spacing w:line="240" w:lineRule="auto" w:before="33"/>
        <w:ind w:right="96"/>
        <w:jc w:val="left"/>
      </w:pPr>
      <w:r>
        <w:rPr/>
        <w:t>接计入所有者权益的公允价值变动累计额对应处置部分的金额转出，计入投资损益。</w:t>
      </w:r>
    </w:p>
    <w:p>
      <w:pPr>
        <w:pStyle w:val="BodyText"/>
        <w:spacing w:line="343" w:lineRule="auto" w:before="133"/>
        <w:ind w:left="680" w:right="84" w:hanging="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公司发生金融资产转移时，如已将金融资产所有权上几乎所有的风险和报酬转移给转入方，</w:t>
      </w:r>
    </w:p>
    <w:p>
      <w:pPr>
        <w:pStyle w:val="BodyText"/>
        <w:spacing w:line="355" w:lineRule="auto" w:before="44"/>
        <w:ind w:right="204"/>
        <w:jc w:val="left"/>
      </w:pPr>
      <w:r>
        <w:rPr/>
        <w:t>则终止确认该金融资产；如保留了金融资产所有权上几乎所有的风险和报酬的，则不终止确认该</w:t>
      </w:r>
      <w:r>
        <w:rPr>
          <w:spacing w:val="-97"/>
        </w:rPr>
        <w:t> </w:t>
      </w:r>
      <w:r>
        <w:rPr>
          <w:spacing w:val="-97"/>
        </w:rPr>
      </w:r>
      <w:r>
        <w:rPr/>
        <w:t>金融资产。</w:t>
      </w:r>
    </w:p>
    <w:p>
      <w:pPr>
        <w:pStyle w:val="BodyText"/>
        <w:spacing w:line="355" w:lineRule="auto" w:before="33"/>
        <w:ind w:right="210" w:firstLine="540"/>
        <w:jc w:val="both"/>
      </w:pPr>
      <w:r>
        <w:rPr>
          <w:spacing w:val="2"/>
        </w:rPr>
        <w:t>在判断金融资产转移是否满足上述金融资产终止确认条件时，采用实质重于形式的原则。 </w:t>
      </w:r>
      <w:r>
        <w:rPr/>
        <w:t>公司将金融资产转移区分为金融资产整体转移和部分转移。金融资产整体转移满足终止确认条件</w:t>
      </w:r>
      <w:r>
        <w:rPr>
          <w:spacing w:val="-97"/>
        </w:rPr>
        <w:t> </w:t>
      </w:r>
      <w:r>
        <w:rPr>
          <w:spacing w:val="-97"/>
        </w:rPr>
      </w:r>
      <w:r>
        <w:rPr/>
        <w:t>的，将下列两项金额的差额计入当期损益：</w:t>
      </w:r>
    </w:p>
    <w:p>
      <w:pPr>
        <w:pStyle w:val="BodyText"/>
        <w:spacing w:line="240" w:lineRule="auto" w:before="33"/>
        <w:ind w:left="680" w:right="96"/>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17"/>
        <w:ind w:right="210" w:firstLine="54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 金融资产为可供出售金融资产的情形）之和。</w:t>
      </w:r>
    </w:p>
    <w:p>
      <w:pPr>
        <w:pStyle w:val="BodyText"/>
        <w:spacing w:line="357" w:lineRule="auto" w:before="47"/>
        <w:ind w:right="210" w:firstLine="540"/>
        <w:jc w:val="both"/>
      </w:pPr>
      <w:r>
        <w:rPr>
          <w:spacing w:val="2"/>
        </w:rPr>
        <w:t>金融资产部分转移满足终止确认条件的，将所转移金融资产整体的账面价值，在终止确认 </w:t>
      </w:r>
      <w:r>
        <w:rPr/>
        <w:t>部分和未终止确认部分之间，按照各自的相对公允价值进行分摊，并将下列两项金额的差额计入</w:t>
      </w:r>
      <w:r>
        <w:rPr>
          <w:spacing w:val="-97"/>
        </w:rPr>
        <w:t> </w:t>
      </w:r>
      <w:r>
        <w:rPr>
          <w:spacing w:val="-97"/>
        </w:rPr>
      </w:r>
      <w:r>
        <w:rPr/>
        <w:t>当期损益：</w:t>
      </w:r>
    </w:p>
    <w:p>
      <w:pPr>
        <w:pStyle w:val="BodyText"/>
        <w:spacing w:line="240" w:lineRule="auto" w:before="30"/>
        <w:ind w:left="680" w:right="96"/>
        <w:jc w:val="left"/>
      </w:pPr>
      <w:r>
        <w:rPr/>
        <w:t>（</w:t>
      </w:r>
      <w:r>
        <w:rPr>
          <w:rFonts w:ascii="Times New Roman" w:hAnsi="Times New Roman" w:cs="Times New Roman" w:eastAsia="Times New Roman" w:hint="default"/>
        </w:rPr>
        <w:t>1</w:t>
      </w:r>
      <w:r>
        <w:rPr/>
        <w:t>）终止确认部分的账面价值；</w:t>
      </w:r>
    </w:p>
    <w:p>
      <w:pPr>
        <w:pStyle w:val="BodyText"/>
        <w:spacing w:line="336" w:lineRule="auto" w:before="118"/>
        <w:ind w:right="210" w:firstLine="54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 认部分的金额（涉及转移的金融资产为可供出售金融资产的情形）之和。</w:t>
      </w:r>
    </w:p>
    <w:p>
      <w:pPr>
        <w:pStyle w:val="BodyText"/>
        <w:spacing w:line="355" w:lineRule="auto" w:before="50"/>
        <w:ind w:right="210" w:firstLine="540"/>
        <w:jc w:val="both"/>
      </w:pPr>
      <w:r>
        <w:rPr>
          <w:spacing w:val="2"/>
        </w:rPr>
        <w:t>金融资产转移不满足终止确认条件的，继续确认该金融资产，所收到的对价确认为一项金 </w:t>
      </w:r>
      <w:r>
        <w:rPr/>
        <w:t>融负债。</w:t>
      </w:r>
    </w:p>
    <w:p>
      <w:pPr>
        <w:spacing w:line="336" w:lineRule="auto" w:before="33"/>
        <w:ind w:left="680"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金融负债的的现时义务全部或部分已经解除的，则终止确认该金融负债或其一部分；本公</w:t>
      </w:r>
      <w:r>
        <w:rPr>
          <w:rFonts w:ascii="宋体" w:hAnsi="宋体" w:cs="宋体" w:eastAsia="宋体" w:hint="default"/>
          <w:sz w:val="21"/>
          <w:szCs w:val="21"/>
        </w:rPr>
      </w:r>
    </w:p>
    <w:p>
      <w:pPr>
        <w:pStyle w:val="BodyText"/>
        <w:spacing w:line="357" w:lineRule="auto" w:before="49"/>
        <w:ind w:right="204"/>
        <w:jc w:val="left"/>
      </w:pPr>
      <w:r>
        <w:rPr/>
        <w:t>司若与债权人签定协议，以承担新金融负债方式替换现存金融负债，且新金融负债与现存金融负</w:t>
      </w:r>
      <w:r>
        <w:rPr>
          <w:spacing w:val="-97"/>
        </w:rPr>
        <w:t> </w:t>
      </w:r>
      <w:r>
        <w:rPr>
          <w:spacing w:val="-97"/>
        </w:rPr>
      </w:r>
      <w:r>
        <w:rPr/>
        <w:t>债的合同条款实质上不同的，则终止确认现存金融负债，并同时确认新金融负债。</w:t>
      </w:r>
    </w:p>
    <w:p>
      <w:pPr>
        <w:pStyle w:val="BodyText"/>
        <w:spacing w:line="357" w:lineRule="auto" w:before="30"/>
        <w:ind w:right="210" w:firstLine="540"/>
        <w:jc w:val="both"/>
      </w:pPr>
      <w:r>
        <w:rPr>
          <w:spacing w:val="2"/>
        </w:rPr>
        <w:t>对现存金融负债全部或部分合同条款作出实质性修改的，则终止确认现存金融负债或其一 </w:t>
      </w:r>
      <w:r>
        <w:rPr/>
        <w:t>部分，同时将修改条款后的金融负债确认为一项新金融负债。</w:t>
      </w:r>
    </w:p>
    <w:p>
      <w:pPr>
        <w:pStyle w:val="BodyText"/>
        <w:spacing w:line="240" w:lineRule="auto" w:before="30"/>
        <w:ind w:left="680" w:right="96"/>
        <w:jc w:val="left"/>
      </w:pPr>
      <w:r>
        <w:rPr>
          <w:spacing w:val="2"/>
        </w:rPr>
        <w:t>金融负债全部或部分终止确认时，终止确认的金融负债账面价值与支付对价（包括转出的</w:t>
      </w:r>
      <w:r>
        <w:rPr/>
      </w:r>
    </w:p>
    <w:p>
      <w:pPr>
        <w:spacing w:after="0" w:line="240" w:lineRule="auto"/>
        <w:jc w:val="left"/>
        <w:sectPr>
          <w:pgSz w:w="11910" w:h="16840"/>
          <w:pgMar w:header="400" w:footer="982" w:top="1100" w:bottom="1180" w:left="1660" w:right="1060"/>
        </w:sectPr>
      </w:pPr>
    </w:p>
    <w:p>
      <w:pPr>
        <w:spacing w:line="240" w:lineRule="auto" w:before="2"/>
        <w:rPr>
          <w:rFonts w:ascii="宋体" w:hAnsi="宋体" w:cs="宋体" w:eastAsia="宋体" w:hint="default"/>
          <w:sz w:val="19"/>
          <w:szCs w:val="19"/>
        </w:rPr>
      </w:pPr>
    </w:p>
    <w:p>
      <w:pPr>
        <w:pStyle w:val="BodyText"/>
        <w:spacing w:line="355" w:lineRule="auto" w:before="35"/>
        <w:ind w:left="679" w:right="304" w:hanging="540"/>
        <w:jc w:val="left"/>
      </w:pPr>
      <w:r>
        <w:rPr/>
        <w:t>非现金资产或承担的新金融负债）之间的差额，计入当期损益。 </w:t>
      </w:r>
      <w:r>
        <w:rPr>
          <w:spacing w:val="2"/>
        </w:rPr>
        <w:t>本公司若回购部分金融负债的，在回购日按照继续确认部分与终止确认部分的相对公允价</w:t>
      </w:r>
      <w:r>
        <w:rPr/>
      </w:r>
    </w:p>
    <w:p>
      <w:pPr>
        <w:pStyle w:val="BodyText"/>
        <w:spacing w:line="355" w:lineRule="auto" w:before="33"/>
        <w:ind w:right="304"/>
        <w:jc w:val="left"/>
      </w:pPr>
      <w:r>
        <w:rPr/>
        <w:t>值，将该金融负债整体的账面价值进行分配。分配给终止确认部分的账面价值与支付的对价（包</w:t>
      </w:r>
      <w:r>
        <w:rPr>
          <w:spacing w:val="-97"/>
        </w:rPr>
        <w:t> </w:t>
      </w:r>
      <w:r>
        <w:rPr>
          <w:spacing w:val="-97"/>
        </w:rPr>
      </w:r>
      <w:r>
        <w:rPr/>
        <w:t>括转出的非现金资产或承担的新金融负债）之间的差额，计入当期损益。</w:t>
      </w:r>
    </w:p>
    <w:p>
      <w:pPr>
        <w:tabs>
          <w:tab w:pos="8235" w:val="left" w:leader="none"/>
        </w:tabs>
        <w:spacing w:line="348" w:lineRule="auto" w:before="33"/>
        <w:ind w:left="675" w:right="83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本公司采用公允价值计量的金融资产和金融负债全部直接参考活跃市场中的报价</w:t>
        <w:tab/>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sz w:val="21"/>
          <w:szCs w:val="21"/>
        </w:rPr>
      </w:r>
    </w:p>
    <w:p>
      <w:pPr>
        <w:pStyle w:val="BodyText"/>
        <w:spacing w:line="336" w:lineRule="auto" w:before="12"/>
        <w:ind w:left="680" w:right="184" w:hanging="1"/>
        <w:jc w:val="left"/>
      </w:pPr>
      <w:r>
        <w:rPr/>
        <w:t>（</w:t>
      </w:r>
      <w:r>
        <w:rPr>
          <w:rFonts w:ascii="Times New Roman" w:hAnsi="Times New Roman" w:cs="Times New Roman" w:eastAsia="Times New Roman" w:hint="default"/>
        </w:rPr>
        <w:t>1</w:t>
      </w:r>
      <w:r>
        <w:rPr/>
        <w:t>）可供出售金融资产的减值准备： 期末如果可供出售金融资产的公允价值发生较大幅度下降，或在综合考虑各种相关因素后，</w:t>
      </w:r>
    </w:p>
    <w:p>
      <w:pPr>
        <w:pStyle w:val="BodyText"/>
        <w:spacing w:line="355" w:lineRule="auto" w:before="50"/>
        <w:ind w:right="304"/>
        <w:jc w:val="left"/>
      </w:pPr>
      <w:r>
        <w:rPr/>
        <w:t>预期这种下降趋势属于非暂时性的，就认定其已发生减值，将原直接计入所有者权益的公允价值</w:t>
      </w:r>
      <w:r>
        <w:rPr>
          <w:spacing w:val="-97"/>
        </w:rPr>
        <w:t> </w:t>
      </w:r>
      <w:r>
        <w:rPr>
          <w:spacing w:val="-97"/>
        </w:rPr>
      </w:r>
      <w:r>
        <w:rPr/>
        <w:t>下降形成的累计损失一并转出，确认减值损失。</w:t>
      </w:r>
    </w:p>
    <w:p>
      <w:pPr>
        <w:pStyle w:val="BodyText"/>
        <w:spacing w:line="348" w:lineRule="auto" w:before="33"/>
        <w:ind w:left="680" w:right="2074" w:hanging="1"/>
        <w:jc w:val="left"/>
        <w:rPr>
          <w:rFonts w:ascii="宋体" w:hAnsi="宋体" w:cs="宋体" w:eastAsia="宋体" w:hint="default"/>
        </w:rPr>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 </w:t>
      </w:r>
      <w:r>
        <w:rPr>
          <w:rFonts w:ascii="Times New Roman" w:hAnsi="Times New Roman" w:cs="Times New Roman" w:eastAsia="Times New Roman" w:hint="default"/>
          <w:b/>
          <w:bCs/>
        </w:rPr>
        <w:t>(</w:t>
      </w:r>
      <w:r>
        <w:rPr>
          <w:rFonts w:ascii="宋体" w:hAnsi="宋体" w:cs="宋体" w:eastAsia="宋体" w:hint="default"/>
          <w:b/>
          <w:bCs/>
        </w:rPr>
        <w:t>十</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0"/>
        </w:rPr>
        <w:t> </w:t>
      </w:r>
      <w:r>
        <w:rPr>
          <w:rFonts w:ascii="宋体" w:hAnsi="宋体" w:cs="宋体" w:eastAsia="宋体" w:hint="default"/>
          <w:b/>
          <w:bCs/>
        </w:rPr>
        <w:t>应收款项</w:t>
      </w:r>
      <w:r>
        <w:rPr>
          <w:rFonts w:ascii="宋体" w:hAnsi="宋体" w:cs="宋体" w:eastAsia="宋体" w:hint="default"/>
        </w:rPr>
      </w:r>
    </w:p>
    <w:p>
      <w:pPr>
        <w:spacing w:line="348" w:lineRule="auto" w:before="12"/>
        <w:ind w:left="675" w:right="30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t>单项金额重大的判断依据或金额标准：应收款项余额前五名。 </w:t>
      </w:r>
      <w:r>
        <w:rPr>
          <w:rFonts w:ascii="宋体" w:hAnsi="宋体" w:cs="宋体" w:eastAsia="宋体" w:hint="default"/>
          <w:spacing w:val="-3"/>
          <w:sz w:val="21"/>
          <w:szCs w:val="21"/>
        </w:rPr>
        <w:t>单项金额重大并单项计提坏账准备的计提方法：期末对于单项金额重大的应收款项单独进行</w:t>
      </w:r>
    </w:p>
    <w:p>
      <w:pPr>
        <w:pStyle w:val="BodyText"/>
        <w:spacing w:line="357" w:lineRule="auto" w:before="38"/>
        <w:ind w:right="184"/>
        <w:jc w:val="left"/>
      </w:pPr>
      <w:r>
        <w:rPr>
          <w:spacing w:val="-3"/>
        </w:rPr>
        <w:t>减值测试。如有客观证据表明其发生了减值的，根据其未来现金流量现值低于其账面价值的差额，</w:t>
      </w:r>
      <w:r>
        <w:rPr>
          <w:spacing w:val="-70"/>
        </w:rPr>
        <w:t> </w:t>
      </w:r>
      <w:r>
        <w:rPr>
          <w:spacing w:val="-70"/>
        </w:rPr>
      </w:r>
      <w:r>
        <w:rPr/>
        <w:t>确认减值损失，计提坏账准备。单独测试未发生减值的应收账款和其他应收款，以账龄为信用风</w:t>
      </w:r>
      <w:r>
        <w:rPr>
          <w:spacing w:val="-97"/>
        </w:rPr>
        <w:t> </w:t>
      </w:r>
      <w:r>
        <w:rPr>
          <w:spacing w:val="-97"/>
        </w:rPr>
      </w:r>
      <w:r>
        <w:rPr/>
        <w:t>险特征根据账龄分析法计提坏账准备。</w:t>
      </w:r>
    </w:p>
    <w:p>
      <w:pPr>
        <w:spacing w:line="408" w:lineRule="auto" w:before="31"/>
        <w:ind w:left="788" w:right="5315" w:hanging="106"/>
        <w:jc w:val="left"/>
        <w:rPr>
          <w:rFonts w:ascii="宋体" w:hAnsi="宋体" w:cs="宋体" w:eastAsia="宋体" w:hint="default"/>
          <w:sz w:val="21"/>
          <w:szCs w:val="21"/>
        </w:rPr>
      </w:pPr>
      <w:r>
        <w:rPr/>
        <w:pict>
          <v:group style="position:absolute;margin-left:117pt;margin-top:24.396311pt;width:422.5pt;height:.1pt;mso-position-horizontal-relative:page;mso-position-vertical-relative:paragraph;z-index:-734656" coordorigin="2340,488" coordsize="8450,2">
            <v:shape style="position:absolute;left:2340;top:488;width:8450;height:2" coordorigin="2340,488" coordsize="8450,0" path="m2340,488l10789,488e" filled="false" stroked="true" strokeweight="1.5pt" strokecolor="#000000">
              <v:path arrowok="t"/>
            </v:shape>
            <w10:wrap type="none"/>
          </v:group>
        </w:pict>
      </w:r>
      <w:r>
        <w:rPr/>
        <w:pict>
          <v:shape style="position:absolute;margin-left:116.759995pt;margin-top:42.126301pt;width:423.2pt;height:69.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5390"/>
                  </w:tblGrid>
                  <w:tr>
                    <w:trPr>
                      <w:trHeight w:val="828" w:hRule="exact"/>
                    </w:trPr>
                    <w:tc>
                      <w:tcPr>
                        <w:tcW w:w="3059"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：单项金额不重大但信用</w:t>
                        </w:r>
                      </w:p>
                      <w:p>
                        <w:pPr>
                          <w:pStyle w:val="TableParagraph"/>
                          <w:spacing w:line="272" w:lineRule="exact" w:before="18"/>
                          <w:ind w:left="108" w:right="91"/>
                          <w:jc w:val="left"/>
                          <w:rPr>
                            <w:rFonts w:ascii="宋体" w:hAnsi="宋体" w:cs="宋体" w:eastAsia="宋体" w:hint="default"/>
                            <w:sz w:val="21"/>
                            <w:szCs w:val="21"/>
                          </w:rPr>
                        </w:pPr>
                        <w:r>
                          <w:rPr>
                            <w:rFonts w:ascii="宋体" w:hAnsi="宋体" w:cs="宋体" w:eastAsia="宋体" w:hint="default"/>
                            <w:spacing w:val="8"/>
                            <w:sz w:val="21"/>
                            <w:szCs w:val="21"/>
                          </w:rPr>
                          <w:t>风险特征组合后该组合的风险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较大的应收账款</w:t>
                        </w:r>
                      </w:p>
                    </w:tc>
                    <w:tc>
                      <w:tcPr>
                        <w:tcW w:w="5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年以上且金额不属于重大的应收款项。</w:t>
                        </w:r>
                      </w:p>
                    </w:tc>
                  </w:tr>
                  <w:tr>
                    <w:trPr>
                      <w:trHeight w:val="554" w:hRule="exact"/>
                    </w:trPr>
                    <w:tc>
                      <w:tcPr>
                        <w:tcW w:w="3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：其他不重大的应收账款</w:t>
                        </w:r>
                      </w:p>
                    </w:tc>
                    <w:tc>
                      <w:tcPr>
                        <w:tcW w:w="5390"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账龄在</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年以下且金额不属于前五名的款项，并扣除单项</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金额不重大但单项计提坏账准备的应收账款</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、按组合计提坏账准备应收款项：</w:t>
      </w:r>
      <w:r>
        <w:rPr>
          <w:rFonts w:ascii="宋体" w:hAnsi="宋体" w:cs="宋体" w:eastAsia="宋体" w:hint="default"/>
          <w:b/>
          <w:bCs/>
          <w:w w:val="99"/>
          <w:sz w:val="21"/>
          <w:szCs w:val="21"/>
        </w:rPr>
        <w:t> </w:t>
      </w:r>
      <w:r>
        <w:rPr>
          <w:rFonts w:ascii="宋体" w:hAnsi="宋体" w:cs="宋体" w:eastAsia="宋体" w:hint="default"/>
          <w:sz w:val="21"/>
          <w:szCs w:val="21"/>
        </w:rPr>
        <w:t>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35"/>
        <w:ind w:left="788" w:right="5444"/>
        <w:jc w:val="left"/>
      </w:pPr>
      <w:r>
        <w:rPr/>
        <w:t>按组合计提坏账准备的计提方法</w:t>
      </w:r>
    </w:p>
    <w:p>
      <w:pPr>
        <w:spacing w:line="240" w:lineRule="auto" w:before="3"/>
        <w:rPr>
          <w:rFonts w:ascii="宋体" w:hAnsi="宋体" w:cs="宋体" w:eastAsia="宋体" w:hint="default"/>
          <w:sz w:val="3"/>
          <w:szCs w:val="3"/>
        </w:rPr>
      </w:pPr>
    </w:p>
    <w:tbl>
      <w:tblPr>
        <w:tblW w:w="0" w:type="auto"/>
        <w:jc w:val="left"/>
        <w:tblInd w:w="650" w:type="dxa"/>
        <w:tblLayout w:type="fixed"/>
        <w:tblCellMar>
          <w:top w:w="0" w:type="dxa"/>
          <w:left w:w="0" w:type="dxa"/>
          <w:bottom w:w="0" w:type="dxa"/>
          <w:right w:w="0" w:type="dxa"/>
        </w:tblCellMar>
        <w:tblLook w:val="01E0"/>
      </w:tblPr>
      <w:tblGrid>
        <w:gridCol w:w="3073"/>
        <w:gridCol w:w="5398"/>
      </w:tblGrid>
      <w:tr>
        <w:trPr>
          <w:trHeight w:val="828" w:hRule="exact"/>
        </w:trPr>
        <w:tc>
          <w:tcPr>
            <w:tcW w:w="3073"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：单项金额不重大但信用</w:t>
            </w:r>
          </w:p>
          <w:p>
            <w:pPr>
              <w:pStyle w:val="TableParagraph"/>
              <w:spacing w:line="272" w:lineRule="exact" w:before="18"/>
              <w:ind w:left="122" w:right="91"/>
              <w:jc w:val="left"/>
              <w:rPr>
                <w:rFonts w:ascii="宋体" w:hAnsi="宋体" w:cs="宋体" w:eastAsia="宋体" w:hint="default"/>
                <w:sz w:val="21"/>
                <w:szCs w:val="21"/>
              </w:rPr>
            </w:pPr>
            <w:r>
              <w:rPr>
                <w:rFonts w:ascii="宋体" w:hAnsi="宋体" w:cs="宋体" w:eastAsia="宋体" w:hint="default"/>
                <w:spacing w:val="8"/>
                <w:sz w:val="21"/>
                <w:szCs w:val="21"/>
              </w:rPr>
              <w:t>风险特征组合后该组合的风险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较大的应收账款</w:t>
            </w:r>
          </w:p>
        </w:tc>
        <w:tc>
          <w:tcPr>
            <w:tcW w:w="5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9" w:hRule="exact"/>
        </w:trPr>
        <w:tc>
          <w:tcPr>
            <w:tcW w:w="307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：其他不重大的应收账款</w:t>
            </w:r>
          </w:p>
        </w:tc>
        <w:tc>
          <w:tcPr>
            <w:tcW w:w="53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8"/>
        <w:rPr>
          <w:rFonts w:ascii="宋体" w:hAnsi="宋体" w:cs="宋体" w:eastAsia="宋体" w:hint="default"/>
          <w:sz w:val="6"/>
          <w:szCs w:val="6"/>
        </w:rPr>
      </w:pPr>
    </w:p>
    <w:p>
      <w:pPr>
        <w:pStyle w:val="BodyText"/>
        <w:spacing w:line="357" w:lineRule="auto" w:before="35"/>
        <w:ind w:left="680" w:right="3544"/>
        <w:jc w:val="left"/>
      </w:pPr>
      <w:r>
        <w:rPr/>
        <w:t>注：组合中的子公司往来及应收补贴款不计提坏账准备 组合中，采用账龄分析法计提坏账准备的：</w:t>
      </w:r>
    </w:p>
    <w:p>
      <w:pPr>
        <w:spacing w:line="240" w:lineRule="auto" w:before="12"/>
        <w:rPr>
          <w:rFonts w:ascii="宋体" w:hAnsi="宋体" w:cs="宋体" w:eastAsia="宋体" w:hint="default"/>
          <w:sz w:val="4"/>
          <w:szCs w:val="4"/>
        </w:rPr>
      </w:pPr>
    </w:p>
    <w:tbl>
      <w:tblPr>
        <w:tblW w:w="0" w:type="auto"/>
        <w:jc w:val="left"/>
        <w:tblInd w:w="678" w:type="dxa"/>
        <w:tblLayout w:type="fixed"/>
        <w:tblCellMar>
          <w:top w:w="0" w:type="dxa"/>
          <w:left w:w="0" w:type="dxa"/>
          <w:bottom w:w="0" w:type="dxa"/>
          <w:right w:w="0" w:type="dxa"/>
        </w:tblCellMar>
        <w:tblLook w:val="01E0"/>
      </w:tblPr>
      <w:tblGrid>
        <w:gridCol w:w="3182"/>
        <w:gridCol w:w="2340"/>
        <w:gridCol w:w="2520"/>
      </w:tblGrid>
      <w:tr>
        <w:trPr>
          <w:trHeight w:val="380" w:hRule="exact"/>
        </w:trPr>
        <w:tc>
          <w:tcPr>
            <w:tcW w:w="3182"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261"/>
              <w:jc w:val="right"/>
              <w:rPr>
                <w:rFonts w:ascii="宋体" w:hAnsi="宋体" w:cs="宋体" w:eastAsia="宋体" w:hint="default"/>
                <w:sz w:val="21"/>
                <w:szCs w:val="21"/>
              </w:rPr>
            </w:pPr>
            <w:r>
              <w:rPr>
                <w:rFonts w:ascii="宋体" w:hAnsi="宋体" w:cs="宋体" w:eastAsia="宋体" w:hint="default"/>
                <w:sz w:val="21"/>
                <w:szCs w:val="21"/>
              </w:rPr>
              <w:t>账</w:t>
              <w:tab/>
              <w:t>龄</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81" w:hRule="exact"/>
        </w:trPr>
        <w:tc>
          <w:tcPr>
            <w:tcW w:w="31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right="1214"/>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0.5</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0.5</w:t>
            </w:r>
          </w:p>
        </w:tc>
      </w:tr>
    </w:tbl>
    <w:p>
      <w:pPr>
        <w:spacing w:after="0" w:line="240" w:lineRule="auto"/>
        <w:jc w:val="center"/>
        <w:rPr>
          <w:rFonts w:ascii="Times New Roman" w:hAnsi="Times New Roman" w:cs="Times New Roman" w:eastAsia="Times New Roman" w:hint="default"/>
          <w:sz w:val="21"/>
          <w:szCs w:val="21"/>
        </w:rPr>
        <w:sectPr>
          <w:pgSz w:w="11910" w:h="16840"/>
          <w:pgMar w:header="400" w:footer="982" w:top="1100" w:bottom="1180" w:left="1660" w:right="960"/>
        </w:sectPr>
      </w:pPr>
    </w:p>
    <w:p>
      <w:pPr>
        <w:spacing w:line="240" w:lineRule="auto" w:before="6"/>
        <w:rPr>
          <w:rFonts w:ascii="宋体" w:hAnsi="宋体" w:cs="宋体" w:eastAsia="宋体" w:hint="default"/>
          <w:sz w:val="24"/>
          <w:szCs w:val="24"/>
        </w:rPr>
      </w:pPr>
    </w:p>
    <w:tbl>
      <w:tblPr>
        <w:tblW w:w="0" w:type="auto"/>
        <w:jc w:val="left"/>
        <w:tblInd w:w="678" w:type="dxa"/>
        <w:tblLayout w:type="fixed"/>
        <w:tblCellMar>
          <w:top w:w="0" w:type="dxa"/>
          <w:left w:w="0" w:type="dxa"/>
          <w:bottom w:w="0" w:type="dxa"/>
          <w:right w:w="0" w:type="dxa"/>
        </w:tblCellMar>
        <w:tblLook w:val="01E0"/>
      </w:tblPr>
      <w:tblGrid>
        <w:gridCol w:w="3182"/>
        <w:gridCol w:w="2340"/>
        <w:gridCol w:w="2520"/>
      </w:tblGrid>
      <w:tr>
        <w:trPr>
          <w:trHeight w:val="380" w:hRule="exact"/>
        </w:trPr>
        <w:tc>
          <w:tcPr>
            <w:tcW w:w="318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5</w:t>
            </w:r>
          </w:p>
        </w:tc>
      </w:tr>
      <w:tr>
        <w:trPr>
          <w:trHeight w:val="37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10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30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30</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50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50</w:t>
            </w:r>
          </w:p>
        </w:tc>
      </w:tr>
      <w:tr>
        <w:trPr>
          <w:trHeight w:val="381" w:hRule="exact"/>
        </w:trPr>
        <w:tc>
          <w:tcPr>
            <w:tcW w:w="31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100</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8"/>
        <w:rPr>
          <w:rFonts w:ascii="宋体" w:hAnsi="宋体" w:cs="宋体" w:eastAsia="宋体" w:hint="default"/>
          <w:sz w:val="6"/>
          <w:szCs w:val="6"/>
        </w:rPr>
      </w:pPr>
    </w:p>
    <w:p>
      <w:pPr>
        <w:spacing w:line="336" w:lineRule="auto" w:before="35"/>
        <w:ind w:left="680"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如有客观证据表明年末单项金额不重大的应收款项发生了减值的，根据其未来现金流量现</w:t>
      </w:r>
      <w:r>
        <w:rPr>
          <w:rFonts w:ascii="宋体" w:hAnsi="宋体" w:cs="宋体" w:eastAsia="宋体" w:hint="default"/>
          <w:sz w:val="21"/>
          <w:szCs w:val="21"/>
        </w:rPr>
      </w:r>
    </w:p>
    <w:p>
      <w:pPr>
        <w:pStyle w:val="BodyText"/>
        <w:spacing w:line="355" w:lineRule="auto" w:before="50"/>
        <w:ind w:right="204"/>
        <w:jc w:val="left"/>
      </w:pPr>
      <w:r>
        <w:rPr/>
        <w:t>值低于其账面价值的差额，确认减值损失，计提坏账准备。单独测试未发生减值的应收账款和其</w:t>
      </w:r>
      <w:r>
        <w:rPr>
          <w:spacing w:val="-97"/>
        </w:rPr>
        <w:t> </w:t>
      </w:r>
      <w:r>
        <w:rPr>
          <w:spacing w:val="-97"/>
        </w:rPr>
      </w:r>
      <w:r>
        <w:rPr/>
        <w:t>他应收款，以账龄为信用风险特征根据账龄分析法计提坏账准备。</w:t>
      </w:r>
    </w:p>
    <w:p>
      <w:pPr>
        <w:pStyle w:val="BodyText"/>
        <w:spacing w:line="338" w:lineRule="auto" w:before="32"/>
        <w:ind w:left="680" w:right="96" w:firstLine="2"/>
        <w:jc w:val="left"/>
      </w:pPr>
      <w:r>
        <w:rPr>
          <w:rFonts w:ascii="Times New Roman" w:hAnsi="Times New Roman" w:cs="Times New Roman" w:eastAsia="Times New Roman" w:hint="default"/>
          <w:b/>
          <w:bCs/>
        </w:rPr>
        <w:t>4</w:t>
      </w:r>
      <w:r>
        <w:rPr>
          <w:rFonts w:ascii="宋体" w:hAnsi="宋体" w:cs="宋体" w:eastAsia="宋体" w:hint="default"/>
          <w:b/>
          <w:bCs/>
        </w:rPr>
        <w:t>、其他说明</w:t>
      </w:r>
      <w:r>
        <w:rPr>
          <w:rFonts w:ascii="宋体" w:hAnsi="宋体" w:cs="宋体" w:eastAsia="宋体" w:hint="default"/>
          <w:b/>
          <w:bCs/>
          <w:spacing w:val="1"/>
          <w:w w:val="99"/>
        </w:rPr>
        <w:t> </w:t>
      </w:r>
      <w:r>
        <w:rPr>
          <w:spacing w:val="2"/>
        </w:rPr>
        <w:t>年末对于不适用按帐龄段划分的类似信用风险特征组合的应收票据、预付账款和长期应收</w:t>
      </w:r>
      <w:r>
        <w:rPr/>
      </w:r>
    </w:p>
    <w:p>
      <w:pPr>
        <w:pStyle w:val="BodyText"/>
        <w:spacing w:line="357" w:lineRule="auto" w:before="47"/>
        <w:ind w:right="96"/>
        <w:jc w:val="left"/>
      </w:pPr>
      <w:r>
        <w:rPr/>
        <w:t>款均进行单项减值测试。如有客观证据表明其发生了减值的，根据其未来现金流量现值低于其账</w:t>
      </w:r>
      <w:r>
        <w:rPr>
          <w:spacing w:val="-97"/>
        </w:rPr>
        <w:t> </w:t>
      </w:r>
      <w:r>
        <w:rPr>
          <w:spacing w:val="-97"/>
        </w:rPr>
      </w:r>
      <w:r>
        <w:rPr>
          <w:spacing w:val="-3"/>
        </w:rPr>
        <w:t>面价值的差额，确认减值损失，计提坏账准备。如经减值测试未发现减值的，则不计提坏账准备。</w:t>
      </w:r>
    </w:p>
    <w:p>
      <w:pPr>
        <w:pStyle w:val="Heading4"/>
        <w:spacing w:line="240" w:lineRule="auto" w:before="30"/>
        <w:ind w:right="96"/>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line="345" w:lineRule="auto" w:before="118"/>
        <w:ind w:left="680" w:right="218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存货分类为：原材料、库存商品、在产品、产成品、低值易耗品等。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348" w:lineRule="auto" w:before="16"/>
        <w:ind w:left="680" w:right="294" w:firstLine="0"/>
        <w:jc w:val="left"/>
        <w:rPr>
          <w:rFonts w:ascii="宋体" w:hAnsi="宋体" w:cs="宋体" w:eastAsia="宋体" w:hint="default"/>
          <w:sz w:val="21"/>
          <w:szCs w:val="21"/>
        </w:rPr>
      </w:pPr>
      <w:r>
        <w:rPr>
          <w:rFonts w:ascii="宋体" w:hAnsi="宋体" w:cs="宋体" w:eastAsia="宋体" w:hint="default"/>
          <w:sz w:val="21"/>
          <w:szCs w:val="21"/>
        </w:rPr>
        <w:t>存货发出时按加权平均法计价。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w:t>
      </w:r>
    </w:p>
    <w:p>
      <w:pPr>
        <w:pStyle w:val="BodyText"/>
        <w:spacing w:line="357" w:lineRule="auto" w:before="38"/>
        <w:ind w:right="84" w:firstLine="540"/>
        <w:jc w:val="left"/>
      </w:pPr>
      <w:r>
        <w:rPr/>
        <w:t>产成品、库存商品和用于出售的材料等直接用于出售的商品存货，在正常生产经营过程中， 以该存货的估计售价减去估计的销售费用和相关税费后的金额，确定其可变现净值；需要经过加</w:t>
      </w:r>
      <w:r>
        <w:rPr>
          <w:spacing w:val="-97"/>
        </w:rPr>
        <w:t> </w:t>
      </w:r>
      <w:r>
        <w:rPr>
          <w:spacing w:val="-97"/>
        </w:rPr>
      </w:r>
      <w:r>
        <w:rPr/>
        <w:t>工的材料存货，在正常生产经营过程中，以所生产的产成品的估计售价减去至完工时估计将要发</w:t>
      </w:r>
      <w:r>
        <w:rPr>
          <w:spacing w:val="-97"/>
        </w:rPr>
        <w:t> </w:t>
      </w:r>
      <w:r>
        <w:rPr>
          <w:spacing w:val="-97"/>
        </w:rPr>
      </w:r>
      <w:r>
        <w:rPr/>
        <w:t>生的成本、估计的销售费用和相关税费后的金额，确定其可变现净值；为执行销售合同或者劳务</w:t>
      </w:r>
      <w:r>
        <w:rPr>
          <w:spacing w:val="-97"/>
        </w:rPr>
        <w:t> </w:t>
      </w:r>
      <w:r>
        <w:rPr>
          <w:spacing w:val="-97"/>
        </w:rPr>
      </w:r>
      <w:r>
        <w:rPr/>
        <w:t>合同而持有的存货，其可变现净值以合同价格为基础计算，若持有存货的数量多于销售合同订购</w:t>
      </w:r>
      <w:r>
        <w:rPr>
          <w:spacing w:val="-97"/>
        </w:rPr>
        <w:t> </w:t>
      </w:r>
      <w:r>
        <w:rPr>
          <w:spacing w:val="-97"/>
        </w:rPr>
      </w:r>
      <w:r>
        <w:rPr/>
        <w:t>数量的，超出部分的存货的可变现净值以一般销售价格为基础计算。</w:t>
      </w:r>
    </w:p>
    <w:p>
      <w:pPr>
        <w:pStyle w:val="BodyText"/>
        <w:spacing w:line="357" w:lineRule="auto" w:before="31"/>
        <w:ind w:right="210" w:firstLine="540"/>
        <w:jc w:val="both"/>
      </w:pPr>
      <w:r>
        <w:rPr>
          <w:spacing w:val="2"/>
        </w:rPr>
        <w:t>期末按照单个存货项目计提存货跌价准备；但对于数量繁多、单价较低的存货，按照存货 </w:t>
      </w:r>
      <w:r>
        <w:rPr/>
        <w:t>类别计提存货跌价准备；与在同一地区生产和销售的产品系列相关、具有相同或类似最终用途或</w:t>
      </w:r>
      <w:r>
        <w:rPr>
          <w:spacing w:val="-97"/>
        </w:rPr>
        <w:t> </w:t>
      </w:r>
      <w:r>
        <w:rPr>
          <w:spacing w:val="-97"/>
        </w:rPr>
      </w:r>
      <w:r>
        <w:rPr/>
        <w:t>目的，且难以与其他项目分开计量的存货，则合并计提存货跌价准备。</w:t>
      </w:r>
    </w:p>
    <w:p>
      <w:pPr>
        <w:spacing w:after="0" w:line="357" w:lineRule="auto"/>
        <w:jc w:val="both"/>
        <w:sectPr>
          <w:pgSz w:w="11910" w:h="16840"/>
          <w:pgMar w:header="400" w:footer="982" w:top="1100" w:bottom="1180" w:left="1660" w:right="1060"/>
        </w:sectPr>
      </w:pPr>
    </w:p>
    <w:p>
      <w:pPr>
        <w:spacing w:line="240" w:lineRule="auto" w:before="2"/>
        <w:rPr>
          <w:rFonts w:ascii="宋体" w:hAnsi="宋体" w:cs="宋体" w:eastAsia="宋体" w:hint="default"/>
          <w:sz w:val="19"/>
          <w:szCs w:val="19"/>
        </w:rPr>
      </w:pPr>
    </w:p>
    <w:p>
      <w:pPr>
        <w:pStyle w:val="BodyText"/>
        <w:spacing w:line="355" w:lineRule="auto" w:before="35"/>
        <w:ind w:right="150" w:firstLine="540"/>
        <w:jc w:val="both"/>
      </w:pPr>
      <w:r>
        <w:rPr>
          <w:spacing w:val="2"/>
        </w:rPr>
        <w:t>以前减记存货价值的影响因素已经消失的，减记的金额予以恢复，并在原已计提的存货跌 </w:t>
      </w:r>
      <w:r>
        <w:rPr/>
        <w:t>价准备金额内转回，转回的金额计入当期损益。</w:t>
      </w:r>
    </w:p>
    <w:p>
      <w:pPr>
        <w:spacing w:line="348" w:lineRule="auto" w:before="33"/>
        <w:ind w:left="680" w:right="515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12"/>
        <w:ind w:left="680" w:right="1980"/>
        <w:jc w:val="left"/>
      </w:pPr>
      <w:r>
        <w:rPr/>
        <w:t>（</w:t>
      </w:r>
      <w:r>
        <w:rPr>
          <w:rFonts w:ascii="Times New Roman" w:hAnsi="Times New Roman" w:cs="Times New Roman" w:eastAsia="Times New Roman" w:hint="default"/>
        </w:rPr>
        <w:t>1</w:t>
      </w:r>
      <w:r>
        <w:rPr/>
        <w:t>）低值易耗品采用一次转销法；</w:t>
      </w:r>
    </w:p>
    <w:p>
      <w:pPr>
        <w:spacing w:line="336" w:lineRule="auto" w:before="118"/>
        <w:ind w:left="677" w:right="5595" w:hanging="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、投资成本确定</w:t>
      </w:r>
      <w:r>
        <w:rPr>
          <w:rFonts w:ascii="宋体" w:hAnsi="宋体" w:cs="宋体" w:eastAsia="宋体" w:hint="default"/>
          <w:sz w:val="21"/>
          <w:szCs w:val="21"/>
        </w:rPr>
      </w:r>
    </w:p>
    <w:p>
      <w:pPr>
        <w:pStyle w:val="BodyText"/>
        <w:spacing w:line="336" w:lineRule="auto" w:before="25"/>
        <w:ind w:left="675" w:right="149" w:hanging="1"/>
        <w:jc w:val="left"/>
      </w:pPr>
      <w:r>
        <w:rPr/>
        <w:t>（</w:t>
      </w:r>
      <w:r>
        <w:rPr>
          <w:rFonts w:ascii="Times New Roman" w:hAnsi="Times New Roman" w:cs="Times New Roman" w:eastAsia="Times New Roman" w:hint="default"/>
        </w:rPr>
        <w:t>1</w:t>
      </w:r>
      <w:r>
        <w:rPr/>
        <w:t>）企业合并形成的长期股权投资 </w:t>
      </w:r>
      <w:r>
        <w:rPr>
          <w:spacing w:val="-3"/>
        </w:rPr>
        <w:t>同一控制下的企业合并：公司以支付现金、转让非现金资产或承担债务方式以及以发行权益</w:t>
      </w:r>
    </w:p>
    <w:p>
      <w:pPr>
        <w:pStyle w:val="BodyText"/>
        <w:spacing w:line="357" w:lineRule="auto" w:before="50"/>
        <w:ind w:right="151"/>
        <w:jc w:val="both"/>
      </w:pPr>
      <w:r>
        <w:rPr/>
        <w:t>性证券作为合并对价的，在合并日按照取得被合并方所有者权益账面价值的份额作为长期股权投</w:t>
      </w:r>
      <w:r>
        <w:rPr>
          <w:spacing w:val="-97"/>
        </w:rPr>
        <w:t> </w:t>
      </w:r>
      <w:r>
        <w:rPr>
          <w:spacing w:val="-97"/>
        </w:rPr>
      </w:r>
      <w:r>
        <w:rPr/>
        <w:t>资的初始投资成本。长期股权投资初始投资成本与支付合并对价之间的差额，调整资本公积；资</w:t>
      </w:r>
      <w:r>
        <w:rPr>
          <w:spacing w:val="-97"/>
        </w:rPr>
        <w:t> </w:t>
      </w:r>
      <w:r>
        <w:rPr>
          <w:spacing w:val="-97"/>
        </w:rPr>
      </w:r>
      <w:r>
        <w:rPr/>
        <w:t>本公积不足冲减的，调整留存收益。合并发生的各项直接相关费用，包括为进行合并而支付的审</w:t>
      </w:r>
      <w:r>
        <w:rPr>
          <w:spacing w:val="-97"/>
        </w:rPr>
        <w:t> </w:t>
      </w:r>
      <w:r>
        <w:rPr>
          <w:spacing w:val="-97"/>
        </w:rPr>
      </w:r>
      <w:r>
        <w:rPr/>
        <w:t>计费用、评估费用、法律服务费用等，于发生时计入当期损益。</w:t>
      </w:r>
    </w:p>
    <w:p>
      <w:pPr>
        <w:pStyle w:val="BodyText"/>
        <w:spacing w:line="357" w:lineRule="auto" w:before="30"/>
        <w:ind w:right="150" w:firstLine="535"/>
        <w:jc w:val="both"/>
      </w:pPr>
      <w:r>
        <w:rPr>
          <w:spacing w:val="-3"/>
        </w:rPr>
        <w:t>非同一控制下的企业合并：合并成本为购买日购买方为取得对被购买方的控制权而付出的资</w:t>
      </w:r>
      <w:r>
        <w:rPr/>
        <w:t> 产、发生或承担的负债以及发行的权益性证券的公允价值。通过多次交换交易分步实现的企业合</w:t>
      </w:r>
      <w:r>
        <w:rPr>
          <w:spacing w:val="-97"/>
        </w:rPr>
        <w:t> </w:t>
      </w:r>
      <w:r>
        <w:rPr>
          <w:spacing w:val="-97"/>
        </w:rPr>
      </w:r>
      <w:r>
        <w:rPr/>
        <w:t>并，合并成本为每一单项交易成本之和。在合并合同中对可能影响合并成本的未来事项作出约定</w:t>
      </w:r>
      <w:r>
        <w:rPr>
          <w:spacing w:val="-97"/>
        </w:rPr>
        <w:t> </w:t>
      </w:r>
      <w:r>
        <w:rPr>
          <w:spacing w:val="-97"/>
        </w:rPr>
      </w:r>
      <w:r>
        <w:rPr/>
        <w:t>的，购买日如果估计未来事项很可能发生并且对合并成本的影响金额能够可靠计量的，也计入合</w:t>
      </w:r>
      <w:r>
        <w:rPr>
          <w:spacing w:val="-97"/>
        </w:rPr>
        <w:t> </w:t>
      </w:r>
      <w:r>
        <w:rPr>
          <w:spacing w:val="-97"/>
        </w:rPr>
      </w:r>
      <w:r>
        <w:rPr/>
        <w:t>并成本。</w:t>
      </w:r>
    </w:p>
    <w:p>
      <w:pPr>
        <w:pStyle w:val="BodyText"/>
        <w:spacing w:line="345" w:lineRule="auto" w:before="31"/>
        <w:ind w:left="675" w:right="0" w:hanging="1"/>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w:t>
      </w:r>
      <w:r>
        <w:rPr>
          <w:spacing w:val="2"/>
        </w:rPr>
        <w:t>以发行权益性证券取得的长期股权投资，按照发行权益性证券的公允价值作为初始投资成</w:t>
      </w:r>
    </w:p>
    <w:p>
      <w:pPr>
        <w:pStyle w:val="BodyText"/>
        <w:spacing w:line="240" w:lineRule="auto" w:before="42"/>
        <w:ind w:right="1980"/>
        <w:jc w:val="left"/>
      </w:pPr>
      <w:r>
        <w:rPr/>
        <w:t>本。</w:t>
      </w:r>
    </w:p>
    <w:p>
      <w:pPr>
        <w:pStyle w:val="BodyText"/>
        <w:spacing w:line="240" w:lineRule="auto" w:before="133"/>
        <w:ind w:left="675" w:right="0"/>
        <w:jc w:val="left"/>
      </w:pPr>
      <w:r>
        <w:rPr>
          <w:spacing w:val="-3"/>
        </w:rPr>
        <w:t>投资者投入的长期股权投资，按照投资合同或协议约定的价值（扣除已宣告但尚未发放的现</w:t>
      </w:r>
    </w:p>
    <w:p>
      <w:pPr>
        <w:pStyle w:val="BodyText"/>
        <w:spacing w:line="355" w:lineRule="auto" w:before="134"/>
        <w:ind w:left="675" w:right="0" w:hanging="536"/>
        <w:jc w:val="left"/>
      </w:pPr>
      <w:r>
        <w:rPr/>
        <w:t>金股利或利润）作为初始投资成本，但合同或协议约定价值不公允的除外。 </w:t>
      </w:r>
      <w:r>
        <w:rPr>
          <w:spacing w:val="2"/>
        </w:rPr>
        <w:t>在非货币性资产交换具备商业实质和换入资产或换出资产的公允价值能够可靠计量的前提</w:t>
      </w:r>
    </w:p>
    <w:p>
      <w:pPr>
        <w:pStyle w:val="BodyText"/>
        <w:spacing w:line="355" w:lineRule="auto" w:before="33"/>
        <w:ind w:right="151"/>
        <w:jc w:val="both"/>
      </w:pPr>
      <w:r>
        <w:rPr/>
        <w:t>下，非货币性资产交换换入的长期股权投资以换出资产的公允价值为基础确定其初始投资成本，</w:t>
      </w:r>
      <w:r>
        <w:rPr>
          <w:spacing w:val="-97"/>
        </w:rPr>
        <w:t> </w:t>
      </w:r>
      <w:r>
        <w:rPr>
          <w:spacing w:val="-97"/>
        </w:rPr>
      </w:r>
      <w:r>
        <w:rPr/>
        <w:t>除非有确凿证据表明换入资产的公允价值更加可靠；不满足上述前提的非货币性资产交换，以换</w:t>
      </w:r>
      <w:r>
        <w:rPr>
          <w:spacing w:val="-97"/>
        </w:rPr>
        <w:t> </w:t>
      </w:r>
      <w:r>
        <w:rPr>
          <w:spacing w:val="-97"/>
        </w:rPr>
      </w:r>
      <w:r>
        <w:rPr/>
        <w:t>出资产的账面价值和应支付的相关税费作为换入长期股权投资的初始投资成本。</w:t>
      </w:r>
    </w:p>
    <w:p>
      <w:pPr>
        <w:pStyle w:val="BodyText"/>
        <w:spacing w:line="240" w:lineRule="auto" w:before="33"/>
        <w:ind w:left="675" w:right="0"/>
        <w:jc w:val="left"/>
      </w:pPr>
      <w:r>
        <w:rPr/>
        <w:t>通过债务重组取得的长期股权投资，其初始投资成本按照公允价值为基础确定。</w:t>
      </w:r>
    </w:p>
    <w:p>
      <w:pPr>
        <w:spacing w:after="0" w:line="240" w:lineRule="auto"/>
        <w:jc w:val="left"/>
        <w:sectPr>
          <w:pgSz w:w="11910" w:h="16840"/>
          <w:pgMar w:header="400" w:footer="982" w:top="1100" w:bottom="1180" w:left="1660" w:right="1120"/>
        </w:sectPr>
      </w:pPr>
    </w:p>
    <w:p>
      <w:pPr>
        <w:spacing w:line="240" w:lineRule="auto" w:before="2"/>
        <w:rPr>
          <w:rFonts w:ascii="宋体" w:hAnsi="宋体" w:cs="宋体" w:eastAsia="宋体" w:hint="default"/>
          <w:sz w:val="19"/>
          <w:szCs w:val="19"/>
        </w:rPr>
      </w:pPr>
    </w:p>
    <w:p>
      <w:pPr>
        <w:pStyle w:val="Heading4"/>
        <w:spacing w:line="240" w:lineRule="auto"/>
        <w:ind w:left="671" w:right="96"/>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48" w:lineRule="auto" w:before="117"/>
        <w:ind w:left="666" w:right="93"/>
        <w:jc w:val="left"/>
      </w:pPr>
      <w:r>
        <w:rPr/>
        <w:t>（</w:t>
      </w:r>
      <w:r>
        <w:rPr>
          <w:rFonts w:ascii="Times New Roman" w:hAnsi="Times New Roman" w:cs="Times New Roman" w:eastAsia="Times New Roman" w:hint="default"/>
        </w:rPr>
        <w:t>1</w:t>
      </w:r>
      <w:r>
        <w:rPr/>
        <w:t>）后续计量 </w:t>
      </w:r>
      <w:r>
        <w:rPr>
          <w:spacing w:val="-5"/>
        </w:rPr>
        <w:t>公司对子公司的长期股权投资，采用成本法核算，编制合并财务报表时按照权益法进行调整。</w:t>
      </w:r>
      <w:r>
        <w:rPr>
          <w:spacing w:val="-100"/>
        </w:rPr>
        <w:t> </w:t>
      </w:r>
      <w:r>
        <w:rPr>
          <w:spacing w:val="-100"/>
        </w:rPr>
      </w:r>
      <w:r>
        <w:rPr>
          <w:spacing w:val="-3"/>
        </w:rPr>
        <w:t>对被投资单位不具有共同控制或重大影响，并且在活跃市场中没有报价、公允价值不能可靠</w:t>
      </w:r>
    </w:p>
    <w:p>
      <w:pPr>
        <w:pStyle w:val="BodyText"/>
        <w:spacing w:line="355" w:lineRule="auto" w:before="40"/>
        <w:ind w:left="666" w:right="96" w:hanging="530"/>
        <w:jc w:val="left"/>
      </w:pPr>
      <w:r>
        <w:rPr/>
        <w:t>计量的长期股权投资，采用成本法核算。 </w:t>
      </w:r>
      <w:r>
        <w:rPr>
          <w:spacing w:val="-3"/>
        </w:rPr>
        <w:t>对被投资单位具有共同控制或重大影响的长期股权投资，采用权益法核算。初始投资成本大</w:t>
      </w:r>
    </w:p>
    <w:p>
      <w:pPr>
        <w:pStyle w:val="BodyText"/>
        <w:spacing w:line="355" w:lineRule="auto" w:before="33"/>
        <w:ind w:left="137" w:right="211"/>
        <w:jc w:val="both"/>
      </w:pPr>
      <w:r>
        <w:rPr/>
        <w:t>于投资时应享有被投资单位可辨认净资产公允价值份额的差额，不调整长期股权投资的初始投资</w:t>
      </w:r>
      <w:r>
        <w:rPr>
          <w:spacing w:val="-95"/>
        </w:rPr>
        <w:t> </w:t>
      </w:r>
      <w:r>
        <w:rPr>
          <w:spacing w:val="-95"/>
        </w:rPr>
      </w:r>
      <w:r>
        <w:rPr/>
        <w:t>成本；初始投资成本小于投资时应享有被投资单位可辨认净资产公允价值份额的差额，计入当期</w:t>
      </w:r>
      <w:r>
        <w:rPr>
          <w:spacing w:val="-95"/>
        </w:rPr>
        <w:t> </w:t>
      </w:r>
      <w:r>
        <w:rPr>
          <w:spacing w:val="-95"/>
        </w:rPr>
      </w:r>
      <w:r>
        <w:rPr/>
        <w:t>损益。</w:t>
      </w:r>
    </w:p>
    <w:p>
      <w:pPr>
        <w:pStyle w:val="BodyText"/>
        <w:spacing w:line="357" w:lineRule="auto" w:before="33"/>
        <w:ind w:left="137" w:right="210" w:firstLine="529"/>
        <w:jc w:val="both"/>
      </w:pPr>
      <w:r>
        <w:rPr>
          <w:spacing w:val="-3"/>
        </w:rPr>
        <w:t>被投资单位除净损益以外所有者权益其他变动的处理：对于被投资单位除净损益以外所有者</w:t>
      </w:r>
      <w:r>
        <w:rPr/>
        <w:t> 权益的其他变动，在持股比例不变的情况下，公司按照持股比例计算应享有或承担的部分，调整</w:t>
      </w:r>
      <w:r>
        <w:rPr>
          <w:spacing w:val="-95"/>
        </w:rPr>
        <w:t> </w:t>
      </w:r>
      <w:r>
        <w:rPr>
          <w:spacing w:val="-95"/>
        </w:rPr>
      </w:r>
      <w:r>
        <w:rPr>
          <w:spacing w:val="-4"/>
        </w:rPr>
        <w:t>长期股权投资的账面价值，同时增加或减少资本公积（其他资本公积）。</w:t>
      </w:r>
    </w:p>
    <w:p>
      <w:pPr>
        <w:pStyle w:val="BodyText"/>
        <w:spacing w:line="338" w:lineRule="auto" w:before="30"/>
        <w:ind w:left="669" w:right="96" w:hanging="1"/>
        <w:jc w:val="left"/>
      </w:pPr>
      <w:r>
        <w:rPr/>
        <w:t>（</w:t>
      </w:r>
      <w:r>
        <w:rPr>
          <w:rFonts w:ascii="Times New Roman" w:hAnsi="Times New Roman" w:cs="Times New Roman" w:eastAsia="Times New Roman" w:hint="default"/>
        </w:rPr>
        <w:t>2</w:t>
      </w:r>
      <w:r>
        <w:rPr/>
        <w:t>）损益确认 </w:t>
      </w:r>
      <w:r>
        <w:rPr>
          <w:spacing w:val="-3"/>
        </w:rPr>
        <w:t>成本法下，除取得投资时实际支付的价款或对价中包含的已宣告但尚未发放的现金股利或利</w:t>
      </w:r>
    </w:p>
    <w:p>
      <w:pPr>
        <w:pStyle w:val="BodyText"/>
        <w:spacing w:line="355" w:lineRule="auto" w:before="47"/>
        <w:ind w:left="669" w:right="96" w:hanging="530"/>
        <w:jc w:val="left"/>
      </w:pPr>
      <w:r>
        <w:rPr/>
        <w:t>润外，公司按照享有被投资单位宣告发放的现金股利或利润确认投资收益。 </w:t>
      </w:r>
      <w:r>
        <w:rPr>
          <w:spacing w:val="-3"/>
        </w:rPr>
        <w:t>权益法下，在被投资单位账面净利润的基础上考虑：被投资单位与本公司采用的会计政策及</w:t>
      </w:r>
    </w:p>
    <w:p>
      <w:pPr>
        <w:pStyle w:val="BodyText"/>
        <w:spacing w:line="357" w:lineRule="auto" w:before="33"/>
        <w:ind w:right="211"/>
        <w:jc w:val="both"/>
      </w:pPr>
      <w:r>
        <w:rPr/>
        <w:t>会计期间不一致，按本公司的会计政策及会计期间对被投资单位财务报表进行调整；以取得投资</w:t>
      </w:r>
      <w:r>
        <w:rPr>
          <w:spacing w:val="-97"/>
        </w:rPr>
        <w:t> </w:t>
      </w:r>
      <w:r>
        <w:rPr>
          <w:spacing w:val="-97"/>
        </w:rPr>
      </w:r>
      <w:r>
        <w:rPr/>
        <w:t>时被投资单位固定资产、无形资产的公允价值为基础计提的折旧额或摊销额以及有关资产减值准</w:t>
      </w:r>
      <w:r>
        <w:rPr>
          <w:spacing w:val="-97"/>
        </w:rPr>
        <w:t> </w:t>
      </w:r>
      <w:r>
        <w:rPr>
          <w:spacing w:val="-97"/>
        </w:rPr>
      </w:r>
      <w:r>
        <w:rPr/>
        <w:t>备金额等对被投资单位净利润的影响；对本公司与联营企业及合营企业之间发生的未实现内部交</w:t>
      </w:r>
      <w:r>
        <w:rPr>
          <w:spacing w:val="-97"/>
        </w:rPr>
        <w:t> </w:t>
      </w:r>
      <w:r>
        <w:rPr>
          <w:spacing w:val="-97"/>
        </w:rPr>
      </w:r>
      <w:r>
        <w:rPr/>
        <w:t>易予以抵销等事项的适当调整后，确认应享有或应负担被投资单位的净利润或净亏损。</w:t>
      </w:r>
    </w:p>
    <w:p>
      <w:pPr>
        <w:pStyle w:val="BodyText"/>
        <w:spacing w:line="357" w:lineRule="auto" w:before="31"/>
        <w:ind w:right="210" w:firstLine="529"/>
        <w:jc w:val="both"/>
      </w:pPr>
      <w:r>
        <w:rPr>
          <w:spacing w:val="-3"/>
        </w:rPr>
        <w:t>在公司确认应分担被投资单位发生的亏损时，按照以下顺序进行处理：首先，冲减长期股权</w:t>
      </w:r>
      <w:r>
        <w:rPr/>
        <w:t> 投资的账面价值。其次，长期股权投资的账面价值不足以冲减的，以其他实质上构成对被投资单</w:t>
      </w:r>
      <w:r>
        <w:rPr>
          <w:spacing w:val="-97"/>
        </w:rPr>
        <w:t> </w:t>
      </w:r>
      <w:r>
        <w:rPr>
          <w:spacing w:val="-97"/>
        </w:rPr>
      </w:r>
      <w:r>
        <w:rPr/>
        <w:t>位净投资的长期权益账面价值为限继续确认投资损失，冲减长期应收项目等的账面价值。最后，</w:t>
      </w:r>
      <w:r>
        <w:rPr>
          <w:spacing w:val="-97"/>
        </w:rPr>
        <w:t> </w:t>
      </w:r>
      <w:r>
        <w:rPr>
          <w:spacing w:val="-97"/>
        </w:rPr>
      </w:r>
      <w:r>
        <w:rPr/>
        <w:t>经过上述处理，按照投资合同或协议约定企业仍承担额外义务的，按预计承担的义务确认预计负</w:t>
      </w:r>
      <w:r>
        <w:rPr>
          <w:spacing w:val="-97"/>
        </w:rPr>
        <w:t> </w:t>
      </w:r>
      <w:r>
        <w:rPr>
          <w:spacing w:val="-97"/>
        </w:rPr>
      </w:r>
      <w:r>
        <w:rPr/>
        <w:t>债，计入当期投资损失。被投资单位以后期间实现盈利的，公司在扣除未确认的亏损分担额后，</w:t>
      </w:r>
      <w:r>
        <w:rPr>
          <w:spacing w:val="-97"/>
        </w:rPr>
        <w:t> </w:t>
      </w:r>
      <w:r>
        <w:rPr>
          <w:spacing w:val="-97"/>
        </w:rPr>
      </w:r>
      <w:r>
        <w:rPr/>
        <w:t>按与上述相反的顺序处理，减记已确认预计负债的账面余额、恢复其他实质上构成对被投资单位</w:t>
      </w:r>
      <w:r>
        <w:rPr>
          <w:spacing w:val="-97"/>
        </w:rPr>
        <w:t> </w:t>
      </w:r>
      <w:r>
        <w:rPr>
          <w:spacing w:val="-97"/>
        </w:rPr>
      </w:r>
      <w:r>
        <w:rPr/>
        <w:t>净投资的长期权益及长期股权投资的账面价值，同时确认投资收益。</w:t>
      </w:r>
    </w:p>
    <w:p>
      <w:pPr>
        <w:spacing w:line="336" w:lineRule="auto" w:before="31"/>
        <w:ind w:left="669"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按照合同约定对某项经济活动所共有的控制，仅在与该项经济活动相关的重要财务和经营决</w:t>
      </w:r>
    </w:p>
    <w:p>
      <w:pPr>
        <w:pStyle w:val="BodyText"/>
        <w:spacing w:line="357" w:lineRule="auto" w:before="49"/>
        <w:ind w:right="211"/>
        <w:jc w:val="both"/>
      </w:pPr>
      <w:r>
        <w:rPr/>
        <w:t>策需要分享控制权的投资方一致同意时存在，则视为与其他方对被投资单位实施共同控制；对一</w:t>
      </w:r>
      <w:r>
        <w:rPr>
          <w:spacing w:val="-97"/>
        </w:rPr>
        <w:t> </w:t>
      </w:r>
      <w:r>
        <w:rPr>
          <w:spacing w:val="-97"/>
        </w:rPr>
      </w:r>
      <w:r>
        <w:rPr/>
        <w:t>个企业的财务和经营决策有参与决策的权力，但并不能够控制或者与其他方一起共同控制这些政</w:t>
      </w:r>
      <w:r>
        <w:rPr>
          <w:spacing w:val="-97"/>
        </w:rPr>
        <w:t> </w:t>
      </w:r>
      <w:r>
        <w:rPr>
          <w:spacing w:val="-97"/>
        </w:rPr>
      </w:r>
      <w:r>
        <w:rPr/>
        <w:t>策的制定，则视为投资企业能够对被投资单位施加重大影响。</w:t>
      </w:r>
    </w:p>
    <w:p>
      <w:pPr>
        <w:spacing w:after="0" w:line="357" w:lineRule="auto"/>
        <w:jc w:val="both"/>
        <w:sectPr>
          <w:pgSz w:w="11910" w:h="16840"/>
          <w:pgMar w:header="400" w:footer="982" w:top="1100" w:bottom="1180" w:left="1660" w:right="1060"/>
        </w:sectPr>
      </w:pPr>
    </w:p>
    <w:p>
      <w:pPr>
        <w:spacing w:line="240" w:lineRule="auto" w:before="2"/>
        <w:rPr>
          <w:rFonts w:ascii="宋体" w:hAnsi="宋体" w:cs="宋体" w:eastAsia="宋体" w:hint="default"/>
          <w:sz w:val="19"/>
          <w:szCs w:val="19"/>
        </w:rPr>
      </w:pPr>
    </w:p>
    <w:p>
      <w:pPr>
        <w:spacing w:line="336" w:lineRule="auto" w:before="35"/>
        <w:ind w:left="669"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重大影响以下的、在活跃市场中没有报价、公允价值不能可靠计量的长期股权投资，其减值</w:t>
      </w:r>
    </w:p>
    <w:p>
      <w:pPr>
        <w:pStyle w:val="BodyText"/>
        <w:spacing w:line="355" w:lineRule="auto" w:before="50"/>
        <w:ind w:right="144"/>
        <w:jc w:val="left"/>
      </w:pPr>
      <w:r>
        <w:rPr/>
        <w:t>损失是根据其账面价值与按类似金融资产当时市场收益率对未来现金流量折现确定的现值之间的</w:t>
      </w:r>
      <w:r>
        <w:rPr>
          <w:spacing w:val="-97"/>
        </w:rPr>
        <w:t> </w:t>
      </w:r>
      <w:r>
        <w:rPr>
          <w:spacing w:val="-97"/>
        </w:rPr>
      </w:r>
      <w:r>
        <w:rPr/>
        <w:t>差额进行确定。</w:t>
      </w:r>
    </w:p>
    <w:p>
      <w:pPr>
        <w:pStyle w:val="BodyText"/>
        <w:spacing w:line="355" w:lineRule="auto" w:before="33"/>
        <w:ind w:right="0" w:firstLine="526"/>
        <w:jc w:val="left"/>
      </w:pPr>
      <w:r>
        <w:rPr>
          <w:spacing w:val="-3"/>
        </w:rPr>
        <w:t>除因企业合并形成的商誉以外的存在减值迹象的其他长期股权投资，如果可收回金额的计量</w:t>
      </w:r>
      <w:r>
        <w:rPr/>
        <w:t> 结果表明，该长期股权投资的可收回金额低于其账面价值的，将差额确认为减值损失。</w:t>
      </w:r>
    </w:p>
    <w:p>
      <w:pPr>
        <w:pStyle w:val="BodyText"/>
        <w:spacing w:line="355" w:lineRule="auto" w:before="33"/>
        <w:ind w:left="666" w:right="1718"/>
        <w:jc w:val="left"/>
      </w:pPr>
      <w:r>
        <w:rPr/>
        <w:t>因企业合并形成的商誉，无论是否存在减值迹象，每年都进行减值测试。 长期股权投资减值损失一经确认，不再转回。</w:t>
      </w:r>
    </w:p>
    <w:p>
      <w:pPr>
        <w:pStyle w:val="Heading4"/>
        <w:spacing w:line="240" w:lineRule="auto" w:before="32"/>
        <w:ind w:left="665" w:right="1980"/>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固定资产</w:t>
      </w:r>
      <w:r>
        <w:rPr>
          <w:b w:val="0"/>
          <w:bCs w:val="0"/>
        </w:rPr>
      </w:r>
    </w:p>
    <w:p>
      <w:pPr>
        <w:spacing w:line="336" w:lineRule="auto" w:before="118"/>
        <w:ind w:left="66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固定资产指为生产商品、提供劳务、出租或经营管理而持有，并且使用寿命超过一个会计年</w:t>
      </w:r>
    </w:p>
    <w:p>
      <w:pPr>
        <w:pStyle w:val="BodyText"/>
        <w:spacing w:line="240" w:lineRule="auto" w:before="50"/>
        <w:ind w:right="1980"/>
        <w:jc w:val="left"/>
      </w:pPr>
      <w:r>
        <w:rPr/>
        <w:t>度的有形资产。固定资产在同时满足下列条件时予以确认：</w:t>
      </w:r>
    </w:p>
    <w:p>
      <w:pPr>
        <w:pStyle w:val="BodyText"/>
        <w:spacing w:line="240" w:lineRule="auto" w:before="133"/>
        <w:ind w:left="663" w:right="198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8"/>
        <w:ind w:left="663" w:right="1980"/>
        <w:jc w:val="left"/>
      </w:pPr>
      <w:r>
        <w:rPr/>
        <w:t>（</w:t>
      </w:r>
      <w:r>
        <w:rPr>
          <w:rFonts w:ascii="Times New Roman" w:hAnsi="Times New Roman" w:cs="Times New Roman" w:eastAsia="Times New Roman" w:hint="default"/>
        </w:rPr>
        <w:t>2</w:t>
      </w:r>
      <w:r>
        <w:rPr/>
        <w:t>）该固定资产的成本能够可靠地计量。</w:t>
      </w:r>
    </w:p>
    <w:p>
      <w:pPr>
        <w:spacing w:line="336" w:lineRule="auto" w:before="117"/>
        <w:ind w:left="66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固定资产折旧采用年限平均法分类计提，根据固定资产类别、预计使用寿命和预计净残值率</w:t>
      </w:r>
    </w:p>
    <w:p>
      <w:pPr>
        <w:pStyle w:val="BodyText"/>
        <w:spacing w:line="240" w:lineRule="auto" w:before="50"/>
        <w:ind w:right="1980"/>
        <w:jc w:val="left"/>
      </w:pPr>
      <w:r>
        <w:rPr/>
        <w:t>确定折旧率。</w:t>
      </w:r>
    </w:p>
    <w:p>
      <w:pPr>
        <w:pStyle w:val="BodyText"/>
        <w:spacing w:line="357" w:lineRule="auto" w:before="133"/>
        <w:ind w:right="150" w:firstLine="523"/>
        <w:jc w:val="both"/>
      </w:pPr>
      <w:r>
        <w:rPr>
          <w:spacing w:val="-3"/>
        </w:rPr>
        <w:t>融资租赁方式租入的固定资产，能合理确定租赁期届满时将会取得租赁资产所有权的，在租</w:t>
      </w:r>
      <w:r>
        <w:rPr/>
        <w:t> 赁资产尚可使用年限内计提折旧；无法合理确定租赁期届满时能够取得租赁资产所有权的，在租</w:t>
      </w:r>
      <w:r>
        <w:rPr>
          <w:spacing w:val="-97"/>
        </w:rPr>
        <w:t> </w:t>
      </w:r>
      <w:r>
        <w:rPr>
          <w:spacing w:val="-97"/>
        </w:rPr>
      </w:r>
      <w:r>
        <w:rPr/>
        <w:t>赁期与租赁资产尚可使用年限两者中较短的期间内计提折旧。</w:t>
      </w:r>
    </w:p>
    <w:p>
      <w:pPr>
        <w:pStyle w:val="BodyText"/>
        <w:spacing w:line="240" w:lineRule="auto" w:before="31"/>
        <w:ind w:left="663" w:right="1980"/>
        <w:jc w:val="left"/>
      </w:pPr>
      <w:r>
        <w:rPr/>
        <w:t>各类固定资产折旧年限和年折旧率如下：</w:t>
      </w:r>
    </w:p>
    <w:p>
      <w:pPr>
        <w:spacing w:line="240" w:lineRule="auto" w:before="10"/>
        <w:rPr>
          <w:rFonts w:ascii="宋体" w:hAnsi="宋体" w:cs="宋体" w:eastAsia="宋体" w:hint="default"/>
          <w:sz w:val="12"/>
          <w:szCs w:val="12"/>
        </w:rPr>
      </w:pPr>
    </w:p>
    <w:tbl>
      <w:tblPr>
        <w:tblW w:w="0" w:type="auto"/>
        <w:jc w:val="left"/>
        <w:tblInd w:w="828" w:type="dxa"/>
        <w:tblLayout w:type="fixed"/>
        <w:tblCellMar>
          <w:top w:w="0" w:type="dxa"/>
          <w:left w:w="0" w:type="dxa"/>
          <w:bottom w:w="0" w:type="dxa"/>
          <w:right w:w="0" w:type="dxa"/>
        </w:tblCellMar>
        <w:tblLook w:val="01E0"/>
      </w:tblPr>
      <w:tblGrid>
        <w:gridCol w:w="2718"/>
        <w:gridCol w:w="1798"/>
        <w:gridCol w:w="1800"/>
        <w:gridCol w:w="1800"/>
      </w:tblGrid>
      <w:tr>
        <w:trPr>
          <w:trHeight w:val="380" w:hRule="exact"/>
        </w:trPr>
        <w:tc>
          <w:tcPr>
            <w:tcW w:w="27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right="87"/>
              <w:jc w:val="center"/>
              <w:rPr>
                <w:rFonts w:ascii="宋体" w:hAnsi="宋体" w:cs="宋体" w:eastAsia="宋体" w:hint="default"/>
                <w:sz w:val="21"/>
                <w:szCs w:val="21"/>
              </w:rPr>
            </w:pPr>
            <w:r>
              <w:rPr>
                <w:rFonts w:ascii="宋体" w:hAnsi="宋体" w:cs="宋体" w:eastAsia="宋体" w:hint="default"/>
                <w:sz w:val="21"/>
                <w:szCs w:val="21"/>
              </w:rPr>
              <w:t>类别</w:t>
            </w:r>
          </w:p>
        </w:tc>
        <w:tc>
          <w:tcPr>
            <w:tcW w:w="17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01"/>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7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3"/>
              <w:jc w:val="center"/>
              <w:rPr>
                <w:rFonts w:ascii="Times New Roman" w:hAnsi="Times New Roman" w:cs="Times New Roman" w:eastAsia="Times New Roman" w:hint="default"/>
                <w:sz w:val="21"/>
                <w:szCs w:val="21"/>
              </w:rPr>
            </w:pPr>
            <w:r>
              <w:rPr>
                <w:rFonts w:ascii="Times New Roman"/>
                <w:sz w:val="21"/>
              </w:rPr>
              <w:t>2.71</w:t>
            </w:r>
          </w:p>
        </w:tc>
      </w:tr>
      <w:tr>
        <w:trPr>
          <w:trHeight w:val="371"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7-10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13.57-9.50</w:t>
            </w:r>
          </w:p>
        </w:tc>
      </w:tr>
      <w:tr>
        <w:trPr>
          <w:trHeight w:val="37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5-8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19.00-11.88</w:t>
            </w:r>
          </w:p>
        </w:tc>
      </w:tr>
      <w:tr>
        <w:trPr>
          <w:trHeight w:val="37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19.00-15.83</w:t>
            </w:r>
          </w:p>
        </w:tc>
      </w:tr>
      <w:tr>
        <w:trPr>
          <w:trHeight w:val="371"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19.00-15.83</w:t>
            </w:r>
          </w:p>
        </w:tc>
      </w:tr>
      <w:tr>
        <w:trPr>
          <w:trHeight w:val="37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5-6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19.00-15.83</w:t>
            </w:r>
          </w:p>
        </w:tc>
      </w:tr>
      <w:tr>
        <w:trPr>
          <w:trHeight w:val="370" w:hRule="exact"/>
        </w:trPr>
        <w:tc>
          <w:tcPr>
            <w:tcW w:w="2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14.29</w:t>
            </w:r>
          </w:p>
        </w:tc>
      </w:tr>
      <w:tr>
        <w:trPr>
          <w:trHeight w:val="381" w:hRule="exact"/>
        </w:trPr>
        <w:tc>
          <w:tcPr>
            <w:tcW w:w="27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p>
        </w:tc>
        <w:tc>
          <w:tcPr>
            <w:tcW w:w="17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7"/>
              <w:jc w:val="center"/>
              <w:rPr>
                <w:rFonts w:ascii="Times New Roman" w:hAnsi="Times New Roman" w:cs="Times New Roman" w:eastAsia="Times New Roman" w:hint="default"/>
                <w:sz w:val="21"/>
                <w:szCs w:val="21"/>
              </w:rPr>
            </w:pPr>
            <w:r>
              <w:rPr>
                <w:rFonts w:ascii="Times New Roman"/>
                <w:sz w:val="21"/>
              </w:rPr>
              <w:t>0</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2"/>
              <w:jc w:val="center"/>
              <w:rPr>
                <w:rFonts w:ascii="Times New Roman" w:hAnsi="Times New Roman" w:cs="Times New Roman" w:eastAsia="Times New Roman" w:hint="default"/>
                <w:sz w:val="21"/>
                <w:szCs w:val="21"/>
              </w:rPr>
            </w:pPr>
            <w:r>
              <w:rPr>
                <w:rFonts w:ascii="Times New Roman"/>
                <w:sz w:val="21"/>
              </w:rPr>
              <w:t>20.00-10.00</w:t>
            </w:r>
          </w:p>
        </w:tc>
      </w:tr>
    </w:tbl>
    <w:p>
      <w:pPr>
        <w:spacing w:line="240" w:lineRule="auto" w:before="5"/>
        <w:rPr>
          <w:rFonts w:ascii="宋体" w:hAnsi="宋体" w:cs="宋体" w:eastAsia="宋体" w:hint="default"/>
          <w:sz w:val="22"/>
          <w:szCs w:val="22"/>
        </w:rPr>
      </w:pPr>
    </w:p>
    <w:p>
      <w:pPr>
        <w:spacing w:line="345" w:lineRule="auto" w:before="35"/>
        <w:ind w:left="6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公司在每期末判断固定资产是否存在可能发生减值的迹象。 </w:t>
      </w:r>
      <w:r>
        <w:rPr>
          <w:rFonts w:ascii="宋体" w:hAnsi="宋体" w:cs="宋体" w:eastAsia="宋体" w:hint="default"/>
          <w:spacing w:val="-3"/>
          <w:sz w:val="21"/>
          <w:szCs w:val="21"/>
        </w:rPr>
        <w:t>固定资产存在减值迹象的，估计其可收回金额。可收回金额根据固定资产的公允价值减去处</w:t>
      </w:r>
    </w:p>
    <w:p>
      <w:pPr>
        <w:pStyle w:val="BodyText"/>
        <w:spacing w:line="240" w:lineRule="auto" w:before="42"/>
        <w:ind w:right="1980"/>
        <w:jc w:val="left"/>
      </w:pPr>
      <w:r>
        <w:rPr/>
        <w:t>置费用后的净额与固定资产预计未来现金流量的现值两者之间较高者确定。</w:t>
      </w:r>
    </w:p>
    <w:p>
      <w:pPr>
        <w:spacing w:after="0" w:line="240" w:lineRule="auto"/>
        <w:jc w:val="left"/>
        <w:sectPr>
          <w:pgSz w:w="11910" w:h="16840"/>
          <w:pgMar w:header="400" w:footer="982" w:top="1100" w:bottom="1180" w:left="1660" w:right="1120"/>
        </w:sectPr>
      </w:pPr>
    </w:p>
    <w:p>
      <w:pPr>
        <w:spacing w:line="240" w:lineRule="auto" w:before="2"/>
        <w:rPr>
          <w:rFonts w:ascii="宋体" w:hAnsi="宋体" w:cs="宋体" w:eastAsia="宋体" w:hint="default"/>
          <w:sz w:val="19"/>
          <w:szCs w:val="19"/>
        </w:rPr>
      </w:pPr>
    </w:p>
    <w:p>
      <w:pPr>
        <w:pStyle w:val="BodyText"/>
        <w:spacing w:line="355" w:lineRule="auto" w:before="35"/>
        <w:ind w:right="96" w:firstLine="532"/>
        <w:jc w:val="left"/>
      </w:pPr>
      <w:r>
        <w:rPr>
          <w:spacing w:val="-3"/>
        </w:rPr>
        <w:t>当固定资产的可收回金额低于其账面价值的，将固定资产的账面价值减记至可收回金额，减</w:t>
      </w:r>
      <w:r>
        <w:rPr/>
        <w:t> 记的金额确认为固定资产减值损失，计入当期损益，同时计提相应的固定资产减值准备。</w:t>
      </w:r>
    </w:p>
    <w:p>
      <w:pPr>
        <w:pStyle w:val="BodyText"/>
        <w:spacing w:line="355" w:lineRule="auto" w:before="33"/>
        <w:ind w:right="96" w:firstLine="532"/>
        <w:jc w:val="left"/>
      </w:pPr>
      <w:r>
        <w:rPr>
          <w:spacing w:val="-3"/>
        </w:rPr>
        <w:t>固定资产减值损失确认后，减值固定资产的折旧在未来期间作相应调整，以使该固定资产在</w:t>
      </w:r>
      <w:r>
        <w:rPr/>
        <w:t> </w:t>
      </w:r>
      <w:r>
        <w:rPr>
          <w:spacing w:val="-3"/>
        </w:rPr>
        <w:t>剩余使用寿命内，系统地分摊调整后的固定资产账面价值（扣除预计净残值）。</w:t>
      </w:r>
    </w:p>
    <w:p>
      <w:pPr>
        <w:pStyle w:val="BodyText"/>
        <w:spacing w:line="355" w:lineRule="auto" w:before="33"/>
        <w:ind w:left="672" w:right="92"/>
        <w:jc w:val="left"/>
      </w:pPr>
      <w:r>
        <w:rPr/>
        <w:t>固定资产的减值损失一经确认，在以后会计期间不再转回。 有迹象表明一项固定资产可能发生减值的，企业以单项固定资产为基础估计其可收回金额。</w:t>
      </w:r>
    </w:p>
    <w:p>
      <w:pPr>
        <w:pStyle w:val="BodyText"/>
        <w:spacing w:line="355" w:lineRule="auto" w:before="33"/>
        <w:ind w:right="211"/>
        <w:jc w:val="both"/>
      </w:pPr>
      <w:r>
        <w:rPr/>
        <w:t>企业难以对单项固定资产的可收回金额进行估计的，以该固定资产所属的资产组为基础确定资产</w:t>
      </w:r>
      <w:r>
        <w:rPr>
          <w:spacing w:val="-97"/>
        </w:rPr>
        <w:t> </w:t>
      </w:r>
      <w:r>
        <w:rPr>
          <w:spacing w:val="-97"/>
        </w:rPr>
      </w:r>
      <w:r>
        <w:rPr/>
        <w:t>组的可收回金额。</w:t>
      </w:r>
    </w:p>
    <w:p>
      <w:pPr>
        <w:spacing w:line="338" w:lineRule="auto" w:before="32"/>
        <w:ind w:left="680" w:right="504"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40" w:lineRule="auto" w:before="47"/>
        <w:ind w:left="680" w:right="96"/>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18"/>
        <w:ind w:left="680" w:right="96"/>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17"/>
        <w:ind w:left="680" w:right="96"/>
        <w:jc w:val="left"/>
      </w:pPr>
      <w:r>
        <w:rPr/>
        <w:t>（</w:t>
      </w:r>
      <w:r>
        <w:rPr>
          <w:rFonts w:ascii="Times New Roman" w:hAnsi="Times New Roman" w:cs="Times New Roman" w:eastAsia="Times New Roman" w:hint="default"/>
        </w:rPr>
        <w:t>3</w:t>
      </w:r>
      <w:r>
        <w:rPr/>
        <w:t>）租赁期占所租赁资产使用寿命的大部分；</w:t>
      </w:r>
    </w:p>
    <w:p>
      <w:pPr>
        <w:pStyle w:val="BodyText"/>
        <w:spacing w:line="336" w:lineRule="auto" w:before="118"/>
        <w:ind w:left="675" w:right="209" w:firstLine="4"/>
        <w:jc w:val="left"/>
      </w:pPr>
      <w:r>
        <w:rPr/>
        <w:t>（</w:t>
      </w:r>
      <w:r>
        <w:rPr>
          <w:rFonts w:ascii="Times New Roman" w:hAnsi="Times New Roman" w:cs="Times New Roman" w:eastAsia="Times New Roman" w:hint="default"/>
        </w:rPr>
        <w:t>4</w:t>
      </w:r>
      <w:r>
        <w:rPr/>
        <w:t>）租赁开始日的最低租赁付款额现值，与该资产的公允价值不存在较大的差异。 </w:t>
      </w:r>
      <w:r>
        <w:rPr>
          <w:spacing w:val="-3"/>
        </w:rPr>
        <w:t>公司在承租开始日，将租赁资产公允价值与最低租赁付款额现值两者中较低者作为租入资产</w:t>
      </w:r>
    </w:p>
    <w:p>
      <w:pPr>
        <w:pStyle w:val="BodyText"/>
        <w:spacing w:line="240" w:lineRule="auto" w:before="49"/>
        <w:ind w:right="96"/>
        <w:jc w:val="left"/>
      </w:pPr>
      <w:r>
        <w:rPr/>
        <w:t>的入账价值，将最低租赁付款额作为长期应付款的入账价值，其差额作为未确认的融资费用。</w:t>
      </w:r>
    </w:p>
    <w:p>
      <w:pPr>
        <w:spacing w:line="338" w:lineRule="auto" w:before="134"/>
        <w:ind w:left="677" w:right="554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在建工程</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line="338" w:lineRule="auto" w:before="47"/>
        <w:ind w:left="675" w:right="20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在建工程项目按建造该项资产达到预定可使用状态前所发生的全部支出，作为固定资产的入</w:t>
      </w:r>
    </w:p>
    <w:p>
      <w:pPr>
        <w:pStyle w:val="BodyText"/>
        <w:spacing w:line="357" w:lineRule="auto" w:before="47"/>
        <w:ind w:right="211"/>
        <w:jc w:val="both"/>
      </w:pPr>
      <w:r>
        <w:rPr/>
        <w:t>账价值。所建造的固定资产在建工程已达到预定可使用状态，但尚未办理竣工决算的，自达到预</w:t>
      </w:r>
      <w:r>
        <w:rPr>
          <w:spacing w:val="-97"/>
        </w:rPr>
        <w:t> </w:t>
      </w:r>
      <w:r>
        <w:rPr>
          <w:spacing w:val="-97"/>
        </w:rPr>
      </w:r>
      <w:r>
        <w:rPr/>
        <w:t>定可使用状态之日起，根据工程预算、造价或者工程实际成本等，按估计的价值转入固定资产，</w:t>
      </w:r>
      <w:r>
        <w:rPr>
          <w:spacing w:val="-97"/>
        </w:rPr>
        <w:t> </w:t>
      </w:r>
      <w:r>
        <w:rPr>
          <w:spacing w:val="-97"/>
        </w:rPr>
      </w:r>
      <w:r>
        <w:rPr/>
        <w:t>并按本公司固定资产折旧政策计提固定资产的折旧，待办理竣工决算后，再按实际成本调整原来</w:t>
      </w:r>
      <w:r>
        <w:rPr>
          <w:spacing w:val="-97"/>
        </w:rPr>
        <w:t> </w:t>
      </w:r>
      <w:r>
        <w:rPr>
          <w:spacing w:val="-97"/>
        </w:rPr>
      </w:r>
      <w:r>
        <w:rPr/>
        <w:t>的暂估价值，但不调整原已计提的折旧额。</w:t>
      </w:r>
    </w:p>
    <w:p>
      <w:pPr>
        <w:spacing w:line="348" w:lineRule="auto" w:before="31"/>
        <w:ind w:left="675" w:right="20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公司在每期末判断在建工程是否存在可能发生减值的迹象。 </w:t>
      </w:r>
      <w:r>
        <w:rPr>
          <w:rFonts w:ascii="宋体" w:hAnsi="宋体" w:cs="宋体" w:eastAsia="宋体" w:hint="default"/>
          <w:spacing w:val="-3"/>
          <w:sz w:val="21"/>
          <w:szCs w:val="21"/>
        </w:rPr>
        <w:t>在建工程存在减值迹象的，估计其可收回金额。可收回金额根据在建工程的公允价值减去处</w:t>
      </w:r>
    </w:p>
    <w:p>
      <w:pPr>
        <w:pStyle w:val="BodyText"/>
        <w:spacing w:line="355" w:lineRule="auto" w:before="38"/>
        <w:ind w:left="675" w:right="209" w:hanging="536"/>
        <w:jc w:val="left"/>
      </w:pPr>
      <w:r>
        <w:rPr/>
        <w:t>置费用后的净额与在建工程预计未来现金流量的现值两者之间较高者确定。 </w:t>
      </w:r>
      <w:r>
        <w:rPr>
          <w:spacing w:val="-3"/>
        </w:rPr>
        <w:t>当在建工程的可收回金额低于其账面价值的，将在建工程的账面价值减记至可收回金额，减</w:t>
      </w:r>
    </w:p>
    <w:p>
      <w:pPr>
        <w:pStyle w:val="BodyText"/>
        <w:spacing w:line="357" w:lineRule="auto" w:before="33"/>
        <w:ind w:left="675" w:right="89" w:hanging="536"/>
        <w:jc w:val="left"/>
      </w:pPr>
      <w:r>
        <w:rPr/>
        <w:t>记的金额确认为在建工程减值损失，计入当期损益，同时计提相应的在建工程减值准备。 在建工程的减值损失一经确认，在以后会计期间不再转回。 有迹象表明一项在建工程可能发生减值的，企业以单项在建工程为基础估计其可收回金额。</w:t>
      </w:r>
    </w:p>
    <w:p>
      <w:pPr>
        <w:pStyle w:val="BodyText"/>
        <w:spacing w:line="240" w:lineRule="auto" w:before="30"/>
        <w:ind w:right="96"/>
        <w:jc w:val="left"/>
      </w:pPr>
      <w:r>
        <w:rPr/>
        <w:t>企业难以对单项在建工程的可收回金额进行估计的，以该在建工程所属的资产组为基础确定资产</w:t>
      </w:r>
    </w:p>
    <w:p>
      <w:pPr>
        <w:spacing w:after="0" w:line="240" w:lineRule="auto"/>
        <w:jc w:val="left"/>
        <w:sectPr>
          <w:pgSz w:w="11910" w:h="16840"/>
          <w:pgMar w:header="400" w:footer="982" w:top="1100" w:bottom="1180" w:left="1660" w:right="1060"/>
        </w:sectPr>
      </w:pPr>
    </w:p>
    <w:p>
      <w:pPr>
        <w:spacing w:line="240" w:lineRule="auto" w:before="2"/>
        <w:rPr>
          <w:rFonts w:ascii="宋体" w:hAnsi="宋体" w:cs="宋体" w:eastAsia="宋体" w:hint="default"/>
          <w:sz w:val="19"/>
          <w:szCs w:val="19"/>
        </w:rPr>
      </w:pPr>
    </w:p>
    <w:p>
      <w:pPr>
        <w:pStyle w:val="BodyText"/>
        <w:spacing w:line="240" w:lineRule="auto" w:before="35"/>
        <w:ind w:right="1980"/>
        <w:jc w:val="left"/>
      </w:pPr>
      <w:r>
        <w:rPr/>
        <w:t>组的可收回金额。</w:t>
      </w:r>
    </w:p>
    <w:p>
      <w:pPr>
        <w:pStyle w:val="Heading4"/>
        <w:spacing w:line="240" w:lineRule="auto" w:before="133"/>
        <w:ind w:left="679" w:right="198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无形资产</w:t>
      </w:r>
      <w:r>
        <w:rPr>
          <w:b w:val="0"/>
          <w:bCs w:val="0"/>
        </w:rPr>
      </w:r>
    </w:p>
    <w:p>
      <w:pPr>
        <w:spacing w:before="118"/>
        <w:ind w:left="677" w:right="19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338" w:lineRule="auto" w:before="117"/>
        <w:ind w:left="680" w:right="0" w:hanging="1"/>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w:t>
      </w:r>
      <w:r>
        <w:rPr/>
      </w:r>
    </w:p>
    <w:p>
      <w:pPr>
        <w:pStyle w:val="BodyText"/>
        <w:spacing w:line="357" w:lineRule="auto" w:before="47"/>
        <w:ind w:right="144"/>
        <w:jc w:val="left"/>
      </w:pPr>
      <w:r>
        <w:rPr/>
        <w:t>所发生的其他支出。购买无形资产的价款超过正常信用条件延期支付，实质上具有融资性质的，</w:t>
      </w:r>
      <w:r>
        <w:rPr>
          <w:spacing w:val="-97"/>
        </w:rPr>
        <w:t> </w:t>
      </w:r>
      <w:r>
        <w:rPr>
          <w:spacing w:val="-97"/>
        </w:rPr>
      </w:r>
      <w:r>
        <w:rPr/>
        <w:t>无形资产的成本以购买价款的现值为基础确定。</w:t>
      </w:r>
    </w:p>
    <w:p>
      <w:pPr>
        <w:pStyle w:val="BodyText"/>
        <w:spacing w:line="355" w:lineRule="auto" w:before="30"/>
        <w:ind w:right="150" w:firstLine="540"/>
        <w:jc w:val="both"/>
      </w:pPr>
      <w:r>
        <w:rPr>
          <w:spacing w:val="2"/>
        </w:rPr>
        <w:t>债务重组取得债务人用以抵债的无形资产，以该无形资产的公允价值为基础确定其入账价 </w:t>
      </w:r>
      <w:r>
        <w:rPr/>
        <w:t>值，并将重组债务的账面价值与该用以抵债的无形资产公允价值之间的差额，计入当期损益；</w:t>
      </w:r>
    </w:p>
    <w:p>
      <w:pPr>
        <w:pStyle w:val="BodyText"/>
        <w:spacing w:line="357" w:lineRule="auto" w:before="33"/>
        <w:ind w:right="150" w:firstLine="540"/>
        <w:jc w:val="both"/>
      </w:pPr>
      <w:r>
        <w:rPr>
          <w:spacing w:val="2"/>
        </w:rPr>
        <w:t>在非货币性资产交换具备商业实质且换入资产或换出资产的公允价值能够可靠计量的前提 </w:t>
      </w:r>
      <w:r>
        <w:rPr/>
        <w:t>下，非货币性资产交换换入的无形资产以换出资产的公允价值为基础确定其入账价值，除非有确</w:t>
      </w:r>
      <w:r>
        <w:rPr>
          <w:spacing w:val="-97"/>
        </w:rPr>
        <w:t> </w:t>
      </w:r>
      <w:r>
        <w:rPr>
          <w:spacing w:val="-97"/>
        </w:rPr>
      </w:r>
      <w:r>
        <w:rPr/>
        <w:t>凿证据表明换入资产的公允价值更加可靠；不满足上述前提的非货币性资产交换，以换出资产的</w:t>
      </w:r>
      <w:r>
        <w:rPr>
          <w:spacing w:val="-97"/>
        </w:rPr>
        <w:t> </w:t>
      </w:r>
      <w:r>
        <w:rPr>
          <w:spacing w:val="-97"/>
        </w:rPr>
      </w:r>
      <w:r>
        <w:rPr/>
        <w:t>账面价值和应支付的相关税费作为换入无形资产的成本，不确认损益。</w:t>
      </w:r>
    </w:p>
    <w:p>
      <w:pPr>
        <w:pStyle w:val="BodyText"/>
        <w:spacing w:line="355" w:lineRule="auto" w:before="31"/>
        <w:ind w:right="143" w:firstLine="540"/>
        <w:jc w:val="both"/>
      </w:pPr>
      <w:r>
        <w:rPr>
          <w:spacing w:val="8"/>
        </w:rPr>
        <w:t>以同一控制下的企业吸收合并方式取得的无形资产按被合并方的账面价值确定其入账价 </w:t>
      </w:r>
      <w:r>
        <w:rPr/>
        <w:t>值；以非同一控制下的企业吸收合并方式取得的无形资产按公允价值确定其入账价值。</w:t>
      </w:r>
    </w:p>
    <w:p>
      <w:pPr>
        <w:pStyle w:val="BodyText"/>
        <w:spacing w:line="357" w:lineRule="auto" w:before="32"/>
        <w:ind w:right="150" w:firstLine="540"/>
        <w:jc w:val="both"/>
      </w:pPr>
      <w:r>
        <w:rPr>
          <w:spacing w:val="2"/>
        </w:rPr>
        <w:t>内部自行开发的无形资产，其成本包括：开发该无形资产时耗用的材料、劳务成本、注册 </w:t>
      </w:r>
      <w:r>
        <w:rPr/>
        <w:t>费、在开发过程中使用的其他专利权和特许权的摊销以及满足资本化条件的利息费用，以及为使</w:t>
      </w:r>
      <w:r>
        <w:rPr>
          <w:spacing w:val="-97"/>
        </w:rPr>
        <w:t> </w:t>
      </w:r>
      <w:r>
        <w:rPr>
          <w:spacing w:val="-97"/>
        </w:rPr>
      </w:r>
      <w:r>
        <w:rPr/>
        <w:t>该无形资产达到预定用途前所发生的其他直接费用。</w:t>
      </w:r>
    </w:p>
    <w:p>
      <w:pPr>
        <w:pStyle w:val="BodyText"/>
        <w:spacing w:line="336" w:lineRule="auto" w:before="31"/>
        <w:ind w:left="680" w:right="4644" w:hanging="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55" w:lineRule="auto" w:before="50"/>
        <w:ind w:right="150" w:firstLine="540"/>
        <w:jc w:val="both"/>
      </w:pPr>
      <w:r>
        <w:rPr>
          <w:spacing w:val="2"/>
        </w:rPr>
        <w:t>对于使用寿命有限的无形资产，在为企业带来经济利益的期限内按直线法摊销；无法预见 </w:t>
      </w:r>
      <w:r>
        <w:rPr/>
        <w:t>无形资产为企业带来经济利益期限的，视为使用寿命不确定的无形资产，不予摊销。</w:t>
      </w:r>
    </w:p>
    <w:p>
      <w:pPr>
        <w:pStyle w:val="Heading4"/>
        <w:spacing w:line="240" w:lineRule="auto" w:before="32"/>
        <w:ind w:left="677" w:right="198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8"/>
        <w:rPr>
          <w:rFonts w:ascii="宋体" w:hAnsi="宋体" w:cs="宋体" w:eastAsia="宋体" w:hint="default"/>
          <w:b/>
          <w:bCs/>
          <w:sz w:val="11"/>
          <w:szCs w:val="11"/>
        </w:rPr>
      </w:pPr>
    </w:p>
    <w:tbl>
      <w:tblPr>
        <w:tblW w:w="0" w:type="auto"/>
        <w:jc w:val="left"/>
        <w:tblInd w:w="828" w:type="dxa"/>
        <w:tblLayout w:type="fixed"/>
        <w:tblCellMar>
          <w:top w:w="0" w:type="dxa"/>
          <w:left w:w="0" w:type="dxa"/>
          <w:bottom w:w="0" w:type="dxa"/>
          <w:right w:w="0" w:type="dxa"/>
        </w:tblCellMar>
        <w:tblLook w:val="01E0"/>
      </w:tblPr>
      <w:tblGrid>
        <w:gridCol w:w="2039"/>
        <w:gridCol w:w="1559"/>
        <w:gridCol w:w="4518"/>
      </w:tblGrid>
      <w:tr>
        <w:trPr>
          <w:trHeight w:val="380" w:hRule="exact"/>
        </w:trPr>
        <w:tc>
          <w:tcPr>
            <w:tcW w:w="2039" w:type="dxa"/>
            <w:tcBorders>
              <w:top w:val="single" w:sz="12" w:space="0" w:color="000000"/>
              <w:left w:val="nil" w:sz="6" w:space="0" w:color="auto"/>
              <w:bottom w:val="single" w:sz="4" w:space="0" w:color="000000"/>
              <w:right w:val="single" w:sz="4" w:space="0" w:color="000000"/>
            </w:tcBorders>
          </w:tcPr>
          <w:p>
            <w:pPr>
              <w:pStyle w:val="TableParagraph"/>
              <w:tabs>
                <w:tab w:pos="1077" w:val="left" w:leader="none"/>
              </w:tabs>
              <w:spacing w:line="240" w:lineRule="auto" w:before="53"/>
              <w:ind w:left="65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7"/>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4518" w:type="dxa"/>
            <w:tcBorders>
              <w:top w:val="single" w:sz="12" w:space="0" w:color="000000"/>
              <w:left w:val="single" w:sz="4" w:space="0" w:color="000000"/>
              <w:bottom w:val="single" w:sz="4" w:space="0" w:color="000000"/>
              <w:right w:val="nil" w:sz="6" w:space="0" w:color="auto"/>
            </w:tcBorders>
          </w:tcPr>
          <w:p>
            <w:pPr>
              <w:pStyle w:val="TableParagraph"/>
              <w:tabs>
                <w:tab w:pos="421" w:val="left" w:leader="none"/>
              </w:tabs>
              <w:spacing w:line="240" w:lineRule="auto" w:before="53"/>
              <w:ind w:right="102"/>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70" w:hRule="exact"/>
        </w:trPr>
        <w:tc>
          <w:tcPr>
            <w:tcW w:w="2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年</w:t>
            </w:r>
          </w:p>
        </w:tc>
        <w:tc>
          <w:tcPr>
            <w:tcW w:w="4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 w:right="0"/>
              <w:jc w:val="left"/>
              <w:rPr>
                <w:rFonts w:ascii="宋体" w:hAnsi="宋体" w:cs="宋体" w:eastAsia="宋体" w:hint="default"/>
                <w:sz w:val="21"/>
                <w:szCs w:val="21"/>
              </w:rPr>
            </w:pPr>
            <w:r>
              <w:rPr>
                <w:rFonts w:ascii="宋体" w:hAnsi="宋体" w:cs="宋体" w:eastAsia="宋体" w:hint="default"/>
                <w:sz w:val="21"/>
                <w:szCs w:val="21"/>
              </w:rPr>
              <w:t>土地使用权证有效日期</w:t>
            </w:r>
          </w:p>
        </w:tc>
      </w:tr>
      <w:tr>
        <w:trPr>
          <w:trHeight w:val="381" w:hRule="exact"/>
        </w:trPr>
        <w:tc>
          <w:tcPr>
            <w:tcW w:w="20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45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left="-1" w:right="0"/>
              <w:jc w:val="left"/>
              <w:rPr>
                <w:rFonts w:ascii="宋体" w:hAnsi="宋体" w:cs="宋体" w:eastAsia="宋体" w:hint="default"/>
                <w:sz w:val="21"/>
                <w:szCs w:val="21"/>
              </w:rPr>
            </w:pPr>
            <w:r>
              <w:rPr>
                <w:rFonts w:ascii="宋体" w:hAnsi="宋体" w:cs="宋体" w:eastAsia="宋体" w:hint="default"/>
                <w:sz w:val="21"/>
                <w:szCs w:val="21"/>
              </w:rPr>
              <w:t>与该项无形资产有关的经济利益的预期实现方式</w:t>
            </w:r>
          </w:p>
        </w:tc>
      </w:tr>
    </w:tbl>
    <w:p>
      <w:pPr>
        <w:spacing w:line="240" w:lineRule="auto" w:before="8"/>
        <w:rPr>
          <w:rFonts w:ascii="宋体" w:hAnsi="宋体" w:cs="宋体" w:eastAsia="宋体" w:hint="default"/>
          <w:b/>
          <w:bCs/>
          <w:sz w:val="6"/>
          <w:szCs w:val="6"/>
        </w:rPr>
      </w:pPr>
    </w:p>
    <w:p>
      <w:pPr>
        <w:spacing w:line="355" w:lineRule="auto" w:before="35"/>
        <w:ind w:left="677" w:right="1707" w:firstLine="2"/>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、公司没有使用寿命不确定的无形资产。</w:t>
      </w:r>
      <w:r>
        <w:rPr>
          <w:rFonts w:ascii="宋体" w:hAnsi="宋体" w:cs="宋体" w:eastAsia="宋体" w:hint="default"/>
          <w:sz w:val="21"/>
          <w:szCs w:val="21"/>
        </w:rPr>
      </w:r>
    </w:p>
    <w:p>
      <w:pPr>
        <w:pStyle w:val="BodyText"/>
        <w:spacing w:line="350" w:lineRule="auto" w:before="7"/>
        <w:ind w:left="671" w:right="0" w:firstLine="1"/>
        <w:jc w:val="left"/>
      </w:pPr>
      <w:r>
        <w:rPr>
          <w:rFonts w:ascii="Times New Roman" w:hAnsi="Times New Roman" w:cs="Times New Roman" w:eastAsia="Times New Roman" w:hint="default"/>
          <w:b/>
          <w:bCs/>
        </w:rPr>
        <w:t>4</w:t>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w:t>
      </w:r>
      <w:r>
        <w:rPr>
          <w:spacing w:val="-3"/>
        </w:rPr>
        <w:t>对无形资产进行减值测试，估计其可收回金额。可收回金额根据无形资产的公允价值减去处</w:t>
      </w:r>
    </w:p>
    <w:p>
      <w:pPr>
        <w:spacing w:after="0" w:line="350" w:lineRule="auto"/>
        <w:jc w:val="left"/>
        <w:sectPr>
          <w:pgSz w:w="11910" w:h="16840"/>
          <w:pgMar w:header="400" w:footer="982" w:top="1100" w:bottom="1180" w:left="1660" w:right="1120"/>
        </w:sectPr>
      </w:pPr>
    </w:p>
    <w:p>
      <w:pPr>
        <w:spacing w:line="240" w:lineRule="auto" w:before="2"/>
        <w:rPr>
          <w:rFonts w:ascii="宋体" w:hAnsi="宋体" w:cs="宋体" w:eastAsia="宋体" w:hint="default"/>
          <w:sz w:val="19"/>
          <w:szCs w:val="19"/>
        </w:rPr>
      </w:pPr>
    </w:p>
    <w:p>
      <w:pPr>
        <w:pStyle w:val="BodyText"/>
        <w:spacing w:line="355" w:lineRule="auto" w:before="35"/>
        <w:ind w:left="671" w:right="96" w:hanging="532"/>
        <w:jc w:val="left"/>
      </w:pPr>
      <w:r>
        <w:rPr/>
        <w:t>置费用后的净额与无形资产预计未来现金流量的现值两者之间较高者确定。 </w:t>
      </w:r>
      <w:r>
        <w:rPr>
          <w:spacing w:val="-3"/>
        </w:rPr>
        <w:t>当无形资产的可收回金额低于其账面价值的，将无形资产的账面价值减记至可收回金额，减</w:t>
      </w:r>
    </w:p>
    <w:p>
      <w:pPr>
        <w:pStyle w:val="BodyText"/>
        <w:spacing w:line="355" w:lineRule="auto" w:before="33"/>
        <w:ind w:left="671" w:right="96" w:hanging="532"/>
        <w:jc w:val="left"/>
      </w:pPr>
      <w:r>
        <w:rPr/>
        <w:t>记的金额确认为无形资产减值损失，计入当期损益，同时计提相应的无形资产减值准备。 </w:t>
      </w:r>
      <w:r>
        <w:rPr>
          <w:spacing w:val="-3"/>
        </w:rPr>
        <w:t>无形资产减值损失确认后，减值无形资产的折耗或者摊销费用在未来期间作相应调整，以使</w:t>
      </w:r>
    </w:p>
    <w:p>
      <w:pPr>
        <w:pStyle w:val="BodyText"/>
        <w:spacing w:line="357" w:lineRule="auto" w:before="33"/>
        <w:ind w:left="671" w:right="93" w:hanging="532"/>
        <w:jc w:val="left"/>
      </w:pPr>
      <w:r>
        <w:rPr>
          <w:spacing w:val="-3"/>
        </w:rPr>
        <w:t>该无形资产在剩余使用寿命内，系统地分摊调整后的无形资产账面价值（扣除预计净残值）。</w:t>
      </w:r>
      <w:r>
        <w:rPr>
          <w:spacing w:val="-87"/>
        </w:rPr>
        <w:t> </w:t>
      </w:r>
      <w:r>
        <w:rPr>
          <w:spacing w:val="-87"/>
        </w:rPr>
      </w:r>
      <w:r>
        <w:rPr/>
        <w:t>无形资产的减值损失一经确认，在以后会计期间不再转回。 有迹象表明一项无形资产可能发生减值的，公司以单项无形资产为基础估计其可收回金额。</w:t>
      </w:r>
    </w:p>
    <w:p>
      <w:pPr>
        <w:pStyle w:val="BodyText"/>
        <w:spacing w:line="355" w:lineRule="auto" w:before="30"/>
        <w:ind w:right="204"/>
        <w:jc w:val="left"/>
      </w:pPr>
      <w:r>
        <w:rPr/>
        <w:t>公司难以对单项资产的可收回金额进行估计的，以该无形资产所属的资产组为基础确定无形资产</w:t>
      </w:r>
      <w:r>
        <w:rPr>
          <w:spacing w:val="-97"/>
        </w:rPr>
        <w:t> </w:t>
      </w:r>
      <w:r>
        <w:rPr>
          <w:spacing w:val="-97"/>
        </w:rPr>
      </w:r>
      <w:r>
        <w:rPr/>
        <w:t>组的可收回金额。</w:t>
      </w:r>
    </w:p>
    <w:p>
      <w:pPr>
        <w:spacing w:line="336" w:lineRule="auto" w:before="33"/>
        <w:ind w:left="671" w:right="96"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3"/>
          <w:sz w:val="21"/>
          <w:szCs w:val="21"/>
        </w:rPr>
        <w:t>研究阶段：为获取并理解新的科学或技术知识等而进行的独创性的有计划调查、研究活动的</w:t>
      </w:r>
    </w:p>
    <w:p>
      <w:pPr>
        <w:pStyle w:val="BodyText"/>
        <w:spacing w:line="240" w:lineRule="auto" w:before="50"/>
        <w:ind w:right="96"/>
        <w:jc w:val="left"/>
      </w:pPr>
      <w:r>
        <w:rPr/>
        <w:t>阶段。</w:t>
      </w:r>
    </w:p>
    <w:p>
      <w:pPr>
        <w:pStyle w:val="BodyText"/>
        <w:spacing w:line="357" w:lineRule="auto" w:before="133"/>
        <w:ind w:right="96" w:firstLine="531"/>
        <w:jc w:val="left"/>
      </w:pPr>
      <w:r>
        <w:rPr>
          <w:spacing w:val="-3"/>
        </w:rPr>
        <w:t>开发阶段：在进行商业性生产或使用前，将研究成果或其他知识应用于某项计划或设计，以</w:t>
      </w:r>
      <w:r>
        <w:rPr/>
        <w:t> 生产出新的或具有实质性改进的材料、装置、产品等活动的阶段。</w:t>
      </w:r>
    </w:p>
    <w:p>
      <w:pPr>
        <w:spacing w:line="348" w:lineRule="auto" w:before="30"/>
        <w:ind w:left="671" w:right="1563" w:hanging="1"/>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内部研究开发项目研究阶段的支出，在发生时计入当期损益。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8"/>
        <w:ind w:left="671" w:right="9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8"/>
        <w:ind w:left="671" w:right="9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8" w:lineRule="auto" w:before="117"/>
        <w:ind w:right="198" w:firstLine="531"/>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 无形资产自身存在市场，无形资产将在内部使用的，能够证明其有用性；</w:t>
      </w:r>
    </w:p>
    <w:p>
      <w:pPr>
        <w:pStyle w:val="BodyText"/>
        <w:spacing w:line="336" w:lineRule="auto" w:before="47"/>
        <w:ind w:right="198" w:firstLine="531"/>
        <w:jc w:val="left"/>
      </w:pPr>
      <w:r>
        <w:rPr/>
        <w:t>（</w:t>
      </w:r>
      <w:r>
        <w:rPr>
          <w:rFonts w:ascii="Times New Roman" w:hAnsi="Times New Roman" w:cs="Times New Roman" w:eastAsia="Times New Roman" w:hint="default"/>
        </w:rPr>
        <w:t>4</w:t>
      </w:r>
      <w:r>
        <w:rPr/>
        <w:t>）有足够的技术、财务资源和其他资源支持，以完成该无形资产的开发，并有能力使用 或出售该无形资产；</w:t>
      </w:r>
    </w:p>
    <w:p>
      <w:pPr>
        <w:pStyle w:val="BodyText"/>
        <w:spacing w:line="240" w:lineRule="auto" w:before="50"/>
        <w:ind w:left="671" w:right="96"/>
        <w:jc w:val="left"/>
      </w:pPr>
      <w:r>
        <w:rPr/>
        <w:t>（</w:t>
      </w:r>
      <w:r>
        <w:rPr>
          <w:rFonts w:ascii="Times New Roman" w:hAnsi="Times New Roman" w:cs="Times New Roman" w:eastAsia="Times New Roman" w:hint="default"/>
        </w:rPr>
        <w:t>5</w:t>
      </w:r>
      <w:r>
        <w:rPr/>
        <w:t>）归属于该无形资产开发阶段的支出能够可靠地计量。</w:t>
      </w:r>
    </w:p>
    <w:p>
      <w:pPr>
        <w:spacing w:line="343" w:lineRule="auto" w:before="117"/>
        <w:ind w:left="675" w:right="458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收入</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pStyle w:val="BodyText"/>
        <w:spacing w:line="357" w:lineRule="auto" w:before="17"/>
        <w:ind w:right="105" w:firstLine="540"/>
        <w:jc w:val="both"/>
      </w:pPr>
      <w:r>
        <w:rPr>
          <w:spacing w:val="2"/>
        </w:rPr>
        <w:t>公司已将商品所有权上的主要风险和报酬转移给购买方；公司既没有保留与所有权相联系 </w:t>
      </w:r>
      <w:r>
        <w:rPr/>
        <w:t>的继续管理权，也没有对已售出的商品实施有效控制；收入的金额能够可靠地计量；相关的经济</w:t>
      </w:r>
      <w:r>
        <w:rPr>
          <w:spacing w:val="-97"/>
        </w:rPr>
        <w:t> </w:t>
      </w:r>
      <w:r>
        <w:rPr>
          <w:spacing w:val="-97"/>
        </w:rPr>
      </w:r>
      <w:r>
        <w:rPr>
          <w:spacing w:val="-3"/>
        </w:rPr>
        <w:t>利益很可能流入企业；相关的已发生或将发生的成本能够可靠地计量时，确认商品销售收入实现。</w:t>
      </w:r>
    </w:p>
    <w:p>
      <w:pPr>
        <w:pStyle w:val="BodyText"/>
        <w:spacing w:line="338" w:lineRule="auto" w:before="30"/>
        <w:ind w:right="197" w:firstLine="540"/>
        <w:jc w:val="left"/>
      </w:pPr>
      <w:r>
        <w:rPr/>
        <w:t>考虑公司相关业务流程，本公司</w:t>
      </w:r>
      <w:r>
        <w:rPr>
          <w:spacing w:val="-4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及</w:t>
      </w:r>
      <w:r>
        <w:rPr>
          <w:spacing w:val="-46"/>
        </w:rPr>
        <w:t> </w:t>
      </w:r>
      <w:r>
        <w:rPr>
          <w:rFonts w:ascii="Times New Roman" w:hAnsi="Times New Roman" w:cs="Times New Roman" w:eastAsia="Times New Roman" w:hint="default"/>
        </w:rPr>
        <w:t>TVM</w:t>
      </w:r>
      <w:r>
        <w:rPr>
          <w:rFonts w:ascii="Times New Roman" w:hAnsi="Times New Roman" w:cs="Times New Roman" w:eastAsia="Times New Roman" w:hint="default"/>
          <w:spacing w:val="8"/>
        </w:rPr>
        <w:t> </w:t>
      </w:r>
      <w:r>
        <w:rPr/>
        <w:t>销售收入以取得购买方确认后的到货签收表 作为收入确认的时点。</w:t>
      </w:r>
    </w:p>
    <w:p>
      <w:pPr>
        <w:pStyle w:val="Heading4"/>
        <w:spacing w:line="240" w:lineRule="auto" w:before="47"/>
        <w:ind w:left="677" w:right="96"/>
        <w:jc w:val="left"/>
        <w:rPr>
          <w:b w:val="0"/>
          <w:bCs w:val="0"/>
        </w:rPr>
      </w:pPr>
      <w:r>
        <w:rPr>
          <w:rFonts w:ascii="Times New Roman" w:hAnsi="Times New Roman" w:cs="Times New Roman" w:eastAsia="Times New Roman" w:hint="default"/>
        </w:rPr>
        <w:t>2</w:t>
      </w:r>
      <w:r>
        <w:rPr/>
        <w:t>、确认让渡资产使用权收入的依据</w:t>
      </w:r>
      <w:r>
        <w:rPr>
          <w:b w:val="0"/>
          <w:bCs w:val="0"/>
        </w:rPr>
      </w:r>
    </w:p>
    <w:p>
      <w:pPr>
        <w:spacing w:after="0" w:line="240" w:lineRule="auto"/>
        <w:jc w:val="left"/>
        <w:sectPr>
          <w:pgSz w:w="11910" w:h="16840"/>
          <w:pgMar w:header="400" w:footer="982" w:top="1100" w:bottom="1180" w:left="1660" w:right="1060"/>
        </w:sectPr>
      </w:pPr>
    </w:p>
    <w:p>
      <w:pPr>
        <w:spacing w:line="240" w:lineRule="auto" w:before="2"/>
        <w:rPr>
          <w:rFonts w:ascii="宋体" w:hAnsi="宋体" w:cs="宋体" w:eastAsia="宋体" w:hint="default"/>
          <w:b/>
          <w:bCs/>
          <w:sz w:val="19"/>
          <w:szCs w:val="19"/>
        </w:rPr>
      </w:pPr>
    </w:p>
    <w:p>
      <w:pPr>
        <w:pStyle w:val="BodyText"/>
        <w:spacing w:line="355" w:lineRule="auto" w:before="35"/>
        <w:ind w:right="96" w:firstLine="540"/>
        <w:jc w:val="left"/>
      </w:pPr>
      <w:r>
        <w:rPr>
          <w:spacing w:val="2"/>
        </w:rPr>
        <w:t>与交易相关的经济利益很可能流入企业，收入的金额能够可靠地计量时。分别下列情况确 </w:t>
      </w:r>
      <w:r>
        <w:rPr/>
        <w:t>定让渡资产使用权收入金额：</w:t>
      </w:r>
    </w:p>
    <w:p>
      <w:pPr>
        <w:pStyle w:val="BodyText"/>
        <w:spacing w:line="240" w:lineRule="auto" w:before="33"/>
        <w:ind w:left="679" w:right="96"/>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17"/>
        <w:ind w:left="680" w:right="96"/>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Heading4"/>
        <w:spacing w:line="240" w:lineRule="auto" w:before="118"/>
        <w:ind w:left="680" w:right="96"/>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政府补助</w:t>
      </w:r>
      <w:r>
        <w:rPr>
          <w:b w:val="0"/>
          <w:bCs w:val="0"/>
        </w:rPr>
      </w:r>
    </w:p>
    <w:p>
      <w:pPr>
        <w:pStyle w:val="BodyText"/>
        <w:spacing w:line="338" w:lineRule="auto" w:before="117"/>
        <w:ind w:left="680" w:right="96" w:hanging="3"/>
        <w:jc w:val="left"/>
      </w:pPr>
      <w:r>
        <w:rPr>
          <w:rFonts w:ascii="Times New Roman" w:hAnsi="Times New Roman" w:cs="Times New Roman" w:eastAsia="Times New Roman" w:hint="default"/>
          <w:b/>
          <w:bCs/>
        </w:rPr>
        <w:t>1</w:t>
      </w:r>
      <w:r>
        <w:rPr>
          <w:rFonts w:ascii="宋体" w:hAnsi="宋体" w:cs="宋体" w:eastAsia="宋体" w:hint="default"/>
          <w:b/>
          <w:bCs/>
        </w:rPr>
        <w:t>、类型</w:t>
      </w:r>
      <w:r>
        <w:rPr>
          <w:rFonts w:ascii="宋体" w:hAnsi="宋体" w:cs="宋体" w:eastAsia="宋体" w:hint="default"/>
          <w:b/>
          <w:bCs/>
          <w:spacing w:val="1"/>
          <w:w w:val="99"/>
        </w:rPr>
        <w:t> </w:t>
      </w:r>
      <w:r>
        <w:rPr>
          <w:spacing w:val="2"/>
        </w:rPr>
        <w:t>政府补助，是本公司从政府无偿取得的货币性资产与非货币性资产。分为与资产相关的政</w:t>
      </w:r>
      <w:r>
        <w:rPr/>
      </w:r>
    </w:p>
    <w:p>
      <w:pPr>
        <w:pStyle w:val="BodyText"/>
        <w:spacing w:line="240" w:lineRule="auto" w:before="47"/>
        <w:ind w:right="96"/>
        <w:jc w:val="left"/>
      </w:pPr>
      <w:r>
        <w:rPr/>
        <w:t>府补助和与收益相关的政府补助。</w:t>
      </w:r>
    </w:p>
    <w:p>
      <w:pPr>
        <w:pStyle w:val="BodyText"/>
        <w:spacing w:line="338" w:lineRule="auto" w:before="133"/>
        <w:ind w:left="680" w:right="96" w:hanging="3"/>
        <w:jc w:val="left"/>
      </w:pP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
          <w:w w:val="99"/>
        </w:rPr>
        <w:t> </w:t>
      </w:r>
      <w:r>
        <w:rPr>
          <w:spacing w:val="2"/>
        </w:rPr>
        <w:t>与购建固定资产、无形资产等长期资产相关的政府补助，确认为递延收益，按照所建造或</w:t>
      </w:r>
      <w:r>
        <w:rPr/>
      </w:r>
    </w:p>
    <w:p>
      <w:pPr>
        <w:pStyle w:val="BodyText"/>
        <w:spacing w:line="357" w:lineRule="auto" w:before="47"/>
        <w:ind w:left="680" w:right="96" w:hanging="540"/>
        <w:jc w:val="left"/>
      </w:pPr>
      <w:r>
        <w:rPr/>
        <w:t>购买的资产使用年限分期计入营业外收入； </w:t>
      </w:r>
      <w:r>
        <w:rPr>
          <w:spacing w:val="2"/>
        </w:rPr>
        <w:t>与收益相关的政府补助，用于补偿企业以后期间的相关费用或损失的，取得时确认为递延</w:t>
      </w:r>
      <w:r>
        <w:rPr/>
      </w:r>
    </w:p>
    <w:p>
      <w:pPr>
        <w:pStyle w:val="BodyText"/>
        <w:spacing w:line="357" w:lineRule="auto" w:before="30"/>
        <w:ind w:right="204"/>
        <w:jc w:val="left"/>
      </w:pPr>
      <w:r>
        <w:rPr/>
        <w:t>收益，在确认相关费用的期间计入当期营业外收入；用于补偿企业已发生的相关费用或损失的，</w:t>
      </w:r>
      <w:r>
        <w:rPr>
          <w:spacing w:val="-97"/>
        </w:rPr>
        <w:t> </w:t>
      </w:r>
      <w:r>
        <w:rPr>
          <w:spacing w:val="-97"/>
        </w:rPr>
      </w:r>
      <w:r>
        <w:rPr/>
        <w:t>取得时直接计入当期营业外收入。</w:t>
      </w:r>
    </w:p>
    <w:p>
      <w:pPr>
        <w:pStyle w:val="Heading4"/>
        <w:spacing w:line="240" w:lineRule="auto" w:before="30"/>
        <w:ind w:left="680" w:right="9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递延所得税资产和递延所得税负债</w:t>
      </w:r>
      <w:r>
        <w:rPr>
          <w:b w:val="0"/>
          <w:bCs w:val="0"/>
        </w:rPr>
      </w:r>
    </w:p>
    <w:p>
      <w:pPr>
        <w:spacing w:line="338" w:lineRule="auto" w:before="117"/>
        <w:ind w:left="680" w:right="96"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公司以很可能取得用来抵扣可抵扣暂时性差异的应纳税所得额为限，确认由可抵扣暂时性</w:t>
      </w:r>
      <w:r>
        <w:rPr>
          <w:rFonts w:ascii="宋体" w:hAnsi="宋体" w:cs="宋体" w:eastAsia="宋体" w:hint="default"/>
          <w:sz w:val="21"/>
          <w:szCs w:val="21"/>
        </w:rPr>
      </w:r>
    </w:p>
    <w:p>
      <w:pPr>
        <w:pStyle w:val="BodyText"/>
        <w:spacing w:line="240" w:lineRule="auto" w:before="47"/>
        <w:ind w:right="96"/>
        <w:jc w:val="left"/>
      </w:pPr>
      <w:r>
        <w:rPr/>
        <w:t>差异产生的递延所得税资产。</w:t>
      </w:r>
    </w:p>
    <w:p>
      <w:pPr>
        <w:spacing w:line="336" w:lineRule="auto" w:before="134"/>
        <w:ind w:left="680" w:right="96" w:hanging="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公司将当期与以前期间应交未交的应纳税暂时性差异确认为递延所得税负债。但不包括商</w:t>
      </w:r>
      <w:r>
        <w:rPr>
          <w:rFonts w:ascii="宋体" w:hAnsi="宋体" w:cs="宋体" w:eastAsia="宋体" w:hint="default"/>
          <w:sz w:val="21"/>
          <w:szCs w:val="21"/>
        </w:rPr>
      </w:r>
    </w:p>
    <w:p>
      <w:pPr>
        <w:pStyle w:val="BodyText"/>
        <w:spacing w:line="355" w:lineRule="auto" w:before="50"/>
        <w:ind w:right="204"/>
        <w:jc w:val="left"/>
      </w:pPr>
      <w:r>
        <w:rPr/>
        <w:t>誉、非企业合并形成的交易且该交易发生时既不影响会计利润也不影响应纳税所得额所形成的暂</w:t>
      </w:r>
      <w:r>
        <w:rPr>
          <w:spacing w:val="-97"/>
        </w:rPr>
        <w:t> </w:t>
      </w:r>
      <w:r>
        <w:rPr>
          <w:spacing w:val="-97"/>
        </w:rPr>
      </w:r>
      <w:r>
        <w:rPr/>
        <w:t>时性差异。</w:t>
      </w:r>
    </w:p>
    <w:p>
      <w:pPr>
        <w:pStyle w:val="Heading4"/>
        <w:spacing w:line="240" w:lineRule="auto" w:before="32"/>
        <w:ind w:left="680" w:right="96"/>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经营租赁</w:t>
      </w:r>
      <w:r>
        <w:rPr>
          <w:b w:val="0"/>
          <w:bCs w:val="0"/>
        </w:rPr>
      </w:r>
    </w:p>
    <w:p>
      <w:pPr>
        <w:pStyle w:val="BodyText"/>
        <w:spacing w:line="336" w:lineRule="auto" w:before="118"/>
        <w:ind w:left="139" w:right="103" w:firstLine="540"/>
        <w:jc w:val="left"/>
      </w:pPr>
      <w:r>
        <w:rPr>
          <w:spacing w:val="-3"/>
        </w:rPr>
        <w:t>（</w:t>
      </w:r>
      <w:r>
        <w:rPr>
          <w:rFonts w:ascii="Times New Roman" w:hAnsi="Times New Roman" w:cs="Times New Roman" w:eastAsia="Times New Roman" w:hint="default"/>
          <w:spacing w:val="-3"/>
        </w:rPr>
        <w:t>1</w:t>
      </w:r>
      <w:r>
        <w:rPr>
          <w:spacing w:val="-3"/>
        </w:rPr>
        <w:t>）公司租入资产所支付的租赁费，在不扣除免租期的整个租赁期内，按直线法进行分摊，</w:t>
      </w:r>
      <w:r>
        <w:rPr/>
        <w:t> 计入当期费用。公司支付的与租赁交易相关的初始直接费用，计入当期费用。</w:t>
      </w:r>
    </w:p>
    <w:p>
      <w:pPr>
        <w:pStyle w:val="BodyText"/>
        <w:spacing w:line="355" w:lineRule="auto" w:before="50"/>
        <w:ind w:left="139" w:right="96" w:firstLine="540"/>
        <w:jc w:val="left"/>
      </w:pPr>
      <w:r>
        <w:rPr>
          <w:spacing w:val="2"/>
        </w:rPr>
        <w:t>资产出租方承担了应由公司承担的与租赁相关的费用时，公司将该部分费用从租金总额中 </w:t>
      </w:r>
      <w:r>
        <w:rPr/>
        <w:t>扣除，按扣除后的租金费用在租赁期内分摊，计入当期费用。</w:t>
      </w:r>
    </w:p>
    <w:p>
      <w:pPr>
        <w:pStyle w:val="BodyText"/>
        <w:spacing w:line="345" w:lineRule="auto" w:before="33"/>
        <w:ind w:left="139" w:right="103" w:firstLine="540"/>
        <w:jc w:val="left"/>
      </w:pPr>
      <w:r>
        <w:rPr>
          <w:spacing w:val="-3"/>
        </w:rPr>
        <w:t>（</w:t>
      </w:r>
      <w:r>
        <w:rPr>
          <w:rFonts w:ascii="Times New Roman" w:hAnsi="Times New Roman" w:cs="Times New Roman" w:eastAsia="Times New Roman" w:hint="default"/>
          <w:spacing w:val="-3"/>
        </w:rPr>
        <w:t>2</w:t>
      </w:r>
      <w:r>
        <w:rPr>
          <w:spacing w:val="-3"/>
        </w:rPr>
        <w:t>）公司出租资产所收取的租赁费，在不扣除免租期的整个租赁期内，按直线法进行分摊，</w:t>
      </w:r>
      <w:r>
        <w:rPr/>
        <w:t> 确认为租赁收入。公司支付的与租赁交易相关的初始直接费用，计入当期费用；如金额较大的，</w:t>
      </w:r>
      <w:r>
        <w:rPr>
          <w:spacing w:val="-97"/>
        </w:rPr>
        <w:t> </w:t>
      </w:r>
      <w:r>
        <w:rPr>
          <w:spacing w:val="-97"/>
        </w:rPr>
      </w:r>
      <w:r>
        <w:rPr/>
        <w:t>则予以资本化，在整个租赁期间内按照与租赁收入确认相同的基础分期计入当期收益。</w:t>
      </w:r>
    </w:p>
    <w:p>
      <w:pPr>
        <w:pStyle w:val="BodyText"/>
        <w:spacing w:line="355" w:lineRule="auto" w:before="42"/>
        <w:ind w:left="139" w:right="96" w:firstLine="540"/>
        <w:jc w:val="left"/>
      </w:pPr>
      <w:r>
        <w:rPr>
          <w:spacing w:val="2"/>
        </w:rPr>
        <w:t>公司承担了应由承租方承担的与租赁相关的费用时，公司将该部分费用从租金收入总额中 </w:t>
      </w:r>
      <w:r>
        <w:rPr/>
        <w:t>扣除，按扣除后的租金费用在租赁期内分配。</w:t>
      </w:r>
    </w:p>
    <w:p>
      <w:pPr>
        <w:spacing w:line="240" w:lineRule="auto" w:before="0"/>
        <w:rPr>
          <w:rFonts w:ascii="宋体" w:hAnsi="宋体" w:cs="宋体" w:eastAsia="宋体" w:hint="default"/>
          <w:sz w:val="20"/>
          <w:szCs w:val="20"/>
        </w:rPr>
      </w:pPr>
    </w:p>
    <w:p>
      <w:pPr>
        <w:pStyle w:val="Heading4"/>
        <w:spacing w:line="240" w:lineRule="auto" w:before="134"/>
        <w:ind w:left="678" w:right="96"/>
        <w:jc w:val="left"/>
        <w:rPr>
          <w:b w:val="0"/>
          <w:bCs w:val="0"/>
        </w:rPr>
      </w:pPr>
      <w:r>
        <w:rPr/>
        <w:t>三、税项</w:t>
      </w:r>
      <w:r>
        <w:rPr>
          <w:b w:val="0"/>
          <w:bCs w:val="0"/>
        </w:rPr>
      </w:r>
    </w:p>
    <w:p>
      <w:pPr>
        <w:spacing w:after="0" w:line="240" w:lineRule="auto"/>
        <w:jc w:val="left"/>
        <w:sectPr>
          <w:pgSz w:w="11910" w:h="16840"/>
          <w:pgMar w:header="400" w:footer="982" w:top="1100" w:bottom="1180" w:left="1660" w:right="1060"/>
        </w:sectPr>
      </w:pPr>
    </w:p>
    <w:p>
      <w:pPr>
        <w:spacing w:line="240" w:lineRule="auto" w:before="2"/>
        <w:rPr>
          <w:rFonts w:ascii="宋体" w:hAnsi="宋体" w:cs="宋体" w:eastAsia="宋体" w:hint="default"/>
          <w:b/>
          <w:bCs/>
          <w:sz w:val="19"/>
          <w:szCs w:val="19"/>
        </w:rPr>
      </w:pPr>
    </w:p>
    <w:p>
      <w:pPr>
        <w:spacing w:before="35"/>
        <w:ind w:left="678" w:right="1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470" w:type="dxa"/>
        <w:tblLayout w:type="fixed"/>
        <w:tblCellMar>
          <w:top w:w="0" w:type="dxa"/>
          <w:left w:w="0" w:type="dxa"/>
          <w:bottom w:w="0" w:type="dxa"/>
          <w:right w:w="0" w:type="dxa"/>
        </w:tblCellMar>
        <w:tblLook w:val="01E0"/>
      </w:tblPr>
      <w:tblGrid>
        <w:gridCol w:w="4220"/>
        <w:gridCol w:w="2056"/>
        <w:gridCol w:w="2309"/>
      </w:tblGrid>
      <w:tr>
        <w:trPr>
          <w:trHeight w:val="380" w:hRule="exact"/>
        </w:trPr>
        <w:tc>
          <w:tcPr>
            <w:tcW w:w="4220"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税</w:t>
              <w:tab/>
              <w:t>种</w:t>
            </w:r>
          </w:p>
        </w:tc>
        <w:tc>
          <w:tcPr>
            <w:tcW w:w="20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02"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2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71"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增值额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17%</w:t>
            </w:r>
          </w:p>
        </w:tc>
      </w:tr>
      <w:tr>
        <w:trPr>
          <w:trHeight w:val="37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5%</w:t>
            </w:r>
          </w:p>
        </w:tc>
      </w:tr>
      <w:tr>
        <w:trPr>
          <w:trHeight w:val="37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宋体" w:hAnsi="宋体" w:cs="宋体" w:eastAsia="宋体" w:hint="default"/>
                <w:sz w:val="21"/>
                <w:szCs w:val="21"/>
              </w:rPr>
              <w:t>广州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r>
        <w:trPr>
          <w:trHeight w:val="371"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流转税额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3%</w:t>
            </w:r>
          </w:p>
        </w:tc>
      </w:tr>
      <w:tr>
        <w:trPr>
          <w:trHeight w:val="554"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left="5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广州上半年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0.13%</w:t>
            </w:r>
          </w:p>
          <w:p>
            <w:pPr>
              <w:pStyle w:val="TableParagraph"/>
              <w:spacing w:line="282" w:lineRule="exact"/>
              <w:ind w:left="9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下半年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0.10%</w:t>
            </w:r>
          </w:p>
        </w:tc>
      </w:tr>
      <w:tr>
        <w:trPr>
          <w:trHeight w:val="37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056" w:type="dxa"/>
            <w:tcBorders>
              <w:top w:val="single" w:sz="4" w:space="0" w:color="000000"/>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其中：广州广电运通金融电子股份有限公司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15%</w:t>
            </w:r>
          </w:p>
        </w:tc>
      </w:tr>
      <w:tr>
        <w:trPr>
          <w:trHeight w:val="370" w:hRule="exact"/>
        </w:trPr>
        <w:tc>
          <w:tcPr>
            <w:tcW w:w="4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z w:val="21"/>
              </w:rPr>
              <w:t>25%</w:t>
            </w:r>
          </w:p>
        </w:tc>
      </w:tr>
      <w:tr>
        <w:trPr>
          <w:trHeight w:val="381" w:hRule="exact"/>
        </w:trPr>
        <w:tc>
          <w:tcPr>
            <w:tcW w:w="42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GRG Banking Equipment(HK)</w:t>
            </w:r>
            <w:r>
              <w:rPr>
                <w:rFonts w:ascii="Times New Roman"/>
                <w:spacing w:val="-11"/>
                <w:sz w:val="21"/>
              </w:rPr>
              <w:t> </w:t>
            </w:r>
            <w:r>
              <w:rPr>
                <w:rFonts w:ascii="Times New Roman"/>
                <w:sz w:val="21"/>
              </w:rPr>
              <w:t>Co.,Limited</w:t>
            </w:r>
          </w:p>
        </w:tc>
        <w:tc>
          <w:tcPr>
            <w:tcW w:w="2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3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16.5%</w:t>
            </w:r>
          </w:p>
        </w:tc>
      </w:tr>
    </w:tbl>
    <w:p>
      <w:pPr>
        <w:spacing w:line="240" w:lineRule="auto" w:before="5"/>
        <w:rPr>
          <w:rFonts w:ascii="宋体" w:hAnsi="宋体" w:cs="宋体" w:eastAsia="宋体" w:hint="default"/>
          <w:b/>
          <w:bCs/>
          <w:sz w:val="22"/>
          <w:szCs w:val="22"/>
        </w:rPr>
      </w:pPr>
    </w:p>
    <w:p>
      <w:pPr>
        <w:spacing w:before="35"/>
        <w:ind w:left="682" w:right="1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338" w:lineRule="auto" w:before="117"/>
        <w:ind w:left="139" w:right="231" w:firstLine="420"/>
        <w:jc w:val="both"/>
      </w:pPr>
      <w:r>
        <w:rPr>
          <w:rFonts w:ascii="Times New Roman" w:hAnsi="Times New Roman" w:cs="Times New Roman" w:eastAsia="Times New Roman" w:hint="default"/>
          <w:spacing w:val="-3"/>
        </w:rPr>
        <w:t>1</w:t>
      </w:r>
      <w:r>
        <w:rPr>
          <w:spacing w:val="-3"/>
        </w:rPr>
        <w:t>、增值税：根据</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[2000]18</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文《鼓励软件产业和集成电路产业发展的若干政策》的规</w:t>
      </w:r>
      <w:r>
        <w:rPr/>
        <w:t> </w:t>
      </w:r>
      <w:r>
        <w:rPr>
          <w:spacing w:val="-4"/>
        </w:rPr>
        <w:t>定，对增值税一般纳税人销售其自行开发生产的软件产品，</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9"/>
        </w:rPr>
        <w:t> </w:t>
      </w:r>
      <w:r>
        <w:rPr/>
        <w:t>年前按</w:t>
      </w:r>
      <w:r>
        <w:rPr>
          <w:spacing w:val="-44"/>
        </w:rPr>
        <w:t> </w:t>
      </w:r>
      <w:r>
        <w:rPr>
          <w:rFonts w:ascii="Times New Roman" w:hAnsi="Times New Roman" w:cs="Times New Roman" w:eastAsia="Times New Roman" w:hint="default"/>
        </w:rPr>
        <w:t>17</w:t>
      </w:r>
      <w:r>
        <w:rPr/>
        <w:t>％的法定税率计缴增值</w:t>
      </w:r>
      <w:r>
        <w:rPr>
          <w:spacing w:val="-103"/>
        </w:rPr>
        <w:t> </w:t>
      </w:r>
      <w:r>
        <w:rPr/>
        <w:t>税，以实际税负超过</w:t>
      </w:r>
      <w:r>
        <w:rPr>
          <w:spacing w:val="-55"/>
        </w:rPr>
        <w:t> </w:t>
      </w:r>
      <w:r>
        <w:rPr>
          <w:rFonts w:ascii="Times New Roman" w:hAnsi="Times New Roman" w:cs="Times New Roman" w:eastAsia="Times New Roman" w:hint="default"/>
        </w:rPr>
        <w:t>3</w:t>
      </w:r>
      <w:r>
        <w:rPr/>
        <w:t>％的部分即征即退，自行开发软件实际税负为</w:t>
      </w:r>
      <w:r>
        <w:rPr>
          <w:spacing w:val="-55"/>
        </w:rPr>
        <w:t> </w:t>
      </w:r>
      <w:r>
        <w:rPr>
          <w:rFonts w:ascii="Times New Roman" w:hAnsi="Times New Roman" w:cs="Times New Roman" w:eastAsia="Times New Roman" w:hint="default"/>
        </w:rPr>
        <w:t>3%</w:t>
      </w:r>
      <w:r>
        <w:rPr/>
        <w:t>。</w:t>
      </w:r>
    </w:p>
    <w:p>
      <w:pPr>
        <w:pStyle w:val="BodyText"/>
        <w:spacing w:line="240" w:lineRule="auto" w:before="22"/>
        <w:ind w:left="559" w:right="122"/>
        <w:jc w:val="left"/>
      </w:pPr>
      <w:r>
        <w:rPr>
          <w:rFonts w:ascii="Times New Roman" w:hAnsi="Times New Roman" w:cs="Times New Roman" w:eastAsia="Times New Roman" w:hint="default"/>
        </w:rPr>
        <w:t>2</w:t>
      </w:r>
      <w:r>
        <w:rPr/>
        <w:t>、企业所得税：</w:t>
      </w:r>
    </w:p>
    <w:p>
      <w:pPr>
        <w:pStyle w:val="BodyText"/>
        <w:spacing w:line="336" w:lineRule="auto" w:before="118"/>
        <w:ind w:left="139" w:right="232" w:firstLine="420"/>
        <w:jc w:val="both"/>
      </w:pPr>
      <w:r>
        <w:rPr/>
        <w:t>根据财政部、国家税务总局财税〔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号文的规定，国家规划布局内的重点软件生产企 业，如当年未享受免税优惠的，减按</w:t>
      </w:r>
      <w:r>
        <w:rPr>
          <w:spacing w:val="-55"/>
        </w:rPr>
        <w:t> </w:t>
      </w:r>
      <w:r>
        <w:rPr>
          <w:rFonts w:ascii="Times New Roman" w:hAnsi="Times New Roman" w:cs="Times New Roman" w:eastAsia="Times New Roman" w:hint="default"/>
        </w:rPr>
        <w:t>10</w:t>
      </w:r>
      <w:r>
        <w:rPr/>
        <w:t>％的税率计缴企业所得税。</w:t>
      </w:r>
    </w:p>
    <w:p>
      <w:pPr>
        <w:pStyle w:val="BodyText"/>
        <w:spacing w:line="336" w:lineRule="auto" w:before="25"/>
        <w:ind w:left="139" w:right="122" w:firstLine="420"/>
        <w:jc w:val="left"/>
      </w:pPr>
      <w:r>
        <w:rPr>
          <w:spacing w:val="-5"/>
        </w:rPr>
        <w:t>经国家发展和改革委员会、工业和信息化部、商务部和国家税务总局【发改高技</w:t>
      </w:r>
      <w:r>
        <w:rPr>
          <w:rFonts w:ascii="Times New Roman" w:hAnsi="Times New Roman" w:cs="Times New Roman" w:eastAsia="Times New Roman" w:hint="default"/>
          <w:spacing w:val="-5"/>
        </w:rPr>
        <w:t>[2011]342</w:t>
      </w:r>
      <w:r>
        <w:rPr>
          <w:rFonts w:ascii="Times New Roman" w:hAnsi="Times New Roman" w:cs="Times New Roman" w:eastAsia="Times New Roman" w:hint="default"/>
          <w:spacing w:val="26"/>
        </w:rPr>
        <w:t> </w:t>
      </w:r>
      <w:r>
        <w:rPr/>
        <w:t>号】 文件核准，本公司被评为重点软件企业。</w:t>
      </w:r>
      <w:r>
        <w:rPr>
          <w:rFonts w:ascii="Times New Roman" w:hAnsi="Times New Roman" w:cs="Times New Roman" w:eastAsia="Times New Roman" w:hint="default"/>
        </w:rPr>
        <w:t>2010 </w:t>
      </w:r>
      <w:r>
        <w:rPr/>
        <w:t>年度减按</w:t>
      </w:r>
      <w:r>
        <w:rPr>
          <w:spacing w:val="-56"/>
        </w:rPr>
        <w:t> </w:t>
      </w:r>
      <w:r>
        <w:rPr>
          <w:rFonts w:ascii="Times New Roman" w:hAnsi="Times New Roman" w:cs="Times New Roman" w:eastAsia="Times New Roman" w:hint="default"/>
        </w:rPr>
        <w:t>10%</w:t>
      </w:r>
      <w:r>
        <w:rPr/>
        <w:t>的税率计缴企业所得税。</w:t>
      </w:r>
    </w:p>
    <w:p>
      <w:pPr>
        <w:pStyle w:val="BodyText"/>
        <w:spacing w:line="331" w:lineRule="auto" w:before="151"/>
        <w:ind w:left="139" w:right="229" w:firstLine="420"/>
        <w:jc w:val="both"/>
      </w:pPr>
      <w:r>
        <w:rPr/>
        <w:t>深圳广电银通金融电子科技有限公司于</w:t>
      </w:r>
      <w:r>
        <w:rPr>
          <w:spacing w:val="-6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70"/>
        </w:rPr>
        <w:t> </w:t>
      </w:r>
      <w:r>
        <w:rPr>
          <w:rFonts w:ascii="Times New Roman" w:hAnsi="Times New Roman" w:cs="Times New Roman" w:eastAsia="Times New Roman" w:hint="default"/>
        </w:rPr>
        <w:t>29</w:t>
      </w:r>
      <w:r>
        <w:rPr>
          <w:rFonts w:ascii="Times New Roman" w:hAnsi="Times New Roman" w:cs="Times New Roman" w:eastAsia="Times New Roman" w:hint="default"/>
          <w:spacing w:val="-16"/>
        </w:rPr>
        <w:t> </w:t>
      </w:r>
      <w:r>
        <w:rPr/>
        <w:t>日取得深圳市科技工贸和信息化委员 会等单位颁发的编号为</w:t>
      </w:r>
      <w:r>
        <w:rPr>
          <w:spacing w:val="-51"/>
        </w:rPr>
        <w:t> </w:t>
      </w:r>
      <w:r>
        <w:rPr>
          <w:rFonts w:ascii="Times New Roman" w:hAnsi="Times New Roman" w:cs="Times New Roman" w:eastAsia="Times New Roman" w:hint="default"/>
          <w:spacing w:val="-1"/>
          <w:w w:val="99"/>
        </w:rPr>
        <w:t>GR200944200242</w:t>
      </w:r>
      <w:r>
        <w:rPr>
          <w:rFonts w:ascii="Times New Roman" w:hAnsi="Times New Roman" w:cs="Times New Roman" w:eastAsia="Times New Roman" w:hint="default"/>
          <w:spacing w:val="2"/>
          <w:w w:val="99"/>
        </w:rPr>
        <w:t> </w:t>
      </w:r>
      <w:r>
        <w:rPr>
          <w:spacing w:val="-7"/>
        </w:rPr>
        <w:t>号的《高新技术企业证书》。</w:t>
      </w:r>
      <w:r>
        <w:rPr>
          <w:rFonts w:ascii="Times New Roman" w:hAnsi="Times New Roman" w:cs="Times New Roman" w:eastAsia="Times New Roman" w:hint="default"/>
          <w:spacing w:val="-7"/>
        </w:rPr>
        <w:t>2009</w:t>
      </w:r>
      <w:r>
        <w:rPr>
          <w:rFonts w:ascii="Times New Roman" w:hAnsi="Times New Roman" w:cs="Times New Roman" w:eastAsia="Times New Roman" w:hint="default"/>
          <w:spacing w:val="2"/>
        </w:rPr>
        <w:t> </w:t>
      </w:r>
      <w:r>
        <w:rPr>
          <w:spacing w:val="-1"/>
        </w:rPr>
        <w:t>年度至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年度企业 所得税减按</w:t>
      </w:r>
      <w:r>
        <w:rPr>
          <w:spacing w:val="-54"/>
        </w:rPr>
        <w:t> </w:t>
      </w:r>
      <w:r>
        <w:rPr>
          <w:rFonts w:ascii="Times New Roman" w:hAnsi="Times New Roman" w:cs="Times New Roman" w:eastAsia="Times New Roman" w:hint="default"/>
        </w:rPr>
        <w:t>15%</w:t>
      </w:r>
      <w:r>
        <w:rPr/>
        <w:t>计缴。</w:t>
      </w:r>
    </w:p>
    <w:p>
      <w:pPr>
        <w:spacing w:after="0" w:line="331" w:lineRule="auto"/>
        <w:jc w:val="both"/>
        <w:sectPr>
          <w:pgSz w:w="11910" w:h="16840"/>
          <w:pgMar w:header="400" w:footer="982" w:top="1100" w:bottom="1180" w:left="16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7" w:lineRule="auto" w:before="191"/>
        <w:ind w:left="778" w:right="7902"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b/>
          <w:bCs/>
          <w:spacing w:val="1"/>
          <w:w w:val="99"/>
          <w:sz w:val="21"/>
          <w:szCs w:val="21"/>
        </w:rPr>
        <w:t> </w:t>
      </w:r>
      <w:r>
        <w:rPr>
          <w:rFonts w:ascii="宋体" w:hAnsi="宋体" w:cs="宋体" w:eastAsia="宋体" w:hint="default"/>
          <w:sz w:val="21"/>
          <w:szCs w:val="21"/>
        </w:rPr>
        <w:t>本节下列表式数据中的金额单位，除非特别注明外均为人民币万元。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4"/>
        <w:ind w:left="778" w:right="7902"/>
        <w:jc w:val="left"/>
        <w:rPr>
          <w:b w:val="0"/>
          <w:bCs w:val="0"/>
        </w:rPr>
      </w:pPr>
      <w:r>
        <w:rPr>
          <w:rFonts w:ascii="Times New Roman" w:hAnsi="Times New Roman" w:cs="Times New Roman" w:eastAsia="Times New Roman" w:hint="default"/>
        </w:rPr>
        <w:t>1</w:t>
      </w:r>
      <w:r>
        <w:rPr/>
        <w:t>、</w:t>
      </w:r>
      <w:r>
        <w:rPr>
          <w:spacing w:val="-66"/>
        </w:rPr>
        <w:t> </w:t>
      </w:r>
      <w:r>
        <w:rPr/>
        <w:t>通过设立或投资等方式取得的子公司：</w:t>
      </w:r>
      <w:r>
        <w:rPr>
          <w:b w:val="0"/>
          <w:bCs w:val="0"/>
        </w:rPr>
      </w: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925"/>
        <w:gridCol w:w="925"/>
        <w:gridCol w:w="900"/>
        <w:gridCol w:w="852"/>
        <w:gridCol w:w="942"/>
        <w:gridCol w:w="1433"/>
        <w:gridCol w:w="946"/>
        <w:gridCol w:w="1031"/>
        <w:gridCol w:w="713"/>
        <w:gridCol w:w="714"/>
        <w:gridCol w:w="660"/>
        <w:gridCol w:w="1231"/>
        <w:gridCol w:w="923"/>
        <w:gridCol w:w="1553"/>
      </w:tblGrid>
      <w:tr>
        <w:trPr>
          <w:trHeight w:val="247" w:hRule="exact"/>
        </w:trPr>
        <w:tc>
          <w:tcPr>
            <w:tcW w:w="1925" w:type="dxa"/>
            <w:tcBorders>
              <w:top w:val="single" w:sz="12" w:space="0" w:color="000000"/>
              <w:left w:val="nil" w:sz="6" w:space="0" w:color="auto"/>
              <w:bottom w:val="nil" w:sz="6" w:space="0" w:color="auto"/>
              <w:right w:val="single" w:sz="4" w:space="0" w:color="000000"/>
            </w:tcBorders>
          </w:tcPr>
          <w:p>
            <w:pPr/>
          </w:p>
        </w:tc>
        <w:tc>
          <w:tcPr>
            <w:tcW w:w="925" w:type="dxa"/>
            <w:tcBorders>
              <w:top w:val="single" w:sz="12" w:space="0" w:color="000000"/>
              <w:left w:val="single" w:sz="4" w:space="0" w:color="000000"/>
              <w:bottom w:val="nil" w:sz="6" w:space="0" w:color="auto"/>
              <w:right w:val="single" w:sz="4" w:space="0" w:color="000000"/>
            </w:tcBorders>
          </w:tcPr>
          <w:p>
            <w:pPr/>
          </w:p>
        </w:tc>
        <w:tc>
          <w:tcPr>
            <w:tcW w:w="900" w:type="dxa"/>
            <w:tcBorders>
              <w:top w:val="single" w:sz="12" w:space="0" w:color="000000"/>
              <w:left w:val="single" w:sz="4" w:space="0" w:color="000000"/>
              <w:bottom w:val="nil" w:sz="6" w:space="0" w:color="auto"/>
              <w:right w:val="single" w:sz="4" w:space="0" w:color="000000"/>
            </w:tcBorders>
          </w:tcPr>
          <w:p>
            <w:pPr/>
          </w:p>
        </w:tc>
        <w:tc>
          <w:tcPr>
            <w:tcW w:w="852" w:type="dxa"/>
            <w:tcBorders>
              <w:top w:val="single" w:sz="12" w:space="0" w:color="000000"/>
              <w:left w:val="single" w:sz="4" w:space="0" w:color="000000"/>
              <w:bottom w:val="nil" w:sz="6" w:space="0" w:color="auto"/>
              <w:right w:val="single" w:sz="4" w:space="0" w:color="000000"/>
            </w:tcBorders>
          </w:tcPr>
          <w:p>
            <w:pPr/>
          </w:p>
        </w:tc>
        <w:tc>
          <w:tcPr>
            <w:tcW w:w="942" w:type="dxa"/>
            <w:tcBorders>
              <w:top w:val="single" w:sz="12" w:space="0" w:color="000000"/>
              <w:left w:val="single" w:sz="4" w:space="0" w:color="000000"/>
              <w:bottom w:val="nil" w:sz="6" w:space="0" w:color="auto"/>
              <w:right w:val="single" w:sz="4" w:space="0" w:color="000000"/>
            </w:tcBorders>
          </w:tcPr>
          <w:p>
            <w:pPr/>
          </w:p>
        </w:tc>
        <w:tc>
          <w:tcPr>
            <w:tcW w:w="1433" w:type="dxa"/>
            <w:tcBorders>
              <w:top w:val="single" w:sz="12" w:space="0" w:color="000000"/>
              <w:left w:val="single" w:sz="4" w:space="0" w:color="000000"/>
              <w:bottom w:val="nil" w:sz="6" w:space="0" w:color="auto"/>
              <w:right w:val="single" w:sz="4" w:space="0" w:color="000000"/>
            </w:tcBorders>
          </w:tcPr>
          <w:p>
            <w:pPr/>
          </w:p>
        </w:tc>
        <w:tc>
          <w:tcPr>
            <w:tcW w:w="946" w:type="dxa"/>
            <w:tcBorders>
              <w:top w:val="single" w:sz="12" w:space="0" w:color="000000"/>
              <w:left w:val="single" w:sz="4" w:space="0" w:color="000000"/>
              <w:bottom w:val="nil" w:sz="6" w:space="0" w:color="auto"/>
              <w:right w:val="single" w:sz="4" w:space="0" w:color="000000"/>
            </w:tcBorders>
          </w:tcPr>
          <w:p>
            <w:pPr/>
          </w:p>
        </w:tc>
        <w:tc>
          <w:tcPr>
            <w:tcW w:w="1031" w:type="dxa"/>
            <w:tcBorders>
              <w:top w:val="single" w:sz="12" w:space="0" w:color="000000"/>
              <w:left w:val="single" w:sz="4" w:space="0" w:color="000000"/>
              <w:bottom w:val="nil" w:sz="6" w:space="0" w:color="auto"/>
              <w:right w:val="single" w:sz="4" w:space="0" w:color="000000"/>
            </w:tcBorders>
          </w:tcPr>
          <w:p>
            <w:pPr/>
          </w:p>
        </w:tc>
        <w:tc>
          <w:tcPr>
            <w:tcW w:w="713" w:type="dxa"/>
            <w:tcBorders>
              <w:top w:val="single" w:sz="12" w:space="0" w:color="000000"/>
              <w:left w:val="single" w:sz="4" w:space="0" w:color="000000"/>
              <w:bottom w:val="nil" w:sz="6" w:space="0" w:color="auto"/>
              <w:right w:val="single" w:sz="4" w:space="0" w:color="000000"/>
            </w:tcBorders>
          </w:tcPr>
          <w:p>
            <w:pPr/>
          </w:p>
        </w:tc>
        <w:tc>
          <w:tcPr>
            <w:tcW w:w="714" w:type="dxa"/>
            <w:tcBorders>
              <w:top w:val="single" w:sz="12" w:space="0" w:color="000000"/>
              <w:left w:val="single" w:sz="4" w:space="0" w:color="000000"/>
              <w:bottom w:val="nil" w:sz="6" w:space="0" w:color="auto"/>
              <w:right w:val="single" w:sz="4" w:space="0" w:color="000000"/>
            </w:tcBorders>
          </w:tcPr>
          <w:p>
            <w:pPr/>
          </w:p>
        </w:tc>
        <w:tc>
          <w:tcPr>
            <w:tcW w:w="660" w:type="dxa"/>
            <w:tcBorders>
              <w:top w:val="single" w:sz="12" w:space="0" w:color="000000"/>
              <w:left w:val="single" w:sz="4" w:space="0" w:color="000000"/>
              <w:bottom w:val="nil" w:sz="6" w:space="0" w:color="auto"/>
              <w:right w:val="single" w:sz="4" w:space="0" w:color="000000"/>
            </w:tcBorders>
          </w:tcPr>
          <w:p>
            <w:pPr/>
          </w:p>
        </w:tc>
        <w:tc>
          <w:tcPr>
            <w:tcW w:w="1231" w:type="dxa"/>
            <w:tcBorders>
              <w:top w:val="single" w:sz="12" w:space="0" w:color="000000"/>
              <w:left w:val="single" w:sz="4" w:space="0" w:color="000000"/>
              <w:bottom w:val="nil" w:sz="6" w:space="0" w:color="auto"/>
              <w:right w:val="single" w:sz="4" w:space="0" w:color="000000"/>
            </w:tcBorders>
          </w:tcPr>
          <w:p>
            <w:pPr/>
          </w:p>
        </w:tc>
        <w:tc>
          <w:tcPr>
            <w:tcW w:w="923" w:type="dxa"/>
            <w:tcBorders>
              <w:top w:val="single" w:sz="12" w:space="0" w:color="000000"/>
              <w:left w:val="single" w:sz="4" w:space="0" w:color="000000"/>
              <w:bottom w:val="nil" w:sz="6" w:space="0" w:color="auto"/>
              <w:right w:val="single" w:sz="4" w:space="0" w:color="000000"/>
            </w:tcBorders>
          </w:tcPr>
          <w:p>
            <w:pPr/>
          </w:p>
        </w:tc>
        <w:tc>
          <w:tcPr>
            <w:tcW w:w="1553" w:type="dxa"/>
            <w:tcBorders>
              <w:top w:val="single" w:sz="12" w:space="0" w:color="000000"/>
              <w:left w:val="single" w:sz="4" w:space="0" w:color="000000"/>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1168"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78" w:right="18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1" w:right="23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86" w:right="28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97" w:right="106" w:hanging="90"/>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59" w:right="59"/>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26" w:right="79"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9" w:lineRule="auto"/>
              <w:ind w:left="81" w:right="8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55" w:right="5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95" w:right="0"/>
              <w:jc w:val="both"/>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7" w:lineRule="auto" w:before="1"/>
              <w:ind w:left="95" w:right="95"/>
              <w:jc w:val="both"/>
              <w:rPr>
                <w:rFonts w:ascii="宋体" w:hAnsi="宋体" w:cs="宋体" w:eastAsia="宋体" w:hint="default"/>
                <w:sz w:val="18"/>
                <w:szCs w:val="18"/>
              </w:rPr>
            </w:pPr>
            <w:r>
              <w:rPr>
                <w:rFonts w:ascii="宋体" w:hAnsi="宋体" w:cs="宋体" w:eastAsia="宋体" w:hint="default"/>
                <w:sz w:val="18"/>
                <w:szCs w:val="18"/>
              </w:rPr>
              <w:t>权益中用 于冲减少 数股东损 益的金额</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06" w:lineRule="exact"/>
              <w:ind w:left="51" w:right="0"/>
              <w:jc w:val="both"/>
              <w:rPr>
                <w:rFonts w:ascii="宋体" w:hAnsi="宋体" w:cs="宋体" w:eastAsia="宋体" w:hint="default"/>
                <w:sz w:val="18"/>
                <w:szCs w:val="18"/>
              </w:rPr>
            </w:pPr>
            <w:r>
              <w:rPr>
                <w:rFonts w:ascii="宋体" w:hAnsi="宋体" w:cs="宋体" w:eastAsia="宋体" w:hint="default"/>
                <w:sz w:val="18"/>
                <w:szCs w:val="18"/>
              </w:rPr>
              <w:t>益冲减子公司少数</w:t>
            </w:r>
          </w:p>
          <w:p>
            <w:pPr>
              <w:pStyle w:val="TableParagraph"/>
              <w:spacing w:line="237" w:lineRule="auto"/>
              <w:ind w:left="51" w:right="54"/>
              <w:jc w:val="both"/>
              <w:rPr>
                <w:rFonts w:ascii="宋体" w:hAnsi="宋体" w:cs="宋体" w:eastAsia="宋体" w:hint="default"/>
                <w:sz w:val="18"/>
                <w:szCs w:val="18"/>
              </w:rPr>
            </w:pPr>
            <w:r>
              <w:rPr>
                <w:rFonts w:ascii="宋体" w:hAnsi="宋体" w:cs="宋体" w:eastAsia="宋体" w:hint="default"/>
                <w:sz w:val="18"/>
                <w:szCs w:val="18"/>
              </w:rPr>
              <w:t>股东分担的本期亏 损超过少数股东在 该子公司期初所有 者权益中所享有份</w:t>
            </w:r>
          </w:p>
        </w:tc>
      </w:tr>
      <w:tr>
        <w:trPr>
          <w:trHeight w:val="240" w:hRule="exact"/>
        </w:trPr>
        <w:tc>
          <w:tcPr>
            <w:tcW w:w="1925" w:type="dxa"/>
            <w:tcBorders>
              <w:top w:val="nil" w:sz="6" w:space="0" w:color="auto"/>
              <w:left w:val="nil" w:sz="6" w:space="0" w:color="auto"/>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321" w:right="0"/>
              <w:jc w:val="left"/>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236" w:hRule="exact"/>
        </w:trPr>
        <w:tc>
          <w:tcPr>
            <w:tcW w:w="1925" w:type="dxa"/>
            <w:tcBorders>
              <w:top w:val="single" w:sz="4" w:space="0" w:color="000000"/>
              <w:left w:val="nil" w:sz="6" w:space="0" w:color="auto"/>
              <w:bottom w:val="nil" w:sz="6" w:space="0" w:color="auto"/>
              <w:right w:val="single" w:sz="4" w:space="0" w:color="000000"/>
            </w:tcBorders>
          </w:tcPr>
          <w:p>
            <w:pPr/>
          </w:p>
        </w:tc>
        <w:tc>
          <w:tcPr>
            <w:tcW w:w="92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受银行委</w:t>
            </w:r>
            <w:r>
              <w:rPr>
                <w:rFonts w:ascii="宋体" w:hAnsi="宋体" w:cs="宋体" w:eastAsia="宋体" w:hint="default"/>
                <w:spacing w:val="-62"/>
                <w:sz w:val="18"/>
                <w:szCs w:val="18"/>
              </w:rPr>
              <w:t> </w:t>
            </w:r>
            <w:r>
              <w:rPr>
                <w:rFonts w:ascii="宋体" w:hAnsi="宋体" w:cs="宋体" w:eastAsia="宋体" w:hint="default"/>
                <w:spacing w:val="13"/>
                <w:sz w:val="18"/>
                <w:szCs w:val="18"/>
              </w:rPr>
              <w:t>托对</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single" w:sz="4" w:space="0" w:color="000000"/>
              <w:left w:val="single" w:sz="4" w:space="0" w:color="000000"/>
              <w:bottom w:val="nil" w:sz="6" w:space="0" w:color="auto"/>
              <w:right w:val="single" w:sz="4" w:space="0" w:color="000000"/>
            </w:tcBorders>
          </w:tcPr>
          <w:p>
            <w:pPr/>
          </w:p>
        </w:tc>
        <w:tc>
          <w:tcPr>
            <w:tcW w:w="1031"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自动柜员</w:t>
            </w:r>
            <w:r>
              <w:rPr>
                <w:rFonts w:ascii="宋体" w:hAnsi="宋体" w:cs="宋体" w:eastAsia="宋体" w:hint="default"/>
                <w:spacing w:val="-62"/>
                <w:sz w:val="18"/>
                <w:szCs w:val="18"/>
              </w:rPr>
              <w:t> </w:t>
            </w:r>
            <w:r>
              <w:rPr>
                <w:rFonts w:ascii="宋体" w:hAnsi="宋体" w:cs="宋体" w:eastAsia="宋体" w:hint="default"/>
                <w:spacing w:val="13"/>
                <w:sz w:val="18"/>
                <w:szCs w:val="18"/>
              </w:rPr>
              <w:t>机进</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467"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广州穗通金融服务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8" w:right="0" w:firstLine="9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51" w:right="0"/>
              <w:jc w:val="left"/>
              <w:rPr>
                <w:rFonts w:ascii="Times New Roman" w:hAnsi="Times New Roman" w:cs="Times New Roman" w:eastAsia="Times New Roman" w:hint="default"/>
                <w:sz w:val="18"/>
                <w:szCs w:val="18"/>
              </w:rPr>
            </w:pPr>
            <w:r>
              <w:rPr>
                <w:rFonts w:ascii="Times New Roman"/>
                <w:sz w:val="18"/>
              </w:rPr>
              <w:t>3,000.00</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行维护及管理，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对现金及</w:t>
            </w:r>
            <w:r>
              <w:rPr>
                <w:rFonts w:ascii="宋体" w:hAnsi="宋体" w:cs="宋体" w:eastAsia="宋体" w:hint="default"/>
                <w:spacing w:val="-62"/>
                <w:sz w:val="18"/>
                <w:szCs w:val="18"/>
              </w:rPr>
              <w:t> </w:t>
            </w:r>
            <w:r>
              <w:rPr>
                <w:rFonts w:ascii="宋体" w:hAnsi="宋体" w:cs="宋体" w:eastAsia="宋体" w:hint="default"/>
                <w:spacing w:val="13"/>
                <w:sz w:val="18"/>
                <w:szCs w:val="18"/>
              </w:rPr>
              <w:t>有价</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1,530.00</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0.00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51.00</w:t>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51.00</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1,467.52</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证券提供</w:t>
            </w:r>
            <w:r>
              <w:rPr>
                <w:rFonts w:ascii="宋体" w:hAnsi="宋体" w:cs="宋体" w:eastAsia="宋体" w:hint="default"/>
                <w:spacing w:val="-62"/>
                <w:sz w:val="18"/>
                <w:szCs w:val="18"/>
              </w:rPr>
              <w:t> </w:t>
            </w:r>
            <w:r>
              <w:rPr>
                <w:rFonts w:ascii="宋体" w:hAnsi="宋体" w:cs="宋体" w:eastAsia="宋体" w:hint="default"/>
                <w:spacing w:val="13"/>
                <w:sz w:val="18"/>
                <w:szCs w:val="18"/>
              </w:rPr>
              <w:t>清分</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239" w:hRule="exact"/>
        </w:trPr>
        <w:tc>
          <w:tcPr>
            <w:tcW w:w="1925" w:type="dxa"/>
            <w:tcBorders>
              <w:top w:val="nil" w:sz="6" w:space="0" w:color="auto"/>
              <w:left w:val="nil" w:sz="6" w:space="0" w:color="auto"/>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处理服务</w:t>
            </w:r>
          </w:p>
        </w:tc>
        <w:tc>
          <w:tcPr>
            <w:tcW w:w="946"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
        </w:tc>
      </w:tr>
      <w:tr>
        <w:trPr>
          <w:trHeight w:val="63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579"/>
              <w:jc w:val="left"/>
              <w:rPr>
                <w:rFonts w:ascii="Times New Roman" w:hAnsi="Times New Roman" w:cs="Times New Roman" w:eastAsia="Times New Roman" w:hint="default"/>
                <w:sz w:val="18"/>
                <w:szCs w:val="18"/>
              </w:rPr>
            </w:pPr>
            <w:r>
              <w:rPr>
                <w:rFonts w:ascii="Times New Roman"/>
                <w:sz w:val="18"/>
              </w:rPr>
              <w:t>GRG</w:t>
            </w:r>
            <w:r>
              <w:rPr>
                <w:rFonts w:ascii="Times New Roman"/>
                <w:spacing w:val="-2"/>
                <w:sz w:val="18"/>
              </w:rPr>
              <w:t> </w:t>
            </w:r>
            <w:r>
              <w:rPr>
                <w:rFonts w:ascii="Times New Roman"/>
                <w:sz w:val="18"/>
              </w:rPr>
              <w:t>Banking</w:t>
            </w:r>
            <w:r>
              <w:rPr>
                <w:rFonts w:ascii="Times New Roman"/>
                <w:spacing w:val="-1"/>
                <w:sz w:val="18"/>
              </w:rPr>
              <w:t> </w:t>
            </w:r>
            <w:r>
              <w:rPr>
                <w:rFonts w:ascii="Times New Roman"/>
                <w:sz w:val="18"/>
              </w:rPr>
              <w:t>Equipment</w:t>
            </w:r>
            <w:r>
              <w:rPr>
                <w:rFonts w:ascii="Times New Roman"/>
                <w:spacing w:val="-1"/>
                <w:sz w:val="18"/>
              </w:rPr>
              <w:t> </w:t>
            </w:r>
            <w:r>
              <w:rPr>
                <w:rFonts w:ascii="Times New Roman"/>
                <w:sz w:val="18"/>
              </w:rPr>
              <w:t>(HK)</w:t>
            </w:r>
            <w:r>
              <w:rPr>
                <w:rFonts w:ascii="Times New Roman"/>
                <w:w w:val="99"/>
                <w:sz w:val="18"/>
              </w:rPr>
              <w:t> </w:t>
            </w:r>
            <w:r>
              <w:rPr>
                <w:rFonts w:ascii="Times New Roman"/>
                <w:sz w:val="18"/>
              </w:rPr>
              <w:t>Co.,Limited</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8" w:right="185"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1" w:right="149"/>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9"/>
              <w:ind w:left="286" w:right="103"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美元</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1,237.70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478"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550"/>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Hongkong</w:t>
            </w:r>
            <w:r>
              <w:rPr>
                <w:rFonts w:ascii="Times New Roman"/>
                <w:spacing w:val="-1"/>
                <w:sz w:val="18"/>
              </w:rPr>
              <w:t> </w:t>
            </w:r>
            <w:r>
              <w:rPr>
                <w:rFonts w:ascii="Times New Roman"/>
                <w:sz w:val="18"/>
              </w:rPr>
              <w:t>Mexico, S.A.</w:t>
            </w:r>
            <w:r>
              <w:rPr>
                <w:rFonts w:ascii="Times New Roman"/>
                <w:spacing w:val="-11"/>
                <w:sz w:val="18"/>
              </w:rPr>
              <w:t> </w:t>
            </w:r>
            <w:r>
              <w:rPr>
                <w:rFonts w:ascii="Times New Roman"/>
                <w:sz w:val="18"/>
              </w:rPr>
              <w:t>DE</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firstLine="9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墨西哥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商业及</w:t>
            </w:r>
          </w:p>
          <w:p>
            <w:pPr>
              <w:pStyle w:val="TableParagraph"/>
              <w:spacing w:line="235" w:lineRule="exact"/>
              <w:ind w:left="151"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8" w:lineRule="exact"/>
              <w:ind w:left="286" w:right="0"/>
              <w:jc w:val="left"/>
              <w:rPr>
                <w:rFonts w:ascii="宋体" w:hAnsi="宋体" w:cs="宋体" w:eastAsia="宋体" w:hint="default"/>
                <w:sz w:val="18"/>
                <w:szCs w:val="18"/>
              </w:rPr>
            </w:pPr>
            <w:r>
              <w:rPr>
                <w:rFonts w:ascii="宋体" w:hAnsi="宋体" w:cs="宋体" w:eastAsia="宋体" w:hint="default"/>
                <w:sz w:val="18"/>
                <w:szCs w:val="18"/>
              </w:rPr>
              <w:t>比索</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销售及维</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修服务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17.70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0.00</w:t>
            </w:r>
          </w:p>
        </w:tc>
      </w:tr>
      <w:tr>
        <w:trPr>
          <w:trHeight w:val="684"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22" w:right="486"/>
              <w:jc w:val="left"/>
              <w:rPr>
                <w:rFonts w:ascii="Times New Roman" w:hAnsi="Times New Roman" w:cs="Times New Roman" w:eastAsia="Times New Roman" w:hint="default"/>
                <w:sz w:val="18"/>
                <w:szCs w:val="18"/>
              </w:rPr>
            </w:pPr>
            <w:r>
              <w:rPr>
                <w:rFonts w:ascii="Times New Roman"/>
                <w:sz w:val="18"/>
              </w:rPr>
              <w:t>Global </w:t>
            </w:r>
            <w:r>
              <w:rPr>
                <w:rFonts w:ascii="Times New Roman"/>
                <w:spacing w:val="-7"/>
                <w:sz w:val="18"/>
              </w:rPr>
              <w:t>ATM</w:t>
            </w:r>
            <w:r>
              <w:rPr>
                <w:rFonts w:ascii="Times New Roman"/>
                <w:spacing w:val="-17"/>
                <w:sz w:val="18"/>
              </w:rPr>
              <w:t> </w:t>
            </w:r>
            <w:r>
              <w:rPr>
                <w:rFonts w:ascii="Times New Roman"/>
                <w:sz w:val="18"/>
              </w:rPr>
              <w:t>Parts</w:t>
            </w:r>
            <w:r>
              <w:rPr>
                <w:rFonts w:ascii="Times New Roman"/>
                <w:spacing w:val="-1"/>
                <w:w w:val="99"/>
                <w:sz w:val="18"/>
              </w:rPr>
              <w:t> </w:t>
            </w:r>
            <w:r>
              <w:rPr>
                <w:rFonts w:ascii="Times New Roman"/>
                <w:sz w:val="18"/>
              </w:rPr>
              <w:t>Co.,Limited</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88" w:right="185" w:firstLine="90"/>
              <w:jc w:val="left"/>
              <w:rPr>
                <w:rFonts w:ascii="宋体" w:hAnsi="宋体" w:cs="宋体" w:eastAsia="宋体" w:hint="default"/>
                <w:sz w:val="18"/>
                <w:szCs w:val="18"/>
              </w:rPr>
            </w:pPr>
            <w:r>
              <w:rPr>
                <w:rFonts w:ascii="宋体" w:hAnsi="宋体" w:cs="宋体" w:eastAsia="宋体" w:hint="default"/>
                <w:sz w:val="18"/>
                <w:szCs w:val="18"/>
              </w:rPr>
              <w:t>全资 孙公司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151" w:right="149"/>
              <w:jc w:val="left"/>
              <w:rPr>
                <w:rFonts w:ascii="宋体" w:hAnsi="宋体" w:cs="宋体" w:eastAsia="宋体" w:hint="default"/>
                <w:sz w:val="18"/>
                <w:szCs w:val="18"/>
              </w:rPr>
            </w:pPr>
            <w:r>
              <w:rPr>
                <w:rFonts w:ascii="宋体" w:hAnsi="宋体" w:cs="宋体" w:eastAsia="宋体" w:hint="default"/>
                <w:sz w:val="18"/>
                <w:szCs w:val="18"/>
              </w:rPr>
              <w:t>商业及 服务业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7"/>
              <w:ind w:left="286" w:right="193"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港币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专注开展</w:t>
            </w:r>
            <w:r>
              <w:rPr>
                <w:rFonts w:ascii="宋体" w:hAnsi="宋体" w:cs="宋体" w:eastAsia="宋体" w:hint="default"/>
                <w:spacing w:val="8"/>
                <w:sz w:val="18"/>
                <w:szCs w:val="18"/>
              </w:rPr>
              <w:t> </w:t>
            </w:r>
            <w:r>
              <w:rPr>
                <w:rFonts w:ascii="Times New Roman" w:hAnsi="Times New Roman" w:cs="Times New Roman" w:eastAsia="Times New Roman" w:hint="default"/>
                <w:spacing w:val="-7"/>
                <w:sz w:val="18"/>
                <w:szCs w:val="18"/>
              </w:rPr>
              <w:t>ATM</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备件等服务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6" w:hRule="exact"/>
        </w:trPr>
        <w:tc>
          <w:tcPr>
            <w:tcW w:w="1925" w:type="dxa"/>
            <w:tcBorders>
              <w:top w:val="single" w:sz="4" w:space="0" w:color="000000"/>
              <w:left w:val="nil" w:sz="6" w:space="0" w:color="auto"/>
              <w:bottom w:val="nil" w:sz="6" w:space="0" w:color="auto"/>
              <w:right w:val="single" w:sz="4" w:space="0" w:color="000000"/>
            </w:tcBorders>
          </w:tcPr>
          <w:p>
            <w:pPr/>
          </w:p>
        </w:tc>
        <w:tc>
          <w:tcPr>
            <w:tcW w:w="92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受银行委</w:t>
            </w:r>
            <w:r>
              <w:rPr>
                <w:rFonts w:ascii="宋体" w:hAnsi="宋体" w:cs="宋体" w:eastAsia="宋体" w:hint="default"/>
                <w:spacing w:val="-62"/>
                <w:sz w:val="18"/>
                <w:szCs w:val="18"/>
              </w:rPr>
              <w:t> </w:t>
            </w:r>
            <w:r>
              <w:rPr>
                <w:rFonts w:ascii="宋体" w:hAnsi="宋体" w:cs="宋体" w:eastAsia="宋体" w:hint="default"/>
                <w:spacing w:val="13"/>
                <w:sz w:val="18"/>
                <w:szCs w:val="18"/>
              </w:rPr>
              <w:t>托对</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single" w:sz="4" w:space="0" w:color="000000"/>
              <w:left w:val="single" w:sz="4" w:space="0" w:color="000000"/>
              <w:bottom w:val="nil" w:sz="6" w:space="0" w:color="auto"/>
              <w:right w:val="single" w:sz="4" w:space="0" w:color="000000"/>
            </w:tcBorders>
          </w:tcPr>
          <w:p>
            <w:pPr/>
          </w:p>
        </w:tc>
        <w:tc>
          <w:tcPr>
            <w:tcW w:w="1031"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自动柜员</w:t>
            </w:r>
            <w:r>
              <w:rPr>
                <w:rFonts w:ascii="宋体" w:hAnsi="宋体" w:cs="宋体" w:eastAsia="宋体" w:hint="default"/>
                <w:spacing w:val="-62"/>
                <w:sz w:val="18"/>
                <w:szCs w:val="18"/>
              </w:rPr>
              <w:t> </w:t>
            </w:r>
            <w:r>
              <w:rPr>
                <w:rFonts w:ascii="宋体" w:hAnsi="宋体" w:cs="宋体" w:eastAsia="宋体" w:hint="default"/>
                <w:spacing w:val="13"/>
                <w:sz w:val="18"/>
                <w:szCs w:val="18"/>
              </w:rPr>
              <w:t>机进</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467"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深圳鹏通金融服务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8" w:right="0" w:firstLine="9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4" w:lineRule="exact"/>
              <w:ind w:left="188"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行维护及管理，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对现金及</w:t>
            </w:r>
            <w:r>
              <w:rPr>
                <w:rFonts w:ascii="宋体" w:hAnsi="宋体" w:cs="宋体" w:eastAsia="宋体" w:hint="default"/>
                <w:spacing w:val="-62"/>
                <w:sz w:val="18"/>
                <w:szCs w:val="18"/>
              </w:rPr>
              <w:t> </w:t>
            </w:r>
            <w:r>
              <w:rPr>
                <w:rFonts w:ascii="宋体" w:hAnsi="宋体" w:cs="宋体" w:eastAsia="宋体" w:hint="default"/>
                <w:spacing w:val="13"/>
                <w:sz w:val="18"/>
                <w:szCs w:val="18"/>
              </w:rPr>
              <w:t>有价</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153.00</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0.00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51.00</w:t>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51.00</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140.59</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0.00</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证券提供</w:t>
            </w:r>
            <w:r>
              <w:rPr>
                <w:rFonts w:ascii="宋体" w:hAnsi="宋体" w:cs="宋体" w:eastAsia="宋体" w:hint="default"/>
                <w:spacing w:val="-62"/>
                <w:sz w:val="18"/>
                <w:szCs w:val="18"/>
              </w:rPr>
              <w:t> </w:t>
            </w:r>
            <w:r>
              <w:rPr>
                <w:rFonts w:ascii="宋体" w:hAnsi="宋体" w:cs="宋体" w:eastAsia="宋体" w:hint="default"/>
                <w:spacing w:val="13"/>
                <w:sz w:val="18"/>
                <w:szCs w:val="18"/>
              </w:rPr>
              <w:t>清分</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240" w:hRule="exact"/>
        </w:trPr>
        <w:tc>
          <w:tcPr>
            <w:tcW w:w="1925" w:type="dxa"/>
            <w:tcBorders>
              <w:top w:val="nil" w:sz="6" w:space="0" w:color="auto"/>
              <w:left w:val="nil" w:sz="6" w:space="0" w:color="auto"/>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处理服务</w:t>
            </w:r>
          </w:p>
        </w:tc>
        <w:tc>
          <w:tcPr>
            <w:tcW w:w="946"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
        </w:tc>
      </w:tr>
    </w:tbl>
    <w:p>
      <w:pPr>
        <w:spacing w:after="0"/>
        <w:sectPr>
          <w:headerReference w:type="default" r:id="rId25"/>
          <w:footerReference w:type="default" r:id="rId26"/>
          <w:pgSz w:w="16840" w:h="11910" w:orient="landscape"/>
          <w:pgMar w:header="400" w:footer="978" w:top="1100" w:bottom="1160" w:left="1200" w:right="640"/>
          <w:pgNumType w:start="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1925"/>
        <w:gridCol w:w="925"/>
        <w:gridCol w:w="900"/>
        <w:gridCol w:w="852"/>
        <w:gridCol w:w="942"/>
        <w:gridCol w:w="1433"/>
        <w:gridCol w:w="946"/>
        <w:gridCol w:w="1031"/>
        <w:gridCol w:w="713"/>
        <w:gridCol w:w="714"/>
        <w:gridCol w:w="660"/>
        <w:gridCol w:w="1231"/>
        <w:gridCol w:w="923"/>
        <w:gridCol w:w="1553"/>
      </w:tblGrid>
      <w:tr>
        <w:trPr>
          <w:trHeight w:val="247" w:hRule="exact"/>
        </w:trPr>
        <w:tc>
          <w:tcPr>
            <w:tcW w:w="1925" w:type="dxa"/>
            <w:tcBorders>
              <w:top w:val="single" w:sz="12" w:space="0" w:color="000000"/>
              <w:left w:val="nil" w:sz="6" w:space="0" w:color="auto"/>
              <w:bottom w:val="nil" w:sz="6" w:space="0" w:color="auto"/>
              <w:right w:val="single" w:sz="4" w:space="0" w:color="000000"/>
            </w:tcBorders>
          </w:tcPr>
          <w:p>
            <w:pPr/>
          </w:p>
        </w:tc>
        <w:tc>
          <w:tcPr>
            <w:tcW w:w="925" w:type="dxa"/>
            <w:tcBorders>
              <w:top w:val="single" w:sz="12" w:space="0" w:color="000000"/>
              <w:left w:val="single" w:sz="4" w:space="0" w:color="000000"/>
              <w:bottom w:val="nil" w:sz="6" w:space="0" w:color="auto"/>
              <w:right w:val="single" w:sz="4" w:space="0" w:color="000000"/>
            </w:tcBorders>
          </w:tcPr>
          <w:p>
            <w:pPr/>
          </w:p>
        </w:tc>
        <w:tc>
          <w:tcPr>
            <w:tcW w:w="900" w:type="dxa"/>
            <w:tcBorders>
              <w:top w:val="single" w:sz="12" w:space="0" w:color="000000"/>
              <w:left w:val="single" w:sz="4" w:space="0" w:color="000000"/>
              <w:bottom w:val="nil" w:sz="6" w:space="0" w:color="auto"/>
              <w:right w:val="single" w:sz="4" w:space="0" w:color="000000"/>
            </w:tcBorders>
          </w:tcPr>
          <w:p>
            <w:pPr/>
          </w:p>
        </w:tc>
        <w:tc>
          <w:tcPr>
            <w:tcW w:w="852" w:type="dxa"/>
            <w:tcBorders>
              <w:top w:val="single" w:sz="12" w:space="0" w:color="000000"/>
              <w:left w:val="single" w:sz="4" w:space="0" w:color="000000"/>
              <w:bottom w:val="nil" w:sz="6" w:space="0" w:color="auto"/>
              <w:right w:val="single" w:sz="4" w:space="0" w:color="000000"/>
            </w:tcBorders>
          </w:tcPr>
          <w:p>
            <w:pPr/>
          </w:p>
        </w:tc>
        <w:tc>
          <w:tcPr>
            <w:tcW w:w="942" w:type="dxa"/>
            <w:tcBorders>
              <w:top w:val="single" w:sz="12" w:space="0" w:color="000000"/>
              <w:left w:val="single" w:sz="4" w:space="0" w:color="000000"/>
              <w:bottom w:val="nil" w:sz="6" w:space="0" w:color="auto"/>
              <w:right w:val="single" w:sz="4" w:space="0" w:color="000000"/>
            </w:tcBorders>
          </w:tcPr>
          <w:p>
            <w:pPr/>
          </w:p>
        </w:tc>
        <w:tc>
          <w:tcPr>
            <w:tcW w:w="1433" w:type="dxa"/>
            <w:tcBorders>
              <w:top w:val="single" w:sz="12" w:space="0" w:color="000000"/>
              <w:left w:val="single" w:sz="4" w:space="0" w:color="000000"/>
              <w:bottom w:val="nil" w:sz="6" w:space="0" w:color="auto"/>
              <w:right w:val="single" w:sz="4" w:space="0" w:color="000000"/>
            </w:tcBorders>
          </w:tcPr>
          <w:p>
            <w:pPr/>
          </w:p>
        </w:tc>
        <w:tc>
          <w:tcPr>
            <w:tcW w:w="946" w:type="dxa"/>
            <w:tcBorders>
              <w:top w:val="single" w:sz="12" w:space="0" w:color="000000"/>
              <w:left w:val="single" w:sz="4" w:space="0" w:color="000000"/>
              <w:bottom w:val="nil" w:sz="6" w:space="0" w:color="auto"/>
              <w:right w:val="single" w:sz="4" w:space="0" w:color="000000"/>
            </w:tcBorders>
          </w:tcPr>
          <w:p>
            <w:pPr/>
          </w:p>
        </w:tc>
        <w:tc>
          <w:tcPr>
            <w:tcW w:w="1031" w:type="dxa"/>
            <w:tcBorders>
              <w:top w:val="single" w:sz="12" w:space="0" w:color="000000"/>
              <w:left w:val="single" w:sz="4" w:space="0" w:color="000000"/>
              <w:bottom w:val="nil" w:sz="6" w:space="0" w:color="auto"/>
              <w:right w:val="single" w:sz="4" w:space="0" w:color="000000"/>
            </w:tcBorders>
          </w:tcPr>
          <w:p>
            <w:pPr/>
          </w:p>
        </w:tc>
        <w:tc>
          <w:tcPr>
            <w:tcW w:w="713" w:type="dxa"/>
            <w:tcBorders>
              <w:top w:val="single" w:sz="12" w:space="0" w:color="000000"/>
              <w:left w:val="single" w:sz="4" w:space="0" w:color="000000"/>
              <w:bottom w:val="nil" w:sz="6" w:space="0" w:color="auto"/>
              <w:right w:val="single" w:sz="4" w:space="0" w:color="000000"/>
            </w:tcBorders>
          </w:tcPr>
          <w:p>
            <w:pPr/>
          </w:p>
        </w:tc>
        <w:tc>
          <w:tcPr>
            <w:tcW w:w="714" w:type="dxa"/>
            <w:tcBorders>
              <w:top w:val="single" w:sz="12" w:space="0" w:color="000000"/>
              <w:left w:val="single" w:sz="4" w:space="0" w:color="000000"/>
              <w:bottom w:val="nil" w:sz="6" w:space="0" w:color="auto"/>
              <w:right w:val="single" w:sz="4" w:space="0" w:color="000000"/>
            </w:tcBorders>
          </w:tcPr>
          <w:p>
            <w:pPr/>
          </w:p>
        </w:tc>
        <w:tc>
          <w:tcPr>
            <w:tcW w:w="660" w:type="dxa"/>
            <w:tcBorders>
              <w:top w:val="single" w:sz="12" w:space="0" w:color="000000"/>
              <w:left w:val="single" w:sz="4" w:space="0" w:color="000000"/>
              <w:bottom w:val="nil" w:sz="6" w:space="0" w:color="auto"/>
              <w:right w:val="single" w:sz="4" w:space="0" w:color="000000"/>
            </w:tcBorders>
          </w:tcPr>
          <w:p>
            <w:pPr/>
          </w:p>
        </w:tc>
        <w:tc>
          <w:tcPr>
            <w:tcW w:w="1231" w:type="dxa"/>
            <w:tcBorders>
              <w:top w:val="single" w:sz="12" w:space="0" w:color="000000"/>
              <w:left w:val="single" w:sz="4" w:space="0" w:color="000000"/>
              <w:bottom w:val="nil" w:sz="6" w:space="0" w:color="auto"/>
              <w:right w:val="single" w:sz="4" w:space="0" w:color="000000"/>
            </w:tcBorders>
          </w:tcPr>
          <w:p>
            <w:pPr/>
          </w:p>
        </w:tc>
        <w:tc>
          <w:tcPr>
            <w:tcW w:w="923" w:type="dxa"/>
            <w:tcBorders>
              <w:top w:val="single" w:sz="12" w:space="0" w:color="000000"/>
              <w:left w:val="single" w:sz="4" w:space="0" w:color="000000"/>
              <w:bottom w:val="nil" w:sz="6" w:space="0" w:color="auto"/>
              <w:right w:val="single" w:sz="4" w:space="0" w:color="000000"/>
            </w:tcBorders>
          </w:tcPr>
          <w:p>
            <w:pPr/>
          </w:p>
        </w:tc>
        <w:tc>
          <w:tcPr>
            <w:tcW w:w="1553" w:type="dxa"/>
            <w:tcBorders>
              <w:top w:val="single" w:sz="12" w:space="0" w:color="000000"/>
              <w:left w:val="single" w:sz="4" w:space="0" w:color="000000"/>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1168"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78" w:right="18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1" w:right="23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86" w:right="28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97" w:right="106" w:hanging="90"/>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59" w:right="59"/>
              <w:jc w:val="both"/>
              <w:rPr>
                <w:rFonts w:ascii="宋体" w:hAnsi="宋体" w:cs="宋体" w:eastAsia="宋体" w:hint="default"/>
                <w:sz w:val="18"/>
                <w:szCs w:val="18"/>
              </w:rPr>
            </w:pPr>
            <w:r>
              <w:rPr>
                <w:rFonts w:ascii="宋体" w:hAnsi="宋体" w:cs="宋体" w:eastAsia="宋体" w:hint="default"/>
                <w:sz w:val="18"/>
                <w:szCs w:val="18"/>
              </w:rPr>
              <w:t>实质上构成 对子公司净 投资的其他 项目余额</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26" w:right="79"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52" w:lineRule="auto"/>
              <w:ind w:left="81" w:right="8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55" w:right="53"/>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95" w:right="0"/>
              <w:jc w:val="both"/>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7" w:lineRule="auto" w:before="1"/>
              <w:ind w:left="95" w:right="95"/>
              <w:jc w:val="both"/>
              <w:rPr>
                <w:rFonts w:ascii="宋体" w:hAnsi="宋体" w:cs="宋体" w:eastAsia="宋体" w:hint="default"/>
                <w:sz w:val="18"/>
                <w:szCs w:val="18"/>
              </w:rPr>
            </w:pPr>
            <w:r>
              <w:rPr>
                <w:rFonts w:ascii="宋体" w:hAnsi="宋体" w:cs="宋体" w:eastAsia="宋体" w:hint="default"/>
                <w:sz w:val="18"/>
                <w:szCs w:val="18"/>
              </w:rPr>
              <w:t>权益中用 于冲减少 数股东损 益的金额</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07" w:lineRule="exact"/>
              <w:ind w:left="51" w:right="0"/>
              <w:jc w:val="both"/>
              <w:rPr>
                <w:rFonts w:ascii="宋体" w:hAnsi="宋体" w:cs="宋体" w:eastAsia="宋体" w:hint="default"/>
                <w:sz w:val="18"/>
                <w:szCs w:val="18"/>
              </w:rPr>
            </w:pPr>
            <w:r>
              <w:rPr>
                <w:rFonts w:ascii="宋体" w:hAnsi="宋体" w:cs="宋体" w:eastAsia="宋体" w:hint="default"/>
                <w:sz w:val="18"/>
                <w:szCs w:val="18"/>
              </w:rPr>
              <w:t>益冲减子公司少数</w:t>
            </w:r>
          </w:p>
          <w:p>
            <w:pPr>
              <w:pStyle w:val="TableParagraph"/>
              <w:spacing w:line="237" w:lineRule="auto" w:before="1"/>
              <w:ind w:left="51" w:right="54"/>
              <w:jc w:val="both"/>
              <w:rPr>
                <w:rFonts w:ascii="宋体" w:hAnsi="宋体" w:cs="宋体" w:eastAsia="宋体" w:hint="default"/>
                <w:sz w:val="18"/>
                <w:szCs w:val="18"/>
              </w:rPr>
            </w:pPr>
            <w:r>
              <w:rPr>
                <w:rFonts w:ascii="宋体" w:hAnsi="宋体" w:cs="宋体" w:eastAsia="宋体" w:hint="default"/>
                <w:sz w:val="18"/>
                <w:szCs w:val="18"/>
              </w:rPr>
              <w:t>股东分担的本期亏 损超过少数股东在 该子公司期初所有 者权益中所享有份</w:t>
            </w:r>
          </w:p>
        </w:tc>
      </w:tr>
      <w:tr>
        <w:trPr>
          <w:trHeight w:val="239" w:hRule="exact"/>
        </w:trPr>
        <w:tc>
          <w:tcPr>
            <w:tcW w:w="1925" w:type="dxa"/>
            <w:tcBorders>
              <w:top w:val="nil" w:sz="6" w:space="0" w:color="auto"/>
              <w:left w:val="nil" w:sz="6" w:space="0" w:color="auto"/>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Style w:val="TableParagraph"/>
              <w:spacing w:line="207" w:lineRule="exact"/>
              <w:ind w:left="321" w:right="0"/>
              <w:jc w:val="left"/>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237" w:hRule="exact"/>
        </w:trPr>
        <w:tc>
          <w:tcPr>
            <w:tcW w:w="1925" w:type="dxa"/>
            <w:tcBorders>
              <w:top w:val="single" w:sz="4" w:space="0" w:color="000000"/>
              <w:left w:val="nil" w:sz="6" w:space="0" w:color="auto"/>
              <w:bottom w:val="nil" w:sz="6" w:space="0" w:color="auto"/>
              <w:right w:val="single" w:sz="4" w:space="0" w:color="000000"/>
            </w:tcBorders>
          </w:tcPr>
          <w:p>
            <w:pPr/>
          </w:p>
        </w:tc>
        <w:tc>
          <w:tcPr>
            <w:tcW w:w="92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受银行委</w:t>
            </w:r>
            <w:r>
              <w:rPr>
                <w:rFonts w:ascii="宋体" w:hAnsi="宋体" w:cs="宋体" w:eastAsia="宋体" w:hint="default"/>
                <w:spacing w:val="-62"/>
                <w:sz w:val="18"/>
                <w:szCs w:val="18"/>
              </w:rPr>
              <w:t> </w:t>
            </w:r>
            <w:r>
              <w:rPr>
                <w:rFonts w:ascii="宋体" w:hAnsi="宋体" w:cs="宋体" w:eastAsia="宋体" w:hint="default"/>
                <w:spacing w:val="13"/>
                <w:sz w:val="18"/>
                <w:szCs w:val="18"/>
              </w:rPr>
              <w:t>托对</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single" w:sz="4" w:space="0" w:color="000000"/>
              <w:left w:val="single" w:sz="4" w:space="0" w:color="000000"/>
              <w:bottom w:val="nil" w:sz="6" w:space="0" w:color="auto"/>
              <w:right w:val="single" w:sz="4" w:space="0" w:color="000000"/>
            </w:tcBorders>
          </w:tcPr>
          <w:p>
            <w:pPr/>
          </w:p>
        </w:tc>
        <w:tc>
          <w:tcPr>
            <w:tcW w:w="1031" w:type="dxa"/>
            <w:tcBorders>
              <w:top w:val="single" w:sz="4" w:space="0" w:color="000000"/>
              <w:left w:val="single" w:sz="4" w:space="0" w:color="000000"/>
              <w:bottom w:val="nil" w:sz="6" w:space="0" w:color="auto"/>
              <w:right w:val="single" w:sz="4" w:space="0" w:color="000000"/>
            </w:tcBorders>
          </w:tcPr>
          <w:p>
            <w:pPr/>
          </w:p>
        </w:tc>
        <w:tc>
          <w:tcPr>
            <w:tcW w:w="713"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1231"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自动柜员</w:t>
            </w:r>
            <w:r>
              <w:rPr>
                <w:rFonts w:ascii="宋体" w:hAnsi="宋体" w:cs="宋体" w:eastAsia="宋体" w:hint="default"/>
                <w:spacing w:val="-62"/>
                <w:sz w:val="18"/>
                <w:szCs w:val="18"/>
              </w:rPr>
              <w:t> </w:t>
            </w:r>
            <w:r>
              <w:rPr>
                <w:rFonts w:ascii="宋体" w:hAnsi="宋体" w:cs="宋体" w:eastAsia="宋体" w:hint="default"/>
                <w:spacing w:val="13"/>
                <w:sz w:val="18"/>
                <w:szCs w:val="18"/>
              </w:rPr>
              <w:t>机进</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467" w:hRule="exact"/>
        </w:trPr>
        <w:tc>
          <w:tcPr>
            <w:tcW w:w="1925"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江苏保通金融外包服</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8" w:right="0" w:firstLine="9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5" w:lineRule="exact"/>
              <w:ind w:left="188"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行维护及管理，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对现金及</w:t>
            </w:r>
            <w:r>
              <w:rPr>
                <w:rFonts w:ascii="宋体" w:hAnsi="宋体" w:cs="宋体" w:eastAsia="宋体" w:hint="default"/>
                <w:spacing w:val="-62"/>
                <w:sz w:val="18"/>
                <w:szCs w:val="18"/>
              </w:rPr>
              <w:t> </w:t>
            </w:r>
            <w:r>
              <w:rPr>
                <w:rFonts w:ascii="宋体" w:hAnsi="宋体" w:cs="宋体" w:eastAsia="宋体" w:hint="default"/>
                <w:spacing w:val="13"/>
                <w:sz w:val="18"/>
                <w:szCs w:val="18"/>
              </w:rPr>
              <w:t>有价</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337" w:right="0"/>
              <w:jc w:val="left"/>
              <w:rPr>
                <w:rFonts w:ascii="Times New Roman" w:hAnsi="Times New Roman" w:cs="Times New Roman" w:eastAsia="Times New Roman" w:hint="default"/>
                <w:sz w:val="18"/>
                <w:szCs w:val="18"/>
              </w:rPr>
            </w:pPr>
            <w:r>
              <w:rPr>
                <w:rFonts w:ascii="Times New Roman"/>
                <w:sz w:val="18"/>
              </w:rPr>
              <w:t>275.00</w:t>
            </w:r>
          </w:p>
        </w:tc>
        <w:tc>
          <w:tcPr>
            <w:tcW w:w="1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602" w:right="0"/>
              <w:jc w:val="left"/>
              <w:rPr>
                <w:rFonts w:ascii="Times New Roman" w:hAnsi="Times New Roman" w:cs="Times New Roman" w:eastAsia="Times New Roman" w:hint="default"/>
                <w:sz w:val="18"/>
                <w:szCs w:val="18"/>
              </w:rPr>
            </w:pPr>
            <w:r>
              <w:rPr>
                <w:rFonts w:ascii="Times New Roman"/>
                <w:sz w:val="18"/>
              </w:rPr>
              <w:t>0.00</w:t>
            </w:r>
          </w:p>
        </w:tc>
        <w:tc>
          <w:tcPr>
            <w:tcW w:w="71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sz w:val="18"/>
              </w:rPr>
              <w:t>55.00</w:t>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194" w:right="0"/>
              <w:jc w:val="left"/>
              <w:rPr>
                <w:rFonts w:ascii="Times New Roman" w:hAnsi="Times New Roman" w:cs="Times New Roman" w:eastAsia="Times New Roman" w:hint="default"/>
                <w:sz w:val="18"/>
                <w:szCs w:val="18"/>
              </w:rPr>
            </w:pPr>
            <w:r>
              <w:rPr>
                <w:rFonts w:ascii="Times New Roman"/>
                <w:sz w:val="18"/>
              </w:rPr>
              <w:t>55.00</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224.96</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7"/>
              <w:ind w:left="493" w:right="0"/>
              <w:jc w:val="left"/>
              <w:rPr>
                <w:rFonts w:ascii="Times New Roman" w:hAnsi="Times New Roman" w:cs="Times New Roman" w:eastAsia="Times New Roman" w:hint="default"/>
                <w:sz w:val="18"/>
                <w:szCs w:val="18"/>
              </w:rPr>
            </w:pPr>
            <w:r>
              <w:rPr>
                <w:rFonts w:ascii="Times New Roman"/>
                <w:sz w:val="18"/>
              </w:rPr>
              <w:t>0.00</w:t>
            </w:r>
          </w:p>
        </w:tc>
        <w:tc>
          <w:tcPr>
            <w:tcW w:w="1553" w:type="dxa"/>
            <w:tcBorders>
              <w:top w:val="nil" w:sz="6" w:space="0" w:color="auto"/>
              <w:left w:val="single" w:sz="4" w:space="0" w:color="000000"/>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1925" w:type="dxa"/>
            <w:tcBorders>
              <w:top w:val="nil" w:sz="6" w:space="0" w:color="auto"/>
              <w:left w:val="nil" w:sz="6" w:space="0" w:color="auto"/>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证券提供</w:t>
            </w:r>
            <w:r>
              <w:rPr>
                <w:rFonts w:ascii="宋体" w:hAnsi="宋体" w:cs="宋体" w:eastAsia="宋体" w:hint="default"/>
                <w:spacing w:val="-62"/>
                <w:sz w:val="18"/>
                <w:szCs w:val="18"/>
              </w:rPr>
              <w:t> </w:t>
            </w:r>
            <w:r>
              <w:rPr>
                <w:rFonts w:ascii="宋体" w:hAnsi="宋体" w:cs="宋体" w:eastAsia="宋体" w:hint="default"/>
                <w:spacing w:val="13"/>
                <w:sz w:val="18"/>
                <w:szCs w:val="18"/>
              </w:rPr>
              <w:t>清分</w:t>
            </w:r>
            <w:r>
              <w:rPr>
                <w:rFonts w:ascii="宋体" w:hAnsi="宋体" w:cs="宋体" w:eastAsia="宋体" w:hint="default"/>
                <w:spacing w:val="-63"/>
                <w:sz w:val="18"/>
                <w:szCs w:val="18"/>
              </w:rPr>
              <w:t> </w:t>
            </w:r>
            <w:r>
              <w:rPr>
                <w:rFonts w:ascii="宋体" w:hAnsi="宋体" w:cs="宋体" w:eastAsia="宋体" w:hint="default"/>
                <w:sz w:val="18"/>
                <w:szCs w:val="18"/>
              </w:rPr>
            </w:r>
          </w:p>
        </w:tc>
        <w:tc>
          <w:tcPr>
            <w:tcW w:w="946" w:type="dxa"/>
            <w:tcBorders>
              <w:top w:val="nil" w:sz="6" w:space="0" w:color="auto"/>
              <w:left w:val="single" w:sz="4" w:space="0" w:color="000000"/>
              <w:bottom w:val="nil" w:sz="6" w:space="0" w:color="auto"/>
              <w:right w:val="single" w:sz="4" w:space="0" w:color="000000"/>
            </w:tcBorders>
          </w:tcPr>
          <w:p>
            <w:pPr/>
          </w:p>
        </w:tc>
        <w:tc>
          <w:tcPr>
            <w:tcW w:w="1031" w:type="dxa"/>
            <w:tcBorders>
              <w:top w:val="nil" w:sz="6" w:space="0" w:color="auto"/>
              <w:left w:val="single" w:sz="4" w:space="0" w:color="000000"/>
              <w:bottom w:val="nil" w:sz="6" w:space="0" w:color="auto"/>
              <w:right w:val="single" w:sz="4" w:space="0" w:color="000000"/>
            </w:tcBorders>
          </w:tcPr>
          <w:p>
            <w:pPr/>
          </w:p>
        </w:tc>
        <w:tc>
          <w:tcPr>
            <w:tcW w:w="713" w:type="dxa"/>
            <w:tcBorders>
              <w:top w:val="nil" w:sz="6" w:space="0" w:color="auto"/>
              <w:left w:val="single" w:sz="4" w:space="0" w:color="000000"/>
              <w:bottom w:val="nil" w:sz="6" w:space="0" w:color="auto"/>
              <w:right w:val="single" w:sz="4" w:space="0" w:color="000000"/>
            </w:tcBorders>
          </w:tcPr>
          <w:p>
            <w:pPr/>
          </w:p>
        </w:tc>
        <w:tc>
          <w:tcPr>
            <w:tcW w:w="714"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1231"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nil" w:sz="6" w:space="0" w:color="auto"/>
            </w:tcBorders>
          </w:tcPr>
          <w:p>
            <w:pPr/>
          </w:p>
        </w:tc>
      </w:tr>
      <w:tr>
        <w:trPr>
          <w:trHeight w:val="240" w:hRule="exact"/>
        </w:trPr>
        <w:tc>
          <w:tcPr>
            <w:tcW w:w="1925" w:type="dxa"/>
            <w:tcBorders>
              <w:top w:val="nil" w:sz="6" w:space="0" w:color="auto"/>
              <w:left w:val="nil" w:sz="6" w:space="0" w:color="auto"/>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处理服务</w:t>
            </w:r>
          </w:p>
        </w:tc>
        <w:tc>
          <w:tcPr>
            <w:tcW w:w="946" w:type="dxa"/>
            <w:tcBorders>
              <w:top w:val="nil" w:sz="6" w:space="0" w:color="auto"/>
              <w:left w:val="single" w:sz="4" w:space="0" w:color="000000"/>
              <w:bottom w:val="single" w:sz="4" w:space="0" w:color="000000"/>
              <w:right w:val="single" w:sz="4" w:space="0" w:color="000000"/>
            </w:tcBorders>
          </w:tcPr>
          <w:p>
            <w:pPr/>
          </w:p>
        </w:tc>
        <w:tc>
          <w:tcPr>
            <w:tcW w:w="1031" w:type="dxa"/>
            <w:tcBorders>
              <w:top w:val="nil" w:sz="6" w:space="0" w:color="auto"/>
              <w:left w:val="single" w:sz="4" w:space="0" w:color="000000"/>
              <w:bottom w:val="single" w:sz="4" w:space="0" w:color="000000"/>
              <w:right w:val="single" w:sz="4" w:space="0" w:color="000000"/>
            </w:tcBorders>
          </w:tcPr>
          <w:p>
            <w:pPr/>
          </w:p>
        </w:tc>
        <w:tc>
          <w:tcPr>
            <w:tcW w:w="713"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
        </w:tc>
        <w:tc>
          <w:tcPr>
            <w:tcW w:w="660" w:type="dxa"/>
            <w:tcBorders>
              <w:top w:val="nil" w:sz="6" w:space="0" w:color="auto"/>
              <w:left w:val="single" w:sz="4" w:space="0" w:color="000000"/>
              <w:bottom w:val="single" w:sz="4" w:space="0" w:color="000000"/>
              <w:right w:val="single" w:sz="4" w:space="0" w:color="000000"/>
            </w:tcBorders>
          </w:tcPr>
          <w:p>
            <w:pPr/>
          </w:p>
        </w:tc>
        <w:tc>
          <w:tcPr>
            <w:tcW w:w="1231"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b/>
          <w:bCs/>
          <w:sz w:val="22"/>
          <w:szCs w:val="22"/>
        </w:rPr>
      </w:pPr>
    </w:p>
    <w:p>
      <w:pPr>
        <w:spacing w:before="35"/>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9"/>
          <w:sz w:val="21"/>
          <w:szCs w:val="21"/>
        </w:rPr>
        <w:t> </w:t>
      </w:r>
      <w:r>
        <w:rPr>
          <w:rFonts w:ascii="宋体" w:hAnsi="宋体" w:cs="宋体" w:eastAsia="宋体" w:hint="default"/>
          <w:b/>
          <w:bCs/>
          <w:sz w:val="21"/>
          <w:szCs w:val="21"/>
        </w:rPr>
        <w:t>通过同一控制下企业合并取得的子公司</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746"/>
        <w:gridCol w:w="728"/>
        <w:gridCol w:w="660"/>
        <w:gridCol w:w="824"/>
        <w:gridCol w:w="940"/>
        <w:gridCol w:w="2242"/>
        <w:gridCol w:w="941"/>
        <w:gridCol w:w="1004"/>
        <w:gridCol w:w="788"/>
        <w:gridCol w:w="788"/>
        <w:gridCol w:w="644"/>
        <w:gridCol w:w="850"/>
        <w:gridCol w:w="899"/>
        <w:gridCol w:w="1825"/>
      </w:tblGrid>
      <w:tr>
        <w:trPr>
          <w:trHeight w:val="1421" w:hRule="exact"/>
        </w:trPr>
        <w:tc>
          <w:tcPr>
            <w:tcW w:w="174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79" w:right="86"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6" w:right="22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85" w:right="28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2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95" w:right="103" w:hanging="90"/>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1004"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8"/>
              <w:ind w:left="137" w:right="134"/>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64" w:right="119"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74" w:right="72"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37" w:lineRule="auto"/>
              <w:ind w:left="137" w:right="13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9"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88"/>
              <w:ind w:left="83" w:right="83"/>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825"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before="1"/>
              <w:ind w:left="98" w:right="100"/>
              <w:jc w:val="both"/>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少数股东在该子公司 期初所有者权益中所 享有份额后的余额</w:t>
            </w:r>
          </w:p>
        </w:tc>
      </w:tr>
      <w:tr>
        <w:trPr>
          <w:trHeight w:val="236" w:hRule="exact"/>
        </w:trPr>
        <w:tc>
          <w:tcPr>
            <w:tcW w:w="1746" w:type="dxa"/>
            <w:tcBorders>
              <w:top w:val="single" w:sz="4" w:space="0" w:color="000000"/>
              <w:left w:val="nil" w:sz="6" w:space="0" w:color="auto"/>
              <w:bottom w:val="nil" w:sz="6" w:space="0" w:color="auto"/>
              <w:right w:val="single" w:sz="4" w:space="0" w:color="000000"/>
            </w:tcBorders>
          </w:tcPr>
          <w:p>
            <w:pPr/>
          </w:p>
        </w:tc>
        <w:tc>
          <w:tcPr>
            <w:tcW w:w="728" w:type="dxa"/>
            <w:tcBorders>
              <w:top w:val="single" w:sz="4" w:space="0" w:color="000000"/>
              <w:left w:val="single" w:sz="4" w:space="0" w:color="000000"/>
              <w:bottom w:val="nil" w:sz="6" w:space="0" w:color="auto"/>
              <w:right w:val="single" w:sz="4" w:space="0" w:color="000000"/>
            </w:tcBorders>
          </w:tcPr>
          <w:p>
            <w:pPr/>
          </w:p>
        </w:tc>
        <w:tc>
          <w:tcPr>
            <w:tcW w:w="660" w:type="dxa"/>
            <w:tcBorders>
              <w:top w:val="single" w:sz="4" w:space="0" w:color="000000"/>
              <w:left w:val="single" w:sz="4" w:space="0" w:color="000000"/>
              <w:bottom w:val="nil" w:sz="6" w:space="0" w:color="auto"/>
              <w:right w:val="single" w:sz="4" w:space="0" w:color="000000"/>
            </w:tcBorders>
          </w:tcPr>
          <w:p>
            <w:pPr/>
          </w:p>
        </w:tc>
        <w:tc>
          <w:tcPr>
            <w:tcW w:w="824"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224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pacing w:val="-3"/>
                <w:sz w:val="18"/>
                <w:szCs w:val="18"/>
              </w:rPr>
              <w:t>研发、生产经营金融电子设</w:t>
            </w:r>
          </w:p>
        </w:tc>
        <w:tc>
          <w:tcPr>
            <w:tcW w:w="941"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788" w:type="dxa"/>
            <w:tcBorders>
              <w:top w:val="single" w:sz="4" w:space="0" w:color="000000"/>
              <w:left w:val="single" w:sz="4" w:space="0" w:color="000000"/>
              <w:bottom w:val="nil" w:sz="6" w:space="0" w:color="auto"/>
              <w:right w:val="single" w:sz="4" w:space="0" w:color="000000"/>
            </w:tcBorders>
          </w:tcPr>
          <w:p>
            <w:pPr/>
          </w:p>
        </w:tc>
        <w:tc>
          <w:tcPr>
            <w:tcW w:w="64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99" w:type="dxa"/>
            <w:tcBorders>
              <w:top w:val="single" w:sz="4" w:space="0" w:color="000000"/>
              <w:left w:val="single" w:sz="4" w:space="0" w:color="000000"/>
              <w:bottom w:val="nil" w:sz="6" w:space="0" w:color="auto"/>
              <w:right w:val="single" w:sz="4" w:space="0" w:color="000000"/>
            </w:tcBorders>
          </w:tcPr>
          <w:p>
            <w:pPr/>
          </w:p>
        </w:tc>
        <w:tc>
          <w:tcPr>
            <w:tcW w:w="1825"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1746" w:type="dxa"/>
            <w:tcBorders>
              <w:top w:val="nil" w:sz="6" w:space="0" w:color="auto"/>
              <w:left w:val="nil" w:sz="6" w:space="0" w:color="auto"/>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824"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备；计算机软件开发，计算</w:t>
            </w:r>
          </w:p>
        </w:tc>
        <w:tc>
          <w:tcPr>
            <w:tcW w:w="941"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single" w:sz="4" w:space="0" w:color="000000"/>
            </w:tcBorders>
          </w:tcPr>
          <w:p>
            <w:pPr/>
          </w:p>
        </w:tc>
        <w:tc>
          <w:tcPr>
            <w:tcW w:w="1825"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746" w:type="dxa"/>
            <w:tcBorders>
              <w:top w:val="nil" w:sz="6" w:space="0" w:color="auto"/>
              <w:left w:val="nil" w:sz="6" w:space="0" w:color="auto"/>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824"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机系统集成，计算机设备、</w:t>
            </w:r>
          </w:p>
        </w:tc>
        <w:tc>
          <w:tcPr>
            <w:tcW w:w="941"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single" w:sz="4" w:space="0" w:color="000000"/>
            </w:tcBorders>
          </w:tcPr>
          <w:p>
            <w:pPr/>
          </w:p>
        </w:tc>
        <w:tc>
          <w:tcPr>
            <w:tcW w:w="1825" w:type="dxa"/>
            <w:tcBorders>
              <w:top w:val="nil" w:sz="6" w:space="0" w:color="auto"/>
              <w:left w:val="single" w:sz="4" w:space="0" w:color="000000"/>
              <w:bottom w:val="nil" w:sz="6" w:space="0" w:color="auto"/>
              <w:right w:val="nil" w:sz="6" w:space="0" w:color="auto"/>
            </w:tcBorders>
          </w:tcPr>
          <w:p>
            <w:pPr/>
          </w:p>
        </w:tc>
      </w:tr>
      <w:tr>
        <w:trPr>
          <w:trHeight w:val="700" w:hRule="exact"/>
        </w:trPr>
        <w:tc>
          <w:tcPr>
            <w:tcW w:w="1746" w:type="dxa"/>
            <w:tcBorders>
              <w:top w:val="nil" w:sz="6" w:space="0" w:color="auto"/>
              <w:left w:val="nil" w:sz="6" w:space="0" w:color="auto"/>
              <w:bottom w:val="nil" w:sz="6" w:space="0" w:color="auto"/>
              <w:right w:val="single" w:sz="4" w:space="0" w:color="000000"/>
            </w:tcBorders>
          </w:tcPr>
          <w:p>
            <w:pPr>
              <w:pStyle w:val="TableParagraph"/>
              <w:spacing w:line="232" w:lineRule="exact" w:before="113"/>
              <w:ind w:left="69" w:right="49"/>
              <w:jc w:val="left"/>
              <w:rPr>
                <w:rFonts w:ascii="宋体" w:hAnsi="宋体" w:cs="宋体" w:eastAsia="宋体" w:hint="default"/>
                <w:sz w:val="18"/>
                <w:szCs w:val="18"/>
              </w:rPr>
            </w:pPr>
            <w:r>
              <w:rPr>
                <w:rFonts w:ascii="宋体" w:hAnsi="宋体" w:cs="宋体" w:eastAsia="宋体" w:hint="default"/>
                <w:sz w:val="18"/>
                <w:szCs w:val="18"/>
              </w:rPr>
              <w:t>深圳广电银通金融电 子科技有限公司</w:t>
            </w:r>
          </w:p>
        </w:tc>
        <w:tc>
          <w:tcPr>
            <w:tcW w:w="728"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89" w:right="86"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6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8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6,500.00</w:t>
            </w: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金融电子设备、办公设备、</w:t>
            </w:r>
          </w:p>
          <w:p>
            <w:pPr>
              <w:pStyle w:val="TableParagraph"/>
              <w:spacing w:line="232" w:lineRule="exact" w:before="24"/>
              <w:ind w:left="50" w:right="47"/>
              <w:jc w:val="left"/>
              <w:rPr>
                <w:rFonts w:ascii="宋体" w:hAnsi="宋体" w:cs="宋体" w:eastAsia="宋体" w:hint="default"/>
                <w:sz w:val="18"/>
                <w:szCs w:val="18"/>
              </w:rPr>
            </w:pPr>
            <w:r>
              <w:rPr>
                <w:rFonts w:ascii="宋体" w:hAnsi="宋体" w:cs="宋体" w:eastAsia="宋体" w:hint="default"/>
                <w:spacing w:val="-3"/>
                <w:sz w:val="18"/>
                <w:szCs w:val="18"/>
              </w:rPr>
              <w:t>税控设备的技术开发、技术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咨询、技术服务及租赁；货</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9,467.93</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c>
          <w:tcPr>
            <w:tcW w:w="64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0.00</w:t>
            </w:r>
          </w:p>
        </w:tc>
        <w:tc>
          <w:tcPr>
            <w:tcW w:w="8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0.00</w:t>
            </w:r>
          </w:p>
        </w:tc>
        <w:tc>
          <w:tcPr>
            <w:tcW w:w="182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0.00</w:t>
            </w:r>
          </w:p>
        </w:tc>
      </w:tr>
      <w:tr>
        <w:trPr>
          <w:trHeight w:val="233" w:hRule="exact"/>
        </w:trPr>
        <w:tc>
          <w:tcPr>
            <w:tcW w:w="1746" w:type="dxa"/>
            <w:tcBorders>
              <w:top w:val="nil" w:sz="6" w:space="0" w:color="auto"/>
              <w:left w:val="nil" w:sz="6" w:space="0" w:color="auto"/>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824"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pacing w:val="-3"/>
                <w:sz w:val="18"/>
                <w:szCs w:val="18"/>
              </w:rPr>
              <w:t>物及技术进出口；接受合法</w:t>
            </w:r>
          </w:p>
        </w:tc>
        <w:tc>
          <w:tcPr>
            <w:tcW w:w="941"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single" w:sz="4" w:space="0" w:color="000000"/>
            </w:tcBorders>
          </w:tcPr>
          <w:p>
            <w:pPr/>
          </w:p>
        </w:tc>
        <w:tc>
          <w:tcPr>
            <w:tcW w:w="1825" w:type="dxa"/>
            <w:tcBorders>
              <w:top w:val="nil" w:sz="6" w:space="0" w:color="auto"/>
              <w:left w:val="single" w:sz="4" w:space="0" w:color="000000"/>
              <w:bottom w:val="nil" w:sz="6" w:space="0" w:color="auto"/>
              <w:right w:val="nil" w:sz="6" w:space="0" w:color="auto"/>
            </w:tcBorders>
          </w:tcPr>
          <w:p>
            <w:pPr/>
          </w:p>
        </w:tc>
      </w:tr>
      <w:tr>
        <w:trPr>
          <w:trHeight w:val="233" w:hRule="exact"/>
        </w:trPr>
        <w:tc>
          <w:tcPr>
            <w:tcW w:w="1746" w:type="dxa"/>
            <w:tcBorders>
              <w:top w:val="nil" w:sz="6" w:space="0" w:color="auto"/>
              <w:left w:val="nil" w:sz="6" w:space="0" w:color="auto"/>
              <w:bottom w:val="nil" w:sz="6" w:space="0" w:color="auto"/>
              <w:right w:val="single" w:sz="4" w:space="0" w:color="000000"/>
            </w:tcBorders>
          </w:tcPr>
          <w:p>
            <w:pPr/>
          </w:p>
        </w:tc>
        <w:tc>
          <w:tcPr>
            <w:tcW w:w="728" w:type="dxa"/>
            <w:tcBorders>
              <w:top w:val="nil" w:sz="6" w:space="0" w:color="auto"/>
              <w:left w:val="single" w:sz="4" w:space="0" w:color="000000"/>
              <w:bottom w:val="nil" w:sz="6" w:space="0" w:color="auto"/>
              <w:right w:val="single" w:sz="4" w:space="0" w:color="000000"/>
            </w:tcBorders>
          </w:tcPr>
          <w:p>
            <w:pPr/>
          </w:p>
        </w:tc>
        <w:tc>
          <w:tcPr>
            <w:tcW w:w="660" w:type="dxa"/>
            <w:tcBorders>
              <w:top w:val="nil" w:sz="6" w:space="0" w:color="auto"/>
              <w:left w:val="single" w:sz="4" w:space="0" w:color="000000"/>
              <w:bottom w:val="nil" w:sz="6" w:space="0" w:color="auto"/>
              <w:right w:val="single" w:sz="4" w:space="0" w:color="000000"/>
            </w:tcBorders>
          </w:tcPr>
          <w:p>
            <w:pPr/>
          </w:p>
        </w:tc>
        <w:tc>
          <w:tcPr>
            <w:tcW w:w="824" w:type="dxa"/>
            <w:tcBorders>
              <w:top w:val="nil" w:sz="6" w:space="0" w:color="auto"/>
              <w:left w:val="single" w:sz="4" w:space="0" w:color="000000"/>
              <w:bottom w:val="nil" w:sz="6" w:space="0" w:color="auto"/>
              <w:right w:val="single" w:sz="4" w:space="0" w:color="000000"/>
            </w:tcBorders>
          </w:tcPr>
          <w:p>
            <w:pPr/>
          </w:p>
        </w:tc>
        <w:tc>
          <w:tcPr>
            <w:tcW w:w="940" w:type="dxa"/>
            <w:tcBorders>
              <w:top w:val="nil" w:sz="6" w:space="0" w:color="auto"/>
              <w:left w:val="single" w:sz="4" w:space="0" w:color="000000"/>
              <w:bottom w:val="nil" w:sz="6" w:space="0" w:color="auto"/>
              <w:right w:val="single" w:sz="4" w:space="0" w:color="000000"/>
            </w:tcBorders>
          </w:tcPr>
          <w:p>
            <w:pPr/>
          </w:p>
        </w:tc>
        <w:tc>
          <w:tcPr>
            <w:tcW w:w="224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委托对现金及有价证券提</w:t>
            </w:r>
          </w:p>
        </w:tc>
        <w:tc>
          <w:tcPr>
            <w:tcW w:w="941" w:type="dxa"/>
            <w:tcBorders>
              <w:top w:val="nil" w:sz="6" w:space="0" w:color="auto"/>
              <w:left w:val="single" w:sz="4" w:space="0" w:color="000000"/>
              <w:bottom w:val="nil" w:sz="6" w:space="0" w:color="auto"/>
              <w:right w:val="single" w:sz="4" w:space="0" w:color="000000"/>
            </w:tcBorders>
          </w:tcPr>
          <w:p>
            <w:pPr/>
          </w:p>
        </w:tc>
        <w:tc>
          <w:tcPr>
            <w:tcW w:w="1004"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788" w:type="dxa"/>
            <w:tcBorders>
              <w:top w:val="nil" w:sz="6" w:space="0" w:color="auto"/>
              <w:left w:val="single" w:sz="4" w:space="0" w:color="000000"/>
              <w:bottom w:val="nil" w:sz="6" w:space="0" w:color="auto"/>
              <w:right w:val="single" w:sz="4" w:space="0" w:color="000000"/>
            </w:tcBorders>
          </w:tcPr>
          <w:p>
            <w:pPr/>
          </w:p>
        </w:tc>
        <w:tc>
          <w:tcPr>
            <w:tcW w:w="64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99" w:type="dxa"/>
            <w:tcBorders>
              <w:top w:val="nil" w:sz="6" w:space="0" w:color="auto"/>
              <w:left w:val="single" w:sz="4" w:space="0" w:color="000000"/>
              <w:bottom w:val="nil" w:sz="6" w:space="0" w:color="auto"/>
              <w:right w:val="single" w:sz="4" w:space="0" w:color="000000"/>
            </w:tcBorders>
          </w:tcPr>
          <w:p>
            <w:pPr/>
          </w:p>
        </w:tc>
        <w:tc>
          <w:tcPr>
            <w:tcW w:w="1825" w:type="dxa"/>
            <w:tcBorders>
              <w:top w:val="nil" w:sz="6" w:space="0" w:color="auto"/>
              <w:left w:val="single" w:sz="4" w:space="0" w:color="000000"/>
              <w:bottom w:val="nil" w:sz="6" w:space="0" w:color="auto"/>
              <w:right w:val="nil" w:sz="6" w:space="0" w:color="auto"/>
            </w:tcBorders>
          </w:tcPr>
          <w:p>
            <w:pPr/>
          </w:p>
        </w:tc>
      </w:tr>
      <w:tr>
        <w:trPr>
          <w:trHeight w:val="251" w:hRule="exact"/>
        </w:trPr>
        <w:tc>
          <w:tcPr>
            <w:tcW w:w="1746" w:type="dxa"/>
            <w:tcBorders>
              <w:top w:val="nil" w:sz="6" w:space="0" w:color="auto"/>
              <w:left w:val="nil" w:sz="6" w:space="0" w:color="auto"/>
              <w:bottom w:val="single" w:sz="12" w:space="0" w:color="000000"/>
              <w:right w:val="single" w:sz="4" w:space="0" w:color="000000"/>
            </w:tcBorders>
          </w:tcPr>
          <w:p>
            <w:pPr/>
          </w:p>
        </w:tc>
        <w:tc>
          <w:tcPr>
            <w:tcW w:w="728" w:type="dxa"/>
            <w:tcBorders>
              <w:top w:val="nil" w:sz="6" w:space="0" w:color="auto"/>
              <w:left w:val="single" w:sz="4" w:space="0" w:color="000000"/>
              <w:bottom w:val="single" w:sz="12" w:space="0" w:color="000000"/>
              <w:right w:val="single" w:sz="4" w:space="0" w:color="000000"/>
            </w:tcBorders>
          </w:tcPr>
          <w:p>
            <w:pPr/>
          </w:p>
        </w:tc>
        <w:tc>
          <w:tcPr>
            <w:tcW w:w="660" w:type="dxa"/>
            <w:tcBorders>
              <w:top w:val="nil" w:sz="6" w:space="0" w:color="auto"/>
              <w:left w:val="single" w:sz="4" w:space="0" w:color="000000"/>
              <w:bottom w:val="single" w:sz="12" w:space="0" w:color="000000"/>
              <w:right w:val="single" w:sz="4" w:space="0" w:color="000000"/>
            </w:tcBorders>
          </w:tcPr>
          <w:p>
            <w:pPr/>
          </w:p>
        </w:tc>
        <w:tc>
          <w:tcPr>
            <w:tcW w:w="824" w:type="dxa"/>
            <w:tcBorders>
              <w:top w:val="nil" w:sz="6" w:space="0" w:color="auto"/>
              <w:left w:val="single" w:sz="4" w:space="0" w:color="000000"/>
              <w:bottom w:val="single" w:sz="12" w:space="0" w:color="000000"/>
              <w:right w:val="single" w:sz="4" w:space="0" w:color="000000"/>
            </w:tcBorders>
          </w:tcPr>
          <w:p>
            <w:pPr/>
          </w:p>
        </w:tc>
        <w:tc>
          <w:tcPr>
            <w:tcW w:w="940" w:type="dxa"/>
            <w:tcBorders>
              <w:top w:val="nil" w:sz="6" w:space="0" w:color="auto"/>
              <w:left w:val="single" w:sz="4" w:space="0" w:color="000000"/>
              <w:bottom w:val="single" w:sz="12" w:space="0" w:color="000000"/>
              <w:right w:val="single" w:sz="4" w:space="0" w:color="000000"/>
            </w:tcBorders>
          </w:tcPr>
          <w:p>
            <w:pPr/>
          </w:p>
        </w:tc>
        <w:tc>
          <w:tcPr>
            <w:tcW w:w="2242" w:type="dxa"/>
            <w:tcBorders>
              <w:top w:val="nil" w:sz="6" w:space="0" w:color="auto"/>
              <w:left w:val="single" w:sz="4" w:space="0" w:color="000000"/>
              <w:bottom w:val="single" w:sz="12"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供清分处理服务。</w:t>
            </w:r>
          </w:p>
        </w:tc>
        <w:tc>
          <w:tcPr>
            <w:tcW w:w="941" w:type="dxa"/>
            <w:tcBorders>
              <w:top w:val="nil" w:sz="6" w:space="0" w:color="auto"/>
              <w:left w:val="single" w:sz="4" w:space="0" w:color="000000"/>
              <w:bottom w:val="single" w:sz="12" w:space="0" w:color="000000"/>
              <w:right w:val="single" w:sz="4" w:space="0" w:color="000000"/>
            </w:tcBorders>
          </w:tcPr>
          <w:p>
            <w:pPr/>
          </w:p>
        </w:tc>
        <w:tc>
          <w:tcPr>
            <w:tcW w:w="1004" w:type="dxa"/>
            <w:tcBorders>
              <w:top w:val="nil" w:sz="6" w:space="0" w:color="auto"/>
              <w:left w:val="single" w:sz="4" w:space="0" w:color="000000"/>
              <w:bottom w:val="single" w:sz="12" w:space="0" w:color="000000"/>
              <w:right w:val="single" w:sz="4" w:space="0" w:color="000000"/>
            </w:tcBorders>
          </w:tcPr>
          <w:p>
            <w:pPr/>
          </w:p>
        </w:tc>
        <w:tc>
          <w:tcPr>
            <w:tcW w:w="788" w:type="dxa"/>
            <w:tcBorders>
              <w:top w:val="nil" w:sz="6" w:space="0" w:color="auto"/>
              <w:left w:val="single" w:sz="4" w:space="0" w:color="000000"/>
              <w:bottom w:val="single" w:sz="12" w:space="0" w:color="000000"/>
              <w:right w:val="single" w:sz="4" w:space="0" w:color="000000"/>
            </w:tcBorders>
          </w:tcPr>
          <w:p>
            <w:pPr/>
          </w:p>
        </w:tc>
        <w:tc>
          <w:tcPr>
            <w:tcW w:w="788" w:type="dxa"/>
            <w:tcBorders>
              <w:top w:val="nil" w:sz="6" w:space="0" w:color="auto"/>
              <w:left w:val="single" w:sz="4" w:space="0" w:color="000000"/>
              <w:bottom w:val="single" w:sz="12" w:space="0" w:color="000000"/>
              <w:right w:val="single" w:sz="4" w:space="0" w:color="000000"/>
            </w:tcBorders>
          </w:tcPr>
          <w:p>
            <w:pPr/>
          </w:p>
        </w:tc>
        <w:tc>
          <w:tcPr>
            <w:tcW w:w="644" w:type="dxa"/>
            <w:tcBorders>
              <w:top w:val="nil" w:sz="6" w:space="0" w:color="auto"/>
              <w:left w:val="single" w:sz="4" w:space="0" w:color="000000"/>
              <w:bottom w:val="single" w:sz="12" w:space="0" w:color="000000"/>
              <w:right w:val="single" w:sz="4" w:space="0" w:color="000000"/>
            </w:tcBorders>
          </w:tcPr>
          <w:p>
            <w:pPr/>
          </w:p>
        </w:tc>
        <w:tc>
          <w:tcPr>
            <w:tcW w:w="850" w:type="dxa"/>
            <w:tcBorders>
              <w:top w:val="nil" w:sz="6" w:space="0" w:color="auto"/>
              <w:left w:val="single" w:sz="4" w:space="0" w:color="000000"/>
              <w:bottom w:val="single" w:sz="12" w:space="0" w:color="000000"/>
              <w:right w:val="single" w:sz="4" w:space="0" w:color="000000"/>
            </w:tcBorders>
          </w:tcPr>
          <w:p>
            <w:pPr/>
          </w:p>
        </w:tc>
        <w:tc>
          <w:tcPr>
            <w:tcW w:w="899" w:type="dxa"/>
            <w:tcBorders>
              <w:top w:val="nil" w:sz="6" w:space="0" w:color="auto"/>
              <w:left w:val="single" w:sz="4" w:space="0" w:color="000000"/>
              <w:bottom w:val="single" w:sz="12" w:space="0" w:color="000000"/>
              <w:right w:val="single" w:sz="4" w:space="0" w:color="000000"/>
            </w:tcBorders>
          </w:tcPr>
          <w:p>
            <w:pPr/>
          </w:p>
        </w:tc>
        <w:tc>
          <w:tcPr>
            <w:tcW w:w="1825" w:type="dxa"/>
            <w:tcBorders>
              <w:top w:val="nil" w:sz="6" w:space="0" w:color="auto"/>
              <w:left w:val="single" w:sz="4" w:space="0" w:color="000000"/>
              <w:bottom w:val="single" w:sz="12" w:space="0" w:color="000000"/>
              <w:right w:val="nil" w:sz="6" w:space="0" w:color="auto"/>
            </w:tcBorders>
          </w:tcPr>
          <w:p>
            <w:pPr/>
          </w:p>
        </w:tc>
      </w:tr>
    </w:tbl>
    <w:p>
      <w:pPr>
        <w:spacing w:after="0"/>
        <w:sectPr>
          <w:pgSz w:w="16840" w:h="11910" w:orient="landscape"/>
          <w:pgMar w:header="400" w:footer="978" w:top="1100" w:bottom="1160" w:left="1200" w:right="500"/>
        </w:sectPr>
      </w:pPr>
    </w:p>
    <w:p>
      <w:pPr>
        <w:spacing w:line="240" w:lineRule="auto" w:before="2"/>
        <w:rPr>
          <w:rFonts w:ascii="宋体" w:hAnsi="宋体" w:cs="宋体" w:eastAsia="宋体" w:hint="default"/>
          <w:b/>
          <w:bCs/>
          <w:sz w:val="19"/>
          <w:szCs w:val="19"/>
        </w:rPr>
      </w:pPr>
    </w:p>
    <w:p>
      <w:pPr>
        <w:pStyle w:val="Heading4"/>
        <w:spacing w:line="240" w:lineRule="auto"/>
        <w:ind w:left="680" w:right="10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合并范围发生变更的说明</w:t>
      </w:r>
      <w:r>
        <w:rPr>
          <w:b w:val="0"/>
          <w:bCs w:val="0"/>
        </w:rPr>
      </w:r>
    </w:p>
    <w:p>
      <w:pPr>
        <w:pStyle w:val="BodyText"/>
        <w:spacing w:line="240" w:lineRule="auto" w:before="117"/>
        <w:ind w:left="680" w:right="103"/>
        <w:jc w:val="left"/>
      </w:pPr>
      <w:r>
        <w:rPr/>
        <w:t>与上年相比本年新增合并单位</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家，原因为：本期新设立三家孙公司。</w:t>
      </w:r>
    </w:p>
    <w:p>
      <w:pPr>
        <w:spacing w:before="118"/>
        <w:ind w:left="680" w:right="103"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18"/>
          <w:szCs w:val="18"/>
        </w:rPr>
        <w:t>Global </w:t>
      </w: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z w:val="18"/>
          <w:szCs w:val="18"/>
        </w:rPr>
        <w:t>Parts Co.,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Limited</w:t>
      </w:r>
    </w:p>
    <w:p>
      <w:pPr>
        <w:pStyle w:val="BodyText"/>
        <w:spacing w:line="338" w:lineRule="auto" w:before="117"/>
        <w:ind w:left="139" w:right="103" w:firstLine="540"/>
        <w:jc w:val="left"/>
      </w:pPr>
      <w:r>
        <w:rPr>
          <w:rFonts w:ascii="Times New Roman" w:hAnsi="Times New Roman" w:cs="Times New Roman" w:eastAsia="Times New Roman" w:hint="default"/>
        </w:rPr>
        <w:t>Global</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9"/>
        </w:rPr>
        <w:t> </w:t>
      </w:r>
      <w:r>
        <w:rPr>
          <w:rFonts w:ascii="Times New Roman" w:hAnsi="Times New Roman" w:cs="Times New Roman" w:eastAsia="Times New Roman" w:hint="default"/>
        </w:rPr>
        <w:t>Parts</w:t>
      </w:r>
      <w:r>
        <w:rPr>
          <w:rFonts w:ascii="Times New Roman" w:hAnsi="Times New Roman" w:cs="Times New Roman" w:eastAsia="Times New Roman" w:hint="default"/>
          <w:spacing w:val="11"/>
        </w:rPr>
        <w:t> </w:t>
      </w:r>
      <w:r>
        <w:rPr>
          <w:rFonts w:ascii="Times New Roman" w:hAnsi="Times New Roman" w:cs="Times New Roman" w:eastAsia="Times New Roman" w:hint="default"/>
        </w:rPr>
        <w:t>Co.,</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成立于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日，注册资本为</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万港元，投资总 额为 </w:t>
      </w:r>
      <w:r>
        <w:rPr>
          <w:rFonts w:ascii="Times New Roman" w:hAnsi="Times New Roman" w:cs="Times New Roman" w:eastAsia="Times New Roman" w:hint="default"/>
        </w:rPr>
        <w:t>2.00 </w:t>
      </w:r>
      <w:r>
        <w:rPr/>
        <w:t>万港元。其中本公司的全资子公司 </w:t>
      </w:r>
      <w:r>
        <w:rPr>
          <w:rFonts w:ascii="Times New Roman" w:hAnsi="Times New Roman" w:cs="Times New Roman" w:eastAsia="Times New Roman" w:hint="default"/>
        </w:rPr>
        <w:t>GRG Banking Equipment(HK) Co.,Limited</w:t>
      </w:r>
      <w:r>
        <w:rPr>
          <w:rFonts w:ascii="Times New Roman" w:hAnsi="Times New Roman" w:cs="Times New Roman" w:eastAsia="Times New Roman" w:hint="default"/>
          <w:spacing w:val="8"/>
        </w:rPr>
        <w:t> </w:t>
      </w:r>
      <w:r>
        <w:rPr/>
        <w:t>出资港元</w:t>
      </w:r>
    </w:p>
    <w:p>
      <w:pPr>
        <w:pStyle w:val="BodyText"/>
        <w:spacing w:line="338" w:lineRule="auto" w:before="22"/>
        <w:ind w:left="139" w:right="103" w:hanging="1"/>
        <w:jc w:val="left"/>
      </w:pPr>
      <w:r>
        <w:rPr>
          <w:rFonts w:ascii="Times New Roman" w:hAnsi="Times New Roman" w:cs="Times New Roman" w:eastAsia="Times New Roman" w:hint="default"/>
        </w:rPr>
        <w:t>2.00 </w:t>
      </w:r>
      <w:r>
        <w:rPr/>
        <w:t>万元，占股比 </w:t>
      </w:r>
      <w:r>
        <w:rPr>
          <w:rFonts w:ascii="Times New Roman" w:hAnsi="Times New Roman" w:cs="Times New Roman" w:eastAsia="Times New Roman" w:hint="default"/>
        </w:rPr>
        <w:t>100%</w:t>
      </w:r>
      <w:r>
        <w:rPr/>
        <w:t>。注册地址为 </w:t>
      </w:r>
      <w:r>
        <w:rPr>
          <w:rFonts w:ascii="Times New Roman" w:hAnsi="Times New Roman" w:cs="Times New Roman" w:eastAsia="Times New Roman" w:hint="default"/>
        </w:rPr>
        <w:t>Unit 10B,25/F,Cable TV </w:t>
      </w:r>
      <w:r>
        <w:rPr>
          <w:rFonts w:ascii="Times New Roman" w:hAnsi="Times New Roman" w:cs="Times New Roman" w:eastAsia="Times New Roman" w:hint="default"/>
          <w:spacing w:val="-4"/>
        </w:rPr>
        <w:t>Tower,9 </w:t>
      </w:r>
      <w:r>
        <w:rPr>
          <w:rFonts w:ascii="Times New Roman" w:hAnsi="Times New Roman" w:cs="Times New Roman" w:eastAsia="Times New Roman" w:hint="default"/>
        </w:rPr>
        <w:t>Hoi Shing Road,Tsuen</w:t>
      </w:r>
      <w:r>
        <w:rPr>
          <w:rFonts w:ascii="Times New Roman" w:hAnsi="Times New Roman" w:cs="Times New Roman" w:eastAsia="Times New Roman" w:hint="default"/>
        </w:rPr>
        <w:t> </w:t>
      </w:r>
      <w:r>
        <w:rPr>
          <w:rFonts w:ascii="Times New Roman" w:hAnsi="Times New Roman" w:cs="Times New Roman" w:eastAsia="Times New Roman" w:hint="default"/>
          <w:spacing w:val="-3"/>
        </w:rPr>
        <w:t>Wan,N.T.,Hong</w:t>
      </w:r>
      <w:r>
        <w:rPr>
          <w:rFonts w:ascii="Times New Roman" w:hAnsi="Times New Roman" w:cs="Times New Roman" w:eastAsia="Times New Roman" w:hint="default"/>
          <w:spacing w:val="-13"/>
        </w:rPr>
        <w:t> </w:t>
      </w:r>
      <w:r>
        <w:rPr>
          <w:rFonts w:ascii="Times New Roman" w:hAnsi="Times New Roman" w:cs="Times New Roman" w:eastAsia="Times New Roman" w:hint="default"/>
        </w:rPr>
        <w:t>Kong</w:t>
      </w:r>
      <w:r>
        <w:rPr/>
        <w:t>，取得香港公司注册处签发注册号为</w:t>
      </w:r>
      <w:r>
        <w:rPr>
          <w:spacing w:val="-65"/>
        </w:rPr>
        <w:t> </w:t>
      </w:r>
      <w:r>
        <w:rPr>
          <w:rFonts w:ascii="Times New Roman" w:hAnsi="Times New Roman" w:cs="Times New Roman" w:eastAsia="Times New Roman" w:hint="default"/>
        </w:rPr>
        <w:t>52881985-000-08-10-5</w:t>
      </w:r>
      <w:r>
        <w:rPr>
          <w:rFonts w:ascii="Times New Roman" w:hAnsi="Times New Roman" w:cs="Times New Roman" w:eastAsia="Times New Roman" w:hint="default"/>
          <w:spacing w:val="-13"/>
        </w:rPr>
        <w:t> </w:t>
      </w:r>
      <w:r>
        <w:rPr/>
        <w:t>的公司注册证书， 经营范围为：专注开展</w:t>
      </w:r>
      <w:r>
        <w:rPr>
          <w:spacing w:val="-5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备件等服务。目前，尚未实际出资，公司尚未正式营运。</w:t>
      </w:r>
    </w:p>
    <w:p>
      <w:pPr>
        <w:pStyle w:val="BodyText"/>
        <w:spacing w:line="240" w:lineRule="auto" w:before="22"/>
        <w:ind w:left="680" w:right="103"/>
        <w:jc w:val="left"/>
      </w:pPr>
      <w:r>
        <w:rPr>
          <w:rFonts w:ascii="Times New Roman" w:hAnsi="Times New Roman" w:cs="Times New Roman" w:eastAsia="Times New Roman" w:hint="default"/>
        </w:rPr>
        <w:t>2</w:t>
      </w:r>
      <w:r>
        <w:rPr/>
        <w:t>、深圳鹏通金融服务有限公司</w:t>
      </w:r>
    </w:p>
    <w:p>
      <w:pPr>
        <w:pStyle w:val="BodyText"/>
        <w:spacing w:line="240" w:lineRule="auto" w:before="118"/>
        <w:ind w:left="680" w:right="103"/>
        <w:jc w:val="left"/>
        <w:rPr>
          <w:rFonts w:ascii="Times New Roman" w:hAnsi="Times New Roman" w:cs="Times New Roman" w:eastAsia="Times New Roman" w:hint="default"/>
        </w:rPr>
      </w:pPr>
      <w:r>
        <w:rPr/>
        <w:t>深圳鹏通金融服务有限公司成立于</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72"/>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日</w:t>
      </w:r>
      <w:r>
        <w:rPr>
          <w:spacing w:val="-105"/>
        </w:rPr>
        <w:t>，</w:t>
      </w:r>
      <w:r>
        <w:rPr/>
        <w:t>注册</w:t>
      </w:r>
      <w:r>
        <w:rPr>
          <w:spacing w:val="-2"/>
        </w:rPr>
        <w:t>资</w:t>
      </w:r>
      <w:r>
        <w:rPr/>
        <w:t>本及投资总额为人民币</w:t>
      </w:r>
      <w:r>
        <w:rPr>
          <w:spacing w:val="-71"/>
        </w:rPr>
        <w:t> </w:t>
      </w:r>
      <w:r>
        <w:rPr>
          <w:rFonts w:ascii="Times New Roman" w:hAnsi="Times New Roman" w:cs="Times New Roman" w:eastAsia="Times New Roman" w:hint="default"/>
        </w:rPr>
        <w:t>498</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343" w:lineRule="auto" w:before="117"/>
        <w:ind w:right="211"/>
        <w:jc w:val="both"/>
      </w:pPr>
      <w:r>
        <w:rPr/>
        <w:t>万元。其中本公司的全资子公司深圳广电银通金融电子科技有限公司出资人民币</w:t>
      </w:r>
      <w:r>
        <w:rPr>
          <w:spacing w:val="-69"/>
        </w:rPr>
        <w:t> </w:t>
      </w:r>
      <w:r>
        <w:rPr>
          <w:rFonts w:ascii="Times New Roman" w:hAnsi="Times New Roman" w:cs="Times New Roman" w:eastAsia="Times New Roman" w:hint="default"/>
        </w:rPr>
        <w:t>253.98</w:t>
      </w:r>
      <w:r>
        <w:rPr>
          <w:rFonts w:ascii="Times New Roman" w:hAnsi="Times New Roman" w:cs="Times New Roman" w:eastAsia="Times New Roman" w:hint="default"/>
          <w:spacing w:val="-16"/>
        </w:rPr>
        <w:t> </w:t>
      </w:r>
      <w:r>
        <w:rPr>
          <w:spacing w:val="-8"/>
        </w:rPr>
        <w:t>万元，占</w:t>
      </w:r>
      <w:r>
        <w:rPr/>
        <w:t> 股比</w:t>
      </w:r>
      <w:r>
        <w:rPr>
          <w:spacing w:val="-63"/>
        </w:rPr>
        <w:t> </w:t>
      </w:r>
      <w:r>
        <w:rPr>
          <w:rFonts w:ascii="Times New Roman" w:hAnsi="Times New Roman" w:cs="Times New Roman" w:eastAsia="Times New Roman" w:hint="default"/>
        </w:rPr>
        <w:t>51%</w:t>
      </w:r>
      <w:r>
        <w:rPr/>
        <w:t>。注册地址为深圳市福田区深南路竹子林博园商务大厦</w:t>
      </w:r>
      <w:r>
        <w:rPr>
          <w:spacing w:val="-63"/>
        </w:rPr>
        <w:t> </w:t>
      </w:r>
      <w:r>
        <w:rPr>
          <w:rFonts w:ascii="Times New Roman" w:hAnsi="Times New Roman" w:cs="Times New Roman" w:eastAsia="Times New Roman" w:hint="default"/>
        </w:rPr>
        <w:t>805</w:t>
      </w:r>
      <w:r>
        <w:rPr>
          <w:rFonts w:ascii="Times New Roman" w:hAnsi="Times New Roman" w:cs="Times New Roman" w:eastAsia="Times New Roman" w:hint="default"/>
          <w:spacing w:val="-11"/>
        </w:rPr>
        <w:t> </w:t>
      </w:r>
      <w:r>
        <w:rPr/>
        <w:t>房。取得深圳市市场监督管 理局签发注册号为</w:t>
      </w:r>
      <w:r>
        <w:rPr>
          <w:spacing w:val="-61"/>
        </w:rPr>
        <w:t> </w:t>
      </w:r>
      <w:r>
        <w:rPr>
          <w:rFonts w:ascii="Times New Roman" w:hAnsi="Times New Roman" w:cs="Times New Roman" w:eastAsia="Times New Roman" w:hint="default"/>
        </w:rPr>
        <w:t>440301105078059</w:t>
      </w:r>
      <w:r>
        <w:rPr>
          <w:rFonts w:ascii="Times New Roman" w:hAnsi="Times New Roman" w:cs="Times New Roman" w:eastAsia="Times New Roman" w:hint="default"/>
          <w:spacing w:val="-9"/>
        </w:rPr>
        <w:t> </w:t>
      </w:r>
      <w:r>
        <w:rPr/>
        <w:t>的企业法人营业执照，经营范围为：受银行委托对自动柜员 </w:t>
      </w:r>
      <w:r>
        <w:rPr>
          <w:spacing w:val="-1"/>
        </w:rPr>
        <w:t>机进行维护及管理，对现金及有价证券提供清分处理服务。目前，深圳广电银通金融电子科技有</w:t>
      </w:r>
      <w:r>
        <w:rPr>
          <w:spacing w:val="-75"/>
        </w:rPr>
        <w:t> </w:t>
      </w:r>
      <w:r>
        <w:rPr>
          <w:spacing w:val="-75"/>
        </w:rPr>
      </w:r>
      <w:r>
        <w:rPr/>
        <w:t>限公司实际出资</w:t>
      </w:r>
      <w:r>
        <w:rPr>
          <w:spacing w:val="-55"/>
        </w:rPr>
        <w:t> </w:t>
      </w:r>
      <w:r>
        <w:rPr>
          <w:rFonts w:ascii="Times New Roman" w:hAnsi="Times New Roman" w:cs="Times New Roman" w:eastAsia="Times New Roman" w:hint="default"/>
        </w:rPr>
        <w:t>153.00</w:t>
      </w:r>
      <w:r>
        <w:rPr>
          <w:rFonts w:ascii="Times New Roman" w:hAnsi="Times New Roman" w:cs="Times New Roman" w:eastAsia="Times New Roman" w:hint="default"/>
          <w:spacing w:val="-3"/>
        </w:rPr>
        <w:t> </w:t>
      </w:r>
      <w:r>
        <w:rPr/>
        <w:t>万元，少数股东出资</w:t>
      </w:r>
      <w:r>
        <w:rPr>
          <w:spacing w:val="-55"/>
        </w:rPr>
        <w:t> </w:t>
      </w:r>
      <w:r>
        <w:rPr>
          <w:rFonts w:ascii="Times New Roman" w:hAnsi="Times New Roman" w:cs="Times New Roman" w:eastAsia="Times New Roman" w:hint="default"/>
        </w:rPr>
        <w:t>147.00</w:t>
      </w:r>
      <w:r>
        <w:rPr>
          <w:rFonts w:ascii="Times New Roman" w:hAnsi="Times New Roman" w:cs="Times New Roman" w:eastAsia="Times New Roman" w:hint="default"/>
          <w:spacing w:val="-1"/>
        </w:rPr>
        <w:t> </w:t>
      </w:r>
      <w:r>
        <w:rPr/>
        <w:t>万元，公司预计于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年正式营运。</w:t>
      </w:r>
    </w:p>
    <w:p>
      <w:pPr>
        <w:pStyle w:val="BodyText"/>
        <w:spacing w:line="240" w:lineRule="auto" w:before="17"/>
        <w:ind w:left="680" w:right="103"/>
        <w:jc w:val="left"/>
      </w:pPr>
      <w:r>
        <w:rPr>
          <w:rFonts w:ascii="Times New Roman" w:hAnsi="Times New Roman" w:cs="Times New Roman" w:eastAsia="Times New Roman" w:hint="default"/>
        </w:rPr>
        <w:t>3</w:t>
      </w:r>
      <w:r>
        <w:rPr/>
        <w:t>、江苏保通金融外包服务有限公司</w:t>
      </w:r>
    </w:p>
    <w:p>
      <w:pPr>
        <w:pStyle w:val="BodyText"/>
        <w:spacing w:line="240" w:lineRule="auto" w:before="118"/>
        <w:ind w:left="680" w:right="103"/>
        <w:jc w:val="left"/>
      </w:pPr>
      <w:r>
        <w:rPr/>
        <w:t>江苏保通金融外包服务有限公司成立于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日，注册资本及投资总额为人民币</w:t>
      </w:r>
    </w:p>
    <w:p>
      <w:pPr>
        <w:pStyle w:val="BodyText"/>
        <w:spacing w:line="343" w:lineRule="auto" w:before="117"/>
        <w:ind w:right="103"/>
        <w:jc w:val="left"/>
      </w:pPr>
      <w:r>
        <w:rPr>
          <w:rFonts w:ascii="Times New Roman" w:hAnsi="Times New Roman" w:cs="Times New Roman" w:eastAsia="Times New Roman" w:hint="default"/>
        </w:rPr>
        <w:t>500.00</w:t>
      </w:r>
      <w:r>
        <w:rPr>
          <w:rFonts w:ascii="Times New Roman" w:hAnsi="Times New Roman" w:cs="Times New Roman" w:eastAsia="Times New Roman" w:hint="default"/>
          <w:spacing w:val="-13"/>
        </w:rPr>
        <w:t> </w:t>
      </w:r>
      <w:r>
        <w:rPr/>
        <w:t>万元。其中本公司的全资子公司深圳广电银通金融电子科技有限公司出资人民币</w:t>
      </w:r>
      <w:r>
        <w:rPr>
          <w:spacing w:val="-66"/>
        </w:rPr>
        <w:t> </w:t>
      </w:r>
      <w:r>
        <w:rPr>
          <w:rFonts w:ascii="Times New Roman" w:hAnsi="Times New Roman" w:cs="Times New Roman" w:eastAsia="Times New Roman" w:hint="default"/>
        </w:rPr>
        <w:t>275.00</w:t>
      </w:r>
      <w:r>
        <w:rPr>
          <w:rFonts w:ascii="Times New Roman" w:hAnsi="Times New Roman" w:cs="Times New Roman" w:eastAsia="Times New Roman" w:hint="default"/>
          <w:spacing w:val="-14"/>
        </w:rPr>
        <w:t> </w:t>
      </w:r>
      <w:r>
        <w:rPr/>
        <w:t>万 元，占股比</w:t>
      </w:r>
      <w:r>
        <w:rPr>
          <w:spacing w:val="-28"/>
        </w:rPr>
        <w:t> </w:t>
      </w:r>
      <w:r>
        <w:rPr>
          <w:rFonts w:ascii="Times New Roman" w:hAnsi="Times New Roman" w:cs="Times New Roman" w:eastAsia="Times New Roman" w:hint="default"/>
        </w:rPr>
        <w:t>55%</w:t>
      </w:r>
      <w:r>
        <w:rPr/>
        <w:t>。注册地址为南京市秦淮区七里街</w:t>
      </w:r>
      <w:r>
        <w:rPr>
          <w:spacing w:val="-28"/>
        </w:rPr>
        <w:t> </w:t>
      </w:r>
      <w:r>
        <w:rPr>
          <w:rFonts w:ascii="Times New Roman" w:hAnsi="Times New Roman" w:cs="Times New Roman" w:eastAsia="Times New Roman" w:hint="default"/>
        </w:rPr>
        <w:t>96</w:t>
      </w:r>
      <w:r>
        <w:rPr>
          <w:rFonts w:ascii="Times New Roman" w:hAnsi="Times New Roman" w:cs="Times New Roman" w:eastAsia="Times New Roman" w:hint="default"/>
          <w:spacing w:val="25"/>
        </w:rPr>
        <w:t> </w:t>
      </w:r>
      <w:r>
        <w:rPr/>
        <w:t>号。取得江苏省工商行政管理局签发注册 号为</w:t>
      </w:r>
      <w:r>
        <w:rPr>
          <w:spacing w:val="-58"/>
        </w:rPr>
        <w:t> </w:t>
      </w:r>
      <w:r>
        <w:rPr>
          <w:rFonts w:ascii="Times New Roman" w:hAnsi="Times New Roman" w:cs="Times New Roman" w:eastAsia="Times New Roman" w:hint="default"/>
        </w:rPr>
        <w:t>320000000092328</w:t>
      </w:r>
      <w:r>
        <w:rPr>
          <w:rFonts w:ascii="Times New Roman" w:hAnsi="Times New Roman" w:cs="Times New Roman" w:eastAsia="Times New Roman" w:hint="default"/>
          <w:spacing w:val="-5"/>
        </w:rPr>
        <w:t> </w:t>
      </w:r>
      <w:r>
        <w:rPr/>
        <w:t>的企业法人营业执照，经营范围为：受银行委托对自动柜员机进行维护及 </w:t>
      </w:r>
      <w:r>
        <w:rPr>
          <w:spacing w:val="-3"/>
        </w:rPr>
        <w:t>管理，对现金及有价证券提供清分处理服务，对银行自动柜员机的咨询服务，贵重物品保管服务。</w:t>
      </w:r>
      <w:r>
        <w:rPr>
          <w:spacing w:val="-92"/>
        </w:rPr>
        <w:t> </w:t>
      </w:r>
      <w:r>
        <w:rPr>
          <w:spacing w:val="-92"/>
        </w:rPr>
      </w:r>
      <w:r>
        <w:rPr/>
        <w:t>目前，深圳广电银通金融电子科技有限公司实际出资 </w:t>
      </w:r>
      <w:r>
        <w:rPr>
          <w:rFonts w:ascii="Times New Roman" w:hAnsi="Times New Roman" w:cs="Times New Roman" w:eastAsia="Times New Roman" w:hint="default"/>
        </w:rPr>
        <w:t>275.00 </w:t>
      </w:r>
      <w:r>
        <w:rPr/>
        <w:t>万元，少数股东出资 </w:t>
      </w:r>
      <w:r>
        <w:rPr>
          <w:rFonts w:ascii="Times New Roman" w:hAnsi="Times New Roman" w:cs="Times New Roman" w:eastAsia="Times New Roman" w:hint="default"/>
        </w:rPr>
        <w:t>225.00</w:t>
      </w:r>
      <w:r>
        <w:rPr>
          <w:rFonts w:ascii="Times New Roman" w:hAnsi="Times New Roman" w:cs="Times New Roman" w:eastAsia="Times New Roman" w:hint="default"/>
          <w:spacing w:val="-19"/>
        </w:rPr>
        <w:t> </w:t>
      </w:r>
      <w:r>
        <w:rPr/>
        <w:t>万元，</w:t>
      </w:r>
    </w:p>
    <w:p>
      <w:pPr>
        <w:pStyle w:val="BodyText"/>
        <w:spacing w:line="240" w:lineRule="auto" w:before="17"/>
        <w:ind w:right="103"/>
        <w:jc w:val="left"/>
      </w:pPr>
      <w:r>
        <w:rPr/>
        <w:t>公司预计于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年正式营运。</w:t>
      </w:r>
    </w:p>
    <w:p>
      <w:pPr>
        <w:pStyle w:val="Heading4"/>
        <w:spacing w:line="240" w:lineRule="auto" w:before="118"/>
        <w:ind w:left="680" w:right="10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本期新纳入合并范围的主体和本期不再纳入合并范围的主体</w:t>
      </w:r>
      <w:r>
        <w:rPr>
          <w:b w:val="0"/>
          <w:bCs w:val="0"/>
        </w:rPr>
      </w:r>
    </w:p>
    <w:p>
      <w:pPr>
        <w:pStyle w:val="BodyText"/>
        <w:spacing w:line="338" w:lineRule="auto" w:before="117"/>
        <w:ind w:right="209" w:firstLine="540"/>
        <w:jc w:val="left"/>
      </w:pPr>
      <w:r>
        <w:rPr>
          <w:rFonts w:ascii="Times New Roman" w:hAnsi="Times New Roman" w:cs="Times New Roman" w:eastAsia="Times New Roman" w:hint="default"/>
          <w:spacing w:val="-1"/>
        </w:rPr>
        <w:t>1</w:t>
      </w:r>
      <w:r>
        <w:rPr>
          <w:spacing w:val="-1"/>
        </w:rPr>
        <w:t>、本期新纳入合并范围的子公司、特殊目的主体、通过受托经营或承租等方式形成控制权</w:t>
      </w:r>
      <w:r>
        <w:rPr/>
        <w:t> 的经营实体</w:t>
      </w:r>
    </w:p>
    <w:p>
      <w:pPr>
        <w:spacing w:line="240" w:lineRule="auto" w:before="3"/>
        <w:rPr>
          <w:rFonts w:ascii="宋体" w:hAnsi="宋体" w:cs="宋体" w:eastAsia="宋体" w:hint="default"/>
          <w:sz w:val="6"/>
          <w:szCs w:val="6"/>
        </w:rPr>
      </w:pPr>
    </w:p>
    <w:tbl>
      <w:tblPr>
        <w:tblW w:w="0" w:type="auto"/>
        <w:jc w:val="left"/>
        <w:tblInd w:w="720" w:type="dxa"/>
        <w:tblLayout w:type="fixed"/>
        <w:tblCellMar>
          <w:top w:w="0" w:type="dxa"/>
          <w:left w:w="0" w:type="dxa"/>
          <w:bottom w:w="0" w:type="dxa"/>
          <w:right w:w="0" w:type="dxa"/>
        </w:tblCellMar>
        <w:tblLook w:val="01E0"/>
      </w:tblPr>
      <w:tblGrid>
        <w:gridCol w:w="3510"/>
        <w:gridCol w:w="2376"/>
        <w:gridCol w:w="2338"/>
      </w:tblGrid>
      <w:tr>
        <w:trPr>
          <w:trHeight w:val="380" w:hRule="exact"/>
        </w:trPr>
        <w:tc>
          <w:tcPr>
            <w:tcW w:w="35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5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3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38"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71"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tabs>
                <w:tab w:pos="1861" w:val="left" w:leader="none"/>
              </w:tabs>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Global </w:t>
            </w:r>
            <w:r>
              <w:rPr>
                <w:rFonts w:ascii="Times New Roman"/>
                <w:spacing w:val="-8"/>
                <w:sz w:val="21"/>
              </w:rPr>
              <w:t>ATM</w:t>
            </w:r>
            <w:r>
              <w:rPr>
                <w:rFonts w:ascii="Times New Roman"/>
                <w:spacing w:val="-17"/>
                <w:sz w:val="21"/>
              </w:rPr>
              <w:t> </w:t>
            </w:r>
            <w:r>
              <w:rPr>
                <w:rFonts w:ascii="Times New Roman"/>
                <w:sz w:val="21"/>
              </w:rPr>
              <w:t>Parts</w:t>
              <w:tab/>
              <w:t>Co.,Limited</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5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深圳鹏通金融服务有限公司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2,869,208.60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-130,791.40</w:t>
            </w:r>
          </w:p>
        </w:tc>
      </w:tr>
      <w:tr>
        <w:trPr>
          <w:trHeight w:val="380" w:hRule="exact"/>
        </w:trPr>
        <w:tc>
          <w:tcPr>
            <w:tcW w:w="35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江苏保通金融外包服务有限公司</w:t>
            </w:r>
          </w:p>
        </w:tc>
        <w:tc>
          <w:tcPr>
            <w:tcW w:w="2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4,999,056.41</w:t>
            </w:r>
          </w:p>
        </w:tc>
        <w:tc>
          <w:tcPr>
            <w:tcW w:w="23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-943.59</w:t>
            </w:r>
          </w:p>
        </w:tc>
      </w:tr>
    </w:tbl>
    <w:p>
      <w:pPr>
        <w:spacing w:line="240" w:lineRule="auto" w:before="8"/>
        <w:rPr>
          <w:rFonts w:ascii="宋体" w:hAnsi="宋体" w:cs="宋体" w:eastAsia="宋体" w:hint="default"/>
          <w:sz w:val="6"/>
          <w:szCs w:val="6"/>
        </w:rPr>
      </w:pPr>
    </w:p>
    <w:p>
      <w:pPr>
        <w:pStyle w:val="BodyText"/>
        <w:spacing w:line="357" w:lineRule="auto" w:before="35"/>
        <w:ind w:left="139" w:right="103" w:firstLine="535"/>
        <w:jc w:val="left"/>
      </w:pPr>
      <w:r>
        <w:rPr>
          <w:spacing w:val="-1"/>
        </w:rPr>
        <w:t>2、本期没有不再纳入合并范围的子公司、特殊目的主体、通过受托经营或承租等方式形成</w:t>
      </w:r>
      <w:r>
        <w:rPr/>
        <w:t> 控制权的经营实体。</w:t>
      </w:r>
    </w:p>
    <w:p>
      <w:pPr>
        <w:spacing w:after="0" w:line="357" w:lineRule="auto"/>
        <w:jc w:val="left"/>
        <w:sectPr>
          <w:headerReference w:type="default" r:id="rId27"/>
          <w:footerReference w:type="default" r:id="rId28"/>
          <w:pgSz w:w="11910" w:h="16840"/>
          <w:pgMar w:header="400" w:footer="982" w:top="1100" w:bottom="1180" w:left="1660" w:right="1080"/>
          <w:pgNumType w:start="82"/>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355" w:lineRule="auto" w:before="0"/>
        <w:ind w:left="597" w:right="881" w:firstLine="184"/>
        <w:jc w:val="left"/>
        <w:rPr>
          <w:rFonts w:ascii="宋体" w:hAnsi="宋体" w:cs="宋体" w:eastAsia="宋体" w:hint="default"/>
          <w:sz w:val="21"/>
          <w:szCs w:val="21"/>
        </w:rPr>
      </w:pPr>
      <w:r>
        <w:rPr>
          <w:rFonts w:ascii="宋体" w:hAnsi="宋体" w:cs="宋体" w:eastAsia="宋体" w:hint="default"/>
          <w:b/>
          <w:bCs/>
          <w:sz w:val="21"/>
          <w:szCs w:val="21"/>
        </w:rPr>
        <w:t>(五) 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spacing w:val="-4"/>
          <w:sz w:val="21"/>
          <w:szCs w:val="21"/>
        </w:rPr>
        <w:t>资产负债表中的资产和负债项目，采用资产负债表日的即期汇率折算；所有者权益项目除“未</w:t>
      </w:r>
    </w:p>
    <w:p>
      <w:pPr>
        <w:pStyle w:val="BodyText"/>
        <w:spacing w:line="357" w:lineRule="auto" w:before="33"/>
        <w:ind w:left="240" w:right="891"/>
        <w:jc w:val="both"/>
      </w:pPr>
      <w:r>
        <w:rPr>
          <w:spacing w:val="-1"/>
        </w:rPr>
        <w:t>分配利润”项目外，其他项目采用发生时的即期汇率折算。利润表中的收入和费用项目，采用年</w:t>
      </w:r>
      <w:r>
        <w:rPr>
          <w:spacing w:val="-76"/>
        </w:rPr>
        <w:t> </w:t>
      </w:r>
      <w:r>
        <w:rPr>
          <w:spacing w:val="-76"/>
        </w:rPr>
      </w:r>
      <w:r>
        <w:rPr>
          <w:spacing w:val="-1"/>
        </w:rPr>
        <w:t>度平均汇率折算。按照上述折算产生的外币财务报表折算差额，在资产负债表所有者权益项目下</w:t>
      </w:r>
      <w:r>
        <w:rPr>
          <w:spacing w:val="-73"/>
        </w:rPr>
        <w:t> </w:t>
      </w:r>
      <w:r>
        <w:rPr>
          <w:spacing w:val="-73"/>
        </w:rPr>
      </w:r>
      <w:r>
        <w:rPr/>
        <w:t>单独列示。</w:t>
      </w:r>
    </w:p>
    <w:p>
      <w:pPr>
        <w:spacing w:line="240" w:lineRule="auto" w:before="12"/>
        <w:rPr>
          <w:rFonts w:ascii="宋体" w:hAnsi="宋体" w:cs="宋体" w:eastAsia="宋体" w:hint="default"/>
          <w:sz w:val="4"/>
          <w:szCs w:val="4"/>
        </w:rPr>
      </w:pPr>
    </w:p>
    <w:tbl>
      <w:tblPr>
        <w:tblW w:w="0" w:type="auto"/>
        <w:jc w:val="left"/>
        <w:tblInd w:w="570" w:type="dxa"/>
        <w:tblLayout w:type="fixed"/>
        <w:tblCellMar>
          <w:top w:w="0" w:type="dxa"/>
          <w:left w:w="0" w:type="dxa"/>
          <w:bottom w:w="0" w:type="dxa"/>
          <w:right w:w="0" w:type="dxa"/>
        </w:tblCellMar>
        <w:tblLook w:val="01E0"/>
      </w:tblPr>
      <w:tblGrid>
        <w:gridCol w:w="1994"/>
        <w:gridCol w:w="1980"/>
        <w:gridCol w:w="2375"/>
        <w:gridCol w:w="2237"/>
      </w:tblGrid>
      <w:tr>
        <w:trPr>
          <w:trHeight w:val="380" w:hRule="exact"/>
        </w:trPr>
        <w:tc>
          <w:tcPr>
            <w:tcW w:w="19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兑换币种</w:t>
            </w:r>
          </w:p>
        </w:tc>
        <w:tc>
          <w:tcPr>
            <w:tcW w:w="2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hAnsi="宋体" w:cs="宋体" w:eastAsia="宋体" w:hint="default"/>
                <w:sz w:val="21"/>
                <w:szCs w:val="21"/>
              </w:rPr>
              <w:t>期初（上期）折算汇率</w:t>
            </w:r>
          </w:p>
        </w:tc>
        <w:tc>
          <w:tcPr>
            <w:tcW w:w="22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21"/>
                <w:szCs w:val="21"/>
              </w:rPr>
            </w:pPr>
            <w:r>
              <w:rPr>
                <w:rFonts w:ascii="宋体" w:hAnsi="宋体" w:cs="宋体" w:eastAsia="宋体" w:hint="default"/>
                <w:spacing w:val="-9"/>
                <w:sz w:val="21"/>
                <w:szCs w:val="21"/>
              </w:rPr>
              <w:t>期末（本期）折算汇率</w:t>
            </w:r>
          </w:p>
        </w:tc>
      </w:tr>
      <w:tr>
        <w:trPr>
          <w:trHeight w:val="37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0.88048</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0.85093</w:t>
            </w:r>
          </w:p>
        </w:tc>
      </w:tr>
      <w:tr>
        <w:trPr>
          <w:trHeight w:val="371"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0.88764</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0.88764</w:t>
            </w:r>
          </w:p>
        </w:tc>
      </w:tr>
      <w:tr>
        <w:trPr>
          <w:trHeight w:val="37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0.88764</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0.88764</w:t>
            </w:r>
          </w:p>
        </w:tc>
      </w:tr>
      <w:tr>
        <w:trPr>
          <w:trHeight w:val="37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港币折人民币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2"/>
                <w:sz w:val="21"/>
              </w:rPr>
              <w:t>0.88119</w:t>
            </w:r>
            <w:r>
              <w:rPr>
                <w:rFonts w:ascii="Times New Roman"/>
                <w:sz w:val="21"/>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0.86571</w:t>
            </w:r>
          </w:p>
        </w:tc>
      </w:tr>
      <w:tr>
        <w:trPr>
          <w:trHeight w:val="371"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澳元折港币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7.9580</w:t>
            </w:r>
            <w:r>
              <w:rPr>
                <w:rFonts w:ascii="Times New Roman"/>
                <w:sz w:val="21"/>
              </w:rPr>
            </w:r>
          </w:p>
        </w:tc>
      </w:tr>
      <w:tr>
        <w:trPr>
          <w:trHeight w:val="37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资产和负债项目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0.5936</w:t>
            </w:r>
            <w:r>
              <w:rPr>
                <w:rFonts w:ascii="Times New Roman"/>
                <w:sz w:val="21"/>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0.6299</w:t>
            </w:r>
            <w:r>
              <w:rPr>
                <w:rFonts w:ascii="Times New Roman"/>
                <w:sz w:val="21"/>
              </w:rPr>
            </w:r>
          </w:p>
        </w:tc>
      </w:tr>
      <w:tr>
        <w:trPr>
          <w:trHeight w:val="37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0.5906</w:t>
            </w:r>
            <w:r>
              <w:rPr>
                <w:rFonts w:ascii="Times New Roman"/>
                <w:sz w:val="21"/>
              </w:rPr>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0.5906</w:t>
            </w:r>
            <w:r>
              <w:rPr>
                <w:rFonts w:ascii="Times New Roman"/>
                <w:sz w:val="21"/>
              </w:rPr>
            </w:r>
          </w:p>
        </w:tc>
      </w:tr>
      <w:tr>
        <w:trPr>
          <w:trHeight w:val="381" w:hRule="exact"/>
        </w:trPr>
        <w:tc>
          <w:tcPr>
            <w:tcW w:w="19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收入和费用项目</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墨西哥比索折港币</w:t>
            </w:r>
          </w:p>
        </w:tc>
        <w:tc>
          <w:tcPr>
            <w:tcW w:w="2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0.5749</w:t>
            </w:r>
            <w:r>
              <w:rPr>
                <w:rFonts w:ascii="Times New Roman"/>
                <w:sz w:val="21"/>
              </w:rPr>
            </w:r>
          </w:p>
        </w:tc>
        <w:tc>
          <w:tcPr>
            <w:tcW w:w="22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0.6143</w:t>
            </w:r>
            <w:r>
              <w:rPr>
                <w:rFonts w:ascii="Times New Roman"/>
                <w:sz w:val="21"/>
              </w:rPr>
            </w:r>
          </w:p>
        </w:tc>
      </w:tr>
    </w:tbl>
    <w:p>
      <w:pPr>
        <w:spacing w:line="240" w:lineRule="auto" w:before="9"/>
        <w:rPr>
          <w:rFonts w:ascii="宋体" w:hAnsi="宋体" w:cs="宋体" w:eastAsia="宋体" w:hint="default"/>
          <w:sz w:val="26"/>
          <w:szCs w:val="26"/>
        </w:rPr>
      </w:pPr>
    </w:p>
    <w:p>
      <w:pPr>
        <w:pStyle w:val="Heading3"/>
        <w:spacing w:line="240" w:lineRule="auto" w:before="26"/>
        <w:ind w:left="778" w:right="881"/>
        <w:jc w:val="left"/>
        <w:rPr>
          <w:b w:val="0"/>
          <w:bCs w:val="0"/>
        </w:rPr>
      </w:pPr>
      <w:r>
        <w:rPr/>
        <w:t>五、合并财务报表主要项目注释</w:t>
      </w:r>
      <w:r>
        <w:rPr>
          <w:b w:val="0"/>
          <w:bCs w:val="0"/>
        </w:rPr>
      </w:r>
    </w:p>
    <w:p>
      <w:pPr>
        <w:pStyle w:val="BodyText"/>
        <w:spacing w:line="240" w:lineRule="auto" w:before="157"/>
        <w:ind w:left="778" w:right="881"/>
        <w:jc w:val="left"/>
      </w:pPr>
      <w:r>
        <w:rPr/>
        <w:t>（以下金额单位若未特别注明者均为人民币元）</w:t>
      </w:r>
    </w:p>
    <w:p>
      <w:pPr>
        <w:pStyle w:val="Heading4"/>
        <w:spacing w:line="240" w:lineRule="auto" w:before="133"/>
        <w:ind w:left="778" w:right="881"/>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货币资金</w:t>
      </w:r>
      <w:r>
        <w:rPr>
          <w:b w:val="0"/>
          <w:bCs w:val="0"/>
        </w:rPr>
      </w:r>
    </w:p>
    <w:p>
      <w:pPr>
        <w:spacing w:line="240" w:lineRule="auto" w:before="9"/>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562"/>
        <w:gridCol w:w="1440"/>
        <w:gridCol w:w="900"/>
        <w:gridCol w:w="1576"/>
        <w:gridCol w:w="1440"/>
        <w:gridCol w:w="944"/>
        <w:gridCol w:w="1834"/>
      </w:tblGrid>
      <w:tr>
        <w:trPr>
          <w:trHeight w:val="380" w:hRule="exact"/>
        </w:trPr>
        <w:tc>
          <w:tcPr>
            <w:tcW w:w="156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1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562"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6"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0"/>
              <w:jc w:val="right"/>
              <w:rPr>
                <w:rFonts w:ascii="宋体" w:hAnsi="宋体" w:cs="宋体" w:eastAsia="宋体" w:hint="default"/>
                <w:sz w:val="21"/>
                <w:szCs w:val="21"/>
              </w:rPr>
            </w:pPr>
            <w:r>
              <w:rPr>
                <w:rFonts w:ascii="宋体" w:hAnsi="宋体" w:cs="宋体" w:eastAsia="宋体" w:hint="default"/>
                <w:sz w:val="21"/>
                <w:szCs w:val="21"/>
              </w:rPr>
              <w:t>折算率</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86"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172,937.61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115,262.88</w:t>
            </w:r>
            <w:r>
              <w:rPr>
                <w:rFonts w:ascii="Times New Roman"/>
                <w:sz w:val="21"/>
              </w:rPr>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172,937.61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115,262.88</w:t>
            </w:r>
            <w:r>
              <w:rPr>
                <w:rFonts w:ascii="Times New Roman"/>
                <w:sz w:val="21"/>
              </w:rPr>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801,604,880.40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875,632,634.57</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3,305,025.30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6.6227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21,888,200.95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2,773,133.06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6.8266</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18,931,074.33</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1,816,853.77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8.8065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16,000,129.73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2,252,644.48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9.7971</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22,069,382.71</w:t>
            </w:r>
          </w:p>
        </w:tc>
      </w:tr>
      <w:tr>
        <w:trPr>
          <w:trHeight w:val="371"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222,623.40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0.8509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189,437.56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16,095.03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0.8805</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14,171.35</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墨西哥比索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85,609.06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0.5360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45,887.25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507,758.00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0.5227</w:t>
            </w: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265,381.21</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839,728,535.89</w:t>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916,912,644.17</w:t>
            </w:r>
          </w:p>
        </w:tc>
      </w:tr>
      <w:tr>
        <w:trPr>
          <w:trHeight w:val="371"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159,096,330.51</w:t>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169,017,737.51</w:t>
            </w:r>
          </w:p>
        </w:tc>
      </w:tr>
      <w:tr>
        <w:trPr>
          <w:trHeight w:val="370" w:hRule="exact"/>
        </w:trPr>
        <w:tc>
          <w:tcPr>
            <w:tcW w:w="1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159,096,330.51</w:t>
            </w:r>
          </w:p>
        </w:tc>
        <w:tc>
          <w:tcPr>
            <w:tcW w:w="144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169,017,737.51</w:t>
            </w:r>
          </w:p>
        </w:tc>
      </w:tr>
      <w:tr>
        <w:trPr>
          <w:trHeight w:val="381" w:hRule="exact"/>
        </w:trPr>
        <w:tc>
          <w:tcPr>
            <w:tcW w:w="1562" w:type="dxa"/>
            <w:tcBorders>
              <w:top w:val="single" w:sz="4" w:space="0" w:color="000000"/>
              <w:left w:val="nil" w:sz="6" w:space="0" w:color="auto"/>
              <w:bottom w:val="single" w:sz="12" w:space="0" w:color="000000"/>
              <w:right w:val="single" w:sz="4" w:space="0" w:color="000000"/>
            </w:tcBorders>
          </w:tcPr>
          <w:p>
            <w:pPr>
              <w:pStyle w:val="TableParagraph"/>
              <w:tabs>
                <w:tab w:pos="998" w:val="left" w:leader="none"/>
              </w:tabs>
              <w:spacing w:line="240" w:lineRule="auto" w:before="53"/>
              <w:ind w:left="36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998,997,804.01</w:t>
            </w:r>
            <w:r>
              <w:rPr>
                <w:rFonts w:ascii="Times New Roman"/>
                <w:sz w:val="21"/>
              </w:rPr>
            </w:r>
          </w:p>
        </w:tc>
        <w:tc>
          <w:tcPr>
            <w:tcW w:w="1440" w:type="dxa"/>
            <w:tcBorders>
              <w:top w:val="single" w:sz="4" w:space="0" w:color="000000"/>
              <w:left w:val="single" w:sz="4" w:space="0" w:color="000000"/>
              <w:bottom w:val="single" w:sz="12" w:space="0" w:color="000000"/>
              <w:right w:val="single" w:sz="4" w:space="0" w:color="000000"/>
            </w:tcBorders>
          </w:tcPr>
          <w:p>
            <w:pPr/>
          </w:p>
        </w:tc>
        <w:tc>
          <w:tcPr>
            <w:tcW w:w="944" w:type="dxa"/>
            <w:tcBorders>
              <w:top w:val="single" w:sz="4" w:space="0" w:color="000000"/>
              <w:left w:val="single" w:sz="4" w:space="0" w:color="000000"/>
              <w:bottom w:val="single" w:sz="12" w:space="0" w:color="000000"/>
              <w:right w:val="single" w:sz="4" w:space="0" w:color="000000"/>
            </w:tcBorders>
          </w:tcPr>
          <w:p>
            <w:pPr/>
          </w:p>
        </w:tc>
        <w:tc>
          <w:tcPr>
            <w:tcW w:w="18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1,086,045,644.56</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560" w:right="400"/>
        </w:sectPr>
      </w:pPr>
    </w:p>
    <w:p>
      <w:pPr>
        <w:spacing w:line="240" w:lineRule="auto" w:before="2"/>
        <w:rPr>
          <w:rFonts w:ascii="宋体" w:hAnsi="宋体" w:cs="宋体" w:eastAsia="宋体" w:hint="default"/>
          <w:b/>
          <w:bCs/>
          <w:sz w:val="19"/>
          <w:szCs w:val="19"/>
        </w:rPr>
      </w:pPr>
    </w:p>
    <w:p>
      <w:pPr>
        <w:pStyle w:val="BodyText"/>
        <w:spacing w:line="240" w:lineRule="auto" w:before="35"/>
        <w:ind w:left="820" w:right="0"/>
        <w:jc w:val="left"/>
      </w:pPr>
      <w:r>
        <w:rPr/>
        <w:t>其中受限制的货币资金明细如下：</w:t>
      </w:r>
    </w:p>
    <w:p>
      <w:pPr>
        <w:spacing w:line="240" w:lineRule="auto" w:before="10"/>
        <w:rPr>
          <w:rFonts w:ascii="宋体" w:hAnsi="宋体" w:cs="宋体" w:eastAsia="宋体" w:hint="default"/>
          <w:sz w:val="12"/>
          <w:szCs w:val="12"/>
        </w:rPr>
      </w:pPr>
    </w:p>
    <w:tbl>
      <w:tblPr>
        <w:tblW w:w="0" w:type="auto"/>
        <w:jc w:val="left"/>
        <w:tblInd w:w="860" w:type="dxa"/>
        <w:tblLayout w:type="fixed"/>
        <w:tblCellMar>
          <w:top w:w="0" w:type="dxa"/>
          <w:left w:w="0" w:type="dxa"/>
          <w:bottom w:w="0" w:type="dxa"/>
          <w:right w:w="0" w:type="dxa"/>
        </w:tblCellMar>
        <w:tblLook w:val="01E0"/>
      </w:tblPr>
      <w:tblGrid>
        <w:gridCol w:w="2285"/>
        <w:gridCol w:w="2362"/>
        <w:gridCol w:w="2362"/>
      </w:tblGrid>
      <w:tr>
        <w:trPr>
          <w:trHeight w:val="380" w:hRule="exact"/>
        </w:trPr>
        <w:tc>
          <w:tcPr>
            <w:tcW w:w="2285"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53"/>
              <w:ind w:right="70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5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18,500,000.00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1,374,000.00</w:t>
            </w:r>
          </w:p>
        </w:tc>
      </w:tr>
      <w:tr>
        <w:trPr>
          <w:trHeight w:val="37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押汇保证金</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140,596,330.51</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167,643,737.51</w:t>
            </w:r>
          </w:p>
        </w:tc>
      </w:tr>
      <w:tr>
        <w:trPr>
          <w:trHeight w:val="380" w:hRule="exact"/>
        </w:trPr>
        <w:tc>
          <w:tcPr>
            <w:tcW w:w="2285" w:type="dxa"/>
            <w:tcBorders>
              <w:top w:val="single" w:sz="4" w:space="0" w:color="000000"/>
              <w:left w:val="nil" w:sz="6" w:space="0" w:color="auto"/>
              <w:bottom w:val="single" w:sz="12" w:space="0" w:color="000000"/>
              <w:right w:val="single" w:sz="4" w:space="0" w:color="000000"/>
            </w:tcBorders>
          </w:tcPr>
          <w:p>
            <w:pPr>
              <w:pStyle w:val="TableParagraph"/>
              <w:tabs>
                <w:tab w:pos="629" w:val="left" w:leader="none"/>
              </w:tabs>
              <w:spacing w:line="240" w:lineRule="auto" w:before="53"/>
              <w:ind w:right="70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159,096,330.51</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169,017,737.51</w:t>
            </w:r>
          </w:p>
        </w:tc>
      </w:tr>
    </w:tbl>
    <w:p>
      <w:pPr>
        <w:spacing w:line="240" w:lineRule="auto" w:before="8"/>
        <w:rPr>
          <w:rFonts w:ascii="宋体" w:hAnsi="宋体" w:cs="宋体" w:eastAsia="宋体" w:hint="default"/>
          <w:sz w:val="6"/>
          <w:szCs w:val="6"/>
        </w:rPr>
      </w:pPr>
    </w:p>
    <w:p>
      <w:pPr>
        <w:pStyle w:val="Heading4"/>
        <w:spacing w:line="240" w:lineRule="auto"/>
        <w:ind w:left="818"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118"/>
        <w:ind w:left="8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860" w:type="dxa"/>
        <w:tblLayout w:type="fixed"/>
        <w:tblCellMar>
          <w:top w:w="0" w:type="dxa"/>
          <w:left w:w="0" w:type="dxa"/>
          <w:bottom w:w="0" w:type="dxa"/>
          <w:right w:w="0" w:type="dxa"/>
        </w:tblCellMar>
        <w:tblLook w:val="01E0"/>
      </w:tblPr>
      <w:tblGrid>
        <w:gridCol w:w="2285"/>
        <w:gridCol w:w="2362"/>
        <w:gridCol w:w="2362"/>
      </w:tblGrid>
      <w:tr>
        <w:trPr>
          <w:trHeight w:val="380" w:hRule="exact"/>
        </w:trPr>
        <w:tc>
          <w:tcPr>
            <w:tcW w:w="2285"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812"/>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5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678,300.00</w:t>
            </w:r>
            <w:r>
              <w:rPr>
                <w:rFonts w:ascii="Times New Roman"/>
                <w:sz w:val="21"/>
              </w:rPr>
            </w:r>
          </w:p>
        </w:tc>
      </w:tr>
      <w:tr>
        <w:trPr>
          <w:trHeight w:val="37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2285"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81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678,300.00</w:t>
            </w:r>
          </w:p>
        </w:tc>
      </w:tr>
    </w:tbl>
    <w:p>
      <w:pPr>
        <w:spacing w:line="240" w:lineRule="auto" w:before="8"/>
        <w:rPr>
          <w:rFonts w:ascii="宋体" w:hAnsi="宋体" w:cs="宋体" w:eastAsia="宋体" w:hint="default"/>
          <w:b/>
          <w:bCs/>
          <w:sz w:val="6"/>
          <w:szCs w:val="6"/>
        </w:rPr>
      </w:pPr>
    </w:p>
    <w:p>
      <w:pPr>
        <w:spacing w:before="35"/>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、期末没有已质押的应收票据情况。</w:t>
      </w:r>
      <w:r>
        <w:rPr>
          <w:rFonts w:ascii="宋体" w:hAnsi="宋体" w:cs="宋体" w:eastAsia="宋体" w:hint="default"/>
          <w:sz w:val="21"/>
          <w:szCs w:val="21"/>
        </w:rPr>
      </w:r>
    </w:p>
    <w:p>
      <w:pPr>
        <w:spacing w:line="336" w:lineRule="auto" w:before="118"/>
        <w:ind w:left="280" w:right="0" w:firstLine="542"/>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3</w:t>
      </w:r>
      <w:r>
        <w:rPr>
          <w:rFonts w:ascii="宋体" w:hAnsi="宋体" w:cs="宋体" w:eastAsia="宋体" w:hint="default"/>
          <w:b/>
          <w:bCs/>
          <w:spacing w:val="-1"/>
          <w:w w:val="95"/>
          <w:sz w:val="21"/>
          <w:szCs w:val="21"/>
        </w:rPr>
        <w:t>、期末没有因出票人无力履约而将票据转为应收账款的票据，以及期末公司已经背书给他</w:t>
      </w:r>
      <w:r>
        <w:rPr>
          <w:rFonts w:ascii="宋体" w:hAnsi="宋体" w:cs="宋体" w:eastAsia="宋体" w:hint="default"/>
          <w:b/>
          <w:bCs/>
          <w:w w:val="99"/>
          <w:sz w:val="21"/>
          <w:szCs w:val="21"/>
        </w:rPr>
        <w:t> </w:t>
      </w:r>
      <w:r>
        <w:rPr>
          <w:rFonts w:ascii="宋体" w:hAnsi="宋体" w:cs="宋体" w:eastAsia="宋体" w:hint="default"/>
          <w:b/>
          <w:bCs/>
          <w:sz w:val="21"/>
          <w:szCs w:val="21"/>
        </w:rPr>
        <w:t>方但尚未到期的票据情况。</w:t>
      </w:r>
      <w:r>
        <w:rPr>
          <w:rFonts w:ascii="宋体" w:hAnsi="宋体" w:cs="宋体" w:eastAsia="宋体" w:hint="default"/>
          <w:sz w:val="21"/>
          <w:szCs w:val="21"/>
        </w:rPr>
      </w:r>
    </w:p>
    <w:p>
      <w:pPr>
        <w:spacing w:before="50"/>
        <w:ind w:left="8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、期末没有已贴现或质押的商业承兑票据。</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p>
      <w:pPr>
        <w:spacing w:before="0"/>
        <w:ind w:left="822"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33"/>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1742"/>
        <w:gridCol w:w="1260"/>
        <w:gridCol w:w="658"/>
        <w:gridCol w:w="1190"/>
        <w:gridCol w:w="672"/>
        <w:gridCol w:w="1259"/>
        <w:gridCol w:w="720"/>
        <w:gridCol w:w="1114"/>
        <w:gridCol w:w="644"/>
      </w:tblGrid>
      <w:tr>
        <w:trPr>
          <w:trHeight w:val="380" w:hRule="exact"/>
        </w:trPr>
        <w:tc>
          <w:tcPr>
            <w:tcW w:w="174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780"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37"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742" w:type="dxa"/>
            <w:vMerge/>
            <w:tcBorders>
              <w:left w:val="nil" w:sz="6" w:space="0" w:color="auto"/>
              <w:right w:val="single" w:sz="4" w:space="0" w:color="000000"/>
            </w:tcBorders>
          </w:tcPr>
          <w:p>
            <w:pPr/>
          </w:p>
        </w:tc>
        <w:tc>
          <w:tcPr>
            <w:tcW w:w="1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51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742"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w:t>
            </w: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8"/>
                <w:sz w:val="18"/>
                <w:szCs w:val="18"/>
              </w:rPr>
              <w:t>项计提坏账准备的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498,949,114.95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50.16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4,073,628.26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70,848,391.80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16.98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820,921.12</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1.16</w:t>
            </w:r>
          </w:p>
        </w:tc>
      </w:tr>
      <w:tr>
        <w:trPr>
          <w:trHeight w:val="476"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按组合计提坏账准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26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单项金额不重大但</w:t>
            </w:r>
          </w:p>
          <w:p>
            <w:pPr>
              <w:pStyle w:val="TableParagraph"/>
              <w:spacing w:line="240" w:lineRule="auto"/>
              <w:ind w:left="122" w:right="101"/>
              <w:jc w:val="both"/>
              <w:rPr>
                <w:rFonts w:ascii="宋体" w:hAnsi="宋体" w:cs="宋体" w:eastAsia="宋体" w:hint="default"/>
                <w:sz w:val="18"/>
                <w:szCs w:val="18"/>
              </w:rPr>
            </w:pPr>
            <w:r>
              <w:rPr>
                <w:rFonts w:ascii="宋体" w:hAnsi="宋体" w:cs="宋体" w:eastAsia="宋体" w:hint="default"/>
                <w:spacing w:val="8"/>
                <w:sz w:val="18"/>
                <w:szCs w:val="18"/>
              </w:rPr>
              <w:t>按信用风险特征组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合后该组合的风险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较大的应收账款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548,354.91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0.06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1"/>
              <w:jc w:val="right"/>
              <w:rPr>
                <w:rFonts w:ascii="Times New Roman" w:hAnsi="Times New Roman" w:cs="Times New Roman" w:eastAsia="Times New Roman" w:hint="default"/>
                <w:sz w:val="18"/>
                <w:szCs w:val="18"/>
              </w:rPr>
            </w:pPr>
            <w:r>
              <w:rPr>
                <w:rFonts w:ascii="Times New Roman"/>
                <w:sz w:val="18"/>
              </w:rPr>
              <w:t>232,779.46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42.45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pacing w:val="-1"/>
                <w:sz w:val="18"/>
              </w:rPr>
              <w:t>2,661,289.91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0.64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906,100.97</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6"/>
              <w:jc w:val="right"/>
              <w:rPr>
                <w:rFonts w:ascii="Times New Roman" w:hAnsi="Times New Roman" w:cs="Times New Roman" w:eastAsia="Times New Roman" w:hint="default"/>
                <w:sz w:val="18"/>
                <w:szCs w:val="18"/>
              </w:rPr>
            </w:pPr>
            <w:r>
              <w:rPr>
                <w:rFonts w:ascii="Times New Roman"/>
                <w:sz w:val="18"/>
              </w:rPr>
              <w:t>34.05</w:t>
            </w:r>
          </w:p>
        </w:tc>
      </w:tr>
      <w:tr>
        <w:trPr>
          <w:trHeight w:val="47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其他不重大的应收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9"/>
              <w:jc w:val="right"/>
              <w:rPr>
                <w:rFonts w:ascii="Times New Roman" w:hAnsi="Times New Roman" w:cs="Times New Roman" w:eastAsia="Times New Roman" w:hint="default"/>
                <w:sz w:val="18"/>
                <w:szCs w:val="18"/>
              </w:rPr>
            </w:pPr>
            <w:r>
              <w:rPr>
                <w:rFonts w:ascii="Times New Roman"/>
                <w:spacing w:val="-1"/>
                <w:sz w:val="18"/>
              </w:rPr>
              <w:t>495,316,080.68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49.78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11,015,498.86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2.22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9"/>
              <w:jc w:val="right"/>
              <w:rPr>
                <w:rFonts w:ascii="Times New Roman" w:hAnsi="Times New Roman" w:cs="Times New Roman" w:eastAsia="Times New Roman" w:hint="default"/>
                <w:sz w:val="18"/>
                <w:szCs w:val="18"/>
              </w:rPr>
            </w:pPr>
            <w:r>
              <w:rPr>
                <w:rFonts w:ascii="Times New Roman"/>
                <w:spacing w:val="-1"/>
                <w:sz w:val="18"/>
              </w:rPr>
              <w:t>343,796,555.76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82.38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pacing w:val="-1"/>
                <w:sz w:val="18"/>
              </w:rPr>
              <w:t>6,299,064.13</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56"/>
              <w:jc w:val="right"/>
              <w:rPr>
                <w:rFonts w:ascii="Times New Roman" w:hAnsi="Times New Roman" w:cs="Times New Roman" w:eastAsia="Times New Roman" w:hint="default"/>
                <w:sz w:val="18"/>
                <w:szCs w:val="18"/>
              </w:rPr>
            </w:pPr>
            <w:r>
              <w:rPr>
                <w:rFonts w:ascii="Times New Roman"/>
                <w:sz w:val="18"/>
              </w:rPr>
              <w:t>1.83</w:t>
            </w:r>
          </w:p>
        </w:tc>
      </w:tr>
      <w:tr>
        <w:trPr>
          <w:trHeight w:val="37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right"/>
              <w:rPr>
                <w:rFonts w:ascii="Times New Roman" w:hAnsi="Times New Roman" w:cs="Times New Roman" w:eastAsia="Times New Roman" w:hint="default"/>
                <w:sz w:val="18"/>
                <w:szCs w:val="18"/>
              </w:rPr>
            </w:pPr>
            <w:r>
              <w:rPr>
                <w:rFonts w:ascii="Times New Roman"/>
                <w:spacing w:val="-1"/>
                <w:sz w:val="18"/>
              </w:rPr>
              <w:t>495,864,435.59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49.84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
              <w:jc w:val="right"/>
              <w:rPr>
                <w:rFonts w:ascii="Times New Roman" w:hAnsi="Times New Roman" w:cs="Times New Roman" w:eastAsia="Times New Roman" w:hint="default"/>
                <w:sz w:val="18"/>
                <w:szCs w:val="18"/>
              </w:rPr>
            </w:pPr>
            <w:r>
              <w:rPr>
                <w:rFonts w:ascii="Times New Roman"/>
                <w:spacing w:val="-1"/>
                <w:sz w:val="18"/>
              </w:rPr>
              <w:t>11,248,278.32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2.27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49"/>
              <w:jc w:val="right"/>
              <w:rPr>
                <w:rFonts w:ascii="Times New Roman" w:hAnsi="Times New Roman" w:cs="Times New Roman" w:eastAsia="Times New Roman" w:hint="default"/>
                <w:sz w:val="18"/>
                <w:szCs w:val="18"/>
              </w:rPr>
            </w:pPr>
            <w:r>
              <w:rPr>
                <w:rFonts w:ascii="Times New Roman"/>
                <w:spacing w:val="-1"/>
                <w:sz w:val="18"/>
              </w:rPr>
              <w:t>346,457,845.67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Times New Roman" w:hAnsi="Times New Roman" w:cs="Times New Roman" w:eastAsia="Times New Roman" w:hint="default"/>
                <w:sz w:val="18"/>
                <w:szCs w:val="18"/>
              </w:rPr>
            </w:pPr>
            <w:r>
              <w:rPr>
                <w:rFonts w:ascii="Times New Roman"/>
                <w:sz w:val="18"/>
              </w:rPr>
              <w:t>83.02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0"/>
              <w:jc w:val="right"/>
              <w:rPr>
                <w:rFonts w:ascii="Times New Roman" w:hAnsi="Times New Roman" w:cs="Times New Roman" w:eastAsia="Times New Roman" w:hint="default"/>
                <w:sz w:val="18"/>
                <w:szCs w:val="18"/>
              </w:rPr>
            </w:pPr>
            <w:r>
              <w:rPr>
                <w:rFonts w:ascii="Times New Roman"/>
                <w:spacing w:val="-1"/>
                <w:sz w:val="18"/>
              </w:rPr>
              <w:t>7,205,165.10</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56"/>
              <w:jc w:val="right"/>
              <w:rPr>
                <w:rFonts w:ascii="Times New Roman" w:hAnsi="Times New Roman" w:cs="Times New Roman" w:eastAsia="Times New Roman" w:hint="default"/>
                <w:sz w:val="18"/>
                <w:szCs w:val="18"/>
              </w:rPr>
            </w:pPr>
            <w:r>
              <w:rPr>
                <w:rFonts w:ascii="Times New Roman"/>
                <w:sz w:val="18"/>
              </w:rPr>
              <w:t>2.08</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pacing w:val="8"/>
                <w:sz w:val="18"/>
                <w:szCs w:val="18"/>
              </w:rPr>
              <w:t>但单项计提坏账准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备的应收账款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0.00</w:t>
            </w:r>
          </w:p>
        </w:tc>
        <w:tc>
          <w:tcPr>
            <w:tcW w:w="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z w:val="18"/>
              </w:rPr>
              <w:t>0.00</w:t>
            </w:r>
          </w:p>
        </w:tc>
      </w:tr>
      <w:tr>
        <w:trPr>
          <w:trHeight w:val="361" w:hRule="exact"/>
        </w:trPr>
        <w:tc>
          <w:tcPr>
            <w:tcW w:w="17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6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994,813,550.54</w:t>
            </w:r>
          </w:p>
        </w:tc>
        <w:tc>
          <w:tcPr>
            <w:tcW w:w="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100.00</w:t>
            </w:r>
          </w:p>
        </w:tc>
        <w:tc>
          <w:tcPr>
            <w:tcW w:w="11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spacing w:val="-1"/>
                <w:sz w:val="18"/>
              </w:rPr>
              <w:t>15,321,906.58</w:t>
            </w:r>
          </w:p>
        </w:tc>
        <w:tc>
          <w:tcPr>
            <w:tcW w:w="6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1.54</w:t>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9"/>
              <w:jc w:val="right"/>
              <w:rPr>
                <w:rFonts w:ascii="Times New Roman" w:hAnsi="Times New Roman" w:cs="Times New Roman" w:eastAsia="Times New Roman" w:hint="default"/>
                <w:sz w:val="18"/>
                <w:szCs w:val="18"/>
              </w:rPr>
            </w:pPr>
            <w:r>
              <w:rPr>
                <w:rFonts w:ascii="Times New Roman"/>
                <w:spacing w:val="-1"/>
                <w:sz w:val="18"/>
              </w:rPr>
              <w:t>417,306,237.47</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pacing w:val="-1"/>
                <w:sz w:val="18"/>
              </w:rPr>
              <w:t>8,026,086.22</w:t>
            </w:r>
          </w:p>
        </w:tc>
        <w:tc>
          <w:tcPr>
            <w:tcW w:w="6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56"/>
              <w:jc w:val="right"/>
              <w:rPr>
                <w:rFonts w:ascii="Times New Roman" w:hAnsi="Times New Roman" w:cs="Times New Roman" w:eastAsia="Times New Roman" w:hint="default"/>
                <w:sz w:val="18"/>
                <w:szCs w:val="18"/>
              </w:rPr>
            </w:pPr>
            <w:r>
              <w:rPr>
                <w:rFonts w:ascii="Times New Roman"/>
                <w:sz w:val="18"/>
              </w:rPr>
              <w:t>1.92</w:t>
            </w:r>
          </w:p>
        </w:tc>
      </w:tr>
    </w:tbl>
    <w:p>
      <w:pPr>
        <w:spacing w:line="240" w:lineRule="auto" w:before="8"/>
        <w:rPr>
          <w:rFonts w:ascii="宋体" w:hAnsi="宋体" w:cs="宋体" w:eastAsia="宋体" w:hint="default"/>
          <w:b/>
          <w:bCs/>
          <w:sz w:val="6"/>
          <w:szCs w:val="6"/>
        </w:rPr>
      </w:pPr>
    </w:p>
    <w:p>
      <w:pPr>
        <w:pStyle w:val="BodyText"/>
        <w:spacing w:line="240" w:lineRule="auto" w:before="35"/>
        <w:ind w:left="820" w:right="0"/>
        <w:jc w:val="left"/>
      </w:pPr>
      <w:r>
        <w:rPr/>
        <w:t>应收账款种类的说明：详见本附注二</w:t>
      </w:r>
      <w:r>
        <w:rPr>
          <w:spacing w:val="-105"/>
        </w:rPr>
        <w:t>、</w:t>
      </w:r>
      <w:r>
        <w:rPr/>
        <w:t>（十</w:t>
      </w:r>
      <w:r>
        <w:rPr>
          <w:spacing w:val="-105"/>
        </w:rPr>
        <w:t>）</w:t>
      </w:r>
      <w:r>
        <w:rPr/>
        <w:t>。</w:t>
      </w:r>
    </w:p>
    <w:p>
      <w:pPr>
        <w:spacing w:after="0" w:line="240" w:lineRule="auto"/>
        <w:jc w:val="left"/>
        <w:sectPr>
          <w:pgSz w:w="11910" w:h="16840"/>
          <w:pgMar w:header="400" w:footer="982" w:top="1100" w:bottom="1180" w:left="1520" w:right="860"/>
        </w:sectPr>
      </w:pPr>
    </w:p>
    <w:p>
      <w:pPr>
        <w:spacing w:line="240" w:lineRule="auto" w:before="2"/>
        <w:rPr>
          <w:rFonts w:ascii="宋体" w:hAnsi="宋体" w:cs="宋体" w:eastAsia="宋体" w:hint="default"/>
          <w:sz w:val="19"/>
          <w:szCs w:val="19"/>
        </w:rPr>
      </w:pPr>
    </w:p>
    <w:p>
      <w:pPr>
        <w:pStyle w:val="BodyText"/>
        <w:spacing w:line="240" w:lineRule="auto" w:before="35"/>
        <w:ind w:left="820" w:right="0"/>
        <w:jc w:val="left"/>
      </w:pPr>
      <w:r>
        <w:rPr/>
        <w:t>期末单项金额重大并单项计提坏账准备的应收账款：</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133"/>
        <w:gridCol w:w="1645"/>
        <w:gridCol w:w="1597"/>
        <w:gridCol w:w="1080"/>
        <w:gridCol w:w="1621"/>
      </w:tblGrid>
      <w:tr>
        <w:trPr>
          <w:trHeight w:val="380" w:hRule="exact"/>
        </w:trPr>
        <w:tc>
          <w:tcPr>
            <w:tcW w:w="31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944"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7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6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中国银行股份有限公司总行</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376,435,332.67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1,882,176.66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32,715,585.55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1,635,779.28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5.00%</w:t>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IRAN ARGHAM</w:t>
            </w:r>
            <w:r>
              <w:rPr>
                <w:rFonts w:ascii="Times New Roman"/>
                <w:spacing w:val="-17"/>
                <w:sz w:val="21"/>
              </w:rPr>
              <w:t> </w:t>
            </w:r>
            <w:r>
              <w:rPr>
                <w:rFonts w:ascii="Times New Roman"/>
                <w:sz w:val="21"/>
              </w:rPr>
              <w:t>CO</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37,375,595.27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186,877.98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新技术股份有限公司</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28,151,666.33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140,758.33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农业银行吉林省分行</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24,270,935.13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228,036.01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0.94%</w:t>
            </w:r>
          </w:p>
        </w:tc>
        <w:tc>
          <w:tcPr>
            <w:tcW w:w="1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80"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498,949,114.95</w:t>
            </w:r>
          </w:p>
        </w:tc>
        <w:tc>
          <w:tcPr>
            <w:tcW w:w="15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4,073,628.26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0.82%</w:t>
            </w:r>
          </w:p>
        </w:tc>
        <w:tc>
          <w:tcPr>
            <w:tcW w:w="16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35"/>
        <w:ind w:left="820" w:right="0"/>
        <w:jc w:val="left"/>
      </w:pPr>
      <w:r>
        <w:rPr/>
        <w:t>组合中，采用账龄分析法计提坏账准备的应收账款：</w:t>
      </w:r>
    </w:p>
    <w:p>
      <w:pPr>
        <w:spacing w:line="240" w:lineRule="auto" w:before="11"/>
        <w:rPr>
          <w:rFonts w:ascii="宋体" w:hAnsi="宋体" w:cs="宋体" w:eastAsia="宋体" w:hint="default"/>
          <w:sz w:val="12"/>
          <w:szCs w:val="12"/>
        </w:rPr>
      </w:pPr>
    </w:p>
    <w:tbl>
      <w:tblPr>
        <w:tblW w:w="0" w:type="auto"/>
        <w:jc w:val="left"/>
        <w:tblInd w:w="142" w:type="dxa"/>
        <w:tblLayout w:type="fixed"/>
        <w:tblCellMar>
          <w:top w:w="0" w:type="dxa"/>
          <w:left w:w="0" w:type="dxa"/>
          <w:bottom w:w="0" w:type="dxa"/>
          <w:right w:w="0" w:type="dxa"/>
        </w:tblCellMar>
        <w:tblLook w:val="01E0"/>
      </w:tblPr>
      <w:tblGrid>
        <w:gridCol w:w="1450"/>
        <w:gridCol w:w="1529"/>
        <w:gridCol w:w="899"/>
        <w:gridCol w:w="1416"/>
        <w:gridCol w:w="1529"/>
        <w:gridCol w:w="900"/>
        <w:gridCol w:w="1320"/>
      </w:tblGrid>
      <w:tr>
        <w:trPr>
          <w:trHeight w:val="380" w:hRule="exact"/>
        </w:trPr>
        <w:tc>
          <w:tcPr>
            <w:tcW w:w="145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tabs>
                <w:tab w:pos="838" w:val="left" w:leader="none"/>
              </w:tabs>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84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4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450" w:type="dxa"/>
            <w:vMerge/>
            <w:tcBorders>
              <w:left w:val="nil" w:sz="6" w:space="0" w:color="auto"/>
              <w:right w:val="single" w:sz="4" w:space="0" w:color="000000"/>
            </w:tcBorders>
          </w:tcPr>
          <w:p>
            <w:pP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50"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20" w:type="dxa"/>
            <w:vMerge/>
            <w:tcBorders>
              <w:left w:val="single" w:sz="4" w:space="0" w:color="000000"/>
              <w:bottom w:val="single" w:sz="4" w:space="0" w:color="000000"/>
              <w:right w:val="nil" w:sz="6" w:space="0" w:color="auto"/>
            </w:tcBorders>
          </w:tcPr>
          <w:p>
            <w:pPr/>
          </w:p>
        </w:tc>
      </w:tr>
      <w:tr>
        <w:trPr>
          <w:trHeight w:val="371"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353,816,043.63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71.35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1"/>
                <w:sz w:val="20"/>
              </w:rPr>
              <w:t>1,769,080.20</w:t>
            </w:r>
            <w:r>
              <w:rPr>
                <w:rFonts w:ascii="Times New Roman"/>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20"/>
                <w:szCs w:val="20"/>
              </w:rPr>
            </w:pPr>
            <w:r>
              <w:rPr>
                <w:rFonts w:ascii="Times New Roman"/>
                <w:spacing w:val="-1"/>
                <w:sz w:val="20"/>
              </w:rPr>
              <w:t>243,054,194.81</w:t>
            </w:r>
            <w:r>
              <w:rPr>
                <w:rFonts w:ascii="Times New Roman"/>
                <w:sz w:val="20"/>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20"/>
                <w:szCs w:val="20"/>
              </w:rPr>
            </w:pPr>
            <w:r>
              <w:rPr>
                <w:rFonts w:ascii="Times New Roman"/>
                <w:spacing w:val="-1"/>
                <w:sz w:val="20"/>
              </w:rPr>
              <w:t>70.16</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20"/>
                <w:szCs w:val="20"/>
              </w:rPr>
            </w:pPr>
            <w:r>
              <w:rPr>
                <w:rFonts w:ascii="Times New Roman"/>
                <w:spacing w:val="-1"/>
                <w:sz w:val="20"/>
              </w:rPr>
              <w:t>1,215,270.33</w:t>
            </w:r>
          </w:p>
        </w:tc>
      </w:tr>
      <w:tr>
        <w:trPr>
          <w:trHeight w:val="370"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98,071,700.95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19.78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1"/>
                <w:sz w:val="20"/>
              </w:rPr>
              <w:t>4,903,585.05</w:t>
            </w:r>
            <w:r>
              <w:rPr>
                <w:rFonts w:ascii="Times New Roman"/>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99,808,845.95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28.81</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4,990,442.30</w:t>
            </w:r>
          </w:p>
        </w:tc>
      </w:tr>
      <w:tr>
        <w:trPr>
          <w:trHeight w:val="370"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43,428,336.10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4,342,833.61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933,515.00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0.27</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93,351.50</w:t>
            </w:r>
          </w:p>
        </w:tc>
      </w:tr>
      <w:tr>
        <w:trPr>
          <w:trHeight w:val="371"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439,665.00</w:t>
            </w:r>
            <w:r>
              <w:rPr>
                <w:rFonts w:ascii="Times New Roman"/>
                <w:sz w:val="21"/>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131,899.50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2,125,219.91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0.61</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637,565.97</w:t>
            </w:r>
            <w:r>
              <w:rPr>
                <w:rFonts w:ascii="Times New Roman"/>
                <w:sz w:val="21"/>
              </w:rPr>
            </w:r>
          </w:p>
        </w:tc>
      </w:tr>
      <w:tr>
        <w:trPr>
          <w:trHeight w:val="370"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15,619.91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7,809.96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535,070.00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0.15</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267,535.00</w:t>
            </w:r>
            <w:r>
              <w:rPr>
                <w:rFonts w:ascii="Times New Roman"/>
                <w:sz w:val="21"/>
              </w:rPr>
            </w:r>
          </w:p>
        </w:tc>
      </w:tr>
      <w:tr>
        <w:trPr>
          <w:trHeight w:val="370"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93,070.00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93,070.00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r>
      <w:tr>
        <w:trPr>
          <w:trHeight w:val="381" w:hRule="exact"/>
        </w:trPr>
        <w:tc>
          <w:tcPr>
            <w:tcW w:w="1450" w:type="dxa"/>
            <w:tcBorders>
              <w:top w:val="single" w:sz="4" w:space="0" w:color="000000"/>
              <w:left w:val="nil" w:sz="6" w:space="0" w:color="auto"/>
              <w:bottom w:val="single" w:sz="12" w:space="0" w:color="000000"/>
              <w:right w:val="single" w:sz="4" w:space="0" w:color="000000"/>
            </w:tcBorders>
          </w:tcPr>
          <w:p>
            <w:pPr>
              <w:pStyle w:val="TableParagraph"/>
              <w:tabs>
                <w:tab w:pos="838" w:val="left" w:leader="none"/>
              </w:tabs>
              <w:spacing w:line="240" w:lineRule="auto" w:before="53"/>
              <w:ind w:left="41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495,864,435.59</w:t>
            </w:r>
          </w:p>
        </w:tc>
        <w:tc>
          <w:tcPr>
            <w:tcW w:w="8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11,248,278.32</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346,457,845.67</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7,205,165.10</w:t>
            </w:r>
          </w:p>
        </w:tc>
      </w:tr>
    </w:tbl>
    <w:p>
      <w:pPr>
        <w:spacing w:line="240" w:lineRule="auto" w:before="8"/>
        <w:rPr>
          <w:rFonts w:ascii="宋体" w:hAnsi="宋体" w:cs="宋体" w:eastAsia="宋体" w:hint="default"/>
          <w:sz w:val="6"/>
          <w:szCs w:val="6"/>
        </w:rPr>
      </w:pPr>
    </w:p>
    <w:p>
      <w:pPr>
        <w:pStyle w:val="BodyText"/>
        <w:spacing w:line="240" w:lineRule="auto" w:before="35"/>
        <w:ind w:left="820" w:right="0"/>
        <w:jc w:val="left"/>
      </w:pPr>
      <w:r>
        <w:rPr/>
        <w:t>期末没有单项金额虽不重大但单项计提坏账准备的应收账款。</w:t>
      </w:r>
    </w:p>
    <w:p>
      <w:pPr>
        <w:pStyle w:val="Heading4"/>
        <w:spacing w:line="240" w:lineRule="auto" w:before="133"/>
        <w:ind w:left="822" w:right="0"/>
        <w:jc w:val="left"/>
        <w:rPr>
          <w:b w:val="0"/>
          <w:bCs w:val="0"/>
        </w:rPr>
      </w:pPr>
      <w:r>
        <w:rPr>
          <w:rFonts w:ascii="Times New Roman" w:hAnsi="Times New Roman" w:cs="Times New Roman" w:eastAsia="Times New Roman" w:hint="default"/>
        </w:rPr>
        <w:t>2</w:t>
      </w:r>
      <w:r>
        <w:rPr/>
        <w:t>、本期没有转回或收回应收账款情况。</w:t>
      </w:r>
      <w:r>
        <w:rPr>
          <w:b w:val="0"/>
          <w:bCs w:val="0"/>
        </w:rPr>
      </w:r>
    </w:p>
    <w:p>
      <w:pPr>
        <w:spacing w:before="118"/>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、本报告期没有实际核销的应收账款。</w:t>
      </w:r>
      <w:r>
        <w:rPr>
          <w:rFonts w:ascii="宋体" w:hAnsi="宋体" w:cs="宋体" w:eastAsia="宋体" w:hint="default"/>
          <w:sz w:val="21"/>
          <w:szCs w:val="21"/>
        </w:rPr>
      </w:r>
    </w:p>
    <w:p>
      <w:pPr>
        <w:spacing w:before="117"/>
        <w:ind w:left="8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17"/>
        <w:ind w:left="81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430" w:type="dxa"/>
        <w:tblLayout w:type="fixed"/>
        <w:tblCellMar>
          <w:top w:w="0" w:type="dxa"/>
          <w:left w:w="0" w:type="dxa"/>
          <w:bottom w:w="0" w:type="dxa"/>
          <w:right w:w="0" w:type="dxa"/>
        </w:tblCellMar>
        <w:tblLook w:val="01E0"/>
      </w:tblPr>
      <w:tblGrid>
        <w:gridCol w:w="3240"/>
        <w:gridCol w:w="1560"/>
        <w:gridCol w:w="1626"/>
        <w:gridCol w:w="1080"/>
        <w:gridCol w:w="1536"/>
      </w:tblGrid>
      <w:tr>
        <w:trPr>
          <w:trHeight w:val="740" w:hRule="exact"/>
        </w:trPr>
        <w:tc>
          <w:tcPr>
            <w:tcW w:w="32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536" w:type="dxa"/>
            <w:tcBorders>
              <w:top w:val="single" w:sz="12" w:space="0" w:color="000000"/>
              <w:left w:val="single" w:sz="4" w:space="0" w:color="000000"/>
              <w:bottom w:val="single" w:sz="4" w:space="0" w:color="000000"/>
              <w:right w:val="nil" w:sz="6" w:space="0" w:color="auto"/>
            </w:tcBorders>
          </w:tcPr>
          <w:p>
            <w:pPr>
              <w:pStyle w:val="TableParagraph"/>
              <w:spacing w:line="360" w:lineRule="exact" w:before="10"/>
              <w:ind w:left="184" w:right="137"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 额的比例</w:t>
            </w:r>
            <w:r>
              <w:rPr>
                <w:rFonts w:ascii="Times New Roman" w:hAnsi="Times New Roman" w:cs="Times New Roman" w:eastAsia="Times New Roman" w:hint="default"/>
                <w:sz w:val="21"/>
                <w:szCs w:val="21"/>
              </w:rPr>
              <w:t>(%)</w:t>
            </w:r>
          </w:p>
        </w:tc>
      </w:tr>
      <w:tr>
        <w:trPr>
          <w:trHeight w:val="370"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中国银行股份有限公司总行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376,435,332.67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37.84</w:t>
            </w:r>
          </w:p>
        </w:tc>
      </w:tr>
      <w:tr>
        <w:trPr>
          <w:trHeight w:val="37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32,715,585.55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3.29</w:t>
            </w:r>
          </w:p>
        </w:tc>
      </w:tr>
      <w:tr>
        <w:trPr>
          <w:trHeight w:val="370"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IRAN ARGHAM</w:t>
            </w:r>
            <w:r>
              <w:rPr>
                <w:rFonts w:ascii="Times New Roman"/>
                <w:spacing w:val="-21"/>
                <w:sz w:val="21"/>
              </w:rPr>
              <w:t> </w:t>
            </w:r>
            <w:r>
              <w:rPr>
                <w:rFonts w:ascii="Times New Roman"/>
                <w:sz w:val="21"/>
              </w:rPr>
              <w:t>CO</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37,375,595.27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3.76</w:t>
            </w:r>
          </w:p>
        </w:tc>
      </w:tr>
      <w:tr>
        <w:trPr>
          <w:trHeight w:val="370"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28,151,666.33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2.83</w:t>
            </w:r>
          </w:p>
        </w:tc>
      </w:tr>
      <w:tr>
        <w:trPr>
          <w:trHeight w:val="381" w:hRule="exact"/>
        </w:trPr>
        <w:tc>
          <w:tcPr>
            <w:tcW w:w="32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农业银行吉林省分行</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24,270,935.13</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5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2.44</w:t>
            </w:r>
          </w:p>
        </w:tc>
      </w:tr>
    </w:tbl>
    <w:p>
      <w:pPr>
        <w:spacing w:line="257" w:lineRule="exact" w:before="0"/>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、期末没有应收关联方账款。</w:t>
      </w:r>
      <w:r>
        <w:rPr>
          <w:rFonts w:ascii="宋体" w:hAnsi="宋体" w:cs="宋体" w:eastAsia="宋体" w:hint="default"/>
          <w:sz w:val="21"/>
          <w:szCs w:val="21"/>
        </w:rPr>
      </w:r>
    </w:p>
    <w:p>
      <w:pPr>
        <w:spacing w:before="117"/>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、本报告期没有发生终止确认的应收账款。</w:t>
      </w:r>
      <w:r>
        <w:rPr>
          <w:rFonts w:ascii="宋体" w:hAnsi="宋体" w:cs="宋体" w:eastAsia="宋体" w:hint="default"/>
          <w:sz w:val="21"/>
          <w:szCs w:val="21"/>
        </w:rPr>
      </w:r>
    </w:p>
    <w:p>
      <w:pPr>
        <w:spacing w:before="117"/>
        <w:ind w:left="82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、期末没有以应收账款为标的进行证券化的交易安排。</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400" w:footer="982" w:top="1100" w:bottom="1180" w:left="1520" w:right="760"/>
        </w:sectPr>
      </w:pPr>
    </w:p>
    <w:p>
      <w:pPr>
        <w:spacing w:line="240" w:lineRule="auto" w:before="2"/>
        <w:rPr>
          <w:rFonts w:ascii="宋体" w:hAnsi="宋体" w:cs="宋体" w:eastAsia="宋体" w:hint="default"/>
          <w:b/>
          <w:bCs/>
          <w:sz w:val="19"/>
          <w:szCs w:val="19"/>
        </w:rPr>
      </w:pPr>
    </w:p>
    <w:p>
      <w:pPr>
        <w:spacing w:before="35"/>
        <w:ind w:left="777" w:right="3847"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33"/>
        <w:ind w:left="777" w:right="38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742"/>
        <w:gridCol w:w="1152"/>
        <w:gridCol w:w="868"/>
        <w:gridCol w:w="1044"/>
        <w:gridCol w:w="818"/>
        <w:gridCol w:w="1192"/>
        <w:gridCol w:w="810"/>
        <w:gridCol w:w="980"/>
        <w:gridCol w:w="826"/>
      </w:tblGrid>
      <w:tr>
        <w:trPr>
          <w:trHeight w:val="380" w:hRule="exact"/>
        </w:trPr>
        <w:tc>
          <w:tcPr>
            <w:tcW w:w="174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882"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8"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742" w:type="dxa"/>
            <w:vMerge/>
            <w:tcBorders>
              <w:left w:val="nil" w:sz="6" w:space="0" w:color="auto"/>
              <w:right w:val="single" w:sz="4" w:space="0" w:color="000000"/>
            </w:tcBorders>
          </w:tcPr>
          <w:p>
            <w:pPr/>
          </w:p>
        </w:tc>
        <w:tc>
          <w:tcPr>
            <w:tcW w:w="2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742" w:type="dxa"/>
            <w:vMerge/>
            <w:tcBorders>
              <w:left w:val="nil" w:sz="6" w:space="0" w:color="auto"/>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w:t>
            </w: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8"/>
                <w:sz w:val="18"/>
                <w:szCs w:val="18"/>
              </w:rPr>
              <w:t>项计提坏账准备的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其他应收款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4,720,176.84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22.86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23,600.88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0.50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2,214,017.19</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18.30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9,170.94</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z w:val="18"/>
              </w:rPr>
              <w:t>0.41</w:t>
            </w:r>
          </w:p>
        </w:tc>
      </w:tr>
      <w:tr>
        <w:trPr>
          <w:trHeight w:val="476"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按组合计提坏账准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15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pacing w:val="8"/>
                <w:sz w:val="18"/>
                <w:szCs w:val="18"/>
              </w:rPr>
              <w:t>单项金额不重大但</w:t>
            </w:r>
          </w:p>
          <w:p>
            <w:pPr>
              <w:pStyle w:val="TableParagraph"/>
              <w:spacing w:line="240" w:lineRule="auto"/>
              <w:ind w:left="122" w:right="101"/>
              <w:jc w:val="both"/>
              <w:rPr>
                <w:rFonts w:ascii="宋体" w:hAnsi="宋体" w:cs="宋体" w:eastAsia="宋体" w:hint="default"/>
                <w:sz w:val="18"/>
                <w:szCs w:val="18"/>
              </w:rPr>
            </w:pPr>
            <w:r>
              <w:rPr>
                <w:rFonts w:ascii="宋体" w:hAnsi="宋体" w:cs="宋体" w:eastAsia="宋体" w:hint="default"/>
                <w:spacing w:val="8"/>
                <w:sz w:val="18"/>
                <w:szCs w:val="18"/>
              </w:rPr>
              <w:t>按信用风险特征组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合后该组合的风险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较大的其他应收款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73,367.95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0.36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43,245.15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1"/>
              <w:jc w:val="right"/>
              <w:rPr>
                <w:rFonts w:ascii="Times New Roman" w:hAnsi="Times New Roman" w:cs="Times New Roman" w:eastAsia="Times New Roman" w:hint="default"/>
                <w:sz w:val="18"/>
                <w:szCs w:val="18"/>
              </w:rPr>
            </w:pPr>
            <w:r>
              <w:rPr>
                <w:rFonts w:ascii="Times New Roman"/>
                <w:sz w:val="18"/>
              </w:rPr>
              <w:t>58.94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2"/>
              <w:jc w:val="right"/>
              <w:rPr>
                <w:rFonts w:ascii="Times New Roman" w:hAnsi="Times New Roman" w:cs="Times New Roman" w:eastAsia="Times New Roman" w:hint="default"/>
                <w:sz w:val="18"/>
                <w:szCs w:val="18"/>
              </w:rPr>
            </w:pPr>
            <w:r>
              <w:rPr>
                <w:rFonts w:ascii="Times New Roman"/>
                <w:spacing w:val="-1"/>
                <w:sz w:val="18"/>
              </w:rPr>
              <w:t>66,594.11</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0.55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0"/>
              <w:jc w:val="right"/>
              <w:rPr>
                <w:rFonts w:ascii="Times New Roman" w:hAnsi="Times New Roman" w:cs="Times New Roman" w:eastAsia="Times New Roman" w:hint="default"/>
                <w:sz w:val="18"/>
                <w:szCs w:val="18"/>
              </w:rPr>
            </w:pPr>
            <w:r>
              <w:rPr>
                <w:rFonts w:ascii="Times New Roman"/>
                <w:sz w:val="18"/>
              </w:rPr>
              <w:t>39,313.00</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6"/>
              <w:jc w:val="right"/>
              <w:rPr>
                <w:rFonts w:ascii="Times New Roman" w:hAnsi="Times New Roman" w:cs="Times New Roman" w:eastAsia="Times New Roman" w:hint="default"/>
                <w:sz w:val="18"/>
                <w:szCs w:val="18"/>
              </w:rPr>
            </w:pPr>
            <w:r>
              <w:rPr>
                <w:rFonts w:ascii="Times New Roman"/>
                <w:sz w:val="18"/>
              </w:rPr>
              <w:t>59.03</w:t>
            </w:r>
          </w:p>
        </w:tc>
      </w:tr>
      <w:tr>
        <w:trPr>
          <w:trHeight w:val="47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其他不重大的其他</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1"/>
              <w:jc w:val="right"/>
              <w:rPr>
                <w:rFonts w:ascii="Times New Roman" w:hAnsi="Times New Roman" w:cs="Times New Roman" w:eastAsia="Times New Roman" w:hint="default"/>
                <w:sz w:val="18"/>
                <w:szCs w:val="18"/>
              </w:rPr>
            </w:pPr>
            <w:r>
              <w:rPr>
                <w:rFonts w:ascii="Times New Roman"/>
                <w:spacing w:val="-1"/>
                <w:sz w:val="18"/>
              </w:rPr>
              <w:t>15,676,658.57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75.92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206,140.88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z w:val="18"/>
              </w:rPr>
              <w:t>1.31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2"/>
              <w:jc w:val="right"/>
              <w:rPr>
                <w:rFonts w:ascii="Times New Roman" w:hAnsi="Times New Roman" w:cs="Times New Roman" w:eastAsia="Times New Roman" w:hint="default"/>
                <w:sz w:val="18"/>
                <w:szCs w:val="18"/>
              </w:rPr>
            </w:pPr>
            <w:r>
              <w:rPr>
                <w:rFonts w:ascii="Times New Roman"/>
                <w:spacing w:val="-1"/>
                <w:sz w:val="18"/>
              </w:rPr>
              <w:t>9,642,882.07</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79.68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0"/>
              <w:jc w:val="right"/>
              <w:rPr>
                <w:rFonts w:ascii="Times New Roman" w:hAnsi="Times New Roman" w:cs="Times New Roman" w:eastAsia="Times New Roman" w:hint="default"/>
                <w:sz w:val="18"/>
                <w:szCs w:val="18"/>
              </w:rPr>
            </w:pPr>
            <w:r>
              <w:rPr>
                <w:rFonts w:ascii="Times New Roman"/>
                <w:sz w:val="18"/>
              </w:rPr>
              <w:t>139,585.21</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56"/>
              <w:jc w:val="right"/>
              <w:rPr>
                <w:rFonts w:ascii="Times New Roman" w:hAnsi="Times New Roman" w:cs="Times New Roman" w:eastAsia="Times New Roman" w:hint="default"/>
                <w:sz w:val="18"/>
                <w:szCs w:val="18"/>
              </w:rPr>
            </w:pPr>
            <w:r>
              <w:rPr>
                <w:rFonts w:ascii="Times New Roman"/>
                <w:sz w:val="18"/>
              </w:rPr>
              <w:t>1.45</w:t>
            </w:r>
          </w:p>
        </w:tc>
      </w:tr>
      <w:tr>
        <w:trPr>
          <w:trHeight w:val="37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1"/>
              <w:jc w:val="right"/>
              <w:rPr>
                <w:rFonts w:ascii="Times New Roman" w:hAnsi="Times New Roman" w:cs="Times New Roman" w:eastAsia="Times New Roman" w:hint="default"/>
                <w:sz w:val="18"/>
                <w:szCs w:val="18"/>
              </w:rPr>
            </w:pPr>
            <w:r>
              <w:rPr>
                <w:rFonts w:ascii="Times New Roman"/>
                <w:spacing w:val="-1"/>
                <w:sz w:val="18"/>
              </w:rPr>
              <w:t>15,750,026.52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76.28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249,386.03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
              <w:jc w:val="right"/>
              <w:rPr>
                <w:rFonts w:ascii="Times New Roman" w:hAnsi="Times New Roman" w:cs="Times New Roman" w:eastAsia="Times New Roman" w:hint="default"/>
                <w:sz w:val="18"/>
                <w:szCs w:val="18"/>
              </w:rPr>
            </w:pPr>
            <w:r>
              <w:rPr>
                <w:rFonts w:ascii="Times New Roman"/>
                <w:sz w:val="18"/>
              </w:rPr>
              <w:t>1.58</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
              <w:jc w:val="right"/>
              <w:rPr>
                <w:rFonts w:ascii="Times New Roman" w:hAnsi="Times New Roman" w:cs="Times New Roman" w:eastAsia="Times New Roman" w:hint="default"/>
                <w:sz w:val="18"/>
                <w:szCs w:val="18"/>
              </w:rPr>
            </w:pPr>
            <w:r>
              <w:rPr>
                <w:rFonts w:ascii="Times New Roman"/>
                <w:spacing w:val="-1"/>
                <w:sz w:val="18"/>
              </w:rPr>
              <w:t>9,709,476.18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80.23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z w:val="18"/>
              </w:rPr>
              <w:t>178,898.21</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6"/>
              <w:jc w:val="right"/>
              <w:rPr>
                <w:rFonts w:ascii="Times New Roman" w:hAnsi="Times New Roman" w:cs="Times New Roman" w:eastAsia="Times New Roman" w:hint="default"/>
                <w:sz w:val="18"/>
                <w:szCs w:val="18"/>
              </w:rPr>
            </w:pPr>
            <w:r>
              <w:rPr>
                <w:rFonts w:ascii="Times New Roman"/>
                <w:sz w:val="18"/>
              </w:rPr>
              <w:t>1.84</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pacing w:val="8"/>
                <w:sz w:val="18"/>
                <w:szCs w:val="18"/>
              </w:rPr>
              <w:t>但单项计提坏账准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178,004.00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178,004.00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100.00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z w:val="18"/>
              </w:rPr>
              <w:t>178,004.00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178,004.00</w:t>
            </w:r>
          </w:p>
        </w:tc>
        <w:tc>
          <w:tcPr>
            <w:tcW w:w="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z w:val="18"/>
              </w:rPr>
              <w:t>100.00</w:t>
            </w:r>
          </w:p>
        </w:tc>
      </w:tr>
      <w:tr>
        <w:trPr>
          <w:trHeight w:val="361" w:hRule="exact"/>
        </w:trPr>
        <w:tc>
          <w:tcPr>
            <w:tcW w:w="17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567"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1"/>
              <w:jc w:val="right"/>
              <w:rPr>
                <w:rFonts w:ascii="Times New Roman" w:hAnsi="Times New Roman" w:cs="Times New Roman" w:eastAsia="Times New Roman" w:hint="default"/>
                <w:sz w:val="18"/>
                <w:szCs w:val="18"/>
              </w:rPr>
            </w:pPr>
            <w:r>
              <w:rPr>
                <w:rFonts w:ascii="Times New Roman"/>
                <w:spacing w:val="-1"/>
                <w:sz w:val="18"/>
              </w:rPr>
              <w:t>20,648,207.36</w:t>
            </w:r>
          </w:p>
        </w:tc>
        <w:tc>
          <w:tcPr>
            <w:tcW w:w="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100.00</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450,990.91</w:t>
            </w:r>
          </w:p>
        </w:tc>
        <w:tc>
          <w:tcPr>
            <w:tcW w:w="8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sz w:val="18"/>
              </w:rPr>
              <w:t>2.18</w:t>
            </w:r>
          </w:p>
        </w:tc>
        <w:tc>
          <w:tcPr>
            <w:tcW w:w="11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spacing w:val="-1"/>
                <w:sz w:val="18"/>
              </w:rPr>
              <w:t>12,101,497.37</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100.00</w:t>
            </w:r>
          </w:p>
        </w:tc>
        <w:tc>
          <w:tcPr>
            <w:tcW w:w="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50"/>
              <w:jc w:val="right"/>
              <w:rPr>
                <w:rFonts w:ascii="Times New Roman" w:hAnsi="Times New Roman" w:cs="Times New Roman" w:eastAsia="Times New Roman" w:hint="default"/>
                <w:sz w:val="18"/>
                <w:szCs w:val="18"/>
              </w:rPr>
            </w:pPr>
            <w:r>
              <w:rPr>
                <w:rFonts w:ascii="Times New Roman"/>
                <w:sz w:val="18"/>
              </w:rPr>
              <w:t>366,073.15</w:t>
            </w:r>
          </w:p>
        </w:tc>
        <w:tc>
          <w:tcPr>
            <w:tcW w:w="8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56"/>
              <w:jc w:val="right"/>
              <w:rPr>
                <w:rFonts w:ascii="Times New Roman" w:hAnsi="Times New Roman" w:cs="Times New Roman" w:eastAsia="Times New Roman" w:hint="default"/>
                <w:sz w:val="18"/>
                <w:szCs w:val="18"/>
              </w:rPr>
            </w:pPr>
            <w:r>
              <w:rPr>
                <w:rFonts w:ascii="Times New Roman"/>
                <w:sz w:val="18"/>
              </w:rPr>
              <w:t>3.03</w:t>
            </w:r>
          </w:p>
        </w:tc>
      </w:tr>
    </w:tbl>
    <w:p>
      <w:pPr>
        <w:spacing w:line="240" w:lineRule="auto" w:before="8"/>
        <w:rPr>
          <w:rFonts w:ascii="宋体" w:hAnsi="宋体" w:cs="宋体" w:eastAsia="宋体" w:hint="default"/>
          <w:b/>
          <w:bCs/>
          <w:sz w:val="6"/>
          <w:szCs w:val="6"/>
        </w:rPr>
      </w:pPr>
    </w:p>
    <w:p>
      <w:pPr>
        <w:pStyle w:val="BodyText"/>
        <w:spacing w:line="355" w:lineRule="auto" w:before="35"/>
        <w:ind w:left="777" w:right="3847" w:firstLine="2"/>
        <w:jc w:val="left"/>
      </w:pPr>
      <w:r>
        <w:rPr>
          <w:spacing w:val="-10"/>
        </w:rPr>
        <w:t>其他应收款种类的说明：详见本附注二、（十）。</w:t>
      </w:r>
      <w:r>
        <w:rPr>
          <w:spacing w:val="-98"/>
        </w:rPr>
        <w:t> </w:t>
      </w:r>
      <w:r>
        <w:rPr>
          <w:spacing w:val="-98"/>
        </w:rPr>
      </w:r>
      <w:r>
        <w:rPr/>
        <w:t>期末单项金额重大并单项计提坏账准备的其他应收款：</w:t>
      </w:r>
    </w:p>
    <w:p>
      <w:pPr>
        <w:spacing w:line="240" w:lineRule="auto" w:before="2"/>
        <w:rPr>
          <w:rFonts w:ascii="宋体" w:hAnsi="宋体" w:cs="宋体" w:eastAsia="宋体" w:hint="default"/>
          <w:sz w:val="5"/>
          <w:szCs w:val="5"/>
        </w:rPr>
      </w:pPr>
    </w:p>
    <w:tbl>
      <w:tblPr>
        <w:tblW w:w="0" w:type="auto"/>
        <w:jc w:val="left"/>
        <w:tblInd w:w="820" w:type="dxa"/>
        <w:tblLayout w:type="fixed"/>
        <w:tblCellMar>
          <w:top w:w="0" w:type="dxa"/>
          <w:left w:w="0" w:type="dxa"/>
          <w:bottom w:w="0" w:type="dxa"/>
          <w:right w:w="0" w:type="dxa"/>
        </w:tblCellMar>
        <w:tblLook w:val="01E0"/>
      </w:tblPr>
      <w:tblGrid>
        <w:gridCol w:w="1894"/>
        <w:gridCol w:w="1645"/>
        <w:gridCol w:w="1598"/>
        <w:gridCol w:w="1288"/>
        <w:gridCol w:w="1800"/>
      </w:tblGrid>
      <w:tr>
        <w:trPr>
          <w:trHeight w:val="380" w:hRule="exact"/>
        </w:trPr>
        <w:tc>
          <w:tcPr>
            <w:tcW w:w="18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18"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1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马立均（测试钞）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1,101,926.99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5,509.63</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梁琳（测试钞）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1,429,086.62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7,145.43</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1,044,943.82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5,224.72</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武育智（测试钞）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617,867.91</w:t>
            </w:r>
            <w:r>
              <w:rPr>
                <w:rFonts w:ascii="Times New Roman"/>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3,089.34</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李子丹（测试钞）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526,351.50</w:t>
            </w:r>
            <w:r>
              <w:rPr>
                <w:rFonts w:ascii="Times New Roman"/>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2,631.76</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81" w:hRule="exact"/>
        </w:trPr>
        <w:tc>
          <w:tcPr>
            <w:tcW w:w="1894" w:type="dxa"/>
            <w:tcBorders>
              <w:top w:val="single" w:sz="4" w:space="0" w:color="000000"/>
              <w:left w:val="nil" w:sz="6" w:space="0" w:color="auto"/>
              <w:bottom w:val="single" w:sz="12" w:space="0" w:color="000000"/>
              <w:right w:val="single" w:sz="4" w:space="0" w:color="000000"/>
            </w:tcBorders>
          </w:tcPr>
          <w:p>
            <w:pPr>
              <w:pStyle w:val="TableParagraph"/>
              <w:tabs>
                <w:tab w:pos="1059" w:val="left" w:leader="none"/>
              </w:tabs>
              <w:spacing w:line="240" w:lineRule="auto" w:before="53"/>
              <w:ind w:left="6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4,720,176.84</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23,600.88</w:t>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400" w:footer="982" w:top="1100" w:bottom="1180" w:left="1560" w:right="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857" w:right="0"/>
        <w:jc w:val="left"/>
      </w:pP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678" w:type="dxa"/>
        <w:tblLayout w:type="fixed"/>
        <w:tblCellMar>
          <w:top w:w="0" w:type="dxa"/>
          <w:left w:w="0" w:type="dxa"/>
          <w:bottom w:w="0" w:type="dxa"/>
          <w:right w:w="0" w:type="dxa"/>
        </w:tblCellMar>
        <w:tblLook w:val="01E0"/>
      </w:tblPr>
      <w:tblGrid>
        <w:gridCol w:w="1574"/>
        <w:gridCol w:w="1558"/>
        <w:gridCol w:w="900"/>
        <w:gridCol w:w="1162"/>
        <w:gridCol w:w="1392"/>
        <w:gridCol w:w="902"/>
        <w:gridCol w:w="1300"/>
      </w:tblGrid>
      <w:tr>
        <w:trPr>
          <w:trHeight w:val="380" w:hRule="exact"/>
        </w:trPr>
        <w:tc>
          <w:tcPr>
            <w:tcW w:w="157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tabs>
                <w:tab w:pos="899" w:val="left" w:leader="none"/>
              </w:tabs>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1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9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1574" w:type="dxa"/>
            <w:vMerge/>
            <w:tcBorders>
              <w:left w:val="nil" w:sz="6" w:space="0" w:color="auto"/>
              <w:right w:val="single" w:sz="4" w:space="0" w:color="000000"/>
            </w:tcBorders>
          </w:tcPr>
          <w:p>
            <w:pP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574"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5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2" w:type="dxa"/>
            <w:vMerge/>
            <w:tcBorders>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5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0" w:type="dxa"/>
            <w:vMerge/>
            <w:tcBorders>
              <w:left w:val="single" w:sz="4" w:space="0" w:color="000000"/>
              <w:bottom w:val="single" w:sz="4" w:space="0" w:color="000000"/>
              <w:right w:val="nil" w:sz="6" w:space="0" w:color="auto"/>
            </w:tcBorders>
          </w:tcPr>
          <w:p>
            <w:pPr/>
          </w:p>
        </w:tc>
      </w:tr>
      <w:tr>
        <w:trPr>
          <w:trHeight w:val="3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13,141,912.35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87.34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65,709.56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7,641,722.18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78.71</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38,189.58</w:t>
            </w:r>
          </w:p>
        </w:tc>
      </w:tr>
      <w:tr>
        <w:trPr>
          <w:trHeight w:val="37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855,885.72</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5.69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42,794.29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1,974,407.29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20.33</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98,720.37</w:t>
            </w:r>
          </w:p>
        </w:tc>
      </w:tr>
      <w:tr>
        <w:trPr>
          <w:trHeight w:val="3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976,370.27</w:t>
            </w:r>
            <w:r>
              <w:rPr>
                <w:rFonts w:ascii="Times New Roman"/>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97,637.03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26,752.60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0.28</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2,675.26</w:t>
            </w:r>
            <w:r>
              <w:rPr>
                <w:rFonts w:ascii="Times New Roman"/>
                <w:sz w:val="21"/>
              </w:rPr>
            </w:r>
          </w:p>
        </w:tc>
      </w:tr>
      <w:tr>
        <w:trPr>
          <w:trHeight w:val="3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28,746.86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8,624.06</w:t>
            </w:r>
            <w:r>
              <w:rPr>
                <w:rFonts w:ascii="Times New Roman"/>
                <w:sz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38,973.02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0.40</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2"/>
                <w:sz w:val="21"/>
              </w:rPr>
              <w:t>11,691.91</w:t>
            </w:r>
            <w:r>
              <w:rPr>
                <w:rFonts w:ascii="Times New Roman"/>
                <w:sz w:val="21"/>
              </w:rPr>
            </w:r>
          </w:p>
        </w:tc>
      </w:tr>
      <w:tr>
        <w:trPr>
          <w:trHeight w:val="37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24,621.09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24,621.09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27,621.09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0.28</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27,621.09</w:t>
            </w:r>
          </w:p>
        </w:tc>
      </w:tr>
      <w:tr>
        <w:trPr>
          <w:trHeight w:val="380" w:hRule="exact"/>
        </w:trPr>
        <w:tc>
          <w:tcPr>
            <w:tcW w:w="1574" w:type="dxa"/>
            <w:tcBorders>
              <w:top w:val="single" w:sz="4" w:space="0" w:color="000000"/>
              <w:left w:val="nil" w:sz="6" w:space="0" w:color="auto"/>
              <w:bottom w:val="single" w:sz="12" w:space="0" w:color="000000"/>
              <w:right w:val="single" w:sz="4" w:space="0" w:color="000000"/>
            </w:tcBorders>
          </w:tcPr>
          <w:p>
            <w:pPr>
              <w:pStyle w:val="TableParagraph"/>
              <w:tabs>
                <w:tab w:pos="899" w:val="left" w:leader="none"/>
              </w:tabs>
              <w:spacing w:line="240" w:lineRule="auto" w:before="53"/>
              <w:ind w:left="47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15,047,536.29</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249,386.03</w:t>
            </w:r>
            <w:r>
              <w:rPr>
                <w:rFonts w:ascii="Times New Roman"/>
                <w:sz w:val="21"/>
              </w:rPr>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9,709,476.18</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3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178,898.21</w:t>
            </w:r>
            <w:r>
              <w:rPr>
                <w:rFonts w:ascii="Times New Roman"/>
                <w:sz w:val="21"/>
              </w:rPr>
            </w:r>
          </w:p>
        </w:tc>
      </w:tr>
    </w:tbl>
    <w:p>
      <w:pPr>
        <w:spacing w:line="240" w:lineRule="auto" w:before="8"/>
        <w:rPr>
          <w:rFonts w:ascii="宋体" w:hAnsi="宋体" w:cs="宋体" w:eastAsia="宋体" w:hint="default"/>
          <w:sz w:val="6"/>
          <w:szCs w:val="6"/>
        </w:rPr>
      </w:pPr>
    </w:p>
    <w:p>
      <w:pPr>
        <w:pStyle w:val="BodyText"/>
        <w:spacing w:line="240" w:lineRule="auto" w:before="35"/>
        <w:ind w:left="680" w:right="0"/>
        <w:jc w:val="left"/>
      </w:pPr>
      <w:r>
        <w:rPr/>
        <w:t>期末单项金额虽不重大但单项计提坏账准备的其他应收款：</w:t>
      </w:r>
    </w:p>
    <w:p>
      <w:pPr>
        <w:spacing w:line="240" w:lineRule="auto" w:before="11"/>
        <w:rPr>
          <w:rFonts w:ascii="宋体" w:hAnsi="宋体" w:cs="宋体" w:eastAsia="宋体" w:hint="default"/>
          <w:sz w:val="12"/>
          <w:szCs w:val="12"/>
        </w:rPr>
      </w:pPr>
    </w:p>
    <w:tbl>
      <w:tblPr>
        <w:tblW w:w="0" w:type="auto"/>
        <w:jc w:val="left"/>
        <w:tblInd w:w="720" w:type="dxa"/>
        <w:tblLayout w:type="fixed"/>
        <w:tblCellMar>
          <w:top w:w="0" w:type="dxa"/>
          <w:left w:w="0" w:type="dxa"/>
          <w:bottom w:w="0" w:type="dxa"/>
          <w:right w:w="0" w:type="dxa"/>
        </w:tblCellMar>
        <w:tblLook w:val="01E0"/>
      </w:tblPr>
      <w:tblGrid>
        <w:gridCol w:w="1939"/>
        <w:gridCol w:w="1787"/>
        <w:gridCol w:w="1619"/>
        <w:gridCol w:w="1181"/>
        <w:gridCol w:w="1720"/>
      </w:tblGrid>
      <w:tr>
        <w:trPr>
          <w:trHeight w:val="380" w:hRule="exact"/>
        </w:trPr>
        <w:tc>
          <w:tcPr>
            <w:tcW w:w="1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41"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6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垫付款项</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80" w:hRule="exact"/>
        </w:trPr>
        <w:tc>
          <w:tcPr>
            <w:tcW w:w="1939" w:type="dxa"/>
            <w:tcBorders>
              <w:top w:val="single" w:sz="4" w:space="0" w:color="000000"/>
              <w:left w:val="nil" w:sz="6" w:space="0" w:color="auto"/>
              <w:bottom w:val="single" w:sz="12" w:space="0" w:color="000000"/>
              <w:right w:val="single" w:sz="4" w:space="0" w:color="000000"/>
            </w:tcBorders>
          </w:tcPr>
          <w:p>
            <w:pPr>
              <w:pStyle w:val="TableParagraph"/>
              <w:tabs>
                <w:tab w:pos="1081" w:val="left" w:leader="none"/>
              </w:tabs>
              <w:spacing w:line="240" w:lineRule="auto" w:before="53"/>
              <w:ind w:left="6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72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357" w:lineRule="auto" w:before="35"/>
        <w:ind w:right="0" w:firstLine="540"/>
        <w:jc w:val="left"/>
      </w:pPr>
      <w:r>
        <w:rPr/>
        <w:t>注</w:t>
      </w:r>
      <w:r>
        <w:rPr>
          <w:spacing w:val="-49"/>
        </w:rPr>
        <w:t> </w:t>
      </w:r>
      <w:r>
        <w:rPr>
          <w:spacing w:val="-11"/>
        </w:rPr>
        <w:t>1：2006</w:t>
      </w:r>
      <w:r>
        <w:rPr>
          <w:spacing w:val="-48"/>
        </w:rPr>
        <w:t> </w:t>
      </w:r>
      <w:r>
        <w:rPr>
          <w:spacing w:val="-5"/>
        </w:rPr>
        <w:t>年，银行储户发现系统出错时在自助终端上多次取款，造成银行损失</w:t>
      </w:r>
      <w:r>
        <w:rPr>
          <w:spacing w:val="-49"/>
        </w:rPr>
        <w:t> </w:t>
      </w:r>
      <w:r>
        <w:rPr/>
        <w:t>178,004.00</w:t>
      </w:r>
      <w:r>
        <w:rPr>
          <w:spacing w:val="-1"/>
        </w:rPr>
        <w:t> </w:t>
      </w:r>
      <w:r>
        <w:rPr/>
        <w:t>元，本公司已先行垫付，本公司本着谨慎性原则，对该垫付款项全额计提了坏账准备。</w:t>
      </w:r>
    </w:p>
    <w:p>
      <w:pPr>
        <w:pStyle w:val="Heading4"/>
        <w:spacing w:line="240" w:lineRule="auto" w:before="30"/>
        <w:ind w:left="857" w:right="0"/>
        <w:jc w:val="left"/>
        <w:rPr>
          <w:b w:val="0"/>
          <w:bCs w:val="0"/>
        </w:rPr>
      </w:pPr>
      <w:r>
        <w:rPr>
          <w:rFonts w:ascii="Times New Roman" w:hAnsi="Times New Roman" w:cs="Times New Roman" w:eastAsia="Times New Roman" w:hint="default"/>
        </w:rPr>
        <w:t>2</w:t>
      </w:r>
      <w:r>
        <w:rPr/>
        <w:t>、本期没有转回或收回其他应收款。</w:t>
      </w:r>
      <w:r>
        <w:rPr>
          <w:b w:val="0"/>
          <w:bCs w:val="0"/>
        </w:rPr>
      </w:r>
    </w:p>
    <w:p>
      <w:pPr>
        <w:spacing w:before="118"/>
        <w:ind w:left="8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2285"/>
        <w:gridCol w:w="1800"/>
        <w:gridCol w:w="1440"/>
        <w:gridCol w:w="1561"/>
        <w:gridCol w:w="1410"/>
      </w:tblGrid>
      <w:tr>
        <w:trPr>
          <w:trHeight w:val="565" w:hRule="exact"/>
        </w:trPr>
        <w:tc>
          <w:tcPr>
            <w:tcW w:w="22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72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其他应收款性质</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29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10"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37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越南办事处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房租押金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52,573.04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无法收回</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职工借款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业务借款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26,995.84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职工已离职</w:t>
            </w:r>
          </w:p>
        </w:tc>
        <w:tc>
          <w:tcPr>
            <w:tcW w:w="141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285"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12" w:space="0" w:color="000000"/>
              <w:right w:val="single" w:sz="4" w:space="0" w:color="000000"/>
            </w:tcBorders>
          </w:tcPr>
          <w:p>
            <w:pP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79,568.88</w:t>
            </w:r>
          </w:p>
        </w:tc>
        <w:tc>
          <w:tcPr>
            <w:tcW w:w="1561" w:type="dxa"/>
            <w:tcBorders>
              <w:top w:val="single" w:sz="4" w:space="0" w:color="000000"/>
              <w:left w:val="single" w:sz="4" w:space="0" w:color="000000"/>
              <w:bottom w:val="single" w:sz="12" w:space="0" w:color="000000"/>
              <w:right w:val="single" w:sz="4" w:space="0" w:color="000000"/>
            </w:tcBorders>
          </w:tcPr>
          <w:p>
            <w:pPr/>
          </w:p>
        </w:tc>
        <w:tc>
          <w:tcPr>
            <w:tcW w:w="14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before="35"/>
        <w:ind w:left="8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、期末其他应收款中持本公司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2825"/>
        <w:gridCol w:w="1350"/>
        <w:gridCol w:w="1530"/>
        <w:gridCol w:w="1350"/>
        <w:gridCol w:w="1530"/>
      </w:tblGrid>
      <w:tr>
        <w:trPr>
          <w:trHeight w:val="380" w:hRule="exact"/>
        </w:trPr>
        <w:tc>
          <w:tcPr>
            <w:tcW w:w="282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2825"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计提坏账金额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33"/>
              <w:jc w:val="righ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2,820.00</w:t>
            </w:r>
            <w:r>
              <w:rPr>
                <w:rFonts w:ascii="Times New Roman"/>
                <w:sz w:val="21"/>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14.10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4,860.00</w:t>
            </w:r>
            <w:r>
              <w:rPr>
                <w:rFonts w:ascii="Times New Roman"/>
                <w:sz w:val="21"/>
              </w:rPr>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401.25</w:t>
            </w:r>
          </w:p>
        </w:tc>
      </w:tr>
      <w:tr>
        <w:trPr>
          <w:trHeight w:val="380" w:hRule="exact"/>
        </w:trPr>
        <w:tc>
          <w:tcPr>
            <w:tcW w:w="28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2,820.00</w:t>
            </w:r>
            <w:r>
              <w:rPr>
                <w:rFonts w:ascii="Times New Roman"/>
                <w:sz w:val="21"/>
              </w:rPr>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14.10</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4,860.00</w:t>
            </w:r>
            <w:r>
              <w:rPr>
                <w:rFonts w:ascii="Times New Roman"/>
                <w:sz w:val="21"/>
              </w:rPr>
            </w:r>
          </w:p>
        </w:tc>
        <w:tc>
          <w:tcPr>
            <w:tcW w:w="15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401.25</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660" w:right="620"/>
        </w:sectPr>
      </w:pPr>
    </w:p>
    <w:p>
      <w:pPr>
        <w:spacing w:line="240" w:lineRule="auto" w:before="0"/>
        <w:rPr>
          <w:rFonts w:ascii="宋体" w:hAnsi="宋体" w:cs="宋体" w:eastAsia="宋体" w:hint="default"/>
          <w:b/>
          <w:bCs/>
          <w:sz w:val="20"/>
          <w:szCs w:val="20"/>
        </w:rPr>
      </w:pPr>
    </w:p>
    <w:p>
      <w:pPr>
        <w:spacing w:before="180"/>
        <w:ind w:left="88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678" w:type="dxa"/>
        <w:tblLayout w:type="fixed"/>
        <w:tblCellMar>
          <w:top w:w="0" w:type="dxa"/>
          <w:left w:w="0" w:type="dxa"/>
          <w:bottom w:w="0" w:type="dxa"/>
          <w:right w:w="0" w:type="dxa"/>
        </w:tblCellMar>
        <w:tblLook w:val="01E0"/>
      </w:tblPr>
      <w:tblGrid>
        <w:gridCol w:w="1855"/>
        <w:gridCol w:w="1261"/>
        <w:gridCol w:w="1442"/>
        <w:gridCol w:w="1260"/>
        <w:gridCol w:w="1189"/>
        <w:gridCol w:w="1414"/>
      </w:tblGrid>
      <w:tr>
        <w:trPr>
          <w:trHeight w:val="837" w:hRule="exact"/>
        </w:trPr>
        <w:tc>
          <w:tcPr>
            <w:tcW w:w="18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128"/>
              <w:ind w:left="415" w:right="204"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hAnsi="宋体" w:cs="宋体" w:eastAsia="宋体" w:hint="default"/>
                <w:sz w:val="21"/>
                <w:szCs w:val="21"/>
              </w:rPr>
              <w:t>占其他应</w:t>
            </w:r>
          </w:p>
          <w:p>
            <w:pPr>
              <w:pStyle w:val="TableParagraph"/>
              <w:spacing w:line="272" w:lineRule="exact" w:before="26"/>
              <w:ind w:left="117" w:right="115" w:firstLine="51"/>
              <w:jc w:val="left"/>
              <w:rPr>
                <w:rFonts w:ascii="Times New Roman" w:hAnsi="Times New Roman" w:cs="Times New Roman" w:eastAsia="Times New Roman" w:hint="default"/>
                <w:sz w:val="21"/>
                <w:szCs w:val="21"/>
              </w:rPr>
            </w:pPr>
            <w:r>
              <w:rPr>
                <w:rFonts w:ascii="宋体" w:hAnsi="宋体" w:cs="宋体" w:eastAsia="宋体" w:hint="default"/>
                <w:sz w:val="21"/>
                <w:szCs w:val="21"/>
              </w:rPr>
              <w:t>收款总额 的比例</w:t>
            </w:r>
            <w:r>
              <w:rPr>
                <w:rFonts w:ascii="Times New Roman" w:hAnsi="Times New Roman" w:cs="Times New Roman" w:eastAsia="Times New Roman" w:hint="default"/>
                <w:sz w:val="21"/>
                <w:szCs w:val="21"/>
              </w:rPr>
              <w:t>(%)</w:t>
            </w:r>
          </w:p>
        </w:tc>
        <w:tc>
          <w:tcPr>
            <w:tcW w:w="14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71"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马立均（测试钞）</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1,101,926.99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5.33</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76" w:right="0"/>
              <w:jc w:val="lef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0"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梁琳（测试钞）</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1,429,086.62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6.90</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76" w:right="0"/>
              <w:jc w:val="lef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0"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1,044,943.82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5.05</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76" w:right="0"/>
              <w:jc w:val="lef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1" w:hRule="exact"/>
        </w:trPr>
        <w:tc>
          <w:tcPr>
            <w:tcW w:w="1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武育智（测试钞）</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617,867.91</w:t>
            </w:r>
            <w:r>
              <w:rPr>
                <w:rFonts w:ascii="Times New Roman"/>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2.98</w:t>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76" w:right="0"/>
              <w:jc w:val="lef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80" w:hRule="exact"/>
        </w:trPr>
        <w:tc>
          <w:tcPr>
            <w:tcW w:w="18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李子丹（测试钞）</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526,351.50</w:t>
            </w:r>
            <w:r>
              <w:rPr>
                <w:rFonts w:ascii="Times New Roman"/>
                <w:sz w:val="21"/>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2.54</w:t>
            </w:r>
          </w:p>
        </w:tc>
        <w:tc>
          <w:tcPr>
            <w:tcW w:w="14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left="176" w:right="0"/>
              <w:jc w:val="left"/>
              <w:rPr>
                <w:rFonts w:ascii="宋体" w:hAnsi="宋体" w:cs="宋体" w:eastAsia="宋体" w:hint="default"/>
                <w:sz w:val="21"/>
                <w:szCs w:val="21"/>
              </w:rPr>
            </w:pPr>
            <w:r>
              <w:rPr>
                <w:rFonts w:ascii="宋体" w:hAnsi="宋体" w:cs="宋体" w:eastAsia="宋体" w:hint="default"/>
                <w:sz w:val="21"/>
                <w:szCs w:val="21"/>
              </w:rPr>
              <w:t>测试钞借款</w:t>
            </w:r>
          </w:p>
        </w:tc>
      </w:tr>
    </w:tbl>
    <w:p>
      <w:pPr>
        <w:spacing w:line="240" w:lineRule="auto" w:before="8"/>
        <w:rPr>
          <w:rFonts w:ascii="宋体" w:hAnsi="宋体" w:cs="宋体" w:eastAsia="宋体" w:hint="default"/>
          <w:b/>
          <w:bCs/>
          <w:sz w:val="6"/>
          <w:szCs w:val="6"/>
        </w:rPr>
      </w:pPr>
    </w:p>
    <w:p>
      <w:pPr>
        <w:spacing w:before="35"/>
        <w:ind w:left="887" w:right="0" w:firstLine="0"/>
        <w:jc w:val="left"/>
        <w:rPr>
          <w:rFonts w:ascii="宋体" w:hAnsi="宋体" w:cs="宋体" w:eastAsia="宋体" w:hint="default"/>
          <w:sz w:val="21"/>
          <w:szCs w:val="21"/>
        </w:rPr>
      </w:pPr>
      <w:r>
        <w:rPr>
          <w:rFonts w:ascii="宋体" w:hAnsi="宋体" w:cs="宋体" w:eastAsia="宋体" w:hint="default"/>
          <w:b/>
          <w:bCs/>
          <w:sz w:val="21"/>
          <w:szCs w:val="21"/>
        </w:rPr>
        <w:t>6、期末应收关联方账款：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720" w:type="dxa"/>
        <w:tblLayout w:type="fixed"/>
        <w:tblCellMar>
          <w:top w:w="0" w:type="dxa"/>
          <w:left w:w="0" w:type="dxa"/>
          <w:bottom w:w="0" w:type="dxa"/>
          <w:right w:w="0" w:type="dxa"/>
        </w:tblCellMar>
        <w:tblLook w:val="01E0"/>
      </w:tblPr>
      <w:tblGrid>
        <w:gridCol w:w="2666"/>
        <w:gridCol w:w="1620"/>
        <w:gridCol w:w="1782"/>
        <w:gridCol w:w="2122"/>
      </w:tblGrid>
      <w:tr>
        <w:trPr>
          <w:trHeight w:val="565" w:hRule="exact"/>
        </w:trPr>
        <w:tc>
          <w:tcPr>
            <w:tcW w:w="26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4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2"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left="373"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89" w:lineRule="exact"/>
              <w:ind w:left="3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81" w:hRule="exact"/>
        </w:trPr>
        <w:tc>
          <w:tcPr>
            <w:tcW w:w="2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17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933" w:right="0"/>
              <w:jc w:val="left"/>
              <w:rPr>
                <w:rFonts w:ascii="Times New Roman" w:hAnsi="Times New Roman" w:cs="Times New Roman" w:eastAsia="Times New Roman" w:hint="default"/>
                <w:sz w:val="21"/>
                <w:szCs w:val="21"/>
              </w:rPr>
            </w:pPr>
            <w:r>
              <w:rPr>
                <w:rFonts w:ascii="Times New Roman"/>
                <w:sz w:val="21"/>
              </w:rPr>
              <w:t>2,820.00</w:t>
            </w:r>
          </w:p>
        </w:tc>
        <w:tc>
          <w:tcPr>
            <w:tcW w:w="21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line="240" w:lineRule="auto" w:before="8"/>
        <w:rPr>
          <w:rFonts w:ascii="宋体" w:hAnsi="宋体" w:cs="宋体" w:eastAsia="宋体" w:hint="default"/>
          <w:b/>
          <w:bCs/>
          <w:sz w:val="6"/>
          <w:szCs w:val="6"/>
        </w:rPr>
      </w:pPr>
    </w:p>
    <w:p>
      <w:pPr>
        <w:spacing w:before="35"/>
        <w:ind w:left="887" w:right="0" w:firstLine="0"/>
        <w:jc w:val="left"/>
        <w:rPr>
          <w:rFonts w:ascii="宋体" w:hAnsi="宋体" w:cs="宋体" w:eastAsia="宋体" w:hint="default"/>
          <w:sz w:val="21"/>
          <w:szCs w:val="21"/>
        </w:rPr>
      </w:pPr>
      <w:r>
        <w:rPr>
          <w:rFonts w:ascii="宋体" w:hAnsi="宋体" w:cs="宋体" w:eastAsia="宋体" w:hint="default"/>
          <w:b/>
          <w:bCs/>
          <w:sz w:val="21"/>
          <w:szCs w:val="21"/>
        </w:rPr>
        <w:t>7、本报告期没有发生终止确认的其他应收款。</w:t>
      </w:r>
      <w:r>
        <w:rPr>
          <w:rFonts w:ascii="宋体" w:hAnsi="宋体" w:cs="宋体" w:eastAsia="宋体" w:hint="default"/>
          <w:sz w:val="21"/>
          <w:szCs w:val="21"/>
        </w:rPr>
      </w:r>
    </w:p>
    <w:p>
      <w:pPr>
        <w:spacing w:before="133"/>
        <w:ind w:left="887" w:right="0" w:firstLine="0"/>
        <w:jc w:val="left"/>
        <w:rPr>
          <w:rFonts w:ascii="宋体" w:hAnsi="宋体" w:cs="宋体" w:eastAsia="宋体" w:hint="default"/>
          <w:sz w:val="21"/>
          <w:szCs w:val="21"/>
        </w:rPr>
      </w:pPr>
      <w:r>
        <w:rPr>
          <w:rFonts w:ascii="宋体" w:hAnsi="宋体" w:cs="宋体" w:eastAsia="宋体" w:hint="default"/>
          <w:b/>
          <w:bCs/>
          <w:sz w:val="21"/>
          <w:szCs w:val="21"/>
        </w:rPr>
        <w:t>8、本报告期没有以其他应收款为标的进行证券化的交易安排。</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18"/>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745"/>
        <w:gridCol w:w="1980"/>
        <w:gridCol w:w="1139"/>
        <w:gridCol w:w="2178"/>
        <w:gridCol w:w="1175"/>
      </w:tblGrid>
      <w:tr>
        <w:trPr>
          <w:trHeight w:val="380" w:hRule="exact"/>
        </w:trPr>
        <w:tc>
          <w:tcPr>
            <w:tcW w:w="174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tabs>
                <w:tab w:pos="985" w:val="left" w:leader="none"/>
              </w:tabs>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11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3"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1745" w:type="dxa"/>
            <w:vMerge/>
            <w:tcBorders>
              <w:left w:val="nil" w:sz="6" w:space="0" w:color="auto"/>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23,198,618.30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99.65</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12,234,375.84</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98.13</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80,840.64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0.35</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233,240.00</w:t>
            </w:r>
            <w:r>
              <w:rPr>
                <w:rFonts w:ascii="Times New Roman"/>
                <w:sz w:val="21"/>
              </w:rPr>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1.87</w:t>
            </w:r>
          </w:p>
        </w:tc>
      </w:tr>
      <w:tr>
        <w:trPr>
          <w:trHeight w:val="371"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1745" w:type="dxa"/>
            <w:tcBorders>
              <w:top w:val="single" w:sz="4" w:space="0" w:color="000000"/>
              <w:left w:val="nil" w:sz="6" w:space="0" w:color="auto"/>
              <w:bottom w:val="single" w:sz="12" w:space="0" w:color="000000"/>
              <w:right w:val="single" w:sz="4" w:space="0" w:color="000000"/>
            </w:tcBorders>
          </w:tcPr>
          <w:p>
            <w:pPr>
              <w:pStyle w:val="TableParagraph"/>
              <w:tabs>
                <w:tab w:pos="985" w:val="left" w:leader="none"/>
              </w:tabs>
              <w:spacing w:line="240" w:lineRule="auto" w:before="53"/>
              <w:ind w:left="5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23,279,458.94</w:t>
            </w:r>
          </w:p>
        </w:tc>
        <w:tc>
          <w:tcPr>
            <w:tcW w:w="11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12,467,615.84</w:t>
            </w:r>
          </w:p>
        </w:tc>
        <w:tc>
          <w:tcPr>
            <w:tcW w:w="11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3516"/>
        <w:gridCol w:w="1348"/>
        <w:gridCol w:w="1498"/>
        <w:gridCol w:w="1073"/>
        <w:gridCol w:w="1276"/>
      </w:tblGrid>
      <w:tr>
        <w:trPr>
          <w:trHeight w:val="380" w:hRule="exact"/>
        </w:trPr>
        <w:tc>
          <w:tcPr>
            <w:tcW w:w="35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2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6"/>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70"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Hitachi Asia(Hong</w:t>
            </w:r>
            <w:r>
              <w:rPr>
                <w:rFonts w:ascii="Times New Roman"/>
                <w:spacing w:val="-23"/>
                <w:sz w:val="21"/>
              </w:rPr>
              <w:t> </w:t>
            </w:r>
            <w:r>
              <w:rPr>
                <w:rFonts w:ascii="Times New Roman"/>
                <w:sz w:val="21"/>
              </w:rPr>
              <w:t>Kong)Ltd.</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10,055,648.23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货物未到</w:t>
            </w:r>
          </w:p>
        </w:tc>
      </w:tr>
      <w:tr>
        <w:trPr>
          <w:trHeight w:val="370"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进口增值税</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2,818,289.44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货物未到</w:t>
            </w:r>
          </w:p>
        </w:tc>
      </w:tr>
      <w:tr>
        <w:trPr>
          <w:trHeight w:val="371"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南京新索奇科技有限公司</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2,250,000.00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货物未到</w:t>
            </w:r>
          </w:p>
        </w:tc>
      </w:tr>
      <w:tr>
        <w:trPr>
          <w:trHeight w:val="370"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广州市捷德通银电子科技有限公司</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1,987,588.80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货物未到</w:t>
            </w:r>
          </w:p>
        </w:tc>
      </w:tr>
      <w:tr>
        <w:trPr>
          <w:trHeight w:val="370" w:hRule="exact"/>
        </w:trPr>
        <w:tc>
          <w:tcPr>
            <w:tcW w:w="35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SANKYO SEIKI </w:t>
            </w:r>
            <w:r>
              <w:rPr>
                <w:rFonts w:ascii="Times New Roman" w:hAnsi="Times New Roman" w:cs="Times New Roman" w:eastAsia="Times New Roman" w:hint="default"/>
                <w:spacing w:val="-7"/>
                <w:sz w:val="21"/>
                <w:szCs w:val="21"/>
              </w:rPr>
              <w:t>MFG.</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pacing w:val="-3"/>
                <w:sz w:val="21"/>
                <w:szCs w:val="21"/>
              </w:rPr>
              <w:t>CO.</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LTD.</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1,197,034.50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货物未到</w:t>
            </w:r>
          </w:p>
        </w:tc>
      </w:tr>
      <w:tr>
        <w:trPr>
          <w:trHeight w:val="381" w:hRule="exact"/>
        </w:trPr>
        <w:tc>
          <w:tcPr>
            <w:tcW w:w="35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8" w:type="dxa"/>
            <w:tcBorders>
              <w:top w:val="single" w:sz="4" w:space="0" w:color="000000"/>
              <w:left w:val="single" w:sz="4" w:space="0" w:color="000000"/>
              <w:bottom w:val="single" w:sz="12" w:space="0" w:color="000000"/>
              <w:right w:val="single" w:sz="4" w:space="0" w:color="000000"/>
            </w:tcBorders>
          </w:tcPr>
          <w:p>
            <w:pP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18,308,560.97</w:t>
            </w:r>
          </w:p>
        </w:tc>
        <w:tc>
          <w:tcPr>
            <w:tcW w:w="1073" w:type="dxa"/>
            <w:tcBorders>
              <w:top w:val="single" w:sz="4" w:space="0" w:color="000000"/>
              <w:left w:val="single" w:sz="4" w:space="0" w:color="000000"/>
              <w:bottom w:val="single" w:sz="12" w:space="0" w:color="000000"/>
              <w:right w:val="single" w:sz="4" w:space="0" w:color="000000"/>
            </w:tcBorders>
          </w:tcPr>
          <w:p>
            <w:pPr/>
          </w:p>
        </w:tc>
        <w:tc>
          <w:tcPr>
            <w:tcW w:w="12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、期末预付款项中无持本公司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400" w:footer="982" w:top="1100" w:bottom="1180" w:left="1660" w:right="660"/>
        </w:sectPr>
      </w:pPr>
    </w:p>
    <w:p>
      <w:pPr>
        <w:spacing w:line="240" w:lineRule="auto" w:before="2"/>
        <w:rPr>
          <w:rFonts w:ascii="宋体" w:hAnsi="宋体" w:cs="宋体" w:eastAsia="宋体" w:hint="default"/>
          <w:b/>
          <w:bCs/>
          <w:sz w:val="19"/>
          <w:szCs w:val="19"/>
        </w:rPr>
      </w:pPr>
    </w:p>
    <w:p>
      <w:pPr>
        <w:spacing w:line="336" w:lineRule="auto" w:before="35"/>
        <w:ind w:left="778" w:right="77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存货</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1、存货分类</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1255"/>
        <w:gridCol w:w="1529"/>
        <w:gridCol w:w="1056"/>
        <w:gridCol w:w="1530"/>
        <w:gridCol w:w="1530"/>
        <w:gridCol w:w="1056"/>
        <w:gridCol w:w="1530"/>
      </w:tblGrid>
      <w:tr>
        <w:trPr>
          <w:trHeight w:val="380" w:hRule="exact"/>
        </w:trPr>
        <w:tc>
          <w:tcPr>
            <w:tcW w:w="125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1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1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255"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hAnsi="宋体" w:cs="宋体" w:eastAsia="宋体" w:hint="default"/>
                <w:sz w:val="21"/>
                <w:szCs w:val="21"/>
              </w:rPr>
              <w:t>跌价准备</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3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71"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89,948,736.42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7" w:right="0"/>
              <w:jc w:val="center"/>
              <w:rPr>
                <w:rFonts w:ascii="Times New Roman" w:hAnsi="Times New Roman" w:cs="Times New Roman" w:eastAsia="Times New Roman" w:hint="default"/>
                <w:sz w:val="21"/>
                <w:szCs w:val="21"/>
              </w:rPr>
            </w:pPr>
            <w:r>
              <w:rPr>
                <w:rFonts w:ascii="Times New Roman"/>
                <w:sz w:val="21"/>
              </w:rPr>
              <w:t>89,948,736.42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5" w:right="0"/>
              <w:jc w:val="center"/>
              <w:rPr>
                <w:rFonts w:ascii="Times New Roman" w:hAnsi="Times New Roman" w:cs="Times New Roman" w:eastAsia="Times New Roman" w:hint="default"/>
                <w:sz w:val="21"/>
                <w:szCs w:val="21"/>
              </w:rPr>
            </w:pPr>
            <w:r>
              <w:rPr>
                <w:rFonts w:ascii="Times New Roman"/>
                <w:sz w:val="21"/>
              </w:rPr>
              <w:t>76,944,453.47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76,944,453.47</w:t>
            </w:r>
          </w:p>
        </w:tc>
      </w:tr>
      <w:tr>
        <w:trPr>
          <w:trHeight w:val="370"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36,972,342.58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7" w:right="0"/>
              <w:jc w:val="center"/>
              <w:rPr>
                <w:rFonts w:ascii="Times New Roman" w:hAnsi="Times New Roman" w:cs="Times New Roman" w:eastAsia="Times New Roman" w:hint="default"/>
                <w:sz w:val="21"/>
                <w:szCs w:val="21"/>
              </w:rPr>
            </w:pPr>
            <w:r>
              <w:rPr>
                <w:rFonts w:ascii="Times New Roman"/>
                <w:sz w:val="21"/>
              </w:rPr>
              <w:t>36,972,342.58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5" w:right="0"/>
              <w:jc w:val="center"/>
              <w:rPr>
                <w:rFonts w:ascii="Times New Roman" w:hAnsi="Times New Roman" w:cs="Times New Roman" w:eastAsia="Times New Roman" w:hint="default"/>
                <w:sz w:val="21"/>
                <w:szCs w:val="21"/>
              </w:rPr>
            </w:pPr>
            <w:r>
              <w:rPr>
                <w:rFonts w:ascii="Times New Roman"/>
                <w:sz w:val="21"/>
              </w:rPr>
              <w:t>10,964,747.96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10,964,747.96</w:t>
            </w:r>
          </w:p>
        </w:tc>
      </w:tr>
      <w:tr>
        <w:trPr>
          <w:trHeight w:val="370" w:hRule="exact"/>
        </w:trPr>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272,143,251.36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272,143,251.36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333,119,697.63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333,119,697.63</w:t>
            </w:r>
          </w:p>
        </w:tc>
      </w:tr>
      <w:tr>
        <w:trPr>
          <w:trHeight w:val="381" w:hRule="exact"/>
        </w:trPr>
        <w:tc>
          <w:tcPr>
            <w:tcW w:w="12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4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399,064,330.36</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399,064,330.36</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421,028,899.06</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421,028,899.06</w:t>
            </w:r>
          </w:p>
        </w:tc>
      </w:tr>
    </w:tbl>
    <w:p>
      <w:pPr>
        <w:spacing w:line="240" w:lineRule="auto" w:before="8"/>
        <w:rPr>
          <w:rFonts w:ascii="宋体" w:hAnsi="宋体" w:cs="宋体" w:eastAsia="宋体" w:hint="default"/>
          <w:b/>
          <w:bCs/>
          <w:sz w:val="6"/>
          <w:szCs w:val="6"/>
        </w:rPr>
      </w:pPr>
    </w:p>
    <w:p>
      <w:pPr>
        <w:spacing w:line="336" w:lineRule="auto" w:before="35"/>
        <w:ind w:left="777" w:right="65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可供出售金融资产</w:t>
      </w:r>
      <w:r>
        <w:rPr>
          <w:rFonts w:ascii="宋体" w:hAnsi="宋体" w:cs="宋体" w:eastAsia="宋体" w:hint="default"/>
          <w:b/>
          <w:bCs/>
          <w:spacing w:val="1"/>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6"/>
        <w:rPr>
          <w:rFonts w:ascii="宋体" w:hAnsi="宋体" w:cs="宋体" w:eastAsia="宋体" w:hint="default"/>
          <w:b/>
          <w:bCs/>
          <w:sz w:val="4"/>
          <w:szCs w:val="4"/>
        </w:rPr>
      </w:pPr>
    </w:p>
    <w:tbl>
      <w:tblPr>
        <w:tblW w:w="0" w:type="auto"/>
        <w:jc w:val="left"/>
        <w:tblInd w:w="820" w:type="dxa"/>
        <w:tblLayout w:type="fixed"/>
        <w:tblCellMar>
          <w:top w:w="0" w:type="dxa"/>
          <w:left w:w="0" w:type="dxa"/>
          <w:bottom w:w="0" w:type="dxa"/>
          <w:right w:w="0" w:type="dxa"/>
        </w:tblCellMar>
        <w:tblLook w:val="01E0"/>
      </w:tblPr>
      <w:tblGrid>
        <w:gridCol w:w="3502"/>
        <w:gridCol w:w="2362"/>
        <w:gridCol w:w="2362"/>
      </w:tblGrid>
      <w:tr>
        <w:trPr>
          <w:trHeight w:val="380" w:hRule="exact"/>
        </w:trPr>
        <w:tc>
          <w:tcPr>
            <w:tcW w:w="3502"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45"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45"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71"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）可供出售债券</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）可供出售权益工具</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15,823,315.12</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tabs>
                <w:tab w:pos="1276" w:val="left" w:leader="none"/>
              </w:tabs>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w:t>
              <w:tab/>
              <w:t>他</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1" w:hRule="exact"/>
        </w:trPr>
        <w:tc>
          <w:tcPr>
            <w:tcW w:w="3502"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15,823,315.12</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5"/>
        <w:rPr>
          <w:rFonts w:ascii="宋体" w:hAnsi="宋体" w:cs="宋体" w:eastAsia="宋体" w:hint="default"/>
          <w:b/>
          <w:bCs/>
          <w:sz w:val="22"/>
          <w:szCs w:val="22"/>
        </w:rPr>
      </w:pPr>
    </w:p>
    <w:p>
      <w:pPr>
        <w:pStyle w:val="BodyText"/>
        <w:spacing w:line="240" w:lineRule="auto" w:before="35"/>
        <w:ind w:left="780" w:right="0"/>
        <w:jc w:val="left"/>
      </w:pPr>
      <w:r>
        <w:rPr/>
        <w:t>本期没有将持有至到期投资重分类为可供出售金融资产的情况。</w:t>
      </w:r>
    </w:p>
    <w:p>
      <w:pPr>
        <w:pStyle w:val="BodyText"/>
        <w:spacing w:line="336" w:lineRule="auto" w:before="133"/>
        <w:ind w:left="240" w:right="0" w:firstLine="540"/>
        <w:jc w:val="left"/>
      </w:pPr>
      <w:r>
        <w:rPr>
          <w:spacing w:val="45"/>
        </w:rPr>
        <w:t>本公司的</w:t>
      </w:r>
      <w:r>
        <w:rPr>
          <w:spacing w:val="-46"/>
        </w:rPr>
        <w:t> </w:t>
      </w:r>
      <w:r>
        <w:rPr>
          <w:spacing w:val="40"/>
        </w:rPr>
        <w:t>子公司</w:t>
      </w:r>
      <w:r>
        <w:rPr>
          <w:spacing w:val="57"/>
        </w:rPr>
        <w:t> </w:t>
      </w:r>
      <w:r>
        <w:rPr>
          <w:rFonts w:ascii="Times New Roman" w:hAnsi="Times New Roman" w:cs="Times New Roman" w:eastAsia="Times New Roman" w:hint="default"/>
        </w:rPr>
        <w:t>GRG</w:t>
      </w:r>
      <w:r>
        <w:rPr>
          <w:rFonts w:ascii="Times New Roman" w:hAnsi="Times New Roman" w:cs="Times New Roman" w:eastAsia="Times New Roman" w:hint="default"/>
          <w:spacing w:val="6"/>
        </w:rPr>
        <w:t> </w:t>
      </w:r>
      <w:r>
        <w:rPr>
          <w:rFonts w:ascii="Times New Roman" w:hAnsi="Times New Roman" w:cs="Times New Roman" w:eastAsia="Times New Roman" w:hint="default"/>
        </w:rPr>
        <w:t>Banking</w:t>
      </w:r>
      <w:r>
        <w:rPr>
          <w:rFonts w:ascii="Times New Roman" w:hAnsi="Times New Roman" w:cs="Times New Roman" w:eastAsia="Times New Roman" w:hint="default"/>
          <w:spacing w:val="5"/>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6"/>
        </w:rPr>
        <w:t> </w:t>
      </w:r>
      <w:r>
        <w:rPr>
          <w:rFonts w:ascii="Times New Roman" w:hAnsi="Times New Roman" w:cs="Times New Roman" w:eastAsia="Times New Roman" w:hint="default"/>
        </w:rPr>
        <w:t>(HK)</w:t>
      </w:r>
      <w:r>
        <w:rPr>
          <w:rFonts w:ascii="Times New Roman" w:hAnsi="Times New Roman" w:cs="Times New Roman" w:eastAsia="Times New Roman" w:hint="default"/>
          <w:spacing w:val="6"/>
        </w:rPr>
        <w:t> </w:t>
      </w:r>
      <w:r>
        <w:rPr>
          <w:rFonts w:ascii="Times New Roman" w:hAnsi="Times New Roman" w:cs="Times New Roman" w:eastAsia="Times New Roman" w:hint="default"/>
        </w:rPr>
        <w:t>Co.,Limited</w:t>
      </w:r>
      <w:r>
        <w:rPr>
          <w:rFonts w:ascii="Times New Roman" w:hAnsi="Times New Roman" w:cs="Times New Roman" w:eastAsia="Times New Roman" w:hint="default"/>
          <w:spacing w:val="7"/>
        </w:rPr>
        <w:t> </w:t>
      </w:r>
      <w:r>
        <w:rPr>
          <w:spacing w:val="30"/>
        </w:rPr>
        <w:t>在本</w:t>
      </w:r>
      <w:r>
        <w:rPr>
          <w:spacing w:val="-46"/>
        </w:rPr>
        <w:t> </w:t>
      </w:r>
      <w:r>
        <w:rPr>
          <w:spacing w:val="40"/>
        </w:rPr>
        <w:t>年持有</w:t>
      </w:r>
      <w:r>
        <w:rPr>
          <w:spacing w:val="57"/>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3"/>
        </w:rPr>
        <w:t>INTERNATIONAL  LTD(GRGI)  </w:t>
      </w:r>
      <w:r>
        <w:rPr>
          <w:spacing w:val="6"/>
        </w:rPr>
        <w:t>股份 </w:t>
      </w:r>
      <w:r>
        <w:rPr>
          <w:rFonts w:ascii="Times New Roman" w:hAnsi="Times New Roman" w:cs="Times New Roman" w:eastAsia="Times New Roman" w:hint="default"/>
        </w:rPr>
        <w:t>8,897,282  </w:t>
      </w:r>
      <w:r>
        <w:rPr>
          <w:spacing w:val="7"/>
        </w:rPr>
        <w:t>股，其中 </w:t>
      </w:r>
      <w:r>
        <w:rPr>
          <w:rFonts w:ascii="Times New Roman" w:hAnsi="Times New Roman" w:cs="Times New Roman" w:eastAsia="Times New Roman" w:hint="default"/>
        </w:rPr>
        <w:t>6,897,282  </w:t>
      </w:r>
      <w:r>
        <w:rPr>
          <w:rFonts w:ascii="Times New Roman" w:hAnsi="Times New Roman" w:cs="Times New Roman" w:eastAsia="Times New Roman" w:hint="default"/>
          <w:spacing w:val="15"/>
        </w:rPr>
        <w:t> </w:t>
      </w:r>
      <w:r>
        <w:rPr>
          <w:spacing w:val="9"/>
        </w:rPr>
        <w:t>股是原始股，购买成本为</w:t>
      </w:r>
      <w:r>
        <w:rPr/>
      </w:r>
    </w:p>
    <w:p>
      <w:pPr>
        <w:pStyle w:val="BodyText"/>
        <w:spacing w:line="240" w:lineRule="auto" w:before="25"/>
        <w:ind w:left="240" w:right="0"/>
        <w:jc w:val="left"/>
      </w:pPr>
      <w:r>
        <w:rPr>
          <w:rFonts w:ascii="Times New Roman" w:hAnsi="Times New Roman" w:cs="Times New Roman" w:eastAsia="Times New Roman" w:hint="default"/>
        </w:rPr>
        <w:t>640,500.40  AUD</w:t>
      </w:r>
      <w:r>
        <w:rPr/>
        <w:t>，</w:t>
      </w:r>
      <w:r>
        <w:rPr>
          <w:rFonts w:ascii="Times New Roman" w:hAnsi="Times New Roman" w:cs="Times New Roman" w:eastAsia="Times New Roman" w:hint="default"/>
        </w:rPr>
        <w:t>2,000,000  </w:t>
      </w:r>
      <w:r>
        <w:rPr>
          <w:spacing w:val="3"/>
        </w:rPr>
        <w:t>股是流通股，购买成本为 </w:t>
      </w:r>
      <w:r>
        <w:rPr>
          <w:rFonts w:ascii="Times New Roman" w:hAnsi="Times New Roman" w:cs="Times New Roman" w:eastAsia="Times New Roman" w:hint="default"/>
        </w:rPr>
        <w:t>400,000.00 </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3"/>
        </w:rPr>
        <w:t>AUD</w:t>
      </w:r>
      <w:r>
        <w:rPr>
          <w:spacing w:val="3"/>
        </w:rPr>
        <w:t>，总购买成本为人民币</w:t>
      </w:r>
      <w:r>
        <w:rPr/>
      </w:r>
    </w:p>
    <w:p>
      <w:pPr>
        <w:pStyle w:val="BodyText"/>
        <w:spacing w:line="240" w:lineRule="auto" w:before="117"/>
        <w:ind w:left="240" w:right="0"/>
        <w:jc w:val="left"/>
      </w:pPr>
      <w:r>
        <w:rPr>
          <w:rFonts w:ascii="Times New Roman" w:hAnsi="Times New Roman" w:cs="Times New Roman" w:eastAsia="Times New Roman" w:hint="default"/>
        </w:rPr>
        <w:t>6,616,010.69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日该公司股票收市价为</w:t>
      </w:r>
      <w:r>
        <w:rPr>
          <w:spacing w:val="-50"/>
        </w:rPr>
        <w:t> </w:t>
      </w:r>
      <w:r>
        <w:rPr>
          <w:rFonts w:ascii="Times New Roman" w:hAnsi="Times New Roman" w:cs="Times New Roman" w:eastAsia="Times New Roman" w:hint="default"/>
        </w:rPr>
        <w:t>0.265AUD,</w:t>
      </w:r>
      <w:r>
        <w:rPr>
          <w:rFonts w:ascii="Times New Roman" w:hAnsi="Times New Roman" w:cs="Times New Roman" w:eastAsia="Times New Roman" w:hint="default"/>
          <w:spacing w:val="50"/>
        </w:rPr>
        <w:t> </w:t>
      </w:r>
      <w:r>
        <w:rPr/>
        <w:t>按</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日汇率</w:t>
      </w:r>
    </w:p>
    <w:p>
      <w:pPr>
        <w:pStyle w:val="BodyText"/>
        <w:spacing w:line="240" w:lineRule="auto" w:before="118"/>
        <w:ind w:left="240" w:right="0"/>
        <w:jc w:val="left"/>
      </w:pPr>
      <w:r>
        <w:rPr/>
        <w:t>折算人民币期末公允价值为</w:t>
      </w:r>
      <w:r>
        <w:rPr>
          <w:spacing w:val="-57"/>
        </w:rPr>
        <w:t> </w:t>
      </w:r>
      <w:r>
        <w:rPr>
          <w:rFonts w:ascii="Times New Roman" w:hAnsi="Times New Roman" w:cs="Times New Roman" w:eastAsia="Times New Roman" w:hint="default"/>
        </w:rPr>
        <w:t>15,823,315.12</w:t>
      </w:r>
      <w:r>
        <w:rPr>
          <w:rFonts w:ascii="Times New Roman" w:hAnsi="Times New Roman" w:cs="Times New Roman" w:eastAsia="Times New Roman" w:hint="default"/>
          <w:spacing w:val="-4"/>
        </w:rPr>
        <w:t> </w:t>
      </w:r>
      <w:r>
        <w:rPr/>
        <w:t>元，公允价值增加</w:t>
      </w:r>
      <w:r>
        <w:rPr>
          <w:spacing w:val="-57"/>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5"/>
        </w:rPr>
        <w:t> </w:t>
      </w:r>
      <w:r>
        <w:rPr/>
        <w:t>元转入资本公积。</w:t>
      </w:r>
    </w:p>
    <w:p>
      <w:pPr>
        <w:pStyle w:val="BodyText"/>
        <w:spacing w:line="240" w:lineRule="auto" w:before="117"/>
        <w:ind w:left="780" w:right="0"/>
        <w:jc w:val="left"/>
      </w:pPr>
      <w:r>
        <w:rPr/>
        <w:t>其中原始股 </w:t>
      </w:r>
      <w:r>
        <w:rPr>
          <w:rFonts w:ascii="Times New Roman" w:hAnsi="Times New Roman" w:cs="Times New Roman" w:eastAsia="Times New Roman" w:hint="default"/>
        </w:rPr>
        <w:t>6,897,282  </w:t>
      </w:r>
      <w:r>
        <w:rPr/>
        <w:t>股具有限售期，限售期至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14 </w:t>
      </w:r>
      <w:r>
        <w:rPr>
          <w:rFonts w:ascii="Times New Roman" w:hAnsi="Times New Roman" w:cs="Times New Roman" w:eastAsia="Times New Roman" w:hint="default"/>
          <w:spacing w:val="45"/>
        </w:rPr>
        <w:t> </w:t>
      </w:r>
      <w:r>
        <w:rPr>
          <w:spacing w:val="2"/>
        </w:rPr>
        <w:t>日，期末公允价值为</w:t>
      </w:r>
      <w:r>
        <w:rPr/>
      </w:r>
    </w:p>
    <w:p>
      <w:pPr>
        <w:pStyle w:val="BodyText"/>
        <w:spacing w:line="240" w:lineRule="auto" w:before="118"/>
        <w:ind w:left="240" w:right="7786"/>
        <w:jc w:val="left"/>
      </w:pPr>
      <w:r>
        <w:rPr>
          <w:rFonts w:ascii="Times New Roman" w:hAnsi="Times New Roman" w:cs="Times New Roman" w:eastAsia="Times New Roman" w:hint="default"/>
        </w:rPr>
        <w:t>12,266,427.72</w:t>
      </w:r>
      <w:r>
        <w:rPr>
          <w:rFonts w:ascii="Times New Roman" w:hAnsi="Times New Roman" w:cs="Times New Roman" w:eastAsia="Times New Roman" w:hint="default"/>
          <w:spacing w:val="-5"/>
        </w:rPr>
        <w:t> </w:t>
      </w:r>
      <w:r>
        <w:rPr/>
        <w:t>元。</w:t>
      </w:r>
    </w:p>
    <w:p>
      <w:pPr>
        <w:pStyle w:val="Heading4"/>
        <w:spacing w:line="240" w:lineRule="auto" w:before="117"/>
        <w:ind w:left="782" w:right="0"/>
        <w:jc w:val="left"/>
        <w:rPr>
          <w:b w:val="0"/>
          <w:bCs w:val="0"/>
        </w:rPr>
      </w:pPr>
      <w:r>
        <w:rPr>
          <w:rFonts w:ascii="Times New Roman" w:hAnsi="Times New Roman" w:cs="Times New Roman" w:eastAsia="Times New Roman" w:hint="default"/>
        </w:rPr>
        <w:t>2</w:t>
      </w:r>
      <w:r>
        <w:rPr/>
        <w:t>、本期没有可供出售金融资产中的长期债权投资。</w:t>
      </w:r>
      <w:r>
        <w:rPr>
          <w:b w:val="0"/>
          <w:bCs w:val="0"/>
        </w:rPr>
      </w:r>
    </w:p>
    <w:p>
      <w:pPr>
        <w:spacing w:before="117"/>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、存在限售期限的可供出售金融资产</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820" w:type="dxa"/>
        <w:tblLayout w:type="fixed"/>
        <w:tblCellMar>
          <w:top w:w="0" w:type="dxa"/>
          <w:left w:w="0" w:type="dxa"/>
          <w:bottom w:w="0" w:type="dxa"/>
          <w:right w:w="0" w:type="dxa"/>
        </w:tblCellMar>
        <w:tblLook w:val="01E0"/>
      </w:tblPr>
      <w:tblGrid>
        <w:gridCol w:w="2510"/>
        <w:gridCol w:w="1895"/>
        <w:gridCol w:w="1909"/>
        <w:gridCol w:w="1910"/>
      </w:tblGrid>
      <w:tr>
        <w:trPr>
          <w:trHeight w:val="380" w:hRule="exact"/>
        </w:trPr>
        <w:tc>
          <w:tcPr>
            <w:tcW w:w="25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842" w:right="0"/>
              <w:jc w:val="left"/>
              <w:rPr>
                <w:rFonts w:ascii="宋体" w:hAnsi="宋体" w:cs="宋体" w:eastAsia="宋体" w:hint="default"/>
                <w:sz w:val="21"/>
                <w:szCs w:val="21"/>
              </w:rPr>
            </w:pPr>
            <w:r>
              <w:rPr>
                <w:rFonts w:ascii="宋体" w:hAnsi="宋体" w:cs="宋体" w:eastAsia="宋体" w:hint="default"/>
                <w:sz w:val="21"/>
                <w:szCs w:val="21"/>
              </w:rPr>
              <w:t>明细品种</w:t>
            </w:r>
          </w:p>
        </w:tc>
        <w:tc>
          <w:tcPr>
            <w:tcW w:w="18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限售期截止日</w:t>
            </w:r>
          </w:p>
        </w:tc>
        <w:tc>
          <w:tcPr>
            <w:tcW w:w="1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20"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9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20"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380" w:hRule="exact"/>
        </w:trPr>
        <w:tc>
          <w:tcPr>
            <w:tcW w:w="25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2012-10-14</w:t>
            </w:r>
          </w:p>
        </w:tc>
        <w:tc>
          <w:tcPr>
            <w:tcW w:w="1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591" w:right="0"/>
              <w:jc w:val="left"/>
              <w:rPr>
                <w:rFonts w:ascii="Times New Roman" w:hAnsi="Times New Roman" w:cs="Times New Roman" w:eastAsia="Times New Roman" w:hint="default"/>
                <w:sz w:val="21"/>
                <w:szCs w:val="21"/>
              </w:rPr>
            </w:pPr>
            <w:r>
              <w:rPr>
                <w:rFonts w:ascii="Times New Roman"/>
                <w:sz w:val="21"/>
              </w:rPr>
              <w:t>12,266,427.72</w:t>
            </w:r>
          </w:p>
        </w:tc>
        <w:tc>
          <w:tcPr>
            <w:tcW w:w="19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560" w:right="600"/>
        </w:sectPr>
      </w:pPr>
    </w:p>
    <w:p>
      <w:pPr>
        <w:spacing w:line="240" w:lineRule="auto" w:before="2"/>
        <w:rPr>
          <w:rFonts w:ascii="宋体" w:hAnsi="宋体" w:cs="宋体" w:eastAsia="宋体" w:hint="default"/>
          <w:b/>
          <w:bCs/>
          <w:sz w:val="19"/>
          <w:szCs w:val="19"/>
        </w:rPr>
      </w:pPr>
    </w:p>
    <w:p>
      <w:pPr>
        <w:tabs>
          <w:tab w:pos="1499" w:val="left" w:leader="none"/>
        </w:tabs>
        <w:spacing w:before="35"/>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八</w:t>
      </w:r>
      <w:r>
        <w:rPr>
          <w:rFonts w:ascii="Times New Roman" w:hAnsi="Times New Roman" w:cs="Times New Roman" w:eastAsia="Times New Roman" w:hint="default"/>
          <w:b/>
          <w:bCs/>
          <w:w w:val="95"/>
          <w:sz w:val="21"/>
          <w:szCs w:val="21"/>
        </w:rPr>
        <w:t>)</w:t>
        <w:tab/>
      </w:r>
      <w:r>
        <w:rPr>
          <w:rFonts w:ascii="宋体" w:hAnsi="宋体" w:cs="宋体" w:eastAsia="宋体" w:hint="default"/>
          <w:b/>
          <w:bCs/>
          <w:spacing w:val="1"/>
          <w:sz w:val="21"/>
          <w:szCs w:val="21"/>
        </w:rPr>
        <w:t>固定资产</w:t>
      </w:r>
      <w:r>
        <w:rPr>
          <w:rFonts w:ascii="宋体" w:hAnsi="宋体" w:cs="宋体" w:eastAsia="宋体" w:hint="default"/>
          <w:sz w:val="21"/>
          <w:szCs w:val="21"/>
        </w:rPr>
      </w:r>
    </w:p>
    <w:p>
      <w:pPr>
        <w:spacing w:before="117"/>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2268"/>
        <w:gridCol w:w="1693"/>
        <w:gridCol w:w="1243"/>
        <w:gridCol w:w="1440"/>
        <w:gridCol w:w="1537"/>
        <w:gridCol w:w="1532"/>
      </w:tblGrid>
      <w:tr>
        <w:trPr>
          <w:trHeight w:val="380" w:hRule="exact"/>
        </w:trPr>
        <w:tc>
          <w:tcPr>
            <w:tcW w:w="22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2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6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4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268,144,480.34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64" w:right="0"/>
              <w:jc w:val="left"/>
              <w:rPr>
                <w:rFonts w:ascii="Times New Roman" w:hAnsi="Times New Roman" w:cs="Times New Roman" w:eastAsia="Times New Roman" w:hint="default"/>
                <w:sz w:val="21"/>
                <w:szCs w:val="21"/>
              </w:rPr>
            </w:pPr>
            <w:r>
              <w:rPr>
                <w:rFonts w:ascii="Times New Roman"/>
                <w:sz w:val="21"/>
              </w:rPr>
              <w:t>114,758,383.58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6,163,177.79</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376,739,686.13</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139,370,711.97</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363" w:right="0"/>
              <w:jc w:val="left"/>
              <w:rPr>
                <w:rFonts w:ascii="Times New Roman" w:hAnsi="Times New Roman" w:cs="Times New Roman" w:eastAsia="Times New Roman" w:hint="default"/>
                <w:sz w:val="21"/>
                <w:szCs w:val="21"/>
              </w:rPr>
            </w:pPr>
            <w:r>
              <w:rPr>
                <w:rFonts w:ascii="Times New Roman"/>
                <w:sz w:val="21"/>
              </w:rPr>
              <w:t>89,440,607.59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228,811,319.56</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11,149,956.25</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1,996,818.47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13,146,774.72</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9,760,301.61</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9,340,433.30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19,100,734.91</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12,336,338.11</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2,964,355.70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1,347,741.10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13,952,952.71</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4,416,664.24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1,252,683.30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773,863.61</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4,895,483.93</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6,805,916.82</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3,190,371.57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9,996,288.39</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5,170,000.00</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24" w:right="0"/>
              <w:jc w:val="left"/>
              <w:rPr>
                <w:rFonts w:ascii="Times New Roman" w:hAnsi="Times New Roman" w:cs="Times New Roman" w:eastAsia="Times New Roman" w:hint="default"/>
                <w:sz w:val="21"/>
                <w:szCs w:val="21"/>
              </w:rPr>
            </w:pPr>
            <w:r>
              <w:rPr>
                <w:rFonts w:ascii="Times New Roman"/>
                <w:sz w:val="21"/>
              </w:rPr>
              <w:t>434,247.86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5,604,247.86</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29" w:right="0"/>
              <w:jc w:val="left"/>
              <w:rPr>
                <w:rFonts w:ascii="Times New Roman" w:hAnsi="Times New Roman" w:cs="Times New Roman" w:eastAsia="Times New Roman" w:hint="default"/>
                <w:sz w:val="21"/>
                <w:szCs w:val="21"/>
              </w:rPr>
            </w:pPr>
            <w:r>
              <w:rPr>
                <w:rFonts w:ascii="Times New Roman"/>
                <w:sz w:val="21"/>
              </w:rPr>
              <w:t>14,529.92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14,529.92</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79,134,591.34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6,124,335.87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4,041,573.08</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81,217,354.13</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3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53,910,985.10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24,469,836.57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3,134,251.24</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75,246,570.43</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2,607,413.98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4,398,193.11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7,005,607.09</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3,065,650.43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1,336,357.42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4,402,007.85</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1,008,748.17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2,365,191.70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3,373,939.87</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6,108,707.27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2,047,219.03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957,380.67</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7,198,545.63</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2,052,791.90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705,818.75</w:t>
            </w:r>
            <w:r>
              <w:rPr>
                <w:rFonts w:ascii="Times New Roman"/>
                <w:sz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454,339.15</w:t>
            </w:r>
            <w:r>
              <w:rPr>
                <w:rFonts w:ascii="Times New Roman"/>
                <w:sz w:val="21"/>
              </w:rPr>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2,304,271.50</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2,047,485.24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1,235,840.28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3,283,325.52</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1,477,145.76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1,306,819.59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2,783,965.35</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968.64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968.64</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35,543,042.35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11,073,428.05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1,722,531.42</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44,893,938.98</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三、固定资产账面净值</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214,233,495.24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257" w:right="0"/>
              <w:jc w:val="left"/>
              <w:rPr>
                <w:rFonts w:ascii="Times New Roman" w:hAnsi="Times New Roman" w:cs="Times New Roman" w:eastAsia="Times New Roman" w:hint="default"/>
                <w:sz w:val="21"/>
                <w:szCs w:val="21"/>
              </w:rPr>
            </w:pPr>
            <w:r>
              <w:rPr>
                <w:rFonts w:ascii="Times New Roman"/>
                <w:sz w:val="21"/>
              </w:rPr>
              <w:t>114,758,383.58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27,498,763.12</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301,493,115.70</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136,763,297.99</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363" w:right="0"/>
              <w:jc w:val="left"/>
              <w:rPr>
                <w:rFonts w:ascii="Times New Roman" w:hAnsi="Times New Roman" w:cs="Times New Roman" w:eastAsia="Times New Roman" w:hint="default"/>
                <w:sz w:val="21"/>
                <w:szCs w:val="21"/>
              </w:rPr>
            </w:pPr>
            <w:r>
              <w:rPr>
                <w:rFonts w:ascii="Times New Roman"/>
                <w:sz w:val="21"/>
              </w:rPr>
              <w:t>89,440,607.59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4,398,193.11</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221,805,712.47</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8,084,305.82</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1,996,818.47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1,336,357.42</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8,744,766.87</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8,751,553.44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9,340,433.30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2,365,191.70</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15,726,795.04</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6,227,630.84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2,964,355.70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2,437,579.46</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6,754,407.08</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2,363,872.34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1,252,683.30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1,025,343.21</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2,591,212.43</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4,758,431.58</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3,190,371.57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1,235,840.28</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6,712,962.87</w:t>
            </w:r>
          </w:p>
        </w:tc>
      </w:tr>
      <w:tr>
        <w:trPr>
          <w:trHeight w:val="371"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3,692,854.24</w:t>
            </w: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24" w:right="0"/>
              <w:jc w:val="left"/>
              <w:rPr>
                <w:rFonts w:ascii="Times New Roman" w:hAnsi="Times New Roman" w:cs="Times New Roman" w:eastAsia="Times New Roman" w:hint="default"/>
                <w:sz w:val="21"/>
                <w:szCs w:val="21"/>
              </w:rPr>
            </w:pPr>
            <w:r>
              <w:rPr>
                <w:rFonts w:ascii="Times New Roman"/>
                <w:sz w:val="21"/>
              </w:rPr>
              <w:t>434,247.86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1,306,819.59</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2,820,282.51</w:t>
            </w:r>
          </w:p>
        </w:tc>
      </w:tr>
      <w:tr>
        <w:trPr>
          <w:trHeight w:val="370" w:hRule="exact"/>
        </w:trPr>
        <w:tc>
          <w:tcPr>
            <w:tcW w:w="2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3" w:type="dxa"/>
            <w:tcBorders>
              <w:top w:val="single" w:sz="4" w:space="0" w:color="000000"/>
              <w:left w:val="single" w:sz="4" w:space="0" w:color="000000"/>
              <w:bottom w:val="single" w:sz="4" w:space="0" w:color="000000"/>
              <w:right w:val="single" w:sz="4" w:space="0" w:color="000000"/>
            </w:tcBorders>
          </w:tcPr>
          <w:p>
            <w:pPr/>
          </w:p>
        </w:tc>
        <w:tc>
          <w:tcPr>
            <w:tcW w:w="2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729" w:right="0"/>
              <w:jc w:val="left"/>
              <w:rPr>
                <w:rFonts w:ascii="Times New Roman" w:hAnsi="Times New Roman" w:cs="Times New Roman" w:eastAsia="Times New Roman" w:hint="default"/>
                <w:sz w:val="21"/>
                <w:szCs w:val="21"/>
              </w:rPr>
            </w:pPr>
            <w:r>
              <w:rPr>
                <w:rFonts w:ascii="Times New Roman"/>
                <w:sz w:val="21"/>
              </w:rPr>
              <w:t>14,529.92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968.64</w:t>
            </w:r>
          </w:p>
        </w:tc>
        <w:tc>
          <w:tcPr>
            <w:tcW w:w="15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13,561.28</w:t>
            </w:r>
          </w:p>
        </w:tc>
      </w:tr>
      <w:tr>
        <w:trPr>
          <w:trHeight w:val="380" w:hRule="exact"/>
        </w:trPr>
        <w:tc>
          <w:tcPr>
            <w:tcW w:w="22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43,591,548.99</w:t>
            </w:r>
          </w:p>
        </w:tc>
        <w:tc>
          <w:tcPr>
            <w:tcW w:w="2683"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1467" w:right="0"/>
              <w:jc w:val="left"/>
              <w:rPr>
                <w:rFonts w:ascii="Times New Roman" w:hAnsi="Times New Roman" w:cs="Times New Roman" w:eastAsia="Times New Roman" w:hint="default"/>
                <w:sz w:val="21"/>
                <w:szCs w:val="21"/>
              </w:rPr>
            </w:pPr>
            <w:r>
              <w:rPr>
                <w:rFonts w:ascii="Times New Roman"/>
                <w:sz w:val="21"/>
              </w:rPr>
              <w:t>6,124,335.87</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13,392,469.71</w:t>
            </w:r>
          </w:p>
        </w:tc>
        <w:tc>
          <w:tcPr>
            <w:tcW w:w="15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36,323,415.15</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560" w:right="360"/>
        </w:sectPr>
      </w:pPr>
    </w:p>
    <w:p>
      <w:pPr>
        <w:spacing w:line="240" w:lineRule="auto" w:before="6"/>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2282"/>
        <w:gridCol w:w="1693"/>
        <w:gridCol w:w="2683"/>
        <w:gridCol w:w="1537"/>
        <w:gridCol w:w="1540"/>
      </w:tblGrid>
      <w:tr>
        <w:trPr>
          <w:trHeight w:val="380" w:hRule="exact"/>
        </w:trPr>
        <w:tc>
          <w:tcPr>
            <w:tcW w:w="228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2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6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4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268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五、固定资产账面价值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214,233,495.24</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114,758,383.58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27,498,763.12</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7"/>
              <w:jc w:val="right"/>
              <w:rPr>
                <w:rFonts w:ascii="Times New Roman" w:hAnsi="Times New Roman" w:cs="Times New Roman" w:eastAsia="Times New Roman" w:hint="default"/>
                <w:sz w:val="21"/>
                <w:szCs w:val="21"/>
              </w:rPr>
            </w:pPr>
            <w:r>
              <w:rPr>
                <w:rFonts w:ascii="Times New Roman"/>
                <w:spacing w:val="-1"/>
                <w:sz w:val="21"/>
              </w:rPr>
              <w:t>301,493,115.70</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136,763,297.99</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89,440,607.59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4,398,193.11</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221,805,712.47</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8,084,305.82</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1,996,818.47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1,336,357.42</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8,744,766.87</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8,751,553.44</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9,340,433.30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2,365,191.70</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15,726,795.04</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6,227,630.84</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2,964,355.70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2,437,579.46</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6,754,407.08</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2,363,872.34</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1,252,683.30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1,025,343.21</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2,591,212.43</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4,758,431.58</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3,190,371.57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1,235,840.28</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6,712,962.87</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培训设备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3,692,854.24</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434,247.86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1,306,819.59</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2,820,282.51</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14,529.92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968.64</w:t>
            </w:r>
          </w:p>
        </w:tc>
        <w:tc>
          <w:tcPr>
            <w:tcW w:w="1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13,561.28</w:t>
            </w:r>
          </w:p>
        </w:tc>
      </w:tr>
      <w:tr>
        <w:trPr>
          <w:trHeight w:val="380"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营运业务用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ATM</w:t>
            </w:r>
          </w:p>
        </w:tc>
        <w:tc>
          <w:tcPr>
            <w:tcW w:w="16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43,591,548.99</w:t>
            </w:r>
          </w:p>
        </w:tc>
        <w:tc>
          <w:tcPr>
            <w:tcW w:w="26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6,124,335.87</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13,392,469.71</w:t>
            </w:r>
          </w:p>
        </w:tc>
        <w:tc>
          <w:tcPr>
            <w:tcW w:w="15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36,323,415.15</w:t>
            </w:r>
          </w:p>
        </w:tc>
      </w:tr>
    </w:tbl>
    <w:p>
      <w:pPr>
        <w:spacing w:line="240" w:lineRule="auto" w:before="8"/>
        <w:rPr>
          <w:rFonts w:ascii="宋体" w:hAnsi="宋体" w:cs="宋体" w:eastAsia="宋体" w:hint="default"/>
          <w:b/>
          <w:bCs/>
          <w:sz w:val="6"/>
          <w:szCs w:val="6"/>
        </w:rPr>
      </w:pPr>
    </w:p>
    <w:p>
      <w:pPr>
        <w:pStyle w:val="BodyText"/>
        <w:spacing w:line="240" w:lineRule="auto" w:before="35"/>
        <w:ind w:left="777" w:right="0"/>
        <w:jc w:val="left"/>
      </w:pPr>
      <w:r>
        <w:rPr/>
        <w:t>本期折旧额</w:t>
      </w:r>
      <w:r>
        <w:rPr>
          <w:spacing w:val="-56"/>
        </w:rPr>
        <w:t> </w:t>
      </w:r>
      <w:r>
        <w:rPr>
          <w:rFonts w:ascii="Times New Roman" w:hAnsi="Times New Roman" w:cs="Times New Roman" w:eastAsia="Times New Roman" w:hint="default"/>
        </w:rPr>
        <w:t>24,469,836.57</w:t>
      </w:r>
      <w:r>
        <w:rPr>
          <w:rFonts w:ascii="Times New Roman" w:hAnsi="Times New Roman" w:cs="Times New Roman" w:eastAsia="Times New Roman" w:hint="default"/>
          <w:spacing w:val="-4"/>
        </w:rPr>
        <w:t> </w:t>
      </w:r>
      <w:r>
        <w:rPr/>
        <w:t>元。</w:t>
      </w:r>
    </w:p>
    <w:p>
      <w:pPr>
        <w:pStyle w:val="BodyText"/>
        <w:spacing w:line="240" w:lineRule="auto" w:before="117"/>
        <w:ind w:left="777" w:right="0"/>
        <w:jc w:val="left"/>
      </w:pPr>
      <w:r>
        <w:rPr/>
        <w:t>本期由在建工程转入固定资产原价为</w:t>
      </w:r>
      <w:r>
        <w:rPr>
          <w:spacing w:val="-56"/>
        </w:rPr>
        <w:t> </w:t>
      </w:r>
      <w:r>
        <w:rPr>
          <w:rFonts w:ascii="Times New Roman" w:hAnsi="Times New Roman" w:cs="Times New Roman" w:eastAsia="Times New Roman" w:hint="default"/>
        </w:rPr>
        <w:t>92,353,886.64</w:t>
      </w:r>
      <w:r>
        <w:rPr>
          <w:rFonts w:ascii="Times New Roman" w:hAnsi="Times New Roman" w:cs="Times New Roman" w:eastAsia="Times New Roman" w:hint="default"/>
          <w:spacing w:val="-3"/>
        </w:rPr>
        <w:t> </w:t>
      </w:r>
      <w:r>
        <w:rPr/>
        <w:t>元。</w:t>
      </w:r>
    </w:p>
    <w:p>
      <w:pPr>
        <w:pStyle w:val="Heading4"/>
        <w:spacing w:line="240" w:lineRule="auto" w:before="118"/>
        <w:ind w:left="782" w:right="0"/>
        <w:jc w:val="left"/>
        <w:rPr>
          <w:b w:val="0"/>
          <w:bCs w:val="0"/>
        </w:rPr>
      </w:pPr>
      <w:r>
        <w:rPr>
          <w:rFonts w:ascii="Times New Roman" w:hAnsi="Times New Roman" w:cs="Times New Roman" w:eastAsia="Times New Roman" w:hint="default"/>
        </w:rPr>
        <w:t>2</w:t>
      </w:r>
      <w:r>
        <w:rPr/>
        <w:t>、本报告期末没有暂时闲置的固定资产。</w:t>
      </w:r>
      <w:r>
        <w:rPr>
          <w:b w:val="0"/>
          <w:bCs w:val="0"/>
        </w:rPr>
      </w:r>
    </w:p>
    <w:p>
      <w:pPr>
        <w:spacing w:before="117"/>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、本报告期末没有通过融资租赁租入的固定资产。</w:t>
      </w:r>
      <w:r>
        <w:rPr>
          <w:rFonts w:ascii="宋体" w:hAnsi="宋体" w:cs="宋体" w:eastAsia="宋体" w:hint="default"/>
          <w:sz w:val="21"/>
          <w:szCs w:val="21"/>
        </w:rPr>
      </w:r>
    </w:p>
    <w:p>
      <w:pPr>
        <w:spacing w:before="118"/>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、本报告期末没有通过经营租赁租出的固定资产。</w:t>
      </w:r>
      <w:r>
        <w:rPr>
          <w:rFonts w:ascii="宋体" w:hAnsi="宋体" w:cs="宋体" w:eastAsia="宋体" w:hint="default"/>
          <w:sz w:val="21"/>
          <w:szCs w:val="21"/>
        </w:rPr>
      </w:r>
    </w:p>
    <w:p>
      <w:pPr>
        <w:spacing w:before="117"/>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、本报告期末没有持有待售的固定资产。</w:t>
      </w:r>
      <w:r>
        <w:rPr>
          <w:rFonts w:ascii="宋体" w:hAnsi="宋体" w:cs="宋体" w:eastAsia="宋体" w:hint="default"/>
          <w:sz w:val="21"/>
          <w:szCs w:val="21"/>
        </w:rPr>
      </w:r>
    </w:p>
    <w:p>
      <w:pPr>
        <w:spacing w:before="117"/>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、本报告期末未办妥产权证书的固定资产：</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820" w:type="dxa"/>
        <w:tblLayout w:type="fixed"/>
        <w:tblCellMar>
          <w:top w:w="0" w:type="dxa"/>
          <w:left w:w="0" w:type="dxa"/>
          <w:bottom w:w="0" w:type="dxa"/>
          <w:right w:w="0" w:type="dxa"/>
        </w:tblCellMar>
        <w:tblLook w:val="01E0"/>
      </w:tblPr>
      <w:tblGrid>
        <w:gridCol w:w="2116"/>
        <w:gridCol w:w="1895"/>
        <w:gridCol w:w="2414"/>
        <w:gridCol w:w="1620"/>
      </w:tblGrid>
      <w:tr>
        <w:trPr>
          <w:trHeight w:val="565" w:hRule="exact"/>
        </w:trPr>
        <w:tc>
          <w:tcPr>
            <w:tcW w:w="2116"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00"/>
              <w:ind w:right="72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8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5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预计办结产权</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证书时间</w:t>
            </w:r>
          </w:p>
        </w:tc>
      </w:tr>
      <w:tr>
        <w:trPr>
          <w:trHeight w:val="370" w:hRule="exact"/>
        </w:trPr>
        <w:tc>
          <w:tcPr>
            <w:tcW w:w="21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726"/>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84,907,969.40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正在办理</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46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380" w:hRule="exact"/>
        </w:trPr>
        <w:tc>
          <w:tcPr>
            <w:tcW w:w="2116"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7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84,907,969.40</w:t>
            </w:r>
          </w:p>
        </w:tc>
        <w:tc>
          <w:tcPr>
            <w:tcW w:w="2414" w:type="dxa"/>
            <w:tcBorders>
              <w:top w:val="single" w:sz="4" w:space="0" w:color="000000"/>
              <w:left w:val="single" w:sz="4" w:space="0" w:color="000000"/>
              <w:bottom w:val="single" w:sz="12" w:space="0" w:color="000000"/>
              <w:right w:val="single" w:sz="4" w:space="0" w:color="000000"/>
            </w:tcBorders>
          </w:tcPr>
          <w:p>
            <w:pPr/>
          </w:p>
        </w:tc>
        <w:tc>
          <w:tcPr>
            <w:tcW w:w="162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400" w:footer="982" w:top="1100" w:bottom="1180" w:left="1560" w:right="360"/>
        </w:sectPr>
      </w:pPr>
    </w:p>
    <w:p>
      <w:pPr>
        <w:spacing w:line="240" w:lineRule="auto" w:before="2"/>
        <w:rPr>
          <w:rFonts w:ascii="宋体" w:hAnsi="宋体" w:cs="宋体" w:eastAsia="宋体" w:hint="default"/>
          <w:b/>
          <w:bCs/>
          <w:sz w:val="19"/>
          <w:szCs w:val="19"/>
        </w:rPr>
      </w:pPr>
    </w:p>
    <w:p>
      <w:pPr>
        <w:tabs>
          <w:tab w:pos="1759" w:val="left" w:leader="none"/>
        </w:tabs>
        <w:spacing w:line="336" w:lineRule="auto" w:before="35"/>
        <w:ind w:left="1037" w:right="7542" w:firstLine="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九</w:t>
      </w:r>
      <w:r>
        <w:rPr>
          <w:rFonts w:ascii="Times New Roman" w:hAnsi="Times New Roman" w:cs="Times New Roman" w:eastAsia="Times New Roman" w:hint="default"/>
          <w:b/>
          <w:bCs/>
          <w:w w:val="95"/>
          <w:sz w:val="21"/>
          <w:szCs w:val="21"/>
        </w:rPr>
        <w:t>)</w:t>
        <w:tab/>
      </w:r>
      <w:r>
        <w:rPr>
          <w:rFonts w:ascii="宋体" w:hAnsi="宋体" w:cs="宋体" w:eastAsia="宋体" w:hint="default"/>
          <w:b/>
          <w:bCs/>
          <w:spacing w:val="1"/>
          <w:sz w:val="21"/>
          <w:szCs w:val="21"/>
        </w:rPr>
        <w:t>在建工程</w:t>
      </w:r>
      <w:r>
        <w:rPr>
          <w:rFonts w:ascii="宋体" w:hAnsi="宋体" w:cs="宋体" w:eastAsia="宋体" w:hint="default"/>
          <w:b/>
          <w:bCs/>
          <w:spacing w:val="1"/>
          <w:w w:val="99"/>
          <w:sz w:val="21"/>
          <w:szCs w:val="21"/>
        </w:rPr>
        <w:t> </w:t>
      </w:r>
      <w:r>
        <w:rPr>
          <w:rFonts w:ascii="宋体" w:hAnsi="宋体" w:cs="宋体" w:eastAsia="宋体" w:hint="default"/>
          <w:b/>
          <w:bCs/>
          <w:sz w:val="21"/>
          <w:szCs w:val="21"/>
        </w:rPr>
        <w:t>1、在建工程情况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9" w:type="dxa"/>
        <w:tblLayout w:type="fixed"/>
        <w:tblCellMar>
          <w:top w:w="0" w:type="dxa"/>
          <w:left w:w="0" w:type="dxa"/>
          <w:bottom w:w="0" w:type="dxa"/>
          <w:right w:w="0" w:type="dxa"/>
        </w:tblCellMar>
        <w:tblLook w:val="01E0"/>
      </w:tblPr>
      <w:tblGrid>
        <w:gridCol w:w="2282"/>
        <w:gridCol w:w="1222"/>
        <w:gridCol w:w="1118"/>
        <w:gridCol w:w="1316"/>
        <w:gridCol w:w="1456"/>
        <w:gridCol w:w="1058"/>
        <w:gridCol w:w="1446"/>
      </w:tblGrid>
      <w:tr>
        <w:trPr>
          <w:trHeight w:val="380" w:hRule="exact"/>
        </w:trPr>
        <w:tc>
          <w:tcPr>
            <w:tcW w:w="228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5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6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2282" w:type="dxa"/>
            <w:vMerge/>
            <w:tcBorders>
              <w:left w:val="nil" w:sz="6" w:space="0" w:color="auto"/>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2"/>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9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科学城生产基地一期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科学城生产基地二期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36,677,583.18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36,677,583.18</w:t>
            </w:r>
          </w:p>
        </w:tc>
      </w:tr>
      <w:tr>
        <w:trPr>
          <w:trHeight w:val="37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63" w:right="0"/>
              <w:jc w:val="left"/>
              <w:rPr>
                <w:rFonts w:ascii="Times New Roman" w:hAnsi="Times New Roman" w:cs="Times New Roman" w:eastAsia="Times New Roman" w:hint="default"/>
                <w:sz w:val="21"/>
                <w:szCs w:val="21"/>
              </w:rPr>
            </w:pPr>
            <w:r>
              <w:rPr>
                <w:rFonts w:ascii="Times New Roman"/>
                <w:sz w:val="21"/>
              </w:rPr>
              <w:t>591,453.00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591,453.00</w:t>
            </w:r>
            <w:r>
              <w:rPr>
                <w:rFonts w:ascii="Times New Roman"/>
                <w:sz w:val="21"/>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1,490,526.50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1,490,526.50</w:t>
            </w:r>
          </w:p>
        </w:tc>
      </w:tr>
      <w:tr>
        <w:trPr>
          <w:trHeight w:val="380" w:hRule="exact"/>
        </w:trPr>
        <w:tc>
          <w:tcPr>
            <w:tcW w:w="2282"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163" w:right="0"/>
              <w:jc w:val="left"/>
              <w:rPr>
                <w:rFonts w:ascii="Times New Roman" w:hAnsi="Times New Roman" w:cs="Times New Roman" w:eastAsia="Times New Roman" w:hint="default"/>
                <w:sz w:val="21"/>
                <w:szCs w:val="21"/>
              </w:rPr>
            </w:pPr>
            <w:r>
              <w:rPr>
                <w:rFonts w:ascii="Times New Roman"/>
                <w:sz w:val="21"/>
              </w:rPr>
              <w:t>591,453.00</w:t>
            </w:r>
          </w:p>
        </w:tc>
        <w:tc>
          <w:tcPr>
            <w:tcW w:w="1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591,453.00</w:t>
            </w:r>
            <w:r>
              <w:rPr>
                <w:rFonts w:ascii="Times New Roman"/>
                <w:sz w:val="21"/>
              </w:rPr>
            </w:r>
          </w:p>
        </w:tc>
        <w:tc>
          <w:tcPr>
            <w:tcW w:w="14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38,168,109.68</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38,168,109.68</w:t>
            </w:r>
          </w:p>
        </w:tc>
      </w:tr>
    </w:tbl>
    <w:p>
      <w:pPr>
        <w:spacing w:after="0" w:line="240" w:lineRule="auto"/>
        <w:jc w:val="right"/>
        <w:rPr>
          <w:rFonts w:ascii="Times New Roman" w:hAnsi="Times New Roman" w:cs="Times New Roman" w:eastAsia="Times New Roman" w:hint="default"/>
          <w:sz w:val="21"/>
          <w:szCs w:val="21"/>
        </w:rPr>
        <w:sectPr>
          <w:pgSz w:w="11910" w:h="16840"/>
          <w:pgMar w:header="400" w:footer="982" w:top="1100" w:bottom="1180" w:left="1300" w:right="440"/>
        </w:sectPr>
      </w:pPr>
    </w:p>
    <w:p>
      <w:pPr>
        <w:spacing w:line="240" w:lineRule="auto" w:before="10"/>
        <w:rPr>
          <w:rFonts w:ascii="宋体" w:hAnsi="宋体" w:cs="宋体" w:eastAsia="宋体" w:hint="default"/>
          <w:b/>
          <w:bCs/>
          <w:sz w:val="5"/>
          <w:szCs w:val="5"/>
        </w:rPr>
      </w:pPr>
    </w:p>
    <w:p>
      <w:pPr>
        <w:spacing w:line="720" w:lineRule="exact"/>
        <w:ind w:left="2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701.65pt;height:36pt;mso-position-horizontal-relative:char;mso-position-vertical-relative:line" coordorigin="0,0" coordsize="14033,720">
            <v:group style="position:absolute;left:7;top:713;width:14019;height:2" coordorigin="7,713" coordsize="14019,2">
              <v:shape style="position:absolute;left:7;top:713;width:14019;height:2" coordorigin="7,713" coordsize="14019,0" path="m7,713l14026,713e" filled="false" stroked="true" strokeweight=".72pt" strokecolor="#000000">
                <v:path arrowok="t"/>
              </v:shape>
              <v:shape style="position:absolute;left:26;top:0;width:1608;height:640" type="#_x0000_t75" stroked="false">
                <v:imagedata r:id="rId16" o:title=""/>
              </v:shape>
              <v:shape style="position:absolute;left:0;top:0;width:14033;height:7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35"/>
        <w:ind w:left="9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136"/>
        <w:gridCol w:w="1326"/>
        <w:gridCol w:w="1294"/>
        <w:gridCol w:w="1260"/>
        <w:gridCol w:w="1406"/>
        <w:gridCol w:w="1046"/>
        <w:gridCol w:w="955"/>
        <w:gridCol w:w="590"/>
        <w:gridCol w:w="1226"/>
        <w:gridCol w:w="1120"/>
        <w:gridCol w:w="967"/>
        <w:gridCol w:w="940"/>
        <w:gridCol w:w="1139"/>
      </w:tblGrid>
      <w:tr>
        <w:trPr>
          <w:trHeight w:val="980" w:hRule="exact"/>
        </w:trPr>
        <w:tc>
          <w:tcPr>
            <w:tcW w:w="11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26" w:lineRule="auto"/>
              <w:ind w:left="394" w:right="194" w:hanging="180"/>
              <w:jc w:val="left"/>
              <w:rPr>
                <w:rFonts w:ascii="宋体" w:hAnsi="宋体" w:cs="宋体" w:eastAsia="宋体" w:hint="default"/>
                <w:sz w:val="18"/>
                <w:szCs w:val="18"/>
              </w:rPr>
            </w:pPr>
            <w:r>
              <w:rPr>
                <w:rFonts w:ascii="宋体" w:hAnsi="宋体" w:cs="宋体" w:eastAsia="宋体" w:hint="default"/>
                <w:sz w:val="18"/>
                <w:szCs w:val="18"/>
              </w:rPr>
              <w:t>工程项目 名称</w:t>
            </w:r>
          </w:p>
        </w:tc>
        <w:tc>
          <w:tcPr>
            <w:tcW w:w="13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8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56"/>
              <w:jc w:val="right"/>
              <w:rPr>
                <w:rFonts w:ascii="宋体" w:hAnsi="宋体" w:cs="宋体" w:eastAsia="宋体" w:hint="default"/>
                <w:sz w:val="18"/>
                <w:szCs w:val="18"/>
              </w:rPr>
            </w:pPr>
            <w:r>
              <w:rPr>
                <w:rFonts w:ascii="宋体" w:hAnsi="宋体" w:cs="宋体" w:eastAsia="宋体" w:hint="default"/>
                <w:sz w:val="18"/>
                <w:szCs w:val="18"/>
              </w:rPr>
              <w:t>转入固定资产</w:t>
            </w:r>
          </w:p>
        </w:tc>
        <w:tc>
          <w:tcPr>
            <w:tcW w:w="10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56"/>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9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工程投入</w:t>
            </w:r>
          </w:p>
          <w:p>
            <w:pPr>
              <w:pStyle w:val="TableParagraph"/>
              <w:spacing w:line="320" w:lineRule="exact" w:before="39"/>
              <w:ind w:left="112"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占预算比 例</w:t>
            </w:r>
            <w:r>
              <w:rPr>
                <w:rFonts w:ascii="Times New Roman" w:hAnsi="Times New Roman" w:cs="Times New Roman" w:eastAsia="Times New Roman" w:hint="default"/>
                <w:sz w:val="18"/>
                <w:szCs w:val="18"/>
              </w:rPr>
              <w:t>(%)</w:t>
            </w:r>
          </w:p>
        </w:tc>
        <w:tc>
          <w:tcPr>
            <w:tcW w:w="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26" w:lineRule="auto"/>
              <w:ind w:left="110" w:right="108"/>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26" w:lineRule="auto"/>
              <w:ind w:left="248" w:right="156"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120" w:type="dxa"/>
            <w:tcBorders>
              <w:top w:val="single" w:sz="12" w:space="0" w:color="000000"/>
              <w:left w:val="single" w:sz="4" w:space="0" w:color="000000"/>
              <w:bottom w:val="single" w:sz="4" w:space="0" w:color="000000"/>
              <w:right w:val="single" w:sz="4" w:space="0" w:color="000000"/>
            </w:tcBorders>
          </w:tcPr>
          <w:p>
            <w:pPr>
              <w:pStyle w:val="TableParagraph"/>
              <w:spacing w:line="326" w:lineRule="auto" w:before="56"/>
              <w:ind w:left="104" w:right="103"/>
              <w:jc w:val="center"/>
              <w:rPr>
                <w:rFonts w:ascii="宋体" w:hAnsi="宋体" w:cs="宋体" w:eastAsia="宋体" w:hint="default"/>
                <w:sz w:val="18"/>
                <w:szCs w:val="18"/>
              </w:rPr>
            </w:pPr>
            <w:r>
              <w:rPr>
                <w:rFonts w:ascii="宋体" w:hAnsi="宋体" w:cs="宋体" w:eastAsia="宋体" w:hint="default"/>
                <w:sz w:val="18"/>
                <w:szCs w:val="18"/>
              </w:rPr>
              <w:t>其中：本期 利息资本化 金额</w:t>
            </w:r>
          </w:p>
        </w:tc>
        <w:tc>
          <w:tcPr>
            <w:tcW w:w="967" w:type="dxa"/>
            <w:tcBorders>
              <w:top w:val="single" w:sz="12" w:space="0" w:color="000000"/>
              <w:left w:val="single" w:sz="4" w:space="0" w:color="000000"/>
              <w:bottom w:val="single" w:sz="4" w:space="0" w:color="000000"/>
              <w:right w:val="single" w:sz="4" w:space="0" w:color="000000"/>
            </w:tcBorders>
          </w:tcPr>
          <w:p>
            <w:pPr>
              <w:pStyle w:val="TableParagraph"/>
              <w:spacing w:line="326" w:lineRule="auto" w:before="56"/>
              <w:ind w:left="118" w:right="116"/>
              <w:jc w:val="center"/>
              <w:rPr>
                <w:rFonts w:ascii="宋体" w:hAnsi="宋体" w:cs="宋体" w:eastAsia="宋体" w:hint="default"/>
                <w:sz w:val="18"/>
                <w:szCs w:val="18"/>
              </w:rPr>
            </w:pPr>
            <w:r>
              <w:rPr>
                <w:rFonts w:ascii="宋体" w:hAnsi="宋体" w:cs="宋体" w:eastAsia="宋体" w:hint="default"/>
                <w:sz w:val="18"/>
                <w:szCs w:val="18"/>
              </w:rPr>
              <w:t>本期利息 资本化率</w:t>
            </w:r>
          </w:p>
          <w:p>
            <w:pPr>
              <w:pStyle w:val="TableParagraph"/>
              <w:spacing w:line="240" w:lineRule="auto" w:before="70"/>
              <w:ind w:right="1"/>
              <w:jc w:val="center"/>
              <w:rPr>
                <w:rFonts w:ascii="Times New Roman" w:hAnsi="Times New Roman" w:cs="Times New Roman" w:eastAsia="Times New Roman" w:hint="default"/>
                <w:sz w:val="18"/>
                <w:szCs w:val="18"/>
              </w:rPr>
            </w:pPr>
            <w:r>
              <w:rPr>
                <w:rFonts w:ascii="Times New Roman"/>
                <w:sz w:val="18"/>
              </w:rPr>
              <w:t>(%)</w:t>
            </w:r>
          </w:p>
        </w:tc>
        <w:tc>
          <w:tcPr>
            <w:tcW w:w="9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326" w:lineRule="auto"/>
              <w:ind w:left="284" w:right="283"/>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139"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326" w:lineRule="auto" w:before="56"/>
              <w:ind w:left="122" w:right="101"/>
              <w:jc w:val="left"/>
              <w:rPr>
                <w:rFonts w:ascii="宋体" w:hAnsi="宋体" w:cs="宋体" w:eastAsia="宋体" w:hint="default"/>
                <w:sz w:val="18"/>
                <w:szCs w:val="18"/>
              </w:rPr>
            </w:pPr>
            <w:r>
              <w:rPr>
                <w:rFonts w:ascii="宋体" w:hAnsi="宋体" w:cs="宋体" w:eastAsia="宋体" w:hint="default"/>
                <w:sz w:val="18"/>
                <w:szCs w:val="18"/>
              </w:rPr>
              <w:t>科学城生产</w:t>
            </w:r>
            <w:r>
              <w:rPr>
                <w:rFonts w:ascii="宋体" w:hAnsi="宋体" w:cs="宋体" w:eastAsia="宋体" w:hint="default"/>
                <w:spacing w:val="-85"/>
                <w:sz w:val="18"/>
                <w:szCs w:val="18"/>
              </w:rPr>
              <w:t> </w:t>
            </w:r>
            <w:r>
              <w:rPr>
                <w:rFonts w:ascii="宋体" w:hAnsi="宋体" w:cs="宋体" w:eastAsia="宋体" w:hint="default"/>
                <w:sz w:val="18"/>
                <w:szCs w:val="18"/>
              </w:rPr>
              <w:t>基地一期</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12,908.02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2,760,323.32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2,685,323.32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366" w:hRule="exact"/>
        </w:trPr>
        <w:tc>
          <w:tcPr>
            <w:tcW w:w="1136" w:type="dxa"/>
            <w:tcBorders>
              <w:top w:val="single" w:sz="4" w:space="0" w:color="000000"/>
              <w:left w:val="nil" w:sz="6" w:space="0" w:color="auto"/>
              <w:bottom w:val="nil" w:sz="6" w:space="0" w:color="auto"/>
              <w:right w:val="single" w:sz="4" w:space="0" w:color="000000"/>
            </w:tcBorders>
          </w:tcPr>
          <w:p>
            <w:pPr/>
          </w:p>
        </w:tc>
        <w:tc>
          <w:tcPr>
            <w:tcW w:w="1326"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40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1226" w:type="dxa"/>
            <w:tcBorders>
              <w:top w:val="single" w:sz="4" w:space="0" w:color="000000"/>
              <w:left w:val="single" w:sz="4" w:space="0" w:color="000000"/>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967"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募股资金</w:t>
            </w:r>
          </w:p>
        </w:tc>
        <w:tc>
          <w:tcPr>
            <w:tcW w:w="1139" w:type="dxa"/>
            <w:tcBorders>
              <w:top w:val="single" w:sz="4" w:space="0" w:color="000000"/>
              <w:left w:val="single" w:sz="4" w:space="0" w:color="000000"/>
              <w:bottom w:val="nil" w:sz="6" w:space="0" w:color="auto"/>
              <w:right w:val="nil" w:sz="6" w:space="0" w:color="auto"/>
            </w:tcBorders>
          </w:tcPr>
          <w:p>
            <w:pPr/>
          </w:p>
        </w:tc>
      </w:tr>
      <w:tr>
        <w:trPr>
          <w:trHeight w:val="640" w:hRule="exact"/>
        </w:trPr>
        <w:tc>
          <w:tcPr>
            <w:tcW w:w="1136" w:type="dxa"/>
            <w:tcBorders>
              <w:top w:val="nil" w:sz="6" w:space="0" w:color="auto"/>
              <w:left w:val="nil" w:sz="6" w:space="0" w:color="auto"/>
              <w:bottom w:val="nil" w:sz="6" w:space="0" w:color="auto"/>
              <w:right w:val="single" w:sz="4" w:space="0" w:color="000000"/>
            </w:tcBorders>
          </w:tcPr>
          <w:p>
            <w:pPr>
              <w:pStyle w:val="TableParagraph"/>
              <w:spacing w:line="326" w:lineRule="auto" w:before="15"/>
              <w:ind w:left="122" w:right="101"/>
              <w:jc w:val="left"/>
              <w:rPr>
                <w:rFonts w:ascii="宋体" w:hAnsi="宋体" w:cs="宋体" w:eastAsia="宋体" w:hint="default"/>
                <w:sz w:val="18"/>
                <w:szCs w:val="18"/>
              </w:rPr>
            </w:pPr>
            <w:r>
              <w:rPr>
                <w:rFonts w:ascii="宋体" w:hAnsi="宋体" w:cs="宋体" w:eastAsia="宋体" w:hint="default"/>
                <w:sz w:val="18"/>
                <w:szCs w:val="18"/>
              </w:rPr>
              <w:t>科学城生产</w:t>
            </w:r>
            <w:r>
              <w:rPr>
                <w:rFonts w:ascii="宋体" w:hAnsi="宋体" w:cs="宋体" w:eastAsia="宋体" w:hint="default"/>
                <w:spacing w:val="-85"/>
                <w:sz w:val="18"/>
                <w:szCs w:val="18"/>
              </w:rPr>
              <w:t> </w:t>
            </w:r>
            <w:r>
              <w:rPr>
                <w:rFonts w:ascii="宋体" w:hAnsi="宋体" w:cs="宋体" w:eastAsia="宋体" w:hint="default"/>
                <w:sz w:val="18"/>
                <w:szCs w:val="18"/>
              </w:rPr>
              <w:t>基地二期</w:t>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8,490.80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36,677,583.18</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48,230,386.22</w:t>
            </w:r>
          </w:p>
        </w:tc>
        <w:tc>
          <w:tcPr>
            <w:tcW w:w="14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84,907,969.40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0.00</w:t>
            </w:r>
          </w:p>
        </w:tc>
        <w:tc>
          <w:tcPr>
            <w:tcW w:w="9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71"/>
              <w:ind w:left="194" w:right="0"/>
              <w:jc w:val="left"/>
              <w:rPr>
                <w:rFonts w:ascii="宋体" w:hAnsi="宋体" w:cs="宋体" w:eastAsia="宋体" w:hint="default"/>
                <w:sz w:val="18"/>
                <w:szCs w:val="18"/>
              </w:rPr>
            </w:pPr>
            <w:r>
              <w:rPr>
                <w:rFonts w:ascii="宋体" w:hAnsi="宋体" w:cs="宋体" w:eastAsia="宋体" w:hint="default"/>
                <w:sz w:val="18"/>
                <w:szCs w:val="18"/>
              </w:rPr>
              <w:t>其他为</w:t>
            </w:r>
          </w:p>
        </w:tc>
        <w:tc>
          <w:tcPr>
            <w:tcW w:w="1139"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1136" w:type="dxa"/>
            <w:tcBorders>
              <w:top w:val="nil" w:sz="6" w:space="0" w:color="auto"/>
              <w:left w:val="nil" w:sz="6" w:space="0" w:color="auto"/>
              <w:bottom w:val="single" w:sz="4" w:space="0" w:color="000000"/>
              <w:right w:val="single" w:sz="4" w:space="0" w:color="000000"/>
            </w:tcBorders>
          </w:tcPr>
          <w:p>
            <w:pPr/>
          </w:p>
        </w:tc>
        <w:tc>
          <w:tcPr>
            <w:tcW w:w="1326"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40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1226" w:type="dxa"/>
            <w:tcBorders>
              <w:top w:val="nil" w:sz="6" w:space="0" w:color="auto"/>
              <w:left w:val="single" w:sz="4" w:space="0" w:color="000000"/>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967" w:type="dxa"/>
            <w:tcBorders>
              <w:top w:val="nil" w:sz="6" w:space="0" w:color="auto"/>
              <w:left w:val="single" w:sz="4" w:space="0" w:color="000000"/>
              <w:bottom w:val="single" w:sz="4" w:space="0" w:color="000000"/>
              <w:right w:val="single" w:sz="4" w:space="0" w:color="000000"/>
            </w:tcBorders>
          </w:tcPr>
          <w:p>
            <w:pP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自筹资金</w:t>
            </w:r>
          </w:p>
        </w:tc>
        <w:tc>
          <w:tcPr>
            <w:tcW w:w="1139" w:type="dxa"/>
            <w:tcBorders>
              <w:top w:val="nil" w:sz="6" w:space="0" w:color="auto"/>
              <w:left w:val="single" w:sz="4" w:space="0" w:color="000000"/>
              <w:bottom w:val="single" w:sz="4" w:space="0" w:color="000000"/>
              <w:right w:val="nil" w:sz="6" w:space="0" w:color="auto"/>
            </w:tcBorders>
          </w:tcPr>
          <w:p>
            <w:pPr/>
          </w:p>
        </w:tc>
      </w:tr>
      <w:tr>
        <w:trPr>
          <w:trHeight w:val="349"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287"/>
              <w:jc w:val="right"/>
              <w:rPr>
                <w:rFonts w:ascii="宋体" w:hAnsi="宋体" w:cs="宋体" w:eastAsia="宋体" w:hint="default"/>
                <w:sz w:val="18"/>
                <w:szCs w:val="18"/>
              </w:rPr>
            </w:pPr>
            <w:r>
              <w:rPr>
                <w:rFonts w:ascii="宋体" w:hAnsi="宋体" w:cs="宋体" w:eastAsia="宋体" w:hint="default"/>
                <w:sz w:val="18"/>
                <w:szCs w:val="18"/>
              </w:rPr>
              <w:t>零星工程</w:t>
            </w:r>
          </w:p>
        </w:tc>
        <w:tc>
          <w:tcPr>
            <w:tcW w:w="132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1,490,526.50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3,861,520.42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4,760,593.92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t>591,453.00</w:t>
            </w:r>
          </w:p>
        </w:tc>
      </w:tr>
      <w:tr>
        <w:trPr>
          <w:trHeight w:val="361" w:hRule="exact"/>
        </w:trPr>
        <w:tc>
          <w:tcPr>
            <w:tcW w:w="11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5"/>
              <w:ind w:right="284"/>
              <w:jc w:val="right"/>
              <w:rPr>
                <w:rFonts w:ascii="宋体" w:hAnsi="宋体" w:cs="宋体" w:eastAsia="宋体" w:hint="default"/>
                <w:sz w:val="18"/>
                <w:szCs w:val="18"/>
              </w:rPr>
            </w:pPr>
            <w:r>
              <w:rPr>
                <w:rFonts w:ascii="宋体" w:hAnsi="宋体" w:cs="宋体" w:eastAsia="宋体" w:hint="default"/>
                <w:sz w:val="18"/>
                <w:szCs w:val="18"/>
              </w:rPr>
              <w:t>合  计</w:t>
            </w:r>
          </w:p>
        </w:tc>
        <w:tc>
          <w:tcPr>
            <w:tcW w:w="1326" w:type="dxa"/>
            <w:tcBorders>
              <w:top w:val="single" w:sz="4" w:space="0" w:color="000000"/>
              <w:left w:val="single" w:sz="4" w:space="0" w:color="000000"/>
              <w:bottom w:val="single" w:sz="12" w:space="0" w:color="000000"/>
              <w:right w:val="single" w:sz="4" w:space="0" w:color="000000"/>
            </w:tcBorders>
          </w:tcPr>
          <w:p>
            <w:pP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38,168,109.68</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54,852,229.96</w:t>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92,353,886.64</w:t>
            </w:r>
          </w:p>
        </w:tc>
        <w:tc>
          <w:tcPr>
            <w:tcW w:w="10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75,000.00</w:t>
            </w:r>
          </w:p>
        </w:tc>
        <w:tc>
          <w:tcPr>
            <w:tcW w:w="955" w:type="dxa"/>
            <w:tcBorders>
              <w:top w:val="single" w:sz="4" w:space="0" w:color="000000"/>
              <w:left w:val="single" w:sz="4" w:space="0" w:color="000000"/>
              <w:bottom w:val="single" w:sz="12" w:space="0" w:color="000000"/>
              <w:right w:val="single" w:sz="4" w:space="0" w:color="000000"/>
            </w:tcBorders>
          </w:tcPr>
          <w:p>
            <w:pPr/>
          </w:p>
        </w:tc>
        <w:tc>
          <w:tcPr>
            <w:tcW w:w="590" w:type="dxa"/>
            <w:tcBorders>
              <w:top w:val="single" w:sz="4" w:space="0" w:color="000000"/>
              <w:left w:val="single" w:sz="4" w:space="0" w:color="000000"/>
              <w:bottom w:val="single" w:sz="12" w:space="0" w:color="000000"/>
              <w:right w:val="single" w:sz="4" w:space="0" w:color="000000"/>
            </w:tcBorders>
          </w:tcPr>
          <w:p>
            <w:pPr/>
          </w:p>
        </w:tc>
        <w:tc>
          <w:tcPr>
            <w:tcW w:w="1226" w:type="dxa"/>
            <w:tcBorders>
              <w:top w:val="single" w:sz="4" w:space="0" w:color="000000"/>
              <w:left w:val="single" w:sz="4" w:space="0" w:color="000000"/>
              <w:bottom w:val="single" w:sz="12" w:space="0" w:color="000000"/>
              <w:right w:val="single" w:sz="4" w:space="0" w:color="000000"/>
            </w:tcBorders>
          </w:tcPr>
          <w:p>
            <w:pPr/>
          </w:p>
        </w:tc>
        <w:tc>
          <w:tcPr>
            <w:tcW w:w="1120" w:type="dxa"/>
            <w:tcBorders>
              <w:top w:val="single" w:sz="4" w:space="0" w:color="000000"/>
              <w:left w:val="single" w:sz="4" w:space="0" w:color="000000"/>
              <w:bottom w:val="single" w:sz="12" w:space="0" w:color="000000"/>
              <w:right w:val="single" w:sz="4" w:space="0" w:color="000000"/>
            </w:tcBorders>
          </w:tcPr>
          <w:p>
            <w:pPr/>
          </w:p>
        </w:tc>
        <w:tc>
          <w:tcPr>
            <w:tcW w:w="967" w:type="dxa"/>
            <w:tcBorders>
              <w:top w:val="single" w:sz="4" w:space="0" w:color="000000"/>
              <w:left w:val="single" w:sz="4" w:space="0" w:color="000000"/>
              <w:bottom w:val="single" w:sz="12" w:space="0" w:color="000000"/>
              <w:right w:val="single" w:sz="4" w:space="0" w:color="000000"/>
            </w:tcBorders>
          </w:tcPr>
          <w:p>
            <w:pPr/>
          </w:p>
        </w:tc>
        <w:tc>
          <w:tcPr>
            <w:tcW w:w="940" w:type="dxa"/>
            <w:tcBorders>
              <w:top w:val="single" w:sz="4" w:space="0" w:color="000000"/>
              <w:left w:val="single" w:sz="4" w:space="0" w:color="000000"/>
              <w:bottom w:val="single" w:sz="12" w:space="0" w:color="000000"/>
              <w:right w:val="single" w:sz="4" w:space="0" w:color="000000"/>
            </w:tcBorders>
          </w:tcPr>
          <w:p>
            <w:pPr/>
          </w:p>
        </w:tc>
        <w:tc>
          <w:tcPr>
            <w:tcW w:w="11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t>591,453.00</w:t>
            </w:r>
          </w:p>
        </w:tc>
      </w:tr>
    </w:tbl>
    <w:p>
      <w:pPr>
        <w:spacing w:line="240" w:lineRule="auto" w:before="5"/>
        <w:rPr>
          <w:rFonts w:ascii="宋体" w:hAnsi="宋体" w:cs="宋体" w:eastAsia="宋体" w:hint="default"/>
          <w:b/>
          <w:bCs/>
          <w:sz w:val="22"/>
          <w:szCs w:val="22"/>
        </w:rPr>
      </w:pPr>
    </w:p>
    <w:p>
      <w:pPr>
        <w:spacing w:before="35"/>
        <w:ind w:left="7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、本期没有发生在建工程减值准备的计提。</w:t>
      </w:r>
      <w:r>
        <w:rPr>
          <w:rFonts w:ascii="宋体" w:hAnsi="宋体" w:cs="宋体" w:eastAsia="宋体" w:hint="default"/>
          <w:sz w:val="21"/>
          <w:szCs w:val="21"/>
        </w:rPr>
      </w:r>
    </w:p>
    <w:p>
      <w:pPr>
        <w:spacing w:before="117"/>
        <w:ind w:left="782" w:right="0" w:firstLine="0"/>
        <w:jc w:val="left"/>
        <w:rPr>
          <w:rFonts w:ascii="宋体" w:hAnsi="宋体" w:cs="宋体" w:eastAsia="宋体" w:hint="default"/>
          <w:sz w:val="21"/>
          <w:szCs w:val="21"/>
        </w:rPr>
      </w:pPr>
      <w:r>
        <w:rPr>
          <w:rFonts w:ascii="宋体" w:hAnsi="宋体" w:cs="宋体" w:eastAsia="宋体" w:hint="default"/>
          <w:b/>
          <w:bCs/>
          <w:sz w:val="21"/>
          <w:szCs w:val="21"/>
        </w:rPr>
        <w:t>4、重大在建工程的工程进度情况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820" w:type="dxa"/>
        <w:tblLayout w:type="fixed"/>
        <w:tblCellMar>
          <w:top w:w="0" w:type="dxa"/>
          <w:left w:w="0" w:type="dxa"/>
          <w:bottom w:w="0" w:type="dxa"/>
          <w:right w:w="0" w:type="dxa"/>
        </w:tblCellMar>
        <w:tblLook w:val="01E0"/>
      </w:tblPr>
      <w:tblGrid>
        <w:gridCol w:w="3005"/>
        <w:gridCol w:w="1980"/>
        <w:gridCol w:w="2340"/>
      </w:tblGrid>
      <w:tr>
        <w:trPr>
          <w:trHeight w:val="380" w:hRule="exact"/>
        </w:trPr>
        <w:tc>
          <w:tcPr>
            <w:tcW w:w="3005"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30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科学城生产基地一期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已投入使用</w:t>
            </w:r>
          </w:p>
        </w:tc>
      </w:tr>
      <w:tr>
        <w:trPr>
          <w:trHeight w:val="380" w:hRule="exact"/>
        </w:trPr>
        <w:tc>
          <w:tcPr>
            <w:tcW w:w="30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科学城生产基地二期</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已投入使用</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76"/>
        <w:ind w:left="7110" w:right="7329"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headerReference w:type="default" r:id="rId29"/>
          <w:footerReference w:type="default" r:id="rId30"/>
          <w:pgSz w:w="16840" w:h="11910" w:orient="landscape"/>
          <w:pgMar w:header="0" w:footer="0" w:top="320" w:bottom="280" w:left="1200" w:right="980"/>
        </w:sectPr>
      </w:pPr>
    </w:p>
    <w:p>
      <w:pPr>
        <w:spacing w:line="240" w:lineRule="auto" w:before="10"/>
        <w:rPr>
          <w:rFonts w:ascii="Times New Roman" w:hAnsi="Times New Roman" w:cs="Times New Roman" w:eastAsia="Times New Roman" w:hint="default"/>
          <w:sz w:val="21"/>
          <w:szCs w:val="21"/>
        </w:rPr>
      </w:pPr>
    </w:p>
    <w:p>
      <w:pPr>
        <w:pStyle w:val="Heading4"/>
        <w:tabs>
          <w:tab w:pos="1397" w:val="left" w:leader="none"/>
        </w:tabs>
        <w:spacing w:line="240" w:lineRule="auto"/>
        <w:ind w:left="680" w:right="4777"/>
        <w:jc w:val="left"/>
        <w:rPr>
          <w:b w:val="0"/>
          <w:bCs w:val="0"/>
        </w:rPr>
      </w:pPr>
      <w:r>
        <w:rPr>
          <w:rFonts w:ascii="Times New Roman" w:hAnsi="Times New Roman" w:cs="Times New Roman" w:eastAsia="Times New Roman" w:hint="default"/>
          <w:w w:val="95"/>
        </w:rPr>
        <w:t>(</w:t>
      </w:r>
      <w:r>
        <w:rPr>
          <w:w w:val="95"/>
        </w:rPr>
        <w:t>十</w:t>
      </w:r>
      <w:r>
        <w:rPr>
          <w:rFonts w:ascii="Times New Roman" w:hAnsi="Times New Roman" w:cs="Times New Roman" w:eastAsia="Times New Roman" w:hint="default"/>
          <w:w w:val="95"/>
        </w:rPr>
        <w:t>)</w:t>
        <w:tab/>
      </w:r>
      <w:r>
        <w:rPr>
          <w:spacing w:val="1"/>
        </w:rPr>
        <w:t>无形资产</w:t>
      </w:r>
      <w:r>
        <w:rPr>
          <w:b w:val="0"/>
          <w:bCs w:val="0"/>
        </w:rPr>
      </w:r>
    </w:p>
    <w:p>
      <w:pPr>
        <w:spacing w:before="117"/>
        <w:ind w:left="680"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17" w:type="dxa"/>
        <w:tblLayout w:type="fixed"/>
        <w:tblCellMar>
          <w:top w:w="0" w:type="dxa"/>
          <w:left w:w="0" w:type="dxa"/>
          <w:bottom w:w="0" w:type="dxa"/>
          <w:right w:w="0" w:type="dxa"/>
        </w:tblCellMar>
        <w:tblLook w:val="01E0"/>
      </w:tblPr>
      <w:tblGrid>
        <w:gridCol w:w="2645"/>
        <w:gridCol w:w="1486"/>
        <w:gridCol w:w="1484"/>
        <w:gridCol w:w="1486"/>
        <w:gridCol w:w="1484"/>
      </w:tblGrid>
      <w:tr>
        <w:trPr>
          <w:trHeight w:val="380" w:hRule="exact"/>
        </w:trPr>
        <w:tc>
          <w:tcPr>
            <w:tcW w:w="2645" w:type="dxa"/>
            <w:tcBorders>
              <w:top w:val="single" w:sz="12" w:space="0" w:color="000000"/>
              <w:left w:val="nil" w:sz="6" w:space="0" w:color="auto"/>
              <w:bottom w:val="single" w:sz="4" w:space="0" w:color="000000"/>
              <w:right w:val="single" w:sz="4" w:space="0" w:color="000000"/>
            </w:tcBorders>
          </w:tcPr>
          <w:p>
            <w:pPr>
              <w:pStyle w:val="TableParagraph"/>
              <w:tabs>
                <w:tab w:pos="437" w:val="left" w:leader="none"/>
              </w:tabs>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1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1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、账面原值合计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15,553,344.74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17,360,380.54</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1,343,196.02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1,343,196.02</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222,748.72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2,029,784.52</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8,497,500.00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8,497,500.00</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5,489,900.00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5,489,900.00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、累计摊销合计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1,830,463.71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835,871.70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2,666,335.41</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1,029,540.23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268,639.20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1,298,179.43</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108,076.88</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287,484.54</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395,561.42</w:t>
            </w:r>
            <w:r>
              <w:rPr>
                <w:rFonts w:ascii="Times New Roman"/>
                <w:sz w:val="21"/>
              </w:rPr>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509,850.00</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169,950.00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679,800.00</w:t>
            </w:r>
            <w:r>
              <w:rPr>
                <w:rFonts w:ascii="Times New Roman"/>
                <w:sz w:val="21"/>
              </w:rPr>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182,996.60</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109,797.96</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292,794.56</w:t>
            </w:r>
            <w:r>
              <w:rPr>
                <w:rFonts w:ascii="Times New Roman"/>
                <w:sz w:val="21"/>
              </w:rPr>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、无形资产账面净值合计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13,722,881.03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835,871.70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14,694,045.13</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313,655.79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268,639.20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45,016.59</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114,671.84</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287,484.54</w:t>
            </w:r>
            <w:r>
              <w:rPr>
                <w:rFonts w:ascii="Times New Roman"/>
                <w:sz w:val="21"/>
              </w:rPr>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1,634,223.10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7,987,650.00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169,950.00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7,817,700.00</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5,306,903.40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109,797.96</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5,197,105.44</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、减值准备合计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、无形资产账面价值合计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13,722,881.03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835,871.70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14,694,045.13</w:t>
            </w:r>
          </w:p>
        </w:tc>
      </w:tr>
      <w:tr>
        <w:trPr>
          <w:trHeight w:val="371"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电子商务平台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313,655.79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268,639.20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45,016.59</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管理用软件</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114,671.84</w:t>
            </w:r>
            <w:r>
              <w:rPr>
                <w:rFonts w:ascii="Times New Roman"/>
                <w:sz w:val="21"/>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1,807,035.80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287,484.54</w:t>
            </w:r>
            <w:r>
              <w:rPr>
                <w:rFonts w:ascii="Times New Roman"/>
                <w:sz w:val="21"/>
              </w:rPr>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1,634,223.10</w:t>
            </w:r>
          </w:p>
        </w:tc>
      </w:tr>
      <w:tr>
        <w:trPr>
          <w:trHeight w:val="370" w:hRule="exact"/>
        </w:trPr>
        <w:tc>
          <w:tcPr>
            <w:tcW w:w="2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一期土地使用权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7,987,650.00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169,950.00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7,817,700.00</w:t>
            </w:r>
          </w:p>
        </w:tc>
      </w:tr>
      <w:tr>
        <w:trPr>
          <w:trHeight w:val="381" w:hRule="exact"/>
        </w:trPr>
        <w:tc>
          <w:tcPr>
            <w:tcW w:w="26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二期土地使用权</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5,306,903.40</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109,797.96</w:t>
            </w:r>
          </w:p>
        </w:tc>
        <w:tc>
          <w:tcPr>
            <w:tcW w:w="14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5,197,105.44</w:t>
            </w:r>
          </w:p>
        </w:tc>
      </w:tr>
    </w:tbl>
    <w:p>
      <w:pPr>
        <w:spacing w:line="240" w:lineRule="auto" w:before="8"/>
        <w:rPr>
          <w:rFonts w:ascii="宋体" w:hAnsi="宋体" w:cs="宋体" w:eastAsia="宋体" w:hint="default"/>
          <w:b/>
          <w:bCs/>
          <w:sz w:val="6"/>
          <w:szCs w:val="6"/>
        </w:rPr>
      </w:pPr>
    </w:p>
    <w:p>
      <w:pPr>
        <w:pStyle w:val="BodyText"/>
        <w:spacing w:line="336" w:lineRule="auto" w:before="35"/>
        <w:ind w:left="677" w:right="4777"/>
        <w:jc w:val="left"/>
      </w:pPr>
      <w:r>
        <w:rPr/>
        <w:t>本期摊销额</w:t>
      </w:r>
      <w:r>
        <w:rPr>
          <w:spacing w:val="-54"/>
        </w:rPr>
        <w:t> </w:t>
      </w:r>
      <w:r>
        <w:rPr>
          <w:rFonts w:ascii="Times New Roman" w:hAnsi="Times New Roman" w:cs="Times New Roman" w:eastAsia="Times New Roman" w:hint="default"/>
        </w:rPr>
        <w:t>835,871.70</w:t>
      </w:r>
      <w:r>
        <w:rPr>
          <w:rFonts w:ascii="Times New Roman" w:hAnsi="Times New Roman" w:cs="Times New Roman" w:eastAsia="Times New Roman" w:hint="default"/>
          <w:spacing w:val="-1"/>
        </w:rPr>
        <w:t> </w:t>
      </w:r>
      <w:r>
        <w:rPr/>
        <w:t>元。</w:t>
      </w:r>
      <w:r>
        <w:rPr>
          <w:spacing w:val="-2"/>
        </w:rPr>
        <w:t> </w:t>
      </w:r>
      <w:r>
        <w:rPr/>
        <w:t>注：期末没有用于抵押或担保的无形资产。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before="0"/>
        <w:ind w:left="679" w:right="4777"/>
        <w:jc w:val="left"/>
        <w:rPr>
          <w:b w:val="0"/>
          <w:bCs w:val="0"/>
        </w:rPr>
      </w:pPr>
      <w:r>
        <w:rPr>
          <w:rFonts w:ascii="Times New Roman" w:hAnsi="Times New Roman" w:cs="Times New Roman" w:eastAsia="Times New Roman" w:hint="default"/>
        </w:rPr>
        <w:t>2</w:t>
      </w:r>
      <w:r>
        <w:rPr/>
        <w:t>、公司开发项目支出</w:t>
      </w:r>
      <w:r>
        <w:rPr>
          <w:b w:val="0"/>
          <w:bCs w:val="0"/>
        </w:rPr>
      </w:r>
    </w:p>
    <w:p>
      <w:pPr>
        <w:spacing w:after="0" w:line="240" w:lineRule="auto"/>
        <w:jc w:val="left"/>
        <w:sectPr>
          <w:footerReference w:type="default" r:id="rId31"/>
          <w:pgSz w:w="11910" w:h="16840"/>
          <w:pgMar w:footer="982" w:header="0" w:top="1100" w:bottom="1180" w:left="1660" w:right="780"/>
          <w:pgNumType w:start="94"/>
        </w:sectPr>
      </w:pPr>
    </w:p>
    <w:p>
      <w:pPr>
        <w:spacing w:line="240" w:lineRule="auto" w:before="6"/>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564"/>
        <w:gridCol w:w="1115"/>
        <w:gridCol w:w="1559"/>
        <w:gridCol w:w="1679"/>
        <w:gridCol w:w="1800"/>
        <w:gridCol w:w="1057"/>
      </w:tblGrid>
      <w:tr>
        <w:trPr>
          <w:trHeight w:val="380" w:hRule="exact"/>
        </w:trPr>
        <w:tc>
          <w:tcPr>
            <w:tcW w:w="1564"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tabs>
                <w:tab w:pos="895" w:val="left" w:leader="none"/>
              </w:tabs>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15"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59"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47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本期转出数</w:t>
            </w:r>
          </w:p>
        </w:tc>
        <w:tc>
          <w:tcPr>
            <w:tcW w:w="1057" w:type="dxa"/>
            <w:vMerge w:val="restart"/>
            <w:tcBorders>
              <w:top w:val="single" w:sz="12"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1564" w:type="dxa"/>
            <w:vMerge/>
            <w:tcBorders>
              <w:left w:val="nil" w:sz="6" w:space="0" w:color="auto"/>
              <w:bottom w:val="single" w:sz="4" w:space="0" w:color="000000"/>
              <w:right w:val="single" w:sz="4" w:space="0" w:color="000000"/>
            </w:tcBorders>
          </w:tcPr>
          <w:p>
            <w:pPr/>
          </w:p>
        </w:tc>
        <w:tc>
          <w:tcPr>
            <w:tcW w:w="111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58"/>
              <w:jc w:val="right"/>
              <w:rPr>
                <w:rFonts w:ascii="宋体" w:hAnsi="宋体" w:cs="宋体" w:eastAsia="宋体" w:hint="default"/>
                <w:sz w:val="21"/>
                <w:szCs w:val="21"/>
              </w:rPr>
            </w:pPr>
            <w:r>
              <w:rPr>
                <w:rFonts w:ascii="宋体" w:hAnsi="宋体" w:cs="宋体" w:eastAsia="宋体" w:hint="default"/>
                <w:sz w:val="21"/>
                <w:szCs w:val="21"/>
              </w:rPr>
              <w:t>确认为无形资产</w:t>
            </w:r>
          </w:p>
        </w:tc>
        <w:tc>
          <w:tcPr>
            <w:tcW w:w="1057" w:type="dxa"/>
            <w:vMerge/>
            <w:tcBorders>
              <w:left w:val="single" w:sz="4" w:space="0" w:color="000000"/>
              <w:bottom w:val="single" w:sz="4" w:space="0" w:color="000000"/>
              <w:right w:val="nil" w:sz="6" w:space="0" w:color="auto"/>
            </w:tcBorders>
          </w:tcPr>
          <w:p>
            <w:pPr/>
          </w:p>
        </w:tc>
      </w:tr>
      <w:tr>
        <w:trPr>
          <w:trHeight w:val="371" w:hRule="exact"/>
        </w:trPr>
        <w:tc>
          <w:tcPr>
            <w:tcW w:w="1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53"/>
              <w:jc w:val="center"/>
              <w:rPr>
                <w:rFonts w:ascii="宋体" w:hAnsi="宋体" w:cs="宋体" w:eastAsia="宋体" w:hint="default"/>
                <w:sz w:val="21"/>
                <w:szCs w:val="21"/>
              </w:rPr>
            </w:pPr>
            <w:r>
              <w:rPr>
                <w:rFonts w:ascii="宋体" w:hAnsi="宋体" w:cs="宋体" w:eastAsia="宋体" w:hint="default"/>
                <w:sz w:val="21"/>
                <w:szCs w:val="21"/>
              </w:rPr>
              <w:t>开发项目支出</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105,377,868.03</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105,377,868.03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0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1564" w:type="dxa"/>
            <w:tcBorders>
              <w:top w:val="single" w:sz="4" w:space="0" w:color="000000"/>
              <w:left w:val="nil" w:sz="6" w:space="0" w:color="auto"/>
              <w:bottom w:val="single" w:sz="12" w:space="0" w:color="000000"/>
              <w:right w:val="single" w:sz="4" w:space="0" w:color="000000"/>
            </w:tcBorders>
          </w:tcPr>
          <w:p>
            <w:pPr>
              <w:pStyle w:val="TableParagraph"/>
              <w:tabs>
                <w:tab w:pos="441" w:val="left" w:leader="none"/>
              </w:tabs>
              <w:spacing w:line="240" w:lineRule="auto" w:before="53"/>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105,377,868.03</w:t>
            </w:r>
          </w:p>
        </w:tc>
        <w:tc>
          <w:tcPr>
            <w:tcW w:w="16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105,377,868.03</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05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8"/>
        <w:rPr>
          <w:rFonts w:ascii="宋体" w:hAnsi="宋体" w:cs="宋体" w:eastAsia="宋体" w:hint="default"/>
          <w:b/>
          <w:bCs/>
          <w:sz w:val="6"/>
          <w:szCs w:val="6"/>
        </w:rPr>
      </w:pPr>
    </w:p>
    <w:p>
      <w:pPr>
        <w:pStyle w:val="BodyText"/>
        <w:spacing w:line="336" w:lineRule="auto" w:before="35"/>
        <w:ind w:left="797" w:right="1659"/>
        <w:jc w:val="left"/>
      </w:pPr>
      <w:r>
        <w:rPr/>
        <w:t>本期开发支出占本期研究开发项目支出总额的比例为</w:t>
      </w:r>
      <w:r>
        <w:rPr>
          <w:spacing w:val="-54"/>
        </w:rPr>
        <w:t> </w:t>
      </w:r>
      <w:r>
        <w:rPr>
          <w:rFonts w:ascii="Times New Roman" w:hAnsi="Times New Roman" w:cs="Times New Roman" w:eastAsia="Times New Roman" w:hint="default"/>
        </w:rPr>
        <w:t>100.00</w:t>
      </w:r>
      <w:r>
        <w:rPr/>
        <w:t>％； 通过公司内部研发形成的无形资产占无形资产期末账面价值的比例</w:t>
      </w:r>
      <w:r>
        <w:rPr>
          <w:spacing w:val="-55"/>
        </w:rPr>
        <w:t> </w:t>
      </w:r>
      <w:r>
        <w:rPr>
          <w:rFonts w:ascii="Times New Roman" w:hAnsi="Times New Roman" w:cs="Times New Roman" w:eastAsia="Times New Roman" w:hint="default"/>
        </w:rPr>
        <w:t>0.00</w:t>
      </w:r>
      <w:r>
        <w:rPr/>
        <w:t>％。</w:t>
      </w:r>
    </w:p>
    <w:p>
      <w:pPr>
        <w:pStyle w:val="Heading4"/>
        <w:spacing w:line="240" w:lineRule="auto" w:before="181"/>
        <w:ind w:left="799" w:right="444"/>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商誉</w:t>
      </w:r>
      <w:r>
        <w:rPr>
          <w:b w:val="0"/>
          <w:bCs w:val="0"/>
        </w:rPr>
      </w:r>
    </w:p>
    <w:p>
      <w:pPr>
        <w:spacing w:line="240" w:lineRule="auto" w:before="7"/>
        <w:rPr>
          <w:rFonts w:ascii="宋体" w:hAnsi="宋体" w:cs="宋体" w:eastAsia="宋体" w:hint="default"/>
          <w:b/>
          <w:bCs/>
          <w:sz w:val="11"/>
          <w:szCs w:val="11"/>
        </w:rPr>
      </w:pPr>
    </w:p>
    <w:tbl>
      <w:tblPr>
        <w:tblW w:w="0" w:type="auto"/>
        <w:jc w:val="left"/>
        <w:tblInd w:w="120" w:type="dxa"/>
        <w:tblLayout w:type="fixed"/>
        <w:tblCellMar>
          <w:top w:w="0" w:type="dxa"/>
          <w:left w:w="0" w:type="dxa"/>
          <w:bottom w:w="0" w:type="dxa"/>
          <w:right w:w="0" w:type="dxa"/>
        </w:tblCellMar>
        <w:tblLook w:val="01E0"/>
      </w:tblPr>
      <w:tblGrid>
        <w:gridCol w:w="2102"/>
        <w:gridCol w:w="1375"/>
        <w:gridCol w:w="1375"/>
        <w:gridCol w:w="1375"/>
        <w:gridCol w:w="1374"/>
        <w:gridCol w:w="1520"/>
      </w:tblGrid>
      <w:tr>
        <w:trPr>
          <w:trHeight w:val="661" w:hRule="exact"/>
        </w:trPr>
        <w:tc>
          <w:tcPr>
            <w:tcW w:w="2102" w:type="dxa"/>
            <w:tcBorders>
              <w:top w:val="single" w:sz="12" w:space="0" w:color="000000"/>
              <w:left w:val="nil" w:sz="6" w:space="0" w:color="auto"/>
              <w:bottom w:val="single" w:sz="4" w:space="0" w:color="000000"/>
              <w:right w:val="single" w:sz="4" w:space="0" w:color="000000"/>
            </w:tcBorders>
          </w:tcPr>
          <w:p>
            <w:pPr>
              <w:pStyle w:val="TableParagraph"/>
              <w:spacing w:line="280" w:lineRule="auto" w:before="12"/>
              <w:ind w:left="322" w:right="197" w:hanging="105"/>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26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2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2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2"/>
              <w:ind w:left="26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2"/>
              <w:ind w:right="130"/>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649"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2"/>
              <w:ind w:left="122" w:right="73"/>
              <w:jc w:val="left"/>
              <w:rPr>
                <w:rFonts w:ascii="宋体" w:hAnsi="宋体" w:cs="宋体" w:eastAsia="宋体" w:hint="default"/>
                <w:sz w:val="21"/>
                <w:szCs w:val="21"/>
              </w:rPr>
            </w:pPr>
            <w:r>
              <w:rPr>
                <w:rFonts w:ascii="宋体" w:hAnsi="宋体" w:cs="宋体" w:eastAsia="宋体" w:hint="default"/>
                <w:spacing w:val="21"/>
                <w:sz w:val="21"/>
                <w:szCs w:val="21"/>
              </w:rPr>
              <w:t>深圳广电银</w:t>
            </w:r>
            <w:r>
              <w:rPr>
                <w:rFonts w:ascii="宋体" w:hAnsi="宋体" w:cs="宋体" w:eastAsia="宋体" w:hint="default"/>
                <w:spacing w:val="-78"/>
                <w:sz w:val="21"/>
                <w:szCs w:val="21"/>
              </w:rPr>
              <w:t> </w:t>
            </w:r>
            <w:r>
              <w:rPr>
                <w:rFonts w:ascii="宋体" w:hAnsi="宋体" w:cs="宋体" w:eastAsia="宋体" w:hint="default"/>
                <w:spacing w:val="18"/>
                <w:sz w:val="21"/>
                <w:szCs w:val="21"/>
              </w:rPr>
              <w:t>通金融</w:t>
            </w:r>
            <w:r>
              <w:rPr>
                <w:rFonts w:ascii="宋体" w:hAnsi="宋体" w:cs="宋体" w:eastAsia="宋体" w:hint="default"/>
                <w:spacing w:val="-78"/>
                <w:sz w:val="21"/>
                <w:szCs w:val="21"/>
              </w:rPr>
              <w:t> </w:t>
            </w:r>
            <w:r>
              <w:rPr>
                <w:rFonts w:ascii="宋体" w:hAnsi="宋体" w:cs="宋体" w:eastAsia="宋体" w:hint="default"/>
                <w:sz w:val="21"/>
                <w:szCs w:val="21"/>
              </w:rPr>
              <w:t>电子科技有限公司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946,852.52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946,852.52</w:t>
            </w: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61" w:hRule="exact"/>
        </w:trPr>
        <w:tc>
          <w:tcPr>
            <w:tcW w:w="2102"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2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316" w:right="0"/>
              <w:jc w:val="left"/>
              <w:rPr>
                <w:rFonts w:ascii="Times New Roman" w:hAnsi="Times New Roman" w:cs="Times New Roman" w:eastAsia="Times New Roman" w:hint="default"/>
                <w:sz w:val="21"/>
                <w:szCs w:val="21"/>
              </w:rPr>
            </w:pPr>
            <w:r>
              <w:rPr>
                <w:rFonts w:ascii="Times New Roman"/>
                <w:sz w:val="21"/>
              </w:rPr>
              <w:t>946,852.52</w:t>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6"/>
              <w:ind w:left="316" w:right="0"/>
              <w:jc w:val="left"/>
              <w:rPr>
                <w:rFonts w:ascii="Times New Roman" w:hAnsi="Times New Roman" w:cs="Times New Roman" w:eastAsia="Times New Roman" w:hint="default"/>
                <w:sz w:val="21"/>
                <w:szCs w:val="21"/>
              </w:rPr>
            </w:pPr>
            <w:r>
              <w:rPr>
                <w:rFonts w:ascii="Times New Roman"/>
                <w:sz w:val="21"/>
              </w:rPr>
              <w:t>946,852.52</w:t>
            </w:r>
          </w:p>
        </w:tc>
        <w:tc>
          <w:tcPr>
            <w:tcW w:w="1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6"/>
              <w:ind w:right="109"/>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bl>
    <w:p>
      <w:pPr>
        <w:spacing w:line="240" w:lineRule="auto" w:before="8"/>
        <w:rPr>
          <w:rFonts w:ascii="宋体" w:hAnsi="宋体" w:cs="宋体" w:eastAsia="宋体" w:hint="default"/>
          <w:b/>
          <w:bCs/>
          <w:sz w:val="6"/>
          <w:szCs w:val="6"/>
        </w:rPr>
      </w:pPr>
    </w:p>
    <w:p>
      <w:pPr>
        <w:pStyle w:val="BodyText"/>
        <w:spacing w:line="240" w:lineRule="auto" w:before="35"/>
        <w:ind w:left="677" w:right="444"/>
        <w:jc w:val="left"/>
      </w:pPr>
      <w:r>
        <w:rPr>
          <w:rFonts w:ascii="Times New Roman" w:hAnsi="Times New Roman" w:cs="Times New Roman" w:eastAsia="Times New Roman" w:hint="default"/>
        </w:rPr>
        <w:t>1</w:t>
      </w:r>
      <w:r>
        <w:rPr/>
        <w:t>、商誉的来源：</w:t>
      </w:r>
    </w:p>
    <w:p>
      <w:pPr>
        <w:pStyle w:val="BodyText"/>
        <w:spacing w:line="240" w:lineRule="auto" w:before="117"/>
        <w:ind w:left="677"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21"/>
        </w:rPr>
        <w:t> </w:t>
      </w:r>
      <w:r>
        <w:rPr/>
        <w:t>年</w:t>
      </w:r>
      <w:r>
        <w:rPr>
          <w:spacing w:val="-73"/>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月，本公司收购深圳广电银通金融电子科技有限公司国外投资方科杰控股有限公司</w:t>
      </w:r>
    </w:p>
    <w:p>
      <w:pPr>
        <w:pStyle w:val="BodyText"/>
        <w:spacing w:line="345" w:lineRule="auto" w:before="118"/>
        <w:ind w:left="257" w:right="328"/>
        <w:jc w:val="both"/>
      </w:pPr>
      <w:r>
        <w:rPr>
          <w:spacing w:val="-3"/>
        </w:rPr>
        <w:t>（</w:t>
      </w:r>
      <w:r>
        <w:rPr>
          <w:rFonts w:ascii="Times New Roman" w:hAnsi="Times New Roman" w:cs="Times New Roman" w:eastAsia="Times New Roman" w:hint="default"/>
          <w:spacing w:val="-3"/>
        </w:rPr>
        <w:t>Tech </w:t>
      </w:r>
      <w:r>
        <w:rPr>
          <w:rFonts w:ascii="Times New Roman" w:hAnsi="Times New Roman" w:cs="Times New Roman" w:eastAsia="Times New Roman" w:hint="default"/>
        </w:rPr>
        <w:t>Elite Holdings</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Limited</w:t>
      </w:r>
      <w:r>
        <w:rPr>
          <w:spacing w:val="-3"/>
        </w:rPr>
        <w:t>）拥有的全部股权，股权变更后持有深圳广电银通金融电子科技有限</w:t>
      </w:r>
      <w:r>
        <w:rPr/>
        <w:t> 公司</w:t>
      </w:r>
      <w:r>
        <w:rPr>
          <w:spacing w:val="-41"/>
        </w:rPr>
        <w:t> </w:t>
      </w:r>
      <w:r>
        <w:rPr>
          <w:rFonts w:ascii="Times New Roman" w:hAnsi="Times New Roman" w:cs="Times New Roman" w:eastAsia="Times New Roman" w:hint="default"/>
        </w:rPr>
        <w:t>75%</w:t>
      </w:r>
      <w:r>
        <w:rPr/>
        <w:t>（实际投资比例为</w:t>
      </w:r>
      <w:r>
        <w:rPr>
          <w:spacing w:val="-41"/>
        </w:rPr>
        <w:t> </w:t>
      </w:r>
      <w:r>
        <w:rPr>
          <w:rFonts w:ascii="Times New Roman" w:hAnsi="Times New Roman" w:cs="Times New Roman" w:eastAsia="Times New Roman" w:hint="default"/>
        </w:rPr>
        <w:t>66.44%</w:t>
      </w:r>
      <w:r>
        <w:rPr/>
        <w:t>）股权；</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月，本公司收购深圳广电银通金融电子科 技有限公司投资方广州无线电集团有限公司拥有的全部股权，股权变更后持有深圳广电银通金融 电子科技有限公司</w:t>
      </w:r>
      <w:r>
        <w:rPr>
          <w:spacing w:val="20"/>
        </w:rPr>
        <w:t> </w:t>
      </w:r>
      <w:r>
        <w:rPr>
          <w:rFonts w:ascii="Times New Roman" w:hAnsi="Times New Roman" w:cs="Times New Roman" w:eastAsia="Times New Roman" w:hint="default"/>
        </w:rPr>
        <w:t>100%</w:t>
      </w:r>
      <w:r>
        <w:rPr/>
        <w:t>股权。上述股权收购构成了非同一控制下的企业合并，本公司合并成本</w:t>
      </w:r>
      <w:r>
        <w:rPr>
          <w:spacing w:val="-102"/>
        </w:rPr>
        <w:t> </w:t>
      </w:r>
      <w:r>
        <w:rPr>
          <w:spacing w:val="-102"/>
        </w:rPr>
      </w:r>
      <w:r>
        <w:rPr/>
        <w:t>大于合并中取得的深圳广电银通金融电子科技有限公司可辨认净资产公允价值份额的差额，确认</w:t>
      </w:r>
      <w:r>
        <w:rPr/>
        <w:t> 为商誉。</w:t>
      </w:r>
    </w:p>
    <w:p>
      <w:pPr>
        <w:pStyle w:val="BodyText"/>
        <w:spacing w:line="240" w:lineRule="auto" w:before="41"/>
        <w:ind w:left="677" w:right="444"/>
        <w:jc w:val="left"/>
      </w:pPr>
      <w:r>
        <w:rPr>
          <w:rFonts w:ascii="Times New Roman" w:hAnsi="Times New Roman" w:cs="Times New Roman" w:eastAsia="Times New Roman" w:hint="default"/>
        </w:rPr>
        <w:t>2</w:t>
      </w:r>
      <w:r>
        <w:rPr/>
        <w:t>、商誉的计算过程：</w:t>
      </w:r>
    </w:p>
    <w:p>
      <w:pPr>
        <w:spacing w:line="240" w:lineRule="auto" w:before="9"/>
        <w:rPr>
          <w:rFonts w:ascii="宋体" w:hAnsi="宋体" w:cs="宋体" w:eastAsia="宋体" w:hint="default"/>
          <w:sz w:val="11"/>
          <w:szCs w:val="11"/>
        </w:rPr>
      </w:pPr>
    </w:p>
    <w:tbl>
      <w:tblPr>
        <w:tblW w:w="0" w:type="auto"/>
        <w:jc w:val="left"/>
        <w:tblInd w:w="408" w:type="dxa"/>
        <w:tblLayout w:type="fixed"/>
        <w:tblCellMar>
          <w:top w:w="0" w:type="dxa"/>
          <w:left w:w="0" w:type="dxa"/>
          <w:bottom w:w="0" w:type="dxa"/>
          <w:right w:w="0" w:type="dxa"/>
        </w:tblCellMar>
        <w:tblLook w:val="01E0"/>
      </w:tblPr>
      <w:tblGrid>
        <w:gridCol w:w="5080"/>
        <w:gridCol w:w="1558"/>
        <w:gridCol w:w="1703"/>
      </w:tblGrid>
      <w:tr>
        <w:trPr>
          <w:trHeight w:val="380" w:hRule="exact"/>
        </w:trPr>
        <w:tc>
          <w:tcPr>
            <w:tcW w:w="5080" w:type="dxa"/>
            <w:tcBorders>
              <w:top w:val="single" w:sz="12" w:space="0" w:color="000000"/>
              <w:left w:val="nil" w:sz="6" w:space="0" w:color="auto"/>
              <w:bottom w:val="single" w:sz="4" w:space="0" w:color="000000"/>
              <w:right w:val="single" w:sz="4" w:space="0" w:color="000000"/>
            </w:tcBorders>
          </w:tcPr>
          <w:p>
            <w:pPr>
              <w:pStyle w:val="TableParagraph"/>
              <w:tabs>
                <w:tab w:pos="963" w:val="left" w:leader="none"/>
              </w:tabs>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17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r>
      <w:tr>
        <w:trPr>
          <w:trHeight w:val="370" w:hRule="exact"/>
        </w:trPr>
        <w:tc>
          <w:tcPr>
            <w:tcW w:w="5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）合并成本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1"/>
                <w:szCs w:val="21"/>
              </w:rPr>
            </w:pPr>
            <w:r>
              <w:rPr>
                <w:rFonts w:ascii="Times New Roman"/>
                <w:spacing w:val="-1"/>
                <w:sz w:val="21"/>
              </w:rPr>
              <w:t>10,971,555.80</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11,070,019.38</w:t>
            </w:r>
          </w:p>
        </w:tc>
      </w:tr>
      <w:tr>
        <w:trPr>
          <w:trHeight w:val="370" w:hRule="exact"/>
        </w:trPr>
        <w:tc>
          <w:tcPr>
            <w:tcW w:w="5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）股权购买日被投资单位公允价值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1"/>
                <w:szCs w:val="21"/>
              </w:rPr>
            </w:pPr>
            <w:r>
              <w:rPr>
                <w:rFonts w:ascii="Times New Roman"/>
                <w:spacing w:val="-1"/>
                <w:sz w:val="21"/>
              </w:rPr>
              <w:t>31,033,498.79</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31,207,467.66</w:t>
            </w:r>
          </w:p>
        </w:tc>
      </w:tr>
      <w:tr>
        <w:trPr>
          <w:trHeight w:val="371" w:hRule="exact"/>
        </w:trPr>
        <w:tc>
          <w:tcPr>
            <w:tcW w:w="5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）投资比例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21"/>
                <w:szCs w:val="21"/>
              </w:rPr>
            </w:pPr>
            <w:r>
              <w:rPr>
                <w:rFonts w:ascii="Times New Roman"/>
                <w:spacing w:val="-1"/>
                <w:sz w:val="21"/>
              </w:rPr>
              <w:t>34.23%</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3"/>
              <w:jc w:val="right"/>
              <w:rPr>
                <w:rFonts w:ascii="Times New Roman" w:hAnsi="Times New Roman" w:cs="Times New Roman" w:eastAsia="Times New Roman" w:hint="default"/>
                <w:sz w:val="21"/>
                <w:szCs w:val="21"/>
              </w:rPr>
            </w:pPr>
            <w:r>
              <w:rPr>
                <w:rFonts w:ascii="Times New Roman"/>
                <w:spacing w:val="-1"/>
                <w:sz w:val="21"/>
              </w:rPr>
              <w:t>33.56%</w:t>
            </w:r>
          </w:p>
        </w:tc>
      </w:tr>
      <w:tr>
        <w:trPr>
          <w:trHeight w:val="370" w:hRule="exact"/>
        </w:trPr>
        <w:tc>
          <w:tcPr>
            <w:tcW w:w="5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）按投资比例计算的应享有的份额</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21"/>
                <w:szCs w:val="21"/>
              </w:rPr>
            </w:pPr>
            <w:r>
              <w:rPr>
                <w:rFonts w:ascii="Times New Roman"/>
                <w:spacing w:val="-1"/>
                <w:sz w:val="21"/>
              </w:rPr>
              <w:t>10,621,496.52</w:t>
            </w:r>
          </w:p>
        </w:tc>
        <w:tc>
          <w:tcPr>
            <w:tcW w:w="1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4"/>
              <w:jc w:val="right"/>
              <w:rPr>
                <w:rFonts w:ascii="Times New Roman" w:hAnsi="Times New Roman" w:cs="Times New Roman" w:eastAsia="Times New Roman" w:hint="default"/>
                <w:sz w:val="21"/>
                <w:szCs w:val="21"/>
              </w:rPr>
            </w:pPr>
            <w:r>
              <w:rPr>
                <w:rFonts w:ascii="Times New Roman"/>
                <w:spacing w:val="-1"/>
                <w:sz w:val="21"/>
              </w:rPr>
              <w:t>10,473,226.14</w:t>
            </w:r>
          </w:p>
        </w:tc>
      </w:tr>
      <w:tr>
        <w:trPr>
          <w:trHeight w:val="380" w:hRule="exact"/>
        </w:trPr>
        <w:tc>
          <w:tcPr>
            <w:tcW w:w="50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）商誉初始金额＝（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21"/>
                <w:szCs w:val="21"/>
              </w:rPr>
            </w:pPr>
            <w:r>
              <w:rPr>
                <w:rFonts w:ascii="Times New Roman"/>
                <w:spacing w:val="-1"/>
                <w:sz w:val="21"/>
              </w:rPr>
              <w:t>350,059.28</w:t>
            </w:r>
            <w:r>
              <w:rPr>
                <w:rFonts w:ascii="Times New Roman"/>
                <w:sz w:val="21"/>
              </w:rPr>
            </w:r>
          </w:p>
        </w:tc>
        <w:tc>
          <w:tcPr>
            <w:tcW w:w="17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27"/>
              <w:jc w:val="right"/>
              <w:rPr>
                <w:rFonts w:ascii="Times New Roman" w:hAnsi="Times New Roman" w:cs="Times New Roman" w:eastAsia="Times New Roman" w:hint="default"/>
                <w:sz w:val="21"/>
                <w:szCs w:val="21"/>
              </w:rPr>
            </w:pPr>
            <w:r>
              <w:rPr>
                <w:rFonts w:ascii="Times New Roman"/>
                <w:spacing w:val="-1"/>
                <w:sz w:val="21"/>
              </w:rPr>
              <w:t>596,793.24</w:t>
            </w:r>
            <w:r>
              <w:rPr>
                <w:rFonts w:ascii="Times New Roman"/>
                <w:sz w:val="21"/>
              </w:rPr>
            </w:r>
          </w:p>
        </w:tc>
      </w:tr>
    </w:tbl>
    <w:p>
      <w:pPr>
        <w:spacing w:line="240" w:lineRule="auto" w:before="8"/>
        <w:rPr>
          <w:rFonts w:ascii="宋体" w:hAnsi="宋体" w:cs="宋体" w:eastAsia="宋体" w:hint="default"/>
          <w:sz w:val="6"/>
          <w:szCs w:val="6"/>
        </w:rPr>
      </w:pPr>
    </w:p>
    <w:p>
      <w:pPr>
        <w:pStyle w:val="BodyText"/>
        <w:spacing w:line="240" w:lineRule="auto" w:before="35"/>
        <w:ind w:left="677" w:right="444"/>
        <w:jc w:val="left"/>
      </w:pPr>
      <w:r>
        <w:rPr>
          <w:rFonts w:ascii="Times New Roman" w:hAnsi="Times New Roman" w:cs="Times New Roman" w:eastAsia="Times New Roman" w:hint="default"/>
        </w:rPr>
        <w:t>3</w:t>
      </w:r>
      <w:r>
        <w:rPr/>
        <w:t>、经测试，本期商誉不存在计提减值准备的情况。</w:t>
      </w:r>
    </w:p>
    <w:p>
      <w:pPr>
        <w:spacing w:after="0" w:line="240" w:lineRule="auto"/>
        <w:jc w:val="left"/>
        <w:sectPr>
          <w:pgSz w:w="11910" w:h="16840"/>
          <w:pgMar w:header="0" w:footer="982" w:top="1100" w:bottom="1180" w:left="1540" w:right="960"/>
        </w:sectPr>
      </w:pPr>
    </w:p>
    <w:p>
      <w:pPr>
        <w:spacing w:line="240" w:lineRule="auto" w:before="2"/>
        <w:rPr>
          <w:rFonts w:ascii="宋体" w:hAnsi="宋体" w:cs="宋体" w:eastAsia="宋体" w:hint="default"/>
          <w:sz w:val="19"/>
          <w:szCs w:val="19"/>
        </w:rPr>
      </w:pPr>
    </w:p>
    <w:p>
      <w:pPr>
        <w:pStyle w:val="Heading4"/>
        <w:spacing w:line="240" w:lineRule="auto"/>
        <w:ind w:left="680" w:right="0"/>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rFonts w:ascii="Times New Roman" w:hAnsi="Times New Roman" w:cs="Times New Roman" w:eastAsia="Times New Roman" w:hint="default"/>
          <w:spacing w:val="47"/>
        </w:rPr>
        <w:t> </w:t>
      </w:r>
      <w:r>
        <w:rPr/>
        <w:t>长期待摊费用</w:t>
      </w:r>
      <w:r>
        <w:rPr>
          <w:b w:val="0"/>
          <w:bCs w:val="0"/>
        </w:rPr>
      </w:r>
    </w:p>
    <w:p>
      <w:pPr>
        <w:spacing w:line="240" w:lineRule="auto" w:before="7"/>
        <w:rPr>
          <w:rFonts w:ascii="宋体" w:hAnsi="宋体" w:cs="宋体" w:eastAsia="宋体" w:hint="default"/>
          <w:b/>
          <w:bCs/>
          <w:sz w:val="11"/>
          <w:szCs w:val="11"/>
        </w:rPr>
      </w:pPr>
    </w:p>
    <w:tbl>
      <w:tblPr>
        <w:tblW w:w="0" w:type="auto"/>
        <w:jc w:val="left"/>
        <w:tblInd w:w="288" w:type="dxa"/>
        <w:tblLayout w:type="fixed"/>
        <w:tblCellMar>
          <w:top w:w="0" w:type="dxa"/>
          <w:left w:w="0" w:type="dxa"/>
          <w:bottom w:w="0" w:type="dxa"/>
          <w:right w:w="0" w:type="dxa"/>
        </w:tblCellMar>
        <w:tblLook w:val="01E0"/>
      </w:tblPr>
      <w:tblGrid>
        <w:gridCol w:w="1740"/>
        <w:gridCol w:w="1237"/>
        <w:gridCol w:w="1237"/>
        <w:gridCol w:w="1237"/>
        <w:gridCol w:w="1157"/>
        <w:gridCol w:w="1259"/>
        <w:gridCol w:w="1255"/>
      </w:tblGrid>
      <w:tr>
        <w:trPr>
          <w:trHeight w:val="565" w:hRule="exact"/>
        </w:trPr>
        <w:tc>
          <w:tcPr>
            <w:tcW w:w="1740" w:type="dxa"/>
            <w:tcBorders>
              <w:top w:val="single" w:sz="12" w:space="0" w:color="000000"/>
              <w:left w:val="nil" w:sz="6" w:space="0" w:color="auto"/>
              <w:bottom w:val="single" w:sz="4" w:space="0" w:color="000000"/>
              <w:right w:val="single" w:sz="4" w:space="0" w:color="000000"/>
            </w:tcBorders>
          </w:tcPr>
          <w:p>
            <w:pPr>
              <w:pStyle w:val="TableParagraph"/>
              <w:tabs>
                <w:tab w:pos="982" w:val="left" w:leader="none"/>
              </w:tabs>
              <w:spacing w:line="240" w:lineRule="auto" w:before="100"/>
              <w:ind w:left="56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2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本期摊销</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51"/>
              <w:jc w:val="right"/>
              <w:rPr>
                <w:rFonts w:ascii="宋体" w:hAnsi="宋体" w:cs="宋体" w:eastAsia="宋体" w:hint="default"/>
                <w:sz w:val="21"/>
                <w:szCs w:val="21"/>
              </w:rPr>
            </w:pPr>
            <w:r>
              <w:rPr>
                <w:rFonts w:ascii="宋体" w:hAnsi="宋体" w:cs="宋体" w:eastAsia="宋体" w:hint="default"/>
                <w:sz w:val="21"/>
                <w:szCs w:val="21"/>
              </w:rPr>
              <w:t>其他减少</w:t>
            </w:r>
          </w:p>
        </w:tc>
        <w:tc>
          <w:tcPr>
            <w:tcW w:w="1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2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5"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371"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监控中心装修费</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10,702.00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2,472.00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8,230.00</w:t>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一期清分中心</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204,443.74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41,581.80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162,861.94</w:t>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保险费</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245,383.29</w:t>
            </w:r>
            <w:r>
              <w:rPr>
                <w:rFonts w:ascii="Times New Roman"/>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2"/>
                <w:sz w:val="21"/>
              </w:rPr>
              <w:t>67,811.67</w:t>
            </w:r>
            <w:r>
              <w:rPr>
                <w:rFonts w:ascii="Times New Roman"/>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177,571.62</w:t>
            </w:r>
            <w:r>
              <w:rPr>
                <w:rFonts w:ascii="Times New Roman"/>
                <w:sz w:val="21"/>
              </w:rPr>
            </w:r>
          </w:p>
        </w:tc>
        <w:tc>
          <w:tcPr>
            <w:tcW w:w="1255" w:type="dxa"/>
            <w:tcBorders>
              <w:top w:val="single" w:sz="4" w:space="0" w:color="000000"/>
              <w:left w:val="single" w:sz="4" w:space="0" w:color="000000"/>
              <w:bottom w:val="single" w:sz="4" w:space="0" w:color="000000"/>
              <w:right w:val="nil" w:sz="6" w:space="0" w:color="auto"/>
            </w:tcBorders>
          </w:tcPr>
          <w:p>
            <w:pPr/>
          </w:p>
        </w:tc>
      </w:tr>
      <w:tr>
        <w:trPr>
          <w:trHeight w:val="381" w:hRule="exact"/>
        </w:trPr>
        <w:tc>
          <w:tcPr>
            <w:tcW w:w="1740" w:type="dxa"/>
            <w:tcBorders>
              <w:top w:val="single" w:sz="4" w:space="0" w:color="000000"/>
              <w:left w:val="nil" w:sz="6" w:space="0" w:color="auto"/>
              <w:bottom w:val="single" w:sz="12" w:space="0" w:color="000000"/>
              <w:right w:val="single" w:sz="4" w:space="0" w:color="000000"/>
            </w:tcBorders>
          </w:tcPr>
          <w:p>
            <w:pPr>
              <w:pStyle w:val="TableParagraph"/>
              <w:tabs>
                <w:tab w:pos="982" w:val="left" w:leader="none"/>
              </w:tabs>
              <w:spacing w:line="240" w:lineRule="auto" w:before="53"/>
              <w:ind w:left="5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215,145.74</w:t>
            </w:r>
            <w:r>
              <w:rPr>
                <w:rFonts w:ascii="Times New Roman"/>
                <w:sz w:val="21"/>
              </w:rPr>
            </w:r>
          </w:p>
        </w:tc>
        <w:tc>
          <w:tcPr>
            <w:tcW w:w="1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245,383.29</w:t>
            </w:r>
            <w:r>
              <w:rPr>
                <w:rFonts w:ascii="Times New Roman"/>
                <w:sz w:val="21"/>
              </w:rPr>
            </w:r>
          </w:p>
        </w:tc>
        <w:tc>
          <w:tcPr>
            <w:tcW w:w="12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3"/>
                <w:sz w:val="21"/>
              </w:rPr>
              <w:t>111,865.47</w:t>
            </w:r>
            <w:r>
              <w:rPr>
                <w:rFonts w:ascii="Times New Roman"/>
                <w:sz w:val="21"/>
              </w:rPr>
            </w: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2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348,663.56</w:t>
            </w:r>
            <w:r>
              <w:rPr>
                <w:rFonts w:ascii="Times New Roman"/>
                <w:sz w:val="21"/>
              </w:rPr>
            </w:r>
          </w:p>
        </w:tc>
        <w:tc>
          <w:tcPr>
            <w:tcW w:w="125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117"/>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、已确认的递延所得税资产</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675" w:type="dxa"/>
        <w:tblLayout w:type="fixed"/>
        <w:tblCellMar>
          <w:top w:w="0" w:type="dxa"/>
          <w:left w:w="0" w:type="dxa"/>
          <w:bottom w:w="0" w:type="dxa"/>
          <w:right w:w="0" w:type="dxa"/>
        </w:tblCellMar>
        <w:tblLook w:val="01E0"/>
      </w:tblPr>
      <w:tblGrid>
        <w:gridCol w:w="3983"/>
        <w:gridCol w:w="2160"/>
        <w:gridCol w:w="2124"/>
      </w:tblGrid>
      <w:tr>
        <w:trPr>
          <w:trHeight w:val="380" w:hRule="exact"/>
        </w:trPr>
        <w:tc>
          <w:tcPr>
            <w:tcW w:w="3983" w:type="dxa"/>
            <w:tcBorders>
              <w:top w:val="single" w:sz="12"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53"/>
              <w:ind w:right="166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37"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2,091,004.45</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993,293.65</w:t>
            </w:r>
          </w:p>
        </w:tc>
      </w:tr>
      <w:tr>
        <w:trPr>
          <w:trHeight w:val="371"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59,281.78</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46,447.32</w:t>
            </w:r>
          </w:p>
        </w:tc>
      </w:tr>
      <w:tr>
        <w:trPr>
          <w:trHeight w:val="370"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9,124,264.36</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5,212,348.26</w:t>
            </w:r>
          </w:p>
        </w:tc>
      </w:tr>
      <w:tr>
        <w:trPr>
          <w:trHeight w:val="370"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预提性质负债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4,288,158.96</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2,679,509.84</w:t>
            </w:r>
          </w:p>
        </w:tc>
      </w:tr>
      <w:tr>
        <w:trPr>
          <w:trHeight w:val="371"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43,866.13</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278,386.59</w:t>
            </w:r>
          </w:p>
        </w:tc>
      </w:tr>
      <w:tr>
        <w:trPr>
          <w:trHeight w:val="370" w:hRule="exact"/>
        </w:trPr>
        <w:tc>
          <w:tcPr>
            <w:tcW w:w="39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未实现内部损益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3,398,383.49</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672,821.36</w:t>
            </w:r>
          </w:p>
        </w:tc>
      </w:tr>
      <w:tr>
        <w:trPr>
          <w:trHeight w:val="380" w:hRule="exact"/>
        </w:trPr>
        <w:tc>
          <w:tcPr>
            <w:tcW w:w="3983" w:type="dxa"/>
            <w:tcBorders>
              <w:top w:val="single" w:sz="4" w:space="0" w:color="000000"/>
              <w:left w:val="nil" w:sz="6" w:space="0" w:color="auto"/>
              <w:bottom w:val="single" w:sz="12" w:space="0" w:color="000000"/>
              <w:right w:val="single" w:sz="4" w:space="0" w:color="000000"/>
            </w:tcBorders>
          </w:tcPr>
          <w:p>
            <w:pPr>
              <w:pStyle w:val="TableParagraph"/>
              <w:tabs>
                <w:tab w:pos="419" w:val="left" w:leader="none"/>
              </w:tabs>
              <w:spacing w:line="240" w:lineRule="auto" w:before="53"/>
              <w:ind w:right="1662"/>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19,004,959.17</w:t>
            </w:r>
          </w:p>
        </w:tc>
        <w:tc>
          <w:tcPr>
            <w:tcW w:w="2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9,882,807.02</w:t>
            </w:r>
          </w:p>
        </w:tc>
      </w:tr>
    </w:tbl>
    <w:p>
      <w:pPr>
        <w:spacing w:line="240" w:lineRule="auto" w:before="8"/>
        <w:rPr>
          <w:rFonts w:ascii="宋体" w:hAnsi="宋体" w:cs="宋体" w:eastAsia="宋体" w:hint="default"/>
          <w:b/>
          <w:bCs/>
          <w:sz w:val="6"/>
          <w:szCs w:val="6"/>
        </w:rPr>
      </w:pPr>
    </w:p>
    <w:p>
      <w:pPr>
        <w:spacing w:before="35"/>
        <w:ind w:left="855" w:right="0" w:firstLine="0"/>
        <w:jc w:val="left"/>
        <w:rPr>
          <w:rFonts w:ascii="宋体" w:hAnsi="宋体" w:cs="宋体" w:eastAsia="宋体" w:hint="default"/>
          <w:sz w:val="21"/>
          <w:szCs w:val="21"/>
        </w:rPr>
      </w:pPr>
      <w:r>
        <w:rPr>
          <w:rFonts w:ascii="宋体" w:hAnsi="宋体" w:cs="宋体" w:eastAsia="宋体" w:hint="default"/>
          <w:b/>
          <w:bCs/>
          <w:sz w:val="21"/>
          <w:szCs w:val="21"/>
        </w:rPr>
        <w:t>2、应纳税差异和可抵扣差异项目明细</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717" w:type="dxa"/>
        <w:tblLayout w:type="fixed"/>
        <w:tblCellMar>
          <w:top w:w="0" w:type="dxa"/>
          <w:left w:w="0" w:type="dxa"/>
          <w:bottom w:w="0" w:type="dxa"/>
          <w:right w:w="0" w:type="dxa"/>
        </w:tblCellMar>
        <w:tblLook w:val="01E0"/>
      </w:tblPr>
      <w:tblGrid>
        <w:gridCol w:w="3905"/>
        <w:gridCol w:w="2160"/>
      </w:tblGrid>
      <w:tr>
        <w:trPr>
          <w:trHeight w:val="380" w:hRule="exact"/>
        </w:trPr>
        <w:tc>
          <w:tcPr>
            <w:tcW w:w="3905" w:type="dxa"/>
            <w:tcBorders>
              <w:top w:val="single" w:sz="12" w:space="0" w:color="000000"/>
              <w:left w:val="nil" w:sz="6" w:space="0" w:color="auto"/>
              <w:bottom w:val="single" w:sz="4" w:space="0" w:color="000000"/>
              <w:right w:val="single" w:sz="4" w:space="0" w:color="000000"/>
            </w:tcBorders>
          </w:tcPr>
          <w:p>
            <w:pPr>
              <w:pStyle w:val="TableParagraph"/>
              <w:tabs>
                <w:tab w:pos="541" w:val="left" w:leader="none"/>
              </w:tabs>
              <w:spacing w:line="240" w:lineRule="auto" w:before="53"/>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single" w:sz="4" w:space="0" w:color="000000"/>
              <w:right w:val="nil" w:sz="6" w:space="0" w:color="auto"/>
            </w:tcBorders>
          </w:tcPr>
          <w:p>
            <w:pPr>
              <w:pStyle w:val="TableParagraph"/>
              <w:tabs>
                <w:tab w:pos="1232" w:val="left" w:leader="none"/>
              </w:tabs>
              <w:spacing w:line="240" w:lineRule="auto" w:before="53"/>
              <w:ind w:left="706"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7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13,917,276.46</w:t>
            </w:r>
          </w:p>
        </w:tc>
      </w:tr>
      <w:tr>
        <w:trPr>
          <w:trHeight w:val="371"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394,723.26</w:t>
            </w:r>
            <w:r>
              <w:rPr>
                <w:rFonts w:ascii="Times New Roman"/>
                <w:sz w:val="21"/>
              </w:rPr>
            </w:r>
          </w:p>
        </w:tc>
      </w:tr>
      <w:tr>
        <w:trPr>
          <w:trHeight w:val="37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60,431,709.89</w:t>
            </w:r>
          </w:p>
        </w:tc>
      </w:tr>
      <w:tr>
        <w:trPr>
          <w:trHeight w:val="37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预提性质负债</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28,587,726.42</w:t>
            </w:r>
          </w:p>
        </w:tc>
      </w:tr>
      <w:tr>
        <w:trPr>
          <w:trHeight w:val="371"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175,464.51</w:t>
            </w:r>
            <w:r>
              <w:rPr>
                <w:rFonts w:ascii="Times New Roman"/>
                <w:sz w:val="21"/>
              </w:rPr>
            </w:r>
          </w:p>
        </w:tc>
      </w:tr>
      <w:tr>
        <w:trPr>
          <w:trHeight w:val="370" w:hRule="exact"/>
        </w:trPr>
        <w:tc>
          <w:tcPr>
            <w:tcW w:w="39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未实现内部损益</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22,648,528.64</w:t>
            </w:r>
          </w:p>
        </w:tc>
      </w:tr>
      <w:tr>
        <w:trPr>
          <w:trHeight w:val="380" w:hRule="exact"/>
        </w:trPr>
        <w:tc>
          <w:tcPr>
            <w:tcW w:w="3905" w:type="dxa"/>
            <w:tcBorders>
              <w:top w:val="single" w:sz="4" w:space="0" w:color="000000"/>
              <w:left w:val="nil" w:sz="6" w:space="0" w:color="auto"/>
              <w:bottom w:val="single" w:sz="12" w:space="0" w:color="000000"/>
              <w:right w:val="single" w:sz="4" w:space="0" w:color="000000"/>
            </w:tcBorders>
          </w:tcPr>
          <w:p>
            <w:pPr>
              <w:pStyle w:val="TableParagraph"/>
              <w:tabs>
                <w:tab w:pos="646" w:val="left" w:leader="none"/>
              </w:tabs>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126,155,429.18</w:t>
            </w:r>
          </w:p>
        </w:tc>
      </w:tr>
    </w:tbl>
    <w:p>
      <w:pPr>
        <w:spacing w:line="240" w:lineRule="auto" w:before="8"/>
        <w:rPr>
          <w:rFonts w:ascii="宋体" w:hAnsi="宋体" w:cs="宋体" w:eastAsia="宋体" w:hint="default"/>
          <w:b/>
          <w:bCs/>
          <w:sz w:val="6"/>
          <w:szCs w:val="6"/>
        </w:rPr>
      </w:pPr>
    </w:p>
    <w:p>
      <w:pPr>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675" w:type="dxa"/>
        <w:tblLayout w:type="fixed"/>
        <w:tblCellMar>
          <w:top w:w="0" w:type="dxa"/>
          <w:left w:w="0" w:type="dxa"/>
          <w:bottom w:w="0" w:type="dxa"/>
          <w:right w:w="0" w:type="dxa"/>
        </w:tblCellMar>
        <w:tblLook w:val="01E0"/>
      </w:tblPr>
      <w:tblGrid>
        <w:gridCol w:w="2141"/>
        <w:gridCol w:w="1319"/>
        <w:gridCol w:w="1320"/>
        <w:gridCol w:w="904"/>
        <w:gridCol w:w="1135"/>
        <w:gridCol w:w="1423"/>
      </w:tblGrid>
      <w:tr>
        <w:trPr>
          <w:trHeight w:val="380" w:hRule="exact"/>
        </w:trPr>
        <w:tc>
          <w:tcPr>
            <w:tcW w:w="2141"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tabs>
                <w:tab w:pos="440"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19"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20"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3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9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3" w:type="dxa"/>
            <w:vMerge w:val="restart"/>
            <w:tcBorders>
              <w:top w:val="single" w:sz="12"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141" w:type="dxa"/>
            <w:vMerge/>
            <w:tcBorders>
              <w:left w:val="nil" w:sz="6" w:space="0" w:color="auto"/>
              <w:bottom w:val="single" w:sz="4" w:space="0" w:color="000000"/>
              <w:right w:val="single" w:sz="4" w:space="0" w:color="000000"/>
            </w:tcBorders>
          </w:tcPr>
          <w:p>
            <w:pPr/>
          </w:p>
        </w:tc>
        <w:tc>
          <w:tcPr>
            <w:tcW w:w="1319" w:type="dxa"/>
            <w:vMerge/>
            <w:tcBorders>
              <w:left w:val="single" w:sz="4" w:space="0" w:color="000000"/>
              <w:bottom w:val="single" w:sz="4" w:space="0" w:color="000000"/>
              <w:right w:val="single" w:sz="4" w:space="0" w:color="000000"/>
            </w:tcBorders>
          </w:tcPr>
          <w:p>
            <w:pPr/>
          </w:p>
        </w:tc>
        <w:tc>
          <w:tcPr>
            <w:tcW w:w="1320" w:type="dxa"/>
            <w:vMerge/>
            <w:tcBorders>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23" w:type="dxa"/>
            <w:vMerge/>
            <w:tcBorders>
              <w:left w:val="single" w:sz="4" w:space="0" w:color="000000"/>
              <w:bottom w:val="single" w:sz="4" w:space="0" w:color="000000"/>
              <w:right w:val="nil" w:sz="6" w:space="0" w:color="auto"/>
            </w:tcBorders>
          </w:tcPr>
          <w:p>
            <w:pPr/>
          </w:p>
        </w:tc>
      </w:tr>
      <w:tr>
        <w:trPr>
          <w:trHeight w:val="3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应收账款坏账准备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8,026,086.22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7,295,820.36</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15,321,906.58</w:t>
            </w:r>
          </w:p>
        </w:tc>
      </w:tr>
      <w:tr>
        <w:trPr>
          <w:trHeight w:val="37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其他应收款坏账准备</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366,073.15</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164,486.64</w:t>
            </w:r>
            <w:r>
              <w:rPr>
                <w:rFonts w:ascii="Times New Roman"/>
                <w:sz w:val="21"/>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79,568.88</w:t>
            </w:r>
          </w:p>
        </w:tc>
        <w:tc>
          <w:tcPr>
            <w:tcW w:w="14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450,990.91</w:t>
            </w:r>
            <w:r>
              <w:rPr>
                <w:rFonts w:ascii="Times New Roman"/>
                <w:sz w:val="21"/>
              </w:rPr>
            </w:r>
          </w:p>
        </w:tc>
      </w:tr>
      <w:tr>
        <w:trPr>
          <w:trHeight w:val="380" w:hRule="exact"/>
        </w:trPr>
        <w:tc>
          <w:tcPr>
            <w:tcW w:w="2141"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8,392,159.37</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7,460,307.00</w:t>
            </w:r>
          </w:p>
        </w:tc>
        <w:tc>
          <w:tcPr>
            <w:tcW w:w="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79,568.88</w:t>
            </w: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15,772,897.49</w:t>
            </w:r>
          </w:p>
        </w:tc>
      </w:tr>
    </w:tbl>
    <w:p>
      <w:pPr>
        <w:spacing w:line="240" w:lineRule="auto" w:before="8"/>
        <w:rPr>
          <w:rFonts w:ascii="宋体" w:hAnsi="宋体" w:cs="宋体" w:eastAsia="宋体" w:hint="default"/>
          <w:b/>
          <w:bCs/>
          <w:sz w:val="6"/>
          <w:szCs w:val="6"/>
        </w:rPr>
      </w:pPr>
    </w:p>
    <w:p>
      <w:pPr>
        <w:pStyle w:val="BodyText"/>
        <w:spacing w:line="240" w:lineRule="auto" w:before="35"/>
        <w:ind w:left="677" w:right="0"/>
        <w:jc w:val="left"/>
      </w:pPr>
      <w:r>
        <w:rPr/>
        <w:t>注：本期增加额中包含了汇率折算原因产生的金额</w:t>
      </w:r>
      <w:r>
        <w:rPr>
          <w:rFonts w:ascii="Times New Roman" w:hAnsi="Times New Roman" w:cs="Times New Roman" w:eastAsia="Times New Roman" w:hint="default"/>
        </w:rPr>
        <w:t>-4,941.48</w:t>
      </w:r>
      <w:r>
        <w:rPr>
          <w:rFonts w:ascii="Times New Roman" w:hAnsi="Times New Roman" w:cs="Times New Roman" w:eastAsia="Times New Roman" w:hint="default"/>
          <w:spacing w:val="-3"/>
        </w:rPr>
        <w:t> </w:t>
      </w:r>
      <w:r>
        <w:rPr/>
        <w:t>元。</w:t>
      </w:r>
    </w:p>
    <w:p>
      <w:pPr>
        <w:spacing w:after="0" w:line="240" w:lineRule="auto"/>
        <w:jc w:val="left"/>
        <w:sectPr>
          <w:pgSz w:w="11910" w:h="16840"/>
          <w:pgMar w:header="0" w:footer="982" w:top="1100" w:bottom="1180" w:left="1660" w:right="680"/>
        </w:sectPr>
      </w:pPr>
    </w:p>
    <w:p>
      <w:pPr>
        <w:spacing w:line="240" w:lineRule="auto" w:before="2"/>
        <w:rPr>
          <w:rFonts w:ascii="宋体" w:hAnsi="宋体" w:cs="宋体" w:eastAsia="宋体" w:hint="default"/>
          <w:sz w:val="19"/>
          <w:szCs w:val="19"/>
        </w:rPr>
      </w:pPr>
    </w:p>
    <w:p>
      <w:pPr>
        <w:pStyle w:val="Heading4"/>
        <w:spacing w:line="240" w:lineRule="auto"/>
        <w:ind w:left="680" w:right="0"/>
        <w:jc w:val="left"/>
        <w:rPr>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短期借款</w:t>
      </w:r>
      <w:r>
        <w:rPr>
          <w:b w:val="0"/>
          <w:bCs w:val="0"/>
        </w:rPr>
      </w:r>
    </w:p>
    <w:p>
      <w:pPr>
        <w:spacing w:before="117"/>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17" w:type="dxa"/>
        <w:tblLayout w:type="fixed"/>
        <w:tblCellMar>
          <w:top w:w="0" w:type="dxa"/>
          <w:left w:w="0" w:type="dxa"/>
          <w:bottom w:w="0" w:type="dxa"/>
          <w:right w:w="0" w:type="dxa"/>
        </w:tblCellMar>
        <w:tblLook w:val="01E0"/>
      </w:tblPr>
      <w:tblGrid>
        <w:gridCol w:w="3502"/>
        <w:gridCol w:w="2362"/>
        <w:gridCol w:w="2362"/>
      </w:tblGrid>
      <w:tr>
        <w:trPr>
          <w:trHeight w:val="380" w:hRule="exact"/>
        </w:trPr>
        <w:tc>
          <w:tcPr>
            <w:tcW w:w="3502"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42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5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银行押汇</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166,671,556.08</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167,643,737.51</w:t>
            </w:r>
          </w:p>
        </w:tc>
      </w:tr>
      <w:tr>
        <w:trPr>
          <w:trHeight w:val="381" w:hRule="exact"/>
        </w:trPr>
        <w:tc>
          <w:tcPr>
            <w:tcW w:w="3502"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422"/>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166,671,556.08</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167,643,737.51</w:t>
            </w:r>
          </w:p>
        </w:tc>
      </w:tr>
    </w:tbl>
    <w:p>
      <w:pPr>
        <w:spacing w:line="240" w:lineRule="auto" w:before="8"/>
        <w:rPr>
          <w:rFonts w:ascii="宋体" w:hAnsi="宋体" w:cs="宋体" w:eastAsia="宋体" w:hint="default"/>
          <w:b/>
          <w:bCs/>
          <w:sz w:val="6"/>
          <w:szCs w:val="6"/>
        </w:rPr>
      </w:pPr>
    </w:p>
    <w:p>
      <w:pPr>
        <w:spacing w:line="465" w:lineRule="auto" w:before="35"/>
        <w:ind w:left="680" w:right="4720" w:hanging="5"/>
        <w:jc w:val="left"/>
        <w:rPr>
          <w:rFonts w:ascii="宋体" w:hAnsi="宋体" w:cs="宋体" w:eastAsia="宋体" w:hint="default"/>
          <w:sz w:val="21"/>
          <w:szCs w:val="21"/>
        </w:rPr>
      </w:pPr>
      <w:r>
        <w:rPr/>
        <w:pict>
          <v:shape style="position:absolute;margin-left:115.410004pt;margin-top:52.053947pt;width:417pt;height:75.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0"/>
                    <w:gridCol w:w="2414"/>
                    <w:gridCol w:w="2340"/>
                  </w:tblGrid>
                  <w:tr>
                    <w:trPr>
                      <w:trHeight w:val="371" w:hRule="exact"/>
                    </w:trPr>
                    <w:tc>
                      <w:tcPr>
                        <w:tcW w:w="3540" w:type="dxa"/>
                        <w:tcBorders>
                          <w:top w:val="single" w:sz="4" w:space="0" w:color="000000"/>
                          <w:left w:val="nil" w:sz="6" w:space="0" w:color="auto"/>
                          <w:bottom w:val="single" w:sz="4" w:space="0" w:color="000000"/>
                          <w:right w:val="single" w:sz="4" w:space="0" w:color="000000"/>
                        </w:tcBorders>
                      </w:tcPr>
                      <w:p>
                        <w:pPr>
                          <w:pStyle w:val="TableParagraph"/>
                          <w:tabs>
                            <w:tab w:pos="525" w:val="left" w:leader="none"/>
                          </w:tabs>
                          <w:spacing w:line="240" w:lineRule="auto" w:before="53"/>
                          <w:ind w:right="1388"/>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8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74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已承兑未到期信用证</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32,147,248.07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28,413,622.39</w:t>
                        </w:r>
                      </w:p>
                    </w:tc>
                  </w:tr>
                  <w:tr>
                    <w:trPr>
                      <w:trHeight w:val="370" w:hRule="exact"/>
                    </w:trPr>
                    <w:tc>
                      <w:tcPr>
                        <w:tcW w:w="35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16,300,000.00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28,300,000.00</w:t>
                        </w:r>
                      </w:p>
                    </w:tc>
                  </w:tr>
                  <w:tr>
                    <w:trPr>
                      <w:trHeight w:val="381" w:hRule="exact"/>
                    </w:trPr>
                    <w:tc>
                      <w:tcPr>
                        <w:tcW w:w="3540" w:type="dxa"/>
                        <w:tcBorders>
                          <w:top w:val="single" w:sz="4" w:space="0" w:color="000000"/>
                          <w:left w:val="nil" w:sz="6" w:space="0" w:color="auto"/>
                          <w:bottom w:val="single" w:sz="12" w:space="0" w:color="000000"/>
                          <w:right w:val="single" w:sz="4" w:space="0" w:color="000000"/>
                        </w:tcBorders>
                      </w:tcPr>
                      <w:p>
                        <w:pPr>
                          <w:pStyle w:val="TableParagraph"/>
                          <w:tabs>
                            <w:tab w:pos="525" w:val="left" w:leader="none"/>
                          </w:tabs>
                          <w:spacing w:line="240" w:lineRule="auto" w:before="53"/>
                          <w:ind w:right="138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48,447,248.07</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56,713,622.39</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、期末没有已到期未偿还的短期借款。</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35"/>
        <w:ind w:left="677" w:right="0"/>
        <w:jc w:val="left"/>
      </w:pPr>
      <w:r>
        <w:rPr/>
        <w:t>下一会计期间将到期的金额</w:t>
      </w:r>
      <w:r>
        <w:rPr>
          <w:spacing w:val="-56"/>
        </w:rPr>
        <w:t> </w:t>
      </w:r>
      <w:r>
        <w:rPr>
          <w:rFonts w:ascii="Times New Roman" w:hAnsi="Times New Roman" w:cs="Times New Roman" w:eastAsia="Times New Roman" w:hint="default"/>
        </w:rPr>
        <w:t>48,447,248.07</w:t>
      </w:r>
      <w:r>
        <w:rPr>
          <w:rFonts w:ascii="Times New Roman" w:hAnsi="Times New Roman" w:cs="Times New Roman" w:eastAsia="Times New Roman" w:hint="default"/>
          <w:spacing w:val="-3"/>
        </w:rPr>
        <w:t> </w:t>
      </w:r>
      <w:r>
        <w:rPr/>
        <w:t>元。</w:t>
      </w:r>
    </w:p>
    <w:p>
      <w:pPr>
        <w:spacing w:line="240" w:lineRule="auto" w:before="12"/>
        <w:rPr>
          <w:rFonts w:ascii="宋体" w:hAnsi="宋体" w:cs="宋体" w:eastAsia="宋体" w:hint="default"/>
          <w:sz w:val="20"/>
          <w:szCs w:val="20"/>
        </w:rPr>
      </w:pPr>
    </w:p>
    <w:p>
      <w:pPr>
        <w:pStyle w:val="Heading4"/>
        <w:spacing w:line="240" w:lineRule="auto" w:before="0"/>
        <w:ind w:left="679" w:right="0"/>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应付账款</w:t>
      </w:r>
      <w:r>
        <w:rPr>
          <w:b w:val="0"/>
          <w:bCs w:val="0"/>
        </w:rPr>
      </w:r>
    </w:p>
    <w:p>
      <w:pPr>
        <w:spacing w:before="118"/>
        <w:ind w:left="67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、应付账款余额按账龄明细列示：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17" w:type="dxa"/>
        <w:tblLayout w:type="fixed"/>
        <w:tblCellMar>
          <w:top w:w="0" w:type="dxa"/>
          <w:left w:w="0" w:type="dxa"/>
          <w:bottom w:w="0" w:type="dxa"/>
          <w:right w:w="0" w:type="dxa"/>
        </w:tblCellMar>
        <w:tblLook w:val="01E0"/>
      </w:tblPr>
      <w:tblGrid>
        <w:gridCol w:w="3502"/>
        <w:gridCol w:w="2362"/>
        <w:gridCol w:w="2362"/>
      </w:tblGrid>
      <w:tr>
        <w:trPr>
          <w:trHeight w:val="380" w:hRule="exact"/>
        </w:trPr>
        <w:tc>
          <w:tcPr>
            <w:tcW w:w="3502"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53"/>
              <w:ind w:right="131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5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232,269,473.88</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115,122,825.17</w:t>
            </w:r>
          </w:p>
        </w:tc>
      </w:tr>
      <w:tr>
        <w:trPr>
          <w:trHeight w:val="371"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2,096,364.87</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11,513,310.02</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4,800,465.79</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457,625.17</w:t>
            </w:r>
          </w:p>
        </w:tc>
      </w:tr>
      <w:tr>
        <w:trPr>
          <w:trHeight w:val="370"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3,240.00</w:t>
            </w:r>
            <w:r>
              <w:rPr>
                <w:rFonts w:ascii="Times New Roman"/>
                <w:sz w:val="21"/>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81" w:hRule="exact"/>
        </w:trPr>
        <w:tc>
          <w:tcPr>
            <w:tcW w:w="3502" w:type="dxa"/>
            <w:tcBorders>
              <w:top w:val="single" w:sz="4" w:space="0" w:color="000000"/>
              <w:left w:val="nil" w:sz="6" w:space="0" w:color="auto"/>
              <w:bottom w:val="single" w:sz="12" w:space="0" w:color="000000"/>
              <w:right w:val="single" w:sz="4" w:space="0" w:color="000000"/>
            </w:tcBorders>
          </w:tcPr>
          <w:p>
            <w:pPr>
              <w:pStyle w:val="TableParagraph"/>
              <w:tabs>
                <w:tab w:pos="629" w:val="left" w:leader="none"/>
              </w:tabs>
              <w:spacing w:line="240" w:lineRule="auto" w:before="53"/>
              <w:ind w:right="131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239,169,544.54</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127,093,760.36</w:t>
            </w:r>
          </w:p>
        </w:tc>
      </w:tr>
    </w:tbl>
    <w:p>
      <w:pPr>
        <w:spacing w:line="240" w:lineRule="auto" w:before="8"/>
        <w:rPr>
          <w:rFonts w:ascii="宋体" w:hAnsi="宋体" w:cs="宋体" w:eastAsia="宋体" w:hint="default"/>
          <w:b/>
          <w:bCs/>
          <w:sz w:val="6"/>
          <w:szCs w:val="6"/>
        </w:rPr>
      </w:pPr>
    </w:p>
    <w:p>
      <w:pPr>
        <w:spacing w:before="35"/>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17" w:type="dxa"/>
        <w:tblLayout w:type="fixed"/>
        <w:tblCellMar>
          <w:top w:w="0" w:type="dxa"/>
          <w:left w:w="0" w:type="dxa"/>
          <w:bottom w:w="0" w:type="dxa"/>
          <w:right w:w="0" w:type="dxa"/>
        </w:tblCellMar>
        <w:tblLook w:val="01E0"/>
      </w:tblPr>
      <w:tblGrid>
        <w:gridCol w:w="3545"/>
        <w:gridCol w:w="2340"/>
        <w:gridCol w:w="2340"/>
      </w:tblGrid>
      <w:tr>
        <w:trPr>
          <w:trHeight w:val="380" w:hRule="exact"/>
        </w:trPr>
        <w:tc>
          <w:tcPr>
            <w:tcW w:w="35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4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4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51,707.94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5,736.15</w:t>
            </w:r>
          </w:p>
        </w:tc>
      </w:tr>
      <w:tr>
        <w:trPr>
          <w:trHeight w:val="381" w:hRule="exact"/>
        </w:trPr>
        <w:tc>
          <w:tcPr>
            <w:tcW w:w="3545" w:type="dxa"/>
            <w:tcBorders>
              <w:top w:val="single" w:sz="4" w:space="0" w:color="000000"/>
              <w:left w:val="nil" w:sz="6" w:space="0" w:color="auto"/>
              <w:bottom w:val="single" w:sz="12" w:space="0" w:color="000000"/>
              <w:right w:val="single" w:sz="4" w:space="0" w:color="000000"/>
            </w:tcBorders>
          </w:tcPr>
          <w:p>
            <w:pPr>
              <w:pStyle w:val="TableParagraph"/>
              <w:tabs>
                <w:tab w:pos="646" w:val="left" w:leader="none"/>
              </w:tabs>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51,707.94</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5,736.15</w:t>
            </w:r>
          </w:p>
        </w:tc>
      </w:tr>
    </w:tbl>
    <w:p>
      <w:pPr>
        <w:spacing w:line="240" w:lineRule="auto" w:before="8"/>
        <w:rPr>
          <w:rFonts w:ascii="宋体" w:hAnsi="宋体" w:cs="宋体" w:eastAsia="宋体" w:hint="default"/>
          <w:b/>
          <w:bCs/>
          <w:sz w:val="6"/>
          <w:szCs w:val="6"/>
        </w:rPr>
      </w:pPr>
    </w:p>
    <w:p>
      <w:pPr>
        <w:spacing w:before="35"/>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、期末数中欠关联方款项：</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17" w:type="dxa"/>
        <w:tblLayout w:type="fixed"/>
        <w:tblCellMar>
          <w:top w:w="0" w:type="dxa"/>
          <w:left w:w="0" w:type="dxa"/>
          <w:bottom w:w="0" w:type="dxa"/>
          <w:right w:w="0" w:type="dxa"/>
        </w:tblCellMar>
        <w:tblLook w:val="01E0"/>
      </w:tblPr>
      <w:tblGrid>
        <w:gridCol w:w="3545"/>
        <w:gridCol w:w="2340"/>
        <w:gridCol w:w="2340"/>
      </w:tblGrid>
      <w:tr>
        <w:trPr>
          <w:trHeight w:val="380" w:hRule="exact"/>
        </w:trPr>
        <w:tc>
          <w:tcPr>
            <w:tcW w:w="35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4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4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3,726,725.32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339,815.37</w:t>
            </w:r>
          </w:p>
        </w:tc>
      </w:tr>
      <w:tr>
        <w:trPr>
          <w:trHeight w:val="37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63,531.96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41,314.62</w:t>
            </w:r>
          </w:p>
        </w:tc>
      </w:tr>
      <w:tr>
        <w:trPr>
          <w:trHeight w:val="37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51,707.94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5,736.15</w:t>
            </w:r>
          </w:p>
        </w:tc>
      </w:tr>
      <w:tr>
        <w:trPr>
          <w:trHeight w:val="371"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2"/>
                <w:sz w:val="21"/>
              </w:rPr>
              <w:t>34,911.50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30,376.50</w:t>
            </w:r>
          </w:p>
        </w:tc>
      </w:tr>
      <w:tr>
        <w:trPr>
          <w:trHeight w:val="380" w:hRule="exact"/>
        </w:trPr>
        <w:tc>
          <w:tcPr>
            <w:tcW w:w="3545" w:type="dxa"/>
            <w:tcBorders>
              <w:top w:val="single" w:sz="4" w:space="0" w:color="000000"/>
              <w:left w:val="nil" w:sz="6" w:space="0" w:color="auto"/>
              <w:bottom w:val="single" w:sz="12" w:space="0" w:color="000000"/>
              <w:right w:val="single" w:sz="4" w:space="0" w:color="000000"/>
            </w:tcBorders>
          </w:tcPr>
          <w:p>
            <w:pPr>
              <w:pStyle w:val="TableParagraph"/>
              <w:tabs>
                <w:tab w:pos="646" w:val="left" w:leader="none"/>
              </w:tabs>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3,876,876.72</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417,242.64</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11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before="0"/>
        <w:ind w:left="780" w:right="0" w:firstLine="0"/>
        <w:jc w:val="left"/>
        <w:rPr>
          <w:rFonts w:ascii="宋体" w:hAnsi="宋体" w:cs="宋体" w:eastAsia="宋体" w:hint="default"/>
          <w:sz w:val="21"/>
          <w:szCs w:val="21"/>
        </w:rPr>
      </w:pPr>
      <w:r>
        <w:rPr>
          <w:rFonts w:ascii="宋体" w:hAnsi="宋体" w:cs="宋体" w:eastAsia="宋体" w:hint="default"/>
          <w:b/>
          <w:bCs/>
          <w:sz w:val="21"/>
          <w:szCs w:val="21"/>
        </w:rPr>
        <w:t>4、账龄超过一年的大额应付账款：</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775" w:type="dxa"/>
        <w:tblLayout w:type="fixed"/>
        <w:tblCellMar>
          <w:top w:w="0" w:type="dxa"/>
          <w:left w:w="0" w:type="dxa"/>
          <w:bottom w:w="0" w:type="dxa"/>
          <w:right w:w="0" w:type="dxa"/>
        </w:tblCellMar>
        <w:tblLook w:val="01E0"/>
      </w:tblPr>
      <w:tblGrid>
        <w:gridCol w:w="3010"/>
        <w:gridCol w:w="1780"/>
        <w:gridCol w:w="1603"/>
        <w:gridCol w:w="1559"/>
      </w:tblGrid>
      <w:tr>
        <w:trPr>
          <w:trHeight w:val="380" w:hRule="exact"/>
        </w:trPr>
        <w:tc>
          <w:tcPr>
            <w:tcW w:w="30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70"/>
              <w:jc w:val="right"/>
              <w:rPr>
                <w:rFonts w:ascii="宋体" w:hAnsi="宋体" w:cs="宋体" w:eastAsia="宋体" w:hint="default"/>
                <w:sz w:val="21"/>
                <w:szCs w:val="21"/>
              </w:rPr>
            </w:pPr>
            <w:r>
              <w:rPr>
                <w:rFonts w:ascii="宋体" w:hAnsi="宋体" w:cs="宋体" w:eastAsia="宋体" w:hint="default"/>
                <w:sz w:val="21"/>
                <w:szCs w:val="21"/>
              </w:rPr>
              <w:t>未结转原因</w:t>
            </w:r>
          </w:p>
        </w:tc>
        <w:tc>
          <w:tcPr>
            <w:tcW w:w="15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81" w:hRule="exact"/>
        </w:trPr>
        <w:tc>
          <w:tcPr>
            <w:tcW w:w="30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7"/>
              <w:ind w:left="14" w:right="0"/>
              <w:jc w:val="center"/>
              <w:rPr>
                <w:rFonts w:ascii="Times New Roman" w:hAnsi="Times New Roman" w:cs="Times New Roman" w:eastAsia="Times New Roman" w:hint="default"/>
                <w:sz w:val="21"/>
                <w:szCs w:val="21"/>
              </w:rPr>
            </w:pPr>
            <w:r>
              <w:rPr>
                <w:rFonts w:ascii="Times New Roman"/>
                <w:sz w:val="21"/>
              </w:rPr>
              <w:t>DELARUECASHSYSTEMSAB</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561" w:right="0"/>
              <w:jc w:val="left"/>
              <w:rPr>
                <w:rFonts w:ascii="Times New Roman" w:hAnsi="Times New Roman" w:cs="Times New Roman" w:eastAsia="Times New Roman" w:hint="default"/>
                <w:sz w:val="21"/>
                <w:szCs w:val="21"/>
              </w:rPr>
            </w:pPr>
            <w:r>
              <w:rPr>
                <w:rFonts w:ascii="Times New Roman"/>
                <w:sz w:val="21"/>
              </w:rPr>
              <w:t>3,154,242.75</w:t>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28"/>
              <w:jc w:val="right"/>
              <w:rPr>
                <w:rFonts w:ascii="宋体" w:hAnsi="宋体" w:cs="宋体" w:eastAsia="宋体" w:hint="default"/>
                <w:sz w:val="21"/>
                <w:szCs w:val="21"/>
              </w:rPr>
            </w:pPr>
            <w:r>
              <w:rPr>
                <w:rFonts w:ascii="宋体" w:hAnsi="宋体" w:cs="宋体" w:eastAsia="宋体" w:hint="default"/>
                <w:sz w:val="21"/>
                <w:szCs w:val="21"/>
              </w:rPr>
              <w:t>合同未执行完</w:t>
            </w:r>
          </w:p>
        </w:tc>
        <w:tc>
          <w:tcPr>
            <w:tcW w:w="155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line="336" w:lineRule="auto" w:before="35"/>
        <w:ind w:left="780" w:right="56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预收账款</w:t>
      </w:r>
      <w:r>
        <w:rPr>
          <w:rFonts w:ascii="宋体" w:hAnsi="宋体" w:cs="宋体" w:eastAsia="宋体" w:hint="default"/>
          <w:b/>
          <w:bCs/>
          <w:spacing w:val="1"/>
          <w:w w:val="99"/>
          <w:sz w:val="21"/>
          <w:szCs w:val="21"/>
        </w:rPr>
        <w:t> </w:t>
      </w:r>
      <w:r>
        <w:rPr>
          <w:rFonts w:ascii="宋体" w:hAnsi="宋体" w:cs="宋体" w:eastAsia="宋体" w:hint="default"/>
          <w:b/>
          <w:bCs/>
          <w:sz w:val="21"/>
          <w:szCs w:val="21"/>
        </w:rPr>
        <w:t>1、预收账款余额按账龄明细列示：</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817" w:type="dxa"/>
        <w:tblLayout w:type="fixed"/>
        <w:tblCellMar>
          <w:top w:w="0" w:type="dxa"/>
          <w:left w:w="0" w:type="dxa"/>
          <w:bottom w:w="0" w:type="dxa"/>
          <w:right w:w="0" w:type="dxa"/>
        </w:tblCellMar>
        <w:tblLook w:val="01E0"/>
      </w:tblPr>
      <w:tblGrid>
        <w:gridCol w:w="4085"/>
        <w:gridCol w:w="2070"/>
        <w:gridCol w:w="2070"/>
      </w:tblGrid>
      <w:tr>
        <w:trPr>
          <w:trHeight w:val="380" w:hRule="exact"/>
        </w:trPr>
        <w:tc>
          <w:tcPr>
            <w:tcW w:w="4085"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53"/>
              <w:ind w:right="160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0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73,657,388.20</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69,361,152.26</w:t>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799,150.35</w:t>
            </w:r>
            <w:r>
              <w:rPr>
                <w:rFonts w:ascii="Times New Roman"/>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2,659,641.37</w:t>
            </w:r>
          </w:p>
        </w:tc>
      </w:tr>
      <w:tr>
        <w:trPr>
          <w:trHeight w:val="371"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599,738.10</w:t>
            </w:r>
            <w:r>
              <w:rPr>
                <w:rFonts w:ascii="Times New Roman"/>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2,315.63</w:t>
            </w:r>
            <w:r>
              <w:rPr>
                <w:rFonts w:ascii="Times New Roman"/>
                <w:sz w:val="21"/>
              </w:rPr>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105.00</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105.00</w:t>
            </w:r>
          </w:p>
        </w:tc>
      </w:tr>
      <w:tr>
        <w:trPr>
          <w:trHeight w:val="380" w:hRule="exact"/>
        </w:trPr>
        <w:tc>
          <w:tcPr>
            <w:tcW w:w="4085" w:type="dxa"/>
            <w:tcBorders>
              <w:top w:val="single" w:sz="4" w:space="0" w:color="000000"/>
              <w:left w:val="nil" w:sz="6" w:space="0" w:color="auto"/>
              <w:bottom w:val="single" w:sz="12" w:space="0" w:color="000000"/>
              <w:right w:val="single" w:sz="4" w:space="0" w:color="000000"/>
            </w:tcBorders>
          </w:tcPr>
          <w:p>
            <w:pPr>
              <w:pStyle w:val="TableParagraph"/>
              <w:tabs>
                <w:tab w:pos="629" w:val="left" w:leader="none"/>
              </w:tabs>
              <w:spacing w:line="240" w:lineRule="auto" w:before="53"/>
              <w:ind w:right="16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75,056,381.65</w:t>
            </w:r>
          </w:p>
        </w:tc>
        <w:tc>
          <w:tcPr>
            <w:tcW w:w="2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72,023,214.26</w:t>
            </w:r>
          </w:p>
        </w:tc>
      </w:tr>
    </w:tbl>
    <w:p>
      <w:pPr>
        <w:spacing w:line="240" w:lineRule="auto" w:before="8"/>
        <w:rPr>
          <w:rFonts w:ascii="宋体" w:hAnsi="宋体" w:cs="宋体" w:eastAsia="宋体" w:hint="default"/>
          <w:b/>
          <w:bCs/>
          <w:sz w:val="6"/>
          <w:szCs w:val="6"/>
        </w:rPr>
      </w:pPr>
    </w:p>
    <w:p>
      <w:pPr>
        <w:spacing w:before="35"/>
        <w:ind w:left="7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、期末数中无预收持本公司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18"/>
        <w:ind w:left="77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、期末数中无预收关联方款项。</w:t>
      </w:r>
      <w:r>
        <w:rPr>
          <w:rFonts w:ascii="宋体" w:hAnsi="宋体" w:cs="宋体" w:eastAsia="宋体" w:hint="default"/>
          <w:sz w:val="21"/>
          <w:szCs w:val="21"/>
        </w:rPr>
      </w:r>
    </w:p>
    <w:p>
      <w:pPr>
        <w:spacing w:before="117"/>
        <w:ind w:left="77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年的大额预收款项情况的说明：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90" w:type="dxa"/>
        <w:tblLayout w:type="fixed"/>
        <w:tblCellMar>
          <w:top w:w="0" w:type="dxa"/>
          <w:left w:w="0" w:type="dxa"/>
          <w:bottom w:w="0" w:type="dxa"/>
          <w:right w:w="0" w:type="dxa"/>
        </w:tblCellMar>
        <w:tblLook w:val="01E0"/>
      </w:tblPr>
      <w:tblGrid>
        <w:gridCol w:w="2862"/>
        <w:gridCol w:w="1830"/>
        <w:gridCol w:w="1655"/>
        <w:gridCol w:w="2010"/>
      </w:tblGrid>
      <w:tr>
        <w:trPr>
          <w:trHeight w:val="380" w:hRule="exact"/>
        </w:trPr>
        <w:tc>
          <w:tcPr>
            <w:tcW w:w="28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未结转原因</w:t>
            </w:r>
          </w:p>
        </w:tc>
        <w:tc>
          <w:tcPr>
            <w:tcW w:w="2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2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Ecobank Ghana</w:t>
            </w:r>
            <w:r>
              <w:rPr>
                <w:rFonts w:ascii="Times New Roman"/>
                <w:spacing w:val="-6"/>
                <w:sz w:val="21"/>
              </w:rPr>
              <w:t> </w:t>
            </w:r>
            <w:r>
              <w:rPr>
                <w:rFonts w:ascii="Times New Roman"/>
                <w:sz w:val="21"/>
              </w:rPr>
              <w:t>Ltd</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672,288.21</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合同尚未完成</w:t>
            </w:r>
          </w:p>
        </w:tc>
        <w:tc>
          <w:tcPr>
            <w:tcW w:w="201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8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湖北三环信息系统有限公司</w:t>
            </w:r>
          </w:p>
        </w:tc>
        <w:tc>
          <w:tcPr>
            <w:tcW w:w="1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691,589.74</w:t>
            </w:r>
            <w:r>
              <w:rPr>
                <w:rFonts w:ascii="Times New Roman"/>
                <w:sz w:val="21"/>
              </w:rPr>
            </w:r>
          </w:p>
        </w:tc>
        <w:tc>
          <w:tcPr>
            <w:tcW w:w="1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合同尚未完成</w:t>
            </w:r>
          </w:p>
        </w:tc>
        <w:tc>
          <w:tcPr>
            <w:tcW w:w="201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tabs>
          <w:tab w:pos="1497" w:val="left" w:leader="none"/>
        </w:tabs>
        <w:spacing w:before="35"/>
        <w:ind w:left="660"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十九</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3182"/>
        <w:gridCol w:w="1567"/>
        <w:gridCol w:w="1567"/>
        <w:gridCol w:w="1567"/>
        <w:gridCol w:w="1566"/>
      </w:tblGrid>
      <w:tr>
        <w:trPr>
          <w:trHeight w:val="380" w:hRule="exact"/>
        </w:trPr>
        <w:tc>
          <w:tcPr>
            <w:tcW w:w="318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58"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5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5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）工资、奖金、津贴和补贴</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34,719,452.25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181,908,897.53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156,009,614.12</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60,618,735.66</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4,601,487.60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4,601,487.60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11,914,702.48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11,905,980.45</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8,722.03</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112,537.00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5,634,028.00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5,746,565.00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）辞退福利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1,624,959.66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1,624,959.66</w:t>
            </w:r>
          </w:p>
        </w:tc>
        <w:tc>
          <w:tcPr>
            <w:tcW w:w="1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3182"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34,831,989.25</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205,684,075.27</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179,888,606.83</w:t>
            </w:r>
          </w:p>
        </w:tc>
        <w:tc>
          <w:tcPr>
            <w:tcW w:w="15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60,627,457.69</w:t>
            </w:r>
          </w:p>
        </w:tc>
      </w:tr>
    </w:tbl>
    <w:p>
      <w:pPr>
        <w:spacing w:line="240" w:lineRule="auto" w:before="5"/>
        <w:rPr>
          <w:rFonts w:ascii="宋体" w:hAnsi="宋体" w:cs="宋体" w:eastAsia="宋体" w:hint="default"/>
          <w:b/>
          <w:bCs/>
          <w:sz w:val="22"/>
          <w:szCs w:val="22"/>
        </w:rPr>
      </w:pPr>
    </w:p>
    <w:p>
      <w:pPr>
        <w:pStyle w:val="BodyText"/>
        <w:spacing w:line="240" w:lineRule="auto" w:before="35"/>
        <w:ind w:left="777" w:right="0"/>
        <w:jc w:val="left"/>
      </w:pP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7"/>
        <w:ind w:left="777" w:right="0"/>
        <w:jc w:val="left"/>
      </w:pPr>
      <w:r>
        <w:rPr/>
        <w:t>工会经费和职工教育经费金额</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元，非货币性福利金额</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6"/>
        </w:rPr>
        <w:t> </w:t>
      </w:r>
      <w:r>
        <w:rPr/>
        <w:t>元，因解除劳动关系给予补</w:t>
      </w:r>
    </w:p>
    <w:p>
      <w:pPr>
        <w:pStyle w:val="BodyText"/>
        <w:spacing w:line="240" w:lineRule="auto" w:before="118"/>
        <w:ind w:left="237" w:right="0"/>
        <w:jc w:val="left"/>
      </w:pPr>
      <w:r>
        <w:rPr/>
        <w:t>偿</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0" w:footer="982" w:top="1100" w:bottom="1180" w:left="1560" w:right="640"/>
        </w:sectPr>
      </w:pPr>
    </w:p>
    <w:p>
      <w:pPr>
        <w:spacing w:line="240" w:lineRule="auto" w:before="0"/>
        <w:rPr>
          <w:rFonts w:ascii="宋体" w:hAnsi="宋体" w:cs="宋体" w:eastAsia="宋体" w:hint="default"/>
          <w:sz w:val="20"/>
          <w:szCs w:val="20"/>
        </w:rPr>
      </w:pPr>
    </w:p>
    <w:p>
      <w:pPr>
        <w:pStyle w:val="Heading4"/>
        <w:spacing w:line="240" w:lineRule="auto" w:before="180"/>
        <w:ind w:left="780" w:right="0"/>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 </w:t>
      </w:r>
      <w:r>
        <w:rPr>
          <w:rFonts w:ascii="Times New Roman" w:hAnsi="Times New Roman" w:cs="Times New Roman" w:eastAsia="Times New Roman" w:hint="default"/>
          <w:spacing w:val="50"/>
        </w:rPr>
        <w:t> </w:t>
      </w:r>
      <w:r>
        <w:rPr/>
        <w:t>应交税费</w:t>
      </w:r>
      <w:r>
        <w:rPr>
          <w:b w:val="0"/>
          <w:bCs w:val="0"/>
        </w:rPr>
      </w:r>
    </w:p>
    <w:p>
      <w:pPr>
        <w:spacing w:line="240" w:lineRule="auto" w:before="7"/>
        <w:rPr>
          <w:rFonts w:ascii="宋体" w:hAnsi="宋体" w:cs="宋体" w:eastAsia="宋体" w:hint="default"/>
          <w:b/>
          <w:bCs/>
          <w:sz w:val="11"/>
          <w:szCs w:val="11"/>
        </w:rPr>
      </w:pPr>
    </w:p>
    <w:tbl>
      <w:tblPr>
        <w:tblW w:w="0" w:type="auto"/>
        <w:jc w:val="left"/>
        <w:tblInd w:w="748" w:type="dxa"/>
        <w:tblLayout w:type="fixed"/>
        <w:tblCellMar>
          <w:top w:w="0" w:type="dxa"/>
          <w:left w:w="0" w:type="dxa"/>
          <w:bottom w:w="0" w:type="dxa"/>
          <w:right w:w="0" w:type="dxa"/>
        </w:tblCellMar>
        <w:tblLook w:val="01E0"/>
      </w:tblPr>
      <w:tblGrid>
        <w:gridCol w:w="4154"/>
        <w:gridCol w:w="1980"/>
        <w:gridCol w:w="2160"/>
      </w:tblGrid>
      <w:tr>
        <w:trPr>
          <w:trHeight w:val="380" w:hRule="exact"/>
        </w:trPr>
        <w:tc>
          <w:tcPr>
            <w:tcW w:w="41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5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70,165,821.65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40,928,025.94</w:t>
            </w:r>
          </w:p>
        </w:tc>
      </w:tr>
      <w:tr>
        <w:trPr>
          <w:trHeight w:val="370"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1,210,280.35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780,270.13</w:t>
            </w:r>
          </w:p>
        </w:tc>
      </w:tr>
      <w:tr>
        <w:trPr>
          <w:trHeight w:val="370"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25,516,642.74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4,656,515.98</w:t>
            </w:r>
          </w:p>
        </w:tc>
      </w:tr>
      <w:tr>
        <w:trPr>
          <w:trHeight w:val="371"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5,465,380.46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2,843,190.83</w:t>
            </w:r>
          </w:p>
        </w:tc>
      </w:tr>
      <w:tr>
        <w:trPr>
          <w:trHeight w:val="370"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395,629.70</w:t>
            </w:r>
            <w:r>
              <w:rPr>
                <w:rFonts w:ascii="Times New Roman"/>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329,660.42</w:t>
            </w:r>
            <w:r>
              <w:rPr>
                <w:rFonts w:ascii="Times New Roman"/>
                <w:sz w:val="21"/>
              </w:rPr>
            </w:r>
          </w:p>
        </w:tc>
      </w:tr>
      <w:tr>
        <w:trPr>
          <w:trHeight w:val="370"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2,342,305.91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1,253,668.56</w:t>
            </w:r>
          </w:p>
        </w:tc>
      </w:tr>
      <w:tr>
        <w:trPr>
          <w:trHeight w:val="371"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1,093,996.62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1,439,055.88</w:t>
            </w:r>
          </w:p>
        </w:tc>
      </w:tr>
      <w:tr>
        <w:trPr>
          <w:trHeight w:val="380" w:hRule="exact"/>
        </w:trPr>
        <w:tc>
          <w:tcPr>
            <w:tcW w:w="4154"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106,190,057.43</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52,230,387.74</w:t>
            </w:r>
          </w:p>
        </w:tc>
      </w:tr>
    </w:tbl>
    <w:p>
      <w:pPr>
        <w:spacing w:line="240" w:lineRule="auto" w:before="8"/>
        <w:rPr>
          <w:rFonts w:ascii="宋体" w:hAnsi="宋体" w:cs="宋体" w:eastAsia="宋体" w:hint="default"/>
          <w:b/>
          <w:bCs/>
          <w:sz w:val="6"/>
          <w:szCs w:val="6"/>
        </w:rPr>
      </w:pPr>
    </w:p>
    <w:p>
      <w:pPr>
        <w:tabs>
          <w:tab w:pos="1917" w:val="left" w:leader="none"/>
        </w:tabs>
        <w:spacing w:before="35"/>
        <w:ind w:left="780"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二十一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其他应付款</w:t>
      </w:r>
      <w:r>
        <w:rPr>
          <w:rFonts w:ascii="宋体" w:hAnsi="宋体" w:cs="宋体" w:eastAsia="宋体" w:hint="default"/>
          <w:sz w:val="21"/>
          <w:szCs w:val="21"/>
        </w:rPr>
      </w:r>
    </w:p>
    <w:p>
      <w:pPr>
        <w:spacing w:before="118"/>
        <w:ind w:left="77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、其他应付款余额按账龄明细列示：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817" w:type="dxa"/>
        <w:tblLayout w:type="fixed"/>
        <w:tblCellMar>
          <w:top w:w="0" w:type="dxa"/>
          <w:left w:w="0" w:type="dxa"/>
          <w:bottom w:w="0" w:type="dxa"/>
          <w:right w:w="0" w:type="dxa"/>
        </w:tblCellMar>
        <w:tblLook w:val="01E0"/>
      </w:tblPr>
      <w:tblGrid>
        <w:gridCol w:w="4085"/>
        <w:gridCol w:w="2070"/>
        <w:gridCol w:w="2070"/>
      </w:tblGrid>
      <w:tr>
        <w:trPr>
          <w:trHeight w:val="380" w:hRule="exact"/>
        </w:trPr>
        <w:tc>
          <w:tcPr>
            <w:tcW w:w="4085"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53"/>
              <w:ind w:right="160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0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29,289,782.36</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19,934,015.82</w:t>
            </w:r>
          </w:p>
        </w:tc>
      </w:tr>
      <w:tr>
        <w:trPr>
          <w:trHeight w:val="371"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4,547,691.98</w:t>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2,016,031.40</w:t>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992,590.29</w:t>
            </w:r>
            <w:r>
              <w:rPr>
                <w:rFonts w:ascii="Times New Roman"/>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436,648.16</w:t>
            </w:r>
            <w:r>
              <w:rPr>
                <w:rFonts w:ascii="Times New Roman"/>
                <w:sz w:val="21"/>
              </w:rPr>
            </w:r>
          </w:p>
        </w:tc>
      </w:tr>
      <w:tr>
        <w:trPr>
          <w:trHeight w:val="370"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179,010.60</w:t>
            </w:r>
            <w:r>
              <w:rPr>
                <w:rFonts w:ascii="Times New Roman"/>
                <w:sz w:val="21"/>
              </w:rPr>
            </w:r>
          </w:p>
        </w:tc>
        <w:tc>
          <w:tcPr>
            <w:tcW w:w="2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222,766.60</w:t>
            </w:r>
            <w:r>
              <w:rPr>
                <w:rFonts w:ascii="Times New Roman"/>
                <w:sz w:val="21"/>
              </w:rPr>
            </w:r>
          </w:p>
        </w:tc>
      </w:tr>
      <w:tr>
        <w:trPr>
          <w:trHeight w:val="381" w:hRule="exact"/>
        </w:trPr>
        <w:tc>
          <w:tcPr>
            <w:tcW w:w="4085" w:type="dxa"/>
            <w:tcBorders>
              <w:top w:val="single" w:sz="4" w:space="0" w:color="000000"/>
              <w:left w:val="nil" w:sz="6" w:space="0" w:color="auto"/>
              <w:bottom w:val="single" w:sz="12" w:space="0" w:color="000000"/>
              <w:right w:val="single" w:sz="4" w:space="0" w:color="000000"/>
            </w:tcBorders>
          </w:tcPr>
          <w:p>
            <w:pPr>
              <w:pStyle w:val="TableParagraph"/>
              <w:tabs>
                <w:tab w:pos="629" w:val="left" w:leader="none"/>
              </w:tabs>
              <w:spacing w:line="240" w:lineRule="auto" w:before="53"/>
              <w:ind w:right="16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35,009,075.23</w:t>
            </w:r>
          </w:p>
        </w:tc>
        <w:tc>
          <w:tcPr>
            <w:tcW w:w="20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22,609,461.98</w:t>
            </w:r>
          </w:p>
        </w:tc>
      </w:tr>
    </w:tbl>
    <w:p>
      <w:pPr>
        <w:spacing w:line="240" w:lineRule="auto" w:before="8"/>
        <w:rPr>
          <w:rFonts w:ascii="宋体" w:hAnsi="宋体" w:cs="宋体" w:eastAsia="宋体" w:hint="default"/>
          <w:b/>
          <w:bCs/>
          <w:sz w:val="6"/>
          <w:szCs w:val="6"/>
        </w:rPr>
      </w:pPr>
    </w:p>
    <w:p>
      <w:pPr>
        <w:spacing w:before="35"/>
        <w:ind w:left="7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、期末数中无欠持本公司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％）表决权股份的股东单位款项。</w:t>
      </w:r>
      <w:r>
        <w:rPr>
          <w:rFonts w:ascii="宋体" w:hAnsi="宋体" w:cs="宋体" w:eastAsia="宋体" w:hint="default"/>
          <w:sz w:val="21"/>
          <w:szCs w:val="21"/>
        </w:rPr>
      </w:r>
    </w:p>
    <w:p>
      <w:pPr>
        <w:spacing w:before="117"/>
        <w:ind w:left="7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、期末数中无欠关联方款项。</w:t>
      </w:r>
      <w:r>
        <w:rPr>
          <w:rFonts w:ascii="宋体" w:hAnsi="宋体" w:cs="宋体" w:eastAsia="宋体" w:hint="default"/>
          <w:sz w:val="21"/>
          <w:szCs w:val="21"/>
        </w:rPr>
      </w:r>
    </w:p>
    <w:p>
      <w:pPr>
        <w:spacing w:before="117"/>
        <w:ind w:left="7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817" w:type="dxa"/>
        <w:tblLayout w:type="fixed"/>
        <w:tblCellMar>
          <w:top w:w="0" w:type="dxa"/>
          <w:left w:w="0" w:type="dxa"/>
          <w:bottom w:w="0" w:type="dxa"/>
          <w:right w:w="0" w:type="dxa"/>
        </w:tblCellMar>
        <w:tblLook w:val="01E0"/>
      </w:tblPr>
      <w:tblGrid>
        <w:gridCol w:w="2602"/>
        <w:gridCol w:w="1483"/>
        <w:gridCol w:w="1504"/>
        <w:gridCol w:w="2456"/>
      </w:tblGrid>
      <w:tr>
        <w:trPr>
          <w:trHeight w:val="554" w:hRule="exact"/>
        </w:trPr>
        <w:tc>
          <w:tcPr>
            <w:tcW w:w="26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未偿还原因</w:t>
            </w:r>
          </w:p>
        </w:tc>
        <w:tc>
          <w:tcPr>
            <w:tcW w:w="245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pacing w:val="-7"/>
                <w:sz w:val="21"/>
                <w:szCs w:val="21"/>
              </w:rPr>
              <w:t>备注（报表日后已还款的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应予注明）</w:t>
            </w:r>
          </w:p>
        </w:tc>
      </w:tr>
      <w:tr>
        <w:trPr>
          <w:trHeight w:val="361" w:hRule="exact"/>
        </w:trPr>
        <w:tc>
          <w:tcPr>
            <w:tcW w:w="2602" w:type="dxa"/>
            <w:tcBorders>
              <w:top w:val="single" w:sz="4" w:space="0" w:color="000000"/>
              <w:left w:val="nil" w:sz="6" w:space="0" w:color="auto"/>
              <w:bottom w:val="single" w:sz="12" w:space="0" w:color="000000"/>
              <w:right w:val="single" w:sz="4" w:space="0" w:color="000000"/>
            </w:tcBorders>
          </w:tcPr>
          <w:p>
            <w:pPr>
              <w:pStyle w:val="TableParagraph"/>
              <w:spacing w:line="273" w:lineRule="exact"/>
              <w:ind w:left="15" w:right="0"/>
              <w:jc w:val="center"/>
              <w:rPr>
                <w:rFonts w:ascii="宋体" w:hAnsi="宋体" w:cs="宋体" w:eastAsia="宋体" w:hint="default"/>
                <w:sz w:val="21"/>
                <w:szCs w:val="21"/>
              </w:rPr>
            </w:pPr>
            <w:r>
              <w:rPr>
                <w:rFonts w:ascii="宋体" w:hAnsi="宋体" w:cs="宋体" w:eastAsia="宋体" w:hint="default"/>
                <w:sz w:val="21"/>
                <w:szCs w:val="21"/>
              </w:rPr>
              <w:t>代理费</w:t>
            </w:r>
          </w:p>
        </w:tc>
        <w:tc>
          <w:tcPr>
            <w:tcW w:w="14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1,146,959.02</w:t>
            </w:r>
          </w:p>
        </w:tc>
        <w:tc>
          <w:tcPr>
            <w:tcW w:w="1504" w:type="dxa"/>
            <w:tcBorders>
              <w:top w:val="single" w:sz="4" w:space="0" w:color="000000"/>
              <w:left w:val="single" w:sz="4" w:space="0" w:color="000000"/>
              <w:bottom w:val="single" w:sz="12"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合同未到期</w:t>
            </w:r>
          </w:p>
        </w:tc>
        <w:tc>
          <w:tcPr>
            <w:tcW w:w="24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tabs>
          <w:tab w:pos="1917" w:val="left" w:leader="none"/>
        </w:tabs>
        <w:spacing w:line="336" w:lineRule="auto" w:before="35"/>
        <w:ind w:left="779" w:right="599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二十二</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b/>
          <w:bCs/>
          <w:sz w:val="21"/>
          <w:szCs w:val="21"/>
        </w:rPr>
        <w:t>1、其他非流动负债分类</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748" w:type="dxa"/>
        <w:tblLayout w:type="fixed"/>
        <w:tblCellMar>
          <w:top w:w="0" w:type="dxa"/>
          <w:left w:w="0" w:type="dxa"/>
          <w:bottom w:w="0" w:type="dxa"/>
          <w:right w:w="0" w:type="dxa"/>
        </w:tblCellMar>
        <w:tblLook w:val="01E0"/>
      </w:tblPr>
      <w:tblGrid>
        <w:gridCol w:w="4334"/>
        <w:gridCol w:w="2160"/>
        <w:gridCol w:w="1980"/>
      </w:tblGrid>
      <w:tr>
        <w:trPr>
          <w:trHeight w:val="380" w:hRule="exact"/>
        </w:trPr>
        <w:tc>
          <w:tcPr>
            <w:tcW w:w="4334"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83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16,579,442.22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10,354,622.01</w:t>
            </w:r>
          </w:p>
        </w:tc>
      </w:tr>
      <w:tr>
        <w:trPr>
          <w:trHeight w:val="380" w:hRule="exact"/>
        </w:trPr>
        <w:tc>
          <w:tcPr>
            <w:tcW w:w="433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83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16,579,442.22</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10,354,622.01</w:t>
            </w:r>
          </w:p>
        </w:tc>
      </w:tr>
    </w:tbl>
    <w:p>
      <w:pPr>
        <w:spacing w:line="240" w:lineRule="auto" w:before="8"/>
        <w:rPr>
          <w:rFonts w:ascii="宋体" w:hAnsi="宋体" w:cs="宋体" w:eastAsia="宋体" w:hint="default"/>
          <w:b/>
          <w:bCs/>
          <w:sz w:val="6"/>
          <w:szCs w:val="6"/>
        </w:rPr>
      </w:pPr>
    </w:p>
    <w:p>
      <w:pPr>
        <w:spacing w:before="35"/>
        <w:ind w:left="780" w:right="0" w:firstLine="0"/>
        <w:jc w:val="left"/>
        <w:rPr>
          <w:rFonts w:ascii="宋体" w:hAnsi="宋体" w:cs="宋体" w:eastAsia="宋体" w:hint="default"/>
          <w:sz w:val="21"/>
          <w:szCs w:val="21"/>
        </w:rPr>
      </w:pPr>
      <w:r>
        <w:rPr>
          <w:rFonts w:ascii="宋体" w:hAnsi="宋体" w:cs="宋体" w:eastAsia="宋体" w:hint="default"/>
          <w:b/>
          <w:bCs/>
          <w:sz w:val="21"/>
          <w:szCs w:val="21"/>
        </w:rPr>
        <w:t>2、递延收益明细</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4982"/>
        <w:gridCol w:w="2160"/>
        <w:gridCol w:w="1980"/>
      </w:tblGrid>
      <w:tr>
        <w:trPr>
          <w:trHeight w:val="380" w:hRule="exact"/>
        </w:trPr>
        <w:tc>
          <w:tcPr>
            <w:tcW w:w="498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银行自助终端设备及其重点部件生产技术改造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88,487.39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342,305.63</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SOA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架构体系的信用卡应用系统开发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33,263.38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102,289.44</w:t>
            </w:r>
          </w:p>
        </w:tc>
      </w:tr>
      <w:tr>
        <w:trPr>
          <w:trHeight w:val="381" w:hRule="exact"/>
        </w:trPr>
        <w:tc>
          <w:tcPr>
            <w:tcW w:w="49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轨道交通地铁闸机通行逻辑的研究及应用</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25,470.93</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72,129.52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560" w:right="960"/>
        </w:sectPr>
      </w:pPr>
    </w:p>
    <w:p>
      <w:pPr>
        <w:spacing w:line="240" w:lineRule="auto" w:before="6"/>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4982"/>
        <w:gridCol w:w="2160"/>
        <w:gridCol w:w="1980"/>
      </w:tblGrid>
      <w:tr>
        <w:trPr>
          <w:trHeight w:val="380" w:hRule="exact"/>
        </w:trPr>
        <w:tc>
          <w:tcPr>
            <w:tcW w:w="4982"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6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金融自助终端设备及关键部件生产技术改造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1,808,817.23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2,688,049.15</w:t>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pacing w:val="-3"/>
                <w:sz w:val="21"/>
                <w:szCs w:val="21"/>
              </w:rPr>
              <w:t>城市轨道交通售检票系统（</w:t>
            </w:r>
            <w:r>
              <w:rPr>
                <w:rFonts w:ascii="Times New Roman" w:hAnsi="Times New Roman" w:cs="Times New Roman" w:eastAsia="Times New Roman" w:hint="default"/>
                <w:spacing w:val="-3"/>
                <w:sz w:val="21"/>
                <w:szCs w:val="21"/>
              </w:rPr>
              <w:t>AFC</w:t>
            </w:r>
            <w:r>
              <w:rPr>
                <w:rFonts w:ascii="宋体" w:hAnsi="宋体" w:cs="宋体" w:eastAsia="宋体" w:hint="default"/>
                <w:spacing w:val="-3"/>
                <w:sz w:val="21"/>
                <w:szCs w:val="21"/>
              </w:rPr>
              <w:t>）及设备产业化技术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473,926.99</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667,627.63</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自动柜员机产业化改造和系统集成</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5,543.00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182,027.34</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基于电子指纹的钞票跟踪技术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46,084.25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88,540.01</w:t>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识别技术在金融机具上的产业化应用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190,793.61</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303,025.41</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智能发卡技术研究在轨道交通中的产业化应用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61,950.10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84,370.06</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终端的安全中间件应用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543,840.45</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102,022.29</w:t>
            </w:r>
            <w:r>
              <w:rPr>
                <w:rFonts w:ascii="Times New Roman"/>
                <w:sz w:val="21"/>
              </w:rPr>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自助服务设备平台生产技术改造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2,583,584.73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3,069,391.96</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高速铁路智能票务系统及设备产业化改造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452,209.40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538,586.48</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面向银行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终端的安全中间件应用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132,798.38</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214,257.09</w:t>
            </w:r>
            <w:r>
              <w:rPr>
                <w:rFonts w:ascii="Times New Roman"/>
                <w:sz w:val="21"/>
              </w:rPr>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钞票循环处理核心技术研发及产业化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74,868.79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嵌入式实时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Linux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钞票识别系统软件开发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1,412,577.22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钞票高速鉴伪设备及关键传感器研发与产业化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1,320,772.65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高速钞票识别与处理技术研发及产业化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128,057.54</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金融自助终端及关键部件产业化技术改造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1,875,979.65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广电运通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软件共性平台研发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2,000,000.00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市软件和动漫培训基地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钞票循环处理核心技术研发及产业化应用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100,416.53</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70"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钞票高速鉴伪设备及关键传感器研发与产业化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1,400,000.00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出钞器产业化技术开发及应用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720,000.00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380" w:hRule="exact"/>
        </w:trPr>
        <w:tc>
          <w:tcPr>
            <w:tcW w:w="4982"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16,579,442.22</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10,354,622.01</w:t>
            </w:r>
          </w:p>
        </w:tc>
      </w:tr>
    </w:tbl>
    <w:p>
      <w:pPr>
        <w:pStyle w:val="Heading4"/>
        <w:spacing w:line="240" w:lineRule="auto" w:before="93"/>
        <w:ind w:left="223" w:right="0"/>
        <w:jc w:val="left"/>
        <w:rPr>
          <w:b w:val="0"/>
          <w:bCs w:val="0"/>
        </w:rPr>
      </w:pPr>
      <w:r>
        <w:rPr/>
        <w:t>本期收取的政府补助金额为</w:t>
      </w:r>
      <w:r>
        <w:rPr>
          <w:spacing w:val="-57"/>
        </w:rPr>
        <w:t> </w:t>
      </w:r>
      <w:r>
        <w:rPr>
          <w:rFonts w:ascii="Times New Roman" w:hAnsi="Times New Roman" w:cs="Times New Roman" w:eastAsia="Times New Roman" w:hint="default"/>
        </w:rPr>
        <w:t>9,860,000.00</w:t>
      </w:r>
      <w:r>
        <w:rPr>
          <w:rFonts w:ascii="Times New Roman" w:hAnsi="Times New Roman" w:cs="Times New Roman" w:eastAsia="Times New Roman" w:hint="default"/>
          <w:spacing w:val="-4"/>
        </w:rPr>
        <w:t> </w:t>
      </w:r>
      <w:r>
        <w:rPr/>
        <w:t>元，本期核销计入营业外收入</w:t>
      </w:r>
      <w:r>
        <w:rPr>
          <w:spacing w:val="-57"/>
        </w:rPr>
        <w:t> </w:t>
      </w:r>
      <w:r>
        <w:rPr>
          <w:rFonts w:ascii="Times New Roman" w:hAnsi="Times New Roman" w:cs="Times New Roman" w:eastAsia="Times New Roman" w:hint="default"/>
        </w:rPr>
        <w:t>3,635,179.79</w:t>
      </w:r>
      <w:r>
        <w:rPr>
          <w:rFonts w:ascii="Times New Roman" w:hAnsi="Times New Roman" w:cs="Times New Roman" w:eastAsia="Times New Roman" w:hint="default"/>
          <w:spacing w:val="-5"/>
        </w:rPr>
        <w:t> </w:t>
      </w:r>
      <w:r>
        <w:rPr/>
        <w:t>元。</w:t>
      </w:r>
      <w:r>
        <w:rPr>
          <w:b w:val="0"/>
          <w:bCs w:val="0"/>
        </w:rPr>
      </w:r>
    </w:p>
    <w:p>
      <w:pPr>
        <w:spacing w:after="0" w:line="240" w:lineRule="auto"/>
        <w:jc w:val="left"/>
        <w:sectPr>
          <w:footerReference w:type="default" r:id="rId32"/>
          <w:pgSz w:w="11910" w:h="16840"/>
          <w:pgMar w:footer="982" w:header="0" w:top="1100" w:bottom="1180" w:left="1560" w:right="960"/>
        </w:sectPr>
      </w:pPr>
    </w:p>
    <w:p>
      <w:pPr>
        <w:spacing w:line="240" w:lineRule="auto" w:before="10"/>
        <w:rPr>
          <w:rFonts w:ascii="宋体" w:hAnsi="宋体" w:cs="宋体" w:eastAsia="宋体" w:hint="default"/>
          <w:b/>
          <w:bCs/>
          <w:sz w:val="5"/>
          <w:szCs w:val="5"/>
        </w:rPr>
      </w:pPr>
    </w:p>
    <w:p>
      <w:pPr>
        <w:spacing w:line="720" w:lineRule="exact"/>
        <w:ind w:left="202"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701.65pt;height:36pt;mso-position-horizontal-relative:char;mso-position-vertical-relative:line" coordorigin="0,0" coordsize="14033,720">
            <v:group style="position:absolute;left:7;top:713;width:14019;height:2" coordorigin="7,713" coordsize="14019,2">
              <v:shape style="position:absolute;left:7;top:713;width:14019;height:2" coordorigin="7,713" coordsize="14019,0" path="m7,713l14026,713e" filled="false" stroked="true" strokeweight=".72pt" strokecolor="#000000">
                <v:path arrowok="t"/>
              </v:shape>
              <v:shape style="position:absolute;left:26;top:0;width:1608;height:640" type="#_x0000_t75" stroked="false">
                <v:imagedata r:id="rId16" o:title=""/>
              </v:shape>
              <v:shape style="position:absolute;left:0;top:0;width:14033;height:7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4"/>
                          <w:szCs w:val="14"/>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tabs>
          <w:tab w:pos="1919" w:val="left" w:leader="none"/>
        </w:tabs>
        <w:spacing w:before="35"/>
        <w:ind w:left="778" w:right="0" w:firstLine="0"/>
        <w:jc w:val="left"/>
        <w:rPr>
          <w:rFonts w:ascii="宋体" w:hAnsi="宋体" w:cs="宋体" w:eastAsia="宋体" w:hint="default"/>
          <w:sz w:val="21"/>
          <w:szCs w:val="21"/>
        </w:rPr>
      </w:pPr>
      <w:r>
        <w:rPr>
          <w:rFonts w:ascii="宋体" w:hAnsi="宋体" w:cs="宋体" w:eastAsia="宋体" w:hint="default"/>
          <w:b/>
          <w:bCs/>
          <w:w w:val="95"/>
          <w:sz w:val="21"/>
          <w:szCs w:val="21"/>
        </w:rPr>
        <w:t>(二十三)</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2816"/>
        <w:gridCol w:w="1624"/>
        <w:gridCol w:w="1620"/>
        <w:gridCol w:w="1620"/>
        <w:gridCol w:w="1621"/>
        <w:gridCol w:w="1620"/>
        <w:gridCol w:w="1621"/>
        <w:gridCol w:w="1622"/>
      </w:tblGrid>
      <w:tr>
        <w:trPr>
          <w:trHeight w:val="380" w:hRule="exact"/>
        </w:trPr>
        <w:tc>
          <w:tcPr>
            <w:tcW w:w="2816"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tabs>
                <w:tab w:pos="439" w:val="left" w:leader="none"/>
              </w:tabs>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4"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810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本期变动增（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p>
        </w:tc>
        <w:tc>
          <w:tcPr>
            <w:tcW w:w="1622" w:type="dxa"/>
            <w:vMerge w:val="restart"/>
            <w:tcBorders>
              <w:top w:val="single" w:sz="12"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2816" w:type="dxa"/>
            <w:vMerge/>
            <w:tcBorders>
              <w:left w:val="nil" w:sz="6" w:space="0" w:color="auto"/>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送股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0"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622" w:type="dxa"/>
            <w:vMerge/>
            <w:tcBorders>
              <w:left w:val="single" w:sz="4" w:space="0" w:color="000000"/>
              <w:bottom w:val="single" w:sz="4" w:space="0" w:color="000000"/>
              <w:right w:val="nil" w:sz="6" w:space="0" w:color="auto"/>
            </w:tcBorders>
          </w:tcPr>
          <w:p>
            <w:pP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．有限售条件股份</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171,841,680.00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-171,841,680.00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-171,841,680.00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19,688,099.00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-4,557,788.00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-4,557,788.00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15,130,311.00</w:t>
            </w: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境内法人持股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境外法人持股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高管持股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19,688,099.00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-4,557,788.00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-4,557,788.00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15,130,311.00</w:t>
            </w: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191,529,779.00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-176,399,468.00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-176,399,468.00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15,130,311.00</w:t>
            </w: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．无限售条件流通股份</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150,611,845.00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176,399,468.00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176,399,468.00</w:t>
            </w:r>
            <w:r>
              <w:rPr>
                <w:rFonts w:ascii="Times New Roman"/>
                <w:sz w:val="21"/>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327,011,313.00</w:t>
            </w: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无限售条件流通股份合计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150,611,845.00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176,399,468.00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176,399,468.00</w:t>
            </w:r>
            <w:r>
              <w:rPr>
                <w:rFonts w:ascii="Times New Roman"/>
                <w:sz w:val="21"/>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327,011,313.00</w:t>
            </w:r>
          </w:p>
        </w:tc>
      </w:tr>
      <w:tr>
        <w:trPr>
          <w:trHeight w:val="380" w:hRule="exact"/>
        </w:trPr>
        <w:tc>
          <w:tcPr>
            <w:tcW w:w="2816"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342,141,624.00</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342,141,624.00</w:t>
            </w:r>
          </w:p>
        </w:tc>
      </w:tr>
    </w:tbl>
    <w:p>
      <w:pPr>
        <w:spacing w:line="240" w:lineRule="auto" w:before="8"/>
        <w:rPr>
          <w:rFonts w:ascii="宋体" w:hAnsi="宋体" w:cs="宋体" w:eastAsia="宋体" w:hint="default"/>
          <w:b/>
          <w:bCs/>
          <w:sz w:val="17"/>
          <w:szCs w:val="17"/>
        </w:rPr>
      </w:pPr>
    </w:p>
    <w:p>
      <w:pPr>
        <w:spacing w:before="76"/>
        <w:ind w:left="7063" w:right="7047" w:firstLine="0"/>
        <w:jc w:val="center"/>
        <w:rPr>
          <w:rFonts w:ascii="Times New Roman" w:hAnsi="Times New Roman" w:cs="Times New Roman" w:eastAsia="Times New Roman" w:hint="default"/>
          <w:sz w:val="18"/>
          <w:szCs w:val="18"/>
        </w:rPr>
      </w:pPr>
      <w:r>
        <w:rPr>
          <w:rFonts w:ascii="Times New Roman"/>
          <w:sz w:val="18"/>
        </w:rPr>
        <w:t>101</w:t>
      </w:r>
    </w:p>
    <w:p>
      <w:pPr>
        <w:spacing w:after="0"/>
        <w:jc w:val="center"/>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0" w:footer="0" w:top="320" w:bottom="280" w:left="1200" w:right="1220"/>
        </w:sectPr>
      </w:pPr>
    </w:p>
    <w:p>
      <w:pPr>
        <w:spacing w:line="240" w:lineRule="auto" w:before="10"/>
        <w:rPr>
          <w:rFonts w:ascii="Times New Roman" w:hAnsi="Times New Roman" w:cs="Times New Roman" w:eastAsia="Times New Roman" w:hint="default"/>
          <w:sz w:val="21"/>
          <w:szCs w:val="21"/>
        </w:rPr>
      </w:pPr>
    </w:p>
    <w:p>
      <w:pPr>
        <w:pStyle w:val="BodyText"/>
        <w:spacing w:line="336" w:lineRule="auto" w:before="35"/>
        <w:ind w:left="137" w:right="198" w:firstLine="419"/>
        <w:jc w:val="left"/>
      </w:pPr>
      <w:r>
        <w:rPr>
          <w:rFonts w:ascii="Times New Roman" w:hAnsi="Times New Roman" w:cs="Times New Roman" w:eastAsia="Times New Roman" w:hint="default"/>
        </w:rPr>
        <w:t>1</w:t>
      </w:r>
      <w:r>
        <w:rPr/>
        <w:t>、经广州市经济贸易委员会穗经贸函</w:t>
      </w:r>
      <w:r>
        <w:rPr>
          <w:rFonts w:ascii="Times New Roman" w:hAnsi="Times New Roman" w:cs="Times New Roman" w:eastAsia="Times New Roman" w:hint="default"/>
        </w:rPr>
        <w:t>[2005]492</w:t>
      </w:r>
      <w:r>
        <w:rPr>
          <w:rFonts w:ascii="Times New Roman" w:hAnsi="Times New Roman" w:cs="Times New Roman" w:eastAsia="Times New Roman" w:hint="default"/>
          <w:spacing w:val="8"/>
        </w:rPr>
        <w:t> </w:t>
      </w:r>
      <w:r>
        <w:rPr/>
        <w:t>号文批复，本公司以整体变更方式发起设立 为广州广电运通金融电子股份有限公司，以截至</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日的经广东羊城会计师事务所有</w:t>
      </w:r>
    </w:p>
    <w:p>
      <w:pPr>
        <w:pStyle w:val="BodyText"/>
        <w:spacing w:line="240" w:lineRule="auto" w:before="25"/>
        <w:ind w:left="137" w:right="103"/>
        <w:jc w:val="left"/>
      </w:pPr>
      <w:r>
        <w:rPr/>
        <w:t>限公司审计的广州广电运通金融电子有限公司净资产按一元一股计算股份总数 </w:t>
      </w:r>
      <w:r>
        <w:rPr>
          <w:rFonts w:ascii="Times New Roman" w:hAnsi="Times New Roman" w:cs="Times New Roman" w:eastAsia="Times New Roman" w:hint="default"/>
        </w:rPr>
        <w:t>106,559,010</w:t>
      </w:r>
      <w:r>
        <w:rPr>
          <w:rFonts w:ascii="Times New Roman" w:hAnsi="Times New Roman" w:cs="Times New Roman" w:eastAsia="Times New Roman" w:hint="default"/>
          <w:spacing w:val="40"/>
        </w:rPr>
        <w:t> </w:t>
      </w:r>
      <w:r>
        <w:rPr/>
        <w:t>股，</w:t>
      </w:r>
    </w:p>
    <w:p>
      <w:pPr>
        <w:pStyle w:val="BodyText"/>
        <w:spacing w:line="240" w:lineRule="auto" w:before="117"/>
        <w:ind w:left="137" w:right="103"/>
        <w:jc w:val="left"/>
      </w:pPr>
      <w:r>
        <w:rPr/>
        <w:t>本公司股份构成为：广州无线电集团有限公司 </w:t>
      </w:r>
      <w:r>
        <w:rPr>
          <w:rFonts w:ascii="Times New Roman" w:hAnsi="Times New Roman" w:cs="Times New Roman" w:eastAsia="Times New Roman" w:hint="default"/>
        </w:rPr>
        <w:t>66,244,500  </w:t>
      </w:r>
      <w:r>
        <w:rPr/>
        <w:t>股，计 </w:t>
      </w:r>
      <w:r>
        <w:rPr>
          <w:rFonts w:ascii="Times New Roman" w:hAnsi="Times New Roman" w:cs="Times New Roman" w:eastAsia="Times New Roman" w:hint="default"/>
        </w:rPr>
        <w:t>66,244,500.00</w:t>
      </w:r>
      <w:r>
        <w:rPr>
          <w:rFonts w:ascii="Times New Roman" w:hAnsi="Times New Roman" w:cs="Times New Roman" w:eastAsia="Times New Roman" w:hint="default"/>
          <w:spacing w:val="-23"/>
        </w:rPr>
        <w:t> </w:t>
      </w:r>
      <w:r>
        <w:rPr/>
        <w:t>元，占股份总额</w:t>
      </w:r>
    </w:p>
    <w:p>
      <w:pPr>
        <w:pStyle w:val="BodyText"/>
        <w:spacing w:line="240" w:lineRule="auto" w:before="118"/>
        <w:ind w:left="137" w:right="103"/>
        <w:jc w:val="left"/>
      </w:pPr>
      <w:r>
        <w:rPr>
          <w:rFonts w:ascii="Times New Roman" w:hAnsi="Times New Roman" w:cs="Times New Roman" w:eastAsia="Times New Roman" w:hint="default"/>
        </w:rPr>
        <w:t>62.167%</w:t>
      </w:r>
      <w:r>
        <w:rPr/>
        <w:t>；深圳市德通投资有限公司</w:t>
      </w:r>
      <w:r>
        <w:rPr>
          <w:spacing w:val="-42"/>
        </w:rPr>
        <w:t> </w:t>
      </w:r>
      <w:r>
        <w:rPr>
          <w:rFonts w:ascii="Times New Roman" w:hAnsi="Times New Roman" w:cs="Times New Roman" w:eastAsia="Times New Roman" w:hint="default"/>
        </w:rPr>
        <w:t>18,927,000</w:t>
      </w:r>
      <w:r>
        <w:rPr>
          <w:rFonts w:ascii="Times New Roman" w:hAnsi="Times New Roman" w:cs="Times New Roman" w:eastAsia="Times New Roman" w:hint="default"/>
          <w:spacing w:val="10"/>
        </w:rPr>
        <w:t> </w:t>
      </w:r>
      <w:r>
        <w:rPr/>
        <w:t>股，计</w:t>
      </w:r>
      <w:r>
        <w:rPr>
          <w:spacing w:val="-42"/>
        </w:rPr>
        <w:t> </w:t>
      </w:r>
      <w:r>
        <w:rPr>
          <w:rFonts w:ascii="Times New Roman" w:hAnsi="Times New Roman" w:cs="Times New Roman" w:eastAsia="Times New Roman" w:hint="default"/>
        </w:rPr>
        <w:t>18,927,000.00</w:t>
      </w:r>
      <w:r>
        <w:rPr>
          <w:rFonts w:ascii="Times New Roman" w:hAnsi="Times New Roman" w:cs="Times New Roman" w:eastAsia="Times New Roman" w:hint="default"/>
          <w:spacing w:val="9"/>
        </w:rPr>
        <w:t> </w:t>
      </w:r>
      <w:r>
        <w:rPr/>
        <w:t>元，占股份总额</w:t>
      </w:r>
      <w:r>
        <w:rPr>
          <w:spacing w:val="-42"/>
        </w:rPr>
        <w:t> </w:t>
      </w:r>
      <w:r>
        <w:rPr>
          <w:rFonts w:ascii="Times New Roman" w:hAnsi="Times New Roman" w:cs="Times New Roman" w:eastAsia="Times New Roman" w:hint="default"/>
        </w:rPr>
        <w:t>17.762%</w:t>
      </w:r>
      <w:r>
        <w:rPr/>
        <w:t>；</w:t>
      </w:r>
    </w:p>
    <w:p>
      <w:pPr>
        <w:pStyle w:val="BodyText"/>
        <w:spacing w:line="240" w:lineRule="auto" w:before="117"/>
        <w:ind w:left="137" w:right="103"/>
        <w:jc w:val="left"/>
      </w:pPr>
      <w:r>
        <w:rPr/>
        <w:t>盈富泰克创业投资有限公司</w:t>
      </w:r>
      <w:r>
        <w:rPr>
          <w:spacing w:val="-62"/>
        </w:rPr>
        <w:t> </w:t>
      </w:r>
      <w:r>
        <w:rPr>
          <w:rFonts w:ascii="Times New Roman" w:hAnsi="Times New Roman" w:cs="Times New Roman" w:eastAsia="Times New Roman" w:hint="default"/>
        </w:rPr>
        <w:t>11,356,200</w:t>
      </w:r>
      <w:r>
        <w:rPr>
          <w:rFonts w:ascii="Times New Roman" w:hAnsi="Times New Roman" w:cs="Times New Roman" w:eastAsia="Times New Roman" w:hint="default"/>
          <w:spacing w:val="-9"/>
        </w:rPr>
        <w:t> </w:t>
      </w:r>
      <w:r>
        <w:rPr/>
        <w:t>股，计</w:t>
      </w:r>
      <w:r>
        <w:rPr>
          <w:spacing w:val="-63"/>
        </w:rPr>
        <w:t> </w:t>
      </w:r>
      <w:r>
        <w:rPr>
          <w:rFonts w:ascii="Times New Roman" w:hAnsi="Times New Roman" w:cs="Times New Roman" w:eastAsia="Times New Roman" w:hint="default"/>
        </w:rPr>
        <w:t>11,356,200.00</w:t>
      </w:r>
      <w:r>
        <w:rPr>
          <w:rFonts w:ascii="Times New Roman" w:hAnsi="Times New Roman" w:cs="Times New Roman" w:eastAsia="Times New Roman" w:hint="default"/>
          <w:spacing w:val="-9"/>
        </w:rPr>
        <w:t> </w:t>
      </w:r>
      <w:r>
        <w:rPr/>
        <w:t>元，占股份总额</w:t>
      </w:r>
      <w:r>
        <w:rPr>
          <w:spacing w:val="-62"/>
        </w:rPr>
        <w:t> </w:t>
      </w:r>
      <w:r>
        <w:rPr>
          <w:rFonts w:ascii="Times New Roman" w:hAnsi="Times New Roman" w:cs="Times New Roman" w:eastAsia="Times New Roman" w:hint="default"/>
        </w:rPr>
        <w:t>10.657%</w:t>
      </w:r>
      <w:r>
        <w:rPr/>
        <w:t>；梅州敬基</w:t>
      </w:r>
    </w:p>
    <w:p>
      <w:pPr>
        <w:pStyle w:val="BodyText"/>
        <w:spacing w:line="240" w:lineRule="auto" w:before="118"/>
        <w:ind w:left="137" w:right="103"/>
        <w:jc w:val="left"/>
      </w:pPr>
      <w:r>
        <w:rPr/>
        <w:t>金属制品有限公司</w:t>
      </w:r>
      <w:r>
        <w:rPr>
          <w:spacing w:val="-39"/>
        </w:rPr>
        <w:t> </w:t>
      </w:r>
      <w:r>
        <w:rPr>
          <w:rFonts w:ascii="Times New Roman" w:hAnsi="Times New Roman" w:cs="Times New Roman" w:eastAsia="Times New Roman" w:hint="default"/>
        </w:rPr>
        <w:t>9,463,500</w:t>
      </w:r>
      <w:r>
        <w:rPr>
          <w:rFonts w:ascii="Times New Roman" w:hAnsi="Times New Roman" w:cs="Times New Roman" w:eastAsia="Times New Roman" w:hint="default"/>
          <w:spacing w:val="14"/>
        </w:rPr>
        <w:t> </w:t>
      </w:r>
      <w:r>
        <w:rPr/>
        <w:t>股，计</w:t>
      </w:r>
      <w:r>
        <w:rPr>
          <w:spacing w:val="-40"/>
        </w:rPr>
        <w:t> </w:t>
      </w:r>
      <w:r>
        <w:rPr>
          <w:rFonts w:ascii="Times New Roman" w:hAnsi="Times New Roman" w:cs="Times New Roman" w:eastAsia="Times New Roman" w:hint="default"/>
        </w:rPr>
        <w:t>9,463,500.00</w:t>
      </w:r>
      <w:r>
        <w:rPr>
          <w:rFonts w:ascii="Times New Roman" w:hAnsi="Times New Roman" w:cs="Times New Roman" w:eastAsia="Times New Roman" w:hint="default"/>
          <w:spacing w:val="13"/>
        </w:rPr>
        <w:t> </w:t>
      </w:r>
      <w:r>
        <w:rPr/>
        <w:t>元，占股份总额</w:t>
      </w:r>
      <w:r>
        <w:rPr>
          <w:spacing w:val="-39"/>
        </w:rPr>
        <w:t> </w:t>
      </w:r>
      <w:r>
        <w:rPr>
          <w:rFonts w:ascii="Times New Roman" w:hAnsi="Times New Roman" w:cs="Times New Roman" w:eastAsia="Times New Roman" w:hint="default"/>
        </w:rPr>
        <w:t>8.881%</w:t>
      </w:r>
      <w:r>
        <w:rPr/>
        <w:t>；广州藤川科技有限公</w:t>
      </w:r>
    </w:p>
    <w:p>
      <w:pPr>
        <w:pStyle w:val="BodyText"/>
        <w:spacing w:line="240" w:lineRule="auto" w:before="117"/>
        <w:ind w:left="137" w:right="103"/>
        <w:jc w:val="left"/>
      </w:pPr>
      <w:r>
        <w:rPr/>
        <w:t>司</w:t>
      </w:r>
      <w:r>
        <w:rPr>
          <w:spacing w:val="-59"/>
        </w:rPr>
        <w:t> </w:t>
      </w:r>
      <w:r>
        <w:rPr>
          <w:rFonts w:ascii="Times New Roman" w:hAnsi="Times New Roman" w:cs="Times New Roman" w:eastAsia="Times New Roman" w:hint="default"/>
        </w:rPr>
        <w:t>567,810</w:t>
      </w:r>
      <w:r>
        <w:rPr>
          <w:rFonts w:ascii="Times New Roman" w:hAnsi="Times New Roman" w:cs="Times New Roman" w:eastAsia="Times New Roman" w:hint="default"/>
          <w:spacing w:val="-6"/>
        </w:rPr>
        <w:t> </w:t>
      </w:r>
      <w:r>
        <w:rPr>
          <w:spacing w:val="-4"/>
        </w:rPr>
        <w:t>股，计</w:t>
      </w:r>
      <w:r>
        <w:rPr>
          <w:spacing w:val="-59"/>
        </w:rPr>
        <w:t> </w:t>
      </w:r>
      <w:r>
        <w:rPr>
          <w:rFonts w:ascii="Times New Roman" w:hAnsi="Times New Roman" w:cs="Times New Roman" w:eastAsia="Times New Roman" w:hint="default"/>
        </w:rPr>
        <w:t>567,810.00</w:t>
      </w:r>
      <w:r>
        <w:rPr>
          <w:rFonts w:ascii="Times New Roman" w:hAnsi="Times New Roman" w:cs="Times New Roman" w:eastAsia="Times New Roman" w:hint="default"/>
          <w:spacing w:val="-6"/>
        </w:rPr>
        <w:t> </w:t>
      </w:r>
      <w:r>
        <w:rPr/>
        <w:t>元，占股份总额</w:t>
      </w:r>
      <w:r>
        <w:rPr>
          <w:spacing w:val="-59"/>
        </w:rPr>
        <w:t> </w:t>
      </w:r>
      <w:r>
        <w:rPr>
          <w:rFonts w:ascii="Times New Roman" w:hAnsi="Times New Roman" w:cs="Times New Roman" w:eastAsia="Times New Roman" w:hint="default"/>
        </w:rPr>
        <w:t>0.533%</w:t>
      </w:r>
      <w:r>
        <w:rPr/>
        <w:t>。以上实收资本已经广东羊城会计师事务所</w:t>
      </w:r>
    </w:p>
    <w:p>
      <w:pPr>
        <w:pStyle w:val="BodyText"/>
        <w:spacing w:line="338" w:lineRule="auto" w:before="117"/>
        <w:ind w:left="137" w:right="206"/>
        <w:jc w:val="left"/>
      </w:pPr>
      <w:r>
        <w:rPr/>
        <w:t>有限公司</w:t>
      </w:r>
      <w:r>
        <w:rPr>
          <w:rFonts w:ascii="Times New Roman" w:hAnsi="Times New Roman" w:cs="Times New Roman" w:eastAsia="Times New Roman" w:hint="default"/>
        </w:rPr>
        <w:t>(2005)</w:t>
      </w:r>
      <w:r>
        <w:rPr/>
        <w:t>羊验字第</w:t>
      </w:r>
      <w:r>
        <w:rPr>
          <w:spacing w:val="-46"/>
        </w:rPr>
        <w:t> </w:t>
      </w:r>
      <w:r>
        <w:rPr>
          <w:rFonts w:ascii="Times New Roman" w:hAnsi="Times New Roman" w:cs="Times New Roman" w:eastAsia="Times New Roman" w:hint="default"/>
        </w:rPr>
        <w:t>5839</w:t>
      </w:r>
      <w:r>
        <w:rPr>
          <w:rFonts w:ascii="Times New Roman" w:hAnsi="Times New Roman" w:cs="Times New Roman" w:eastAsia="Times New Roman" w:hint="default"/>
          <w:spacing w:val="7"/>
        </w:rPr>
        <w:t> </w:t>
      </w:r>
      <w:r>
        <w:rPr/>
        <w:t>号验资报告验证。本公司</w:t>
      </w:r>
      <w:r>
        <w:rPr>
          <w:spacing w:val="-46"/>
        </w:rPr>
        <w:t> </w:t>
      </w:r>
      <w:r>
        <w:rPr>
          <w:rFonts w:ascii="Times New Roman" w:hAnsi="Times New Roman" w:cs="Times New Roman" w:eastAsia="Times New Roman" w:hint="default"/>
        </w:rPr>
        <w:t>2005</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日变更了企业法人营业 执照。</w:t>
      </w:r>
    </w:p>
    <w:p>
      <w:pPr>
        <w:pStyle w:val="BodyText"/>
        <w:spacing w:line="240" w:lineRule="auto" w:before="47"/>
        <w:ind w:left="557" w:right="103"/>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2006</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月，经公司股东大会审议通过，股东盈富泰克创业投资有限公司将持有本公司</w:t>
      </w:r>
    </w:p>
    <w:p>
      <w:pPr>
        <w:pStyle w:val="BodyText"/>
        <w:spacing w:line="338" w:lineRule="auto" w:before="118"/>
        <w:ind w:left="137" w:right="104"/>
        <w:jc w:val="both"/>
      </w:pPr>
      <w:r>
        <w:rPr>
          <w:rFonts w:ascii="Times New Roman" w:hAnsi="Times New Roman" w:cs="Times New Roman" w:eastAsia="Times New Roman" w:hint="default"/>
        </w:rPr>
        <w:t>10.657%</w:t>
      </w:r>
      <w:r>
        <w:rPr/>
        <w:t>股权中的</w:t>
      </w:r>
      <w:r>
        <w:rPr>
          <w:spacing w:val="-42"/>
        </w:rPr>
        <w:t> </w:t>
      </w:r>
      <w:r>
        <w:rPr>
          <w:rFonts w:ascii="Times New Roman" w:hAnsi="Times New Roman" w:cs="Times New Roman" w:eastAsia="Times New Roman" w:hint="default"/>
        </w:rPr>
        <w:t>5.026%</w:t>
      </w:r>
      <w:r>
        <w:rPr/>
        <w:t>转让给股东广州无线电集团有限公司，股东深圳市德通投资有限公司将 持有本公司</w:t>
      </w:r>
      <w:r>
        <w:rPr>
          <w:spacing w:val="-52"/>
        </w:rPr>
        <w:t> </w:t>
      </w:r>
      <w:r>
        <w:rPr>
          <w:rFonts w:ascii="Times New Roman" w:hAnsi="Times New Roman" w:cs="Times New Roman" w:eastAsia="Times New Roman" w:hint="default"/>
        </w:rPr>
        <w:t>17.762%</w:t>
      </w:r>
      <w:r>
        <w:rPr/>
        <w:t>的股权全部转让给自然人股东叶子瑜等</w:t>
      </w:r>
      <w:r>
        <w:rPr>
          <w:spacing w:val="-52"/>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spacing w:val="-6"/>
        </w:rPr>
        <w:t>人；本次股权转让完成后，各股东</w:t>
      </w:r>
      <w:r>
        <w:rPr>
          <w:spacing w:val="-102"/>
        </w:rPr>
        <w:t> </w:t>
      </w:r>
      <w:r>
        <w:rPr>
          <w:spacing w:val="-102"/>
        </w:rPr>
      </w:r>
      <w:r>
        <w:rPr>
          <w:spacing w:val="13"/>
        </w:rPr>
        <w:t>出资金额及股权比例分别为：广州无线电集团有限公司出资</w:t>
      </w:r>
      <w:r>
        <w:rPr>
          <w:spacing w:val="20"/>
        </w:rPr>
        <w:t> </w:t>
      </w:r>
      <w:r>
        <w:rPr>
          <w:rFonts w:ascii="Times New Roman" w:hAnsi="Times New Roman" w:cs="Times New Roman" w:eastAsia="Times New Roman" w:hint="default"/>
        </w:rPr>
        <w:t>7,160.07</w:t>
      </w:r>
      <w:r>
        <w:rPr>
          <w:rFonts w:ascii="Times New Roman" w:hAnsi="Times New Roman" w:cs="Times New Roman" w:eastAsia="Times New Roman" w:hint="default"/>
          <w:spacing w:val="20"/>
        </w:rPr>
        <w:t> </w:t>
      </w:r>
      <w:r>
        <w:rPr>
          <w:spacing w:val="14"/>
        </w:rPr>
        <w:t>万元，占注册资本的</w:t>
      </w:r>
      <w:r>
        <w:rPr>
          <w:spacing w:val="-99"/>
        </w:rPr>
        <w:t> </w:t>
      </w:r>
      <w:r>
        <w:rPr>
          <w:spacing w:val="-99"/>
        </w:rPr>
      </w:r>
      <w:r>
        <w:rPr>
          <w:rFonts w:ascii="Times New Roman" w:hAnsi="Times New Roman" w:cs="Times New Roman" w:eastAsia="Times New Roman" w:hint="default"/>
        </w:rPr>
        <w:t>67.1934%</w:t>
      </w:r>
      <w:r>
        <w:rPr/>
        <w:t>；盈富泰克创业投资有限公司出资</w:t>
      </w:r>
      <w:r>
        <w:rPr>
          <w:spacing w:val="-51"/>
        </w:rPr>
        <w:t> </w:t>
      </w:r>
      <w:r>
        <w:rPr>
          <w:rFonts w:ascii="Times New Roman" w:hAnsi="Times New Roman" w:cs="Times New Roman" w:eastAsia="Times New Roman" w:hint="default"/>
        </w:rPr>
        <w:t>600</w:t>
      </w:r>
      <w:r>
        <w:rPr>
          <w:rFonts w:ascii="Times New Roman" w:hAnsi="Times New Roman" w:cs="Times New Roman" w:eastAsia="Times New Roman" w:hint="default"/>
          <w:spacing w:val="2"/>
        </w:rPr>
        <w:t> </w:t>
      </w:r>
      <w:r>
        <w:rPr/>
        <w:t>万元，占注册资本的</w:t>
      </w:r>
      <w:r>
        <w:rPr>
          <w:spacing w:val="-51"/>
        </w:rPr>
        <w:t> </w:t>
      </w:r>
      <w:r>
        <w:rPr>
          <w:rFonts w:ascii="Times New Roman" w:hAnsi="Times New Roman" w:cs="Times New Roman" w:eastAsia="Times New Roman" w:hint="default"/>
        </w:rPr>
        <w:t>5.6306%</w:t>
      </w:r>
      <w:r>
        <w:rPr/>
        <w:t>；梅州敬基金属制 品有限公司出资</w:t>
      </w:r>
      <w:r>
        <w:rPr>
          <w:spacing w:val="-55"/>
        </w:rPr>
        <w:t> </w:t>
      </w:r>
      <w:r>
        <w:rPr>
          <w:rFonts w:ascii="Times New Roman" w:hAnsi="Times New Roman" w:cs="Times New Roman" w:eastAsia="Times New Roman" w:hint="default"/>
        </w:rPr>
        <w:t>946.35</w:t>
      </w:r>
      <w:r>
        <w:rPr>
          <w:rFonts w:ascii="Times New Roman" w:hAnsi="Times New Roman" w:cs="Times New Roman" w:eastAsia="Times New Roman" w:hint="default"/>
          <w:spacing w:val="-3"/>
        </w:rPr>
        <w:t> </w:t>
      </w:r>
      <w:r>
        <w:rPr/>
        <w:t>万元，占注册资本的</w:t>
      </w:r>
      <w:r>
        <w:rPr>
          <w:spacing w:val="-55"/>
        </w:rPr>
        <w:t> </w:t>
      </w:r>
      <w:r>
        <w:rPr>
          <w:rFonts w:ascii="Times New Roman" w:hAnsi="Times New Roman" w:cs="Times New Roman" w:eastAsia="Times New Roman" w:hint="default"/>
        </w:rPr>
        <w:t>8.8809%</w:t>
      </w:r>
      <w:r>
        <w:rPr/>
        <w:t>；广州藤川科技有限公司出资</w:t>
      </w:r>
      <w:r>
        <w:rPr>
          <w:spacing w:val="-55"/>
        </w:rPr>
        <w:t> </w:t>
      </w:r>
      <w:r>
        <w:rPr>
          <w:rFonts w:ascii="Times New Roman" w:hAnsi="Times New Roman" w:cs="Times New Roman" w:eastAsia="Times New Roman" w:hint="default"/>
        </w:rPr>
        <w:t>56.781</w:t>
      </w:r>
      <w:r>
        <w:rPr>
          <w:rFonts w:ascii="Times New Roman" w:hAnsi="Times New Roman" w:cs="Times New Roman" w:eastAsia="Times New Roman" w:hint="default"/>
          <w:spacing w:val="-1"/>
        </w:rPr>
        <w:t> </w:t>
      </w:r>
      <w:r>
        <w:rPr/>
        <w:t>万元， 占注册资本的</w:t>
      </w:r>
      <w:r>
        <w:rPr>
          <w:spacing w:val="-58"/>
        </w:rPr>
        <w:t> </w:t>
      </w:r>
      <w:r>
        <w:rPr>
          <w:rFonts w:ascii="Times New Roman" w:hAnsi="Times New Roman" w:cs="Times New Roman" w:eastAsia="Times New Roman" w:hint="default"/>
        </w:rPr>
        <w:t>0.5328%</w:t>
      </w:r>
      <w:r>
        <w:rPr/>
        <w:t>；自然人股东叶子瑜等</w:t>
      </w:r>
      <w:r>
        <w:rPr>
          <w:spacing w:val="-58"/>
        </w:rPr>
        <w:t> </w:t>
      </w:r>
      <w:r>
        <w:rPr>
          <w:rFonts w:ascii="Times New Roman" w:hAnsi="Times New Roman" w:cs="Times New Roman" w:eastAsia="Times New Roman" w:hint="default"/>
        </w:rPr>
        <w:t>48</w:t>
      </w:r>
      <w:r>
        <w:rPr>
          <w:rFonts w:ascii="Times New Roman" w:hAnsi="Times New Roman" w:cs="Times New Roman" w:eastAsia="Times New Roman" w:hint="default"/>
          <w:spacing w:val="-6"/>
        </w:rPr>
        <w:t> </w:t>
      </w:r>
      <w:r>
        <w:rPr/>
        <w:t>人出资</w:t>
      </w:r>
      <w:r>
        <w:rPr>
          <w:spacing w:val="-58"/>
        </w:rPr>
        <w:t> </w:t>
      </w:r>
      <w:r>
        <w:rPr>
          <w:rFonts w:ascii="Times New Roman" w:hAnsi="Times New Roman" w:cs="Times New Roman" w:eastAsia="Times New Roman" w:hint="default"/>
        </w:rPr>
        <w:t>1,892.70</w:t>
      </w:r>
      <w:r>
        <w:rPr>
          <w:rFonts w:ascii="Times New Roman" w:hAnsi="Times New Roman" w:cs="Times New Roman" w:eastAsia="Times New Roman" w:hint="default"/>
          <w:spacing w:val="-5"/>
        </w:rPr>
        <w:t> </w:t>
      </w:r>
      <w:r>
        <w:rPr>
          <w:spacing w:val="-3"/>
        </w:rPr>
        <w:t>万元，占注册资本的</w:t>
      </w:r>
      <w:r>
        <w:rPr>
          <w:spacing w:val="-58"/>
        </w:rPr>
        <w:t> </w:t>
      </w:r>
      <w:r>
        <w:rPr>
          <w:rFonts w:ascii="Times New Roman" w:hAnsi="Times New Roman" w:cs="Times New Roman" w:eastAsia="Times New Roman" w:hint="default"/>
        </w:rPr>
        <w:t>17.7623%</w:t>
      </w:r>
      <w:r>
        <w:rPr/>
        <w:t>。</w:t>
      </w:r>
    </w:p>
    <w:p>
      <w:pPr>
        <w:pStyle w:val="BodyText"/>
        <w:spacing w:line="240" w:lineRule="auto" w:before="22"/>
        <w:ind w:left="557" w:right="103"/>
        <w:jc w:val="left"/>
      </w:pPr>
      <w:r>
        <w:rPr>
          <w:rFonts w:ascii="Times New Roman" w:hAnsi="Times New Roman" w:cs="Times New Roman" w:eastAsia="Times New Roman" w:hint="default"/>
        </w:rPr>
        <w:t>3</w:t>
      </w:r>
      <w:r>
        <w:rPr/>
        <w:t>、根据本公司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1 </w:t>
      </w:r>
      <w:r>
        <w:rPr>
          <w:rFonts w:ascii="Times New Roman" w:hAnsi="Times New Roman" w:cs="Times New Roman" w:eastAsia="Times New Roman" w:hint="default"/>
          <w:spacing w:val="33"/>
        </w:rPr>
        <w:t> </w:t>
      </w:r>
      <w:r>
        <w:rPr>
          <w:spacing w:val="2"/>
        </w:rPr>
        <w:t>日之股东大会决议和中国证券监督管理委员会证监发行字</w:t>
      </w:r>
      <w:r>
        <w:rPr/>
      </w:r>
    </w:p>
    <w:p>
      <w:pPr>
        <w:pStyle w:val="BodyText"/>
        <w:spacing w:line="338" w:lineRule="auto" w:before="118"/>
        <w:ind w:left="137" w:right="104"/>
        <w:jc w:val="left"/>
      </w:pPr>
      <w:r>
        <w:rPr>
          <w:rFonts w:ascii="Times New Roman" w:hAnsi="Times New Roman" w:cs="Times New Roman" w:eastAsia="Times New Roman" w:hint="default"/>
        </w:rPr>
        <w:t>[2007]188</w:t>
      </w:r>
      <w:r>
        <w:rPr>
          <w:rFonts w:ascii="Times New Roman" w:hAnsi="Times New Roman" w:cs="Times New Roman" w:eastAsia="Times New Roman" w:hint="default"/>
          <w:spacing w:val="-4"/>
        </w:rPr>
        <w:t> </w:t>
      </w:r>
      <w:r>
        <w:rPr/>
        <w:t>号《关于核准广州广电运通金融电子股份有限公司首次公开发行股票的通知》的核准，</w:t>
      </w:r>
      <w:r>
        <w:rPr>
          <w:w w:val="99"/>
        </w:rPr>
        <w:t> </w:t>
      </w:r>
      <w:r>
        <w:rPr>
          <w:spacing w:val="8"/>
        </w:rPr>
        <w:t>本公司向社会公开发行人民币普通股（</w:t>
      </w:r>
      <w:r>
        <w:rPr>
          <w:rFonts w:ascii="Times New Roman" w:hAnsi="Times New Roman" w:cs="Times New Roman" w:eastAsia="Times New Roman" w:hint="default"/>
          <w:spacing w:val="8"/>
        </w:rPr>
        <w:t>A</w:t>
      </w:r>
      <w:r>
        <w:rPr>
          <w:rFonts w:ascii="Times New Roman" w:hAnsi="Times New Roman" w:cs="Times New Roman" w:eastAsia="Times New Roman" w:hint="default"/>
          <w:spacing w:val="65"/>
        </w:rPr>
        <w:t> </w:t>
      </w:r>
      <w:r>
        <w:rPr>
          <w:spacing w:val="3"/>
        </w:rPr>
        <w:t>股）</w:t>
      </w:r>
      <w:r>
        <w:rPr>
          <w:rFonts w:ascii="Times New Roman" w:hAnsi="Times New Roman" w:cs="Times New Roman" w:eastAsia="Times New Roman" w:hint="default"/>
          <w:spacing w:val="3"/>
        </w:rPr>
        <w:t>3600</w:t>
      </w:r>
      <w:r>
        <w:rPr>
          <w:rFonts w:ascii="Times New Roman" w:hAnsi="Times New Roman" w:cs="Times New Roman" w:eastAsia="Times New Roman" w:hint="default"/>
          <w:spacing w:val="11"/>
        </w:rPr>
        <w:t> </w:t>
      </w:r>
      <w:r>
        <w:rPr>
          <w:spacing w:val="7"/>
        </w:rPr>
        <w:t>万股，每股面值</w:t>
      </w:r>
      <w:r>
        <w:rPr>
          <w:spacing w:val="14"/>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9"/>
        </w:rPr>
        <w:t>元，增加股本人民币</w:t>
      </w:r>
      <w:r>
        <w:rPr>
          <w:spacing w:val="-101"/>
        </w:rPr>
        <w:t> </w:t>
      </w:r>
      <w:r>
        <w:rPr>
          <w:spacing w:val="-101"/>
        </w:rPr>
      </w:r>
      <w:r>
        <w:rPr>
          <w:rFonts w:ascii="Times New Roman" w:hAnsi="Times New Roman" w:cs="Times New Roman" w:eastAsia="Times New Roman" w:hint="default"/>
        </w:rPr>
        <w:t>36,000,000.00</w:t>
      </w:r>
      <w:r>
        <w:rPr>
          <w:rFonts w:ascii="Times New Roman" w:hAnsi="Times New Roman" w:cs="Times New Roman" w:eastAsia="Times New Roman" w:hint="default"/>
          <w:spacing w:val="-2"/>
        </w:rPr>
        <w:t> </w:t>
      </w:r>
      <w:r>
        <w:rPr/>
        <w:t>元，变更后的股本为人民币</w:t>
      </w:r>
      <w:r>
        <w:rPr>
          <w:spacing w:val="-55"/>
        </w:rPr>
        <w:t> </w:t>
      </w:r>
      <w:r>
        <w:rPr>
          <w:rFonts w:ascii="Times New Roman" w:hAnsi="Times New Roman" w:cs="Times New Roman" w:eastAsia="Times New Roman" w:hint="default"/>
        </w:rPr>
        <w:t>142,559,010.00</w:t>
      </w:r>
      <w:r>
        <w:rPr>
          <w:rFonts w:ascii="Times New Roman" w:hAnsi="Times New Roman" w:cs="Times New Roman" w:eastAsia="Times New Roman" w:hint="default"/>
          <w:spacing w:val="-2"/>
        </w:rPr>
        <w:t> </w:t>
      </w:r>
      <w:r>
        <w:rPr/>
        <w:t>元。上述资金于</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日到位，</w:t>
      </w:r>
    </w:p>
    <w:p>
      <w:pPr>
        <w:pStyle w:val="BodyText"/>
        <w:spacing w:line="240" w:lineRule="auto" w:before="22"/>
        <w:ind w:left="137" w:right="103"/>
        <w:jc w:val="left"/>
      </w:pPr>
      <w:r>
        <w:rPr/>
        <w:t>业经广东羊城会计师事务所</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日出具的</w:t>
      </w:r>
      <w:r>
        <w:rPr>
          <w:rFonts w:ascii="Times New Roman" w:hAnsi="Times New Roman" w:cs="Times New Roman" w:eastAsia="Times New Roman" w:hint="default"/>
        </w:rPr>
        <w:t>(2007)</w:t>
      </w:r>
      <w:r>
        <w:rPr/>
        <w:t>羊验字第</w:t>
      </w:r>
      <w:r>
        <w:rPr>
          <w:spacing w:val="-55"/>
        </w:rPr>
        <w:t> </w:t>
      </w:r>
      <w:r>
        <w:rPr>
          <w:rFonts w:ascii="Times New Roman" w:hAnsi="Times New Roman" w:cs="Times New Roman" w:eastAsia="Times New Roman" w:hint="default"/>
        </w:rPr>
        <w:t>11535</w:t>
      </w:r>
      <w:r>
        <w:rPr>
          <w:rFonts w:ascii="Times New Roman" w:hAnsi="Times New Roman" w:cs="Times New Roman" w:eastAsia="Times New Roman" w:hint="default"/>
          <w:spacing w:val="-3"/>
        </w:rPr>
        <w:t> </w:t>
      </w:r>
      <w:r>
        <w:rPr/>
        <w:t>号验资报告予以验证。</w:t>
      </w:r>
    </w:p>
    <w:p>
      <w:pPr>
        <w:pStyle w:val="BodyText"/>
        <w:spacing w:line="240" w:lineRule="auto" w:before="117"/>
        <w:ind w:left="557" w:right="103"/>
        <w:jc w:val="left"/>
      </w:pPr>
      <w:r>
        <w:rPr>
          <w:rFonts w:ascii="Times New Roman" w:hAnsi="Times New Roman" w:cs="Times New Roman" w:eastAsia="Times New Roman" w:hint="default"/>
        </w:rPr>
        <w:t>4</w:t>
      </w:r>
      <w:r>
        <w:rPr/>
        <w:t>、经本公司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年第一届董事会第十五次会议、</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日股东大会决议通过，本</w:t>
      </w:r>
    </w:p>
    <w:p>
      <w:pPr>
        <w:pStyle w:val="BodyText"/>
        <w:spacing w:line="240" w:lineRule="auto" w:before="118"/>
        <w:ind w:left="137" w:right="103"/>
        <w:jc w:val="left"/>
      </w:pPr>
      <w:r>
        <w:rPr/>
        <w:t>公司以</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年末总股本为基数，以资本公积向全体股东每</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股转增</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股股本。变更后的股本</w:t>
      </w:r>
    </w:p>
    <w:p>
      <w:pPr>
        <w:pStyle w:val="BodyText"/>
        <w:spacing w:line="240" w:lineRule="auto" w:before="117"/>
        <w:ind w:left="137" w:right="103"/>
        <w:jc w:val="left"/>
      </w:pPr>
      <w:r>
        <w:rPr/>
        <w:t>为人民币</w:t>
      </w:r>
      <w:r>
        <w:rPr>
          <w:spacing w:val="-47"/>
        </w:rPr>
        <w:t> </w:t>
      </w:r>
      <w:r>
        <w:rPr>
          <w:rFonts w:ascii="Times New Roman" w:hAnsi="Times New Roman" w:cs="Times New Roman" w:eastAsia="Times New Roman" w:hint="default"/>
        </w:rPr>
        <w:t>285,118,020.00</w:t>
      </w:r>
      <w:r>
        <w:rPr>
          <w:rFonts w:ascii="Times New Roman" w:hAnsi="Times New Roman" w:cs="Times New Roman" w:eastAsia="Times New Roman" w:hint="default"/>
          <w:spacing w:val="4"/>
        </w:rPr>
        <w:t> </w:t>
      </w:r>
      <w:r>
        <w:rPr/>
        <w:t>元。上述增资业经立信羊城会计师事务所有限公司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日出</w:t>
      </w:r>
    </w:p>
    <w:p>
      <w:pPr>
        <w:pStyle w:val="BodyText"/>
        <w:spacing w:line="240" w:lineRule="auto" w:before="118"/>
        <w:ind w:left="137" w:right="103"/>
        <w:jc w:val="left"/>
      </w:pPr>
      <w:r>
        <w:rPr/>
        <w:t>具的</w:t>
      </w:r>
      <w:r>
        <w:rPr>
          <w:rFonts w:ascii="Times New Roman" w:hAnsi="Times New Roman" w:cs="Times New Roman" w:eastAsia="Times New Roman" w:hint="default"/>
        </w:rPr>
        <w:t>(2008)</w:t>
      </w:r>
      <w:r>
        <w:rPr/>
        <w:t>羊验字第</w:t>
      </w:r>
      <w:r>
        <w:rPr>
          <w:spacing w:val="-56"/>
        </w:rPr>
        <w:t> </w:t>
      </w:r>
      <w:r>
        <w:rPr>
          <w:rFonts w:ascii="Times New Roman" w:hAnsi="Times New Roman" w:cs="Times New Roman" w:eastAsia="Times New Roman" w:hint="default"/>
        </w:rPr>
        <w:t>14626</w:t>
      </w:r>
      <w:r>
        <w:rPr>
          <w:rFonts w:ascii="Times New Roman" w:hAnsi="Times New Roman" w:cs="Times New Roman" w:eastAsia="Times New Roman" w:hint="default"/>
          <w:spacing w:val="-3"/>
        </w:rPr>
        <w:t> </w:t>
      </w:r>
      <w:r>
        <w:rPr/>
        <w:t>号验资报告予以验证。</w:t>
      </w:r>
    </w:p>
    <w:p>
      <w:pPr>
        <w:pStyle w:val="BodyText"/>
        <w:spacing w:line="240" w:lineRule="auto" w:before="117"/>
        <w:ind w:left="557" w:right="103"/>
        <w:jc w:val="left"/>
        <w:rPr>
          <w:rFonts w:ascii="Times New Roman" w:hAnsi="Times New Roman" w:cs="Times New Roman" w:eastAsia="Times New Roman" w:hint="default"/>
        </w:rPr>
      </w:pPr>
      <w:r>
        <w:rPr>
          <w:rFonts w:ascii="Times New Roman" w:hAnsi="Times New Roman" w:cs="Times New Roman" w:eastAsia="Times New Roman" w:hint="default"/>
          <w:spacing w:val="-4"/>
        </w:rPr>
        <w:t>5</w:t>
      </w:r>
      <w:r>
        <w:rPr>
          <w:spacing w:val="-4"/>
        </w:rPr>
        <w:t>、经本公司第二届董事会第二次会议、</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3"/>
        </w:rPr>
        <w:t>日股东大会决议通过，本公司以</w:t>
      </w:r>
      <w:r>
        <w:rPr>
          <w:spacing w:val="-51"/>
        </w:rPr>
        <w:t> </w:t>
      </w:r>
      <w:r>
        <w:rPr>
          <w:rFonts w:ascii="Times New Roman" w:hAnsi="Times New Roman" w:cs="Times New Roman" w:eastAsia="Times New Roman" w:hint="default"/>
        </w:rPr>
        <w:t>2008</w:t>
      </w:r>
    </w:p>
    <w:p>
      <w:pPr>
        <w:pStyle w:val="BodyText"/>
        <w:spacing w:line="240" w:lineRule="auto" w:before="118"/>
        <w:ind w:left="137" w:right="103"/>
        <w:jc w:val="left"/>
      </w:pPr>
      <w:r>
        <w:rPr>
          <w:spacing w:val="7"/>
        </w:rPr>
        <w:t>年末总股本为基数，以资本公积向全体股东每 </w:t>
      </w:r>
      <w:r>
        <w:rPr>
          <w:rFonts w:ascii="Times New Roman" w:hAnsi="Times New Roman" w:cs="Times New Roman" w:eastAsia="Times New Roman" w:hint="default"/>
        </w:rPr>
        <w:t>10  </w:t>
      </w:r>
      <w:r>
        <w:rPr>
          <w:spacing w:val="5"/>
        </w:rPr>
        <w:t>股转增 </w:t>
      </w:r>
      <w:r>
        <w:rPr>
          <w:rFonts w:ascii="Times New Roman" w:hAnsi="Times New Roman" w:cs="Times New Roman" w:eastAsia="Times New Roman" w:hint="default"/>
        </w:rPr>
        <w:t>2 </w:t>
      </w:r>
      <w:r>
        <w:rPr>
          <w:rFonts w:ascii="Times New Roman" w:hAnsi="Times New Roman" w:cs="Times New Roman" w:eastAsia="Times New Roman" w:hint="default"/>
          <w:spacing w:val="38"/>
        </w:rPr>
        <w:t> </w:t>
      </w:r>
      <w:r>
        <w:rPr>
          <w:spacing w:val="7"/>
        </w:rPr>
        <w:t>股股本。变更后的股本为人民币</w:t>
      </w:r>
      <w:r>
        <w:rPr/>
      </w:r>
    </w:p>
    <w:p>
      <w:pPr>
        <w:pStyle w:val="BodyText"/>
        <w:spacing w:line="240" w:lineRule="auto" w:before="117"/>
        <w:ind w:left="137" w:right="103"/>
        <w:jc w:val="left"/>
        <w:rPr>
          <w:rFonts w:ascii="Times New Roman" w:hAnsi="Times New Roman" w:cs="Times New Roman" w:eastAsia="Times New Roman" w:hint="default"/>
        </w:rPr>
      </w:pPr>
      <w:r>
        <w:rPr>
          <w:rFonts w:ascii="Times New Roman" w:hAnsi="Times New Roman" w:cs="Times New Roman" w:eastAsia="Times New Roman" w:hint="default"/>
        </w:rPr>
        <w:t>342,141,624.00</w:t>
      </w:r>
      <w:r>
        <w:rPr>
          <w:rFonts w:ascii="Times New Roman" w:hAnsi="Times New Roman" w:cs="Times New Roman" w:eastAsia="Times New Roman" w:hint="default"/>
          <w:spacing w:val="-8"/>
        </w:rPr>
        <w:t> </w:t>
      </w:r>
      <w:r>
        <w:rPr/>
        <w:t>元。上述增资业经立信羊城会计师事务所有限公司</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日出具的</w:t>
      </w:r>
      <w:r>
        <w:rPr>
          <w:rFonts w:ascii="Times New Roman" w:hAnsi="Times New Roman" w:cs="Times New Roman" w:eastAsia="Times New Roman" w:hint="default"/>
        </w:rPr>
        <w:t>(2009)</w:t>
      </w:r>
    </w:p>
    <w:p>
      <w:pPr>
        <w:pStyle w:val="BodyText"/>
        <w:spacing w:line="240" w:lineRule="auto" w:before="117"/>
        <w:ind w:left="137" w:right="103"/>
        <w:jc w:val="left"/>
      </w:pPr>
      <w:r>
        <w:rPr/>
        <w:t>羊验字第</w:t>
      </w:r>
      <w:r>
        <w:rPr>
          <w:spacing w:val="-55"/>
        </w:rPr>
        <w:t> </w:t>
      </w:r>
      <w:r>
        <w:rPr>
          <w:rFonts w:ascii="Times New Roman" w:hAnsi="Times New Roman" w:cs="Times New Roman" w:eastAsia="Times New Roman" w:hint="default"/>
        </w:rPr>
        <w:t>17039</w:t>
      </w:r>
      <w:r>
        <w:rPr>
          <w:rFonts w:ascii="Times New Roman" w:hAnsi="Times New Roman" w:cs="Times New Roman" w:eastAsia="Times New Roman" w:hint="default"/>
          <w:spacing w:val="-2"/>
        </w:rPr>
        <w:t> </w:t>
      </w:r>
      <w:r>
        <w:rPr/>
        <w:t>号验资报告予以验证。</w:t>
      </w:r>
    </w:p>
    <w:p>
      <w:pPr>
        <w:spacing w:after="0" w:line="240" w:lineRule="auto"/>
        <w:jc w:val="left"/>
        <w:sectPr>
          <w:footerReference w:type="default" r:id="rId35"/>
          <w:pgSz w:w="11910" w:h="16840"/>
          <w:pgMar w:footer="982" w:header="0" w:top="1100" w:bottom="1180" w:left="1660" w:right="1080"/>
          <w:pgNumType w:start="102"/>
        </w:sectPr>
      </w:pPr>
    </w:p>
    <w:p>
      <w:pPr>
        <w:spacing w:line="240" w:lineRule="auto" w:before="2"/>
        <w:rPr>
          <w:rFonts w:ascii="宋体" w:hAnsi="宋体" w:cs="宋体" w:eastAsia="宋体" w:hint="default"/>
          <w:sz w:val="19"/>
          <w:szCs w:val="19"/>
        </w:rPr>
      </w:pPr>
    </w:p>
    <w:p>
      <w:pPr>
        <w:pStyle w:val="Heading4"/>
        <w:tabs>
          <w:tab w:pos="1819" w:val="left" w:leader="none"/>
        </w:tabs>
        <w:spacing w:line="240" w:lineRule="auto"/>
        <w:ind w:left="680" w:right="0"/>
        <w:jc w:val="left"/>
        <w:rPr>
          <w:b w:val="0"/>
          <w:bCs w:val="0"/>
        </w:rPr>
      </w:pPr>
      <w:r>
        <w:rPr>
          <w:rFonts w:ascii="Times New Roman" w:hAnsi="Times New Roman" w:cs="Times New Roman" w:eastAsia="Times New Roman" w:hint="default"/>
          <w:w w:val="95"/>
        </w:rPr>
        <w:t>(</w:t>
      </w:r>
      <w:r>
        <w:rPr>
          <w:w w:val="95"/>
        </w:rPr>
        <w:t>二十四</w:t>
      </w:r>
      <w:r>
        <w:rPr>
          <w:rFonts w:ascii="Times New Roman" w:hAnsi="Times New Roman" w:cs="Times New Roman" w:eastAsia="Times New Roman" w:hint="default"/>
          <w:w w:val="95"/>
        </w:rPr>
        <w:t>)</w:t>
        <w:tab/>
      </w:r>
      <w:r>
        <w:rPr/>
        <w:t>资本公积</w:t>
      </w:r>
      <w:r>
        <w:rPr>
          <w:b w:val="0"/>
          <w:bCs w:val="0"/>
        </w:rPr>
      </w:r>
    </w:p>
    <w:p>
      <w:pPr>
        <w:spacing w:line="240" w:lineRule="auto" w:before="7"/>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3011"/>
        <w:gridCol w:w="1614"/>
        <w:gridCol w:w="1403"/>
        <w:gridCol w:w="1403"/>
        <w:gridCol w:w="1613"/>
      </w:tblGrid>
      <w:tr>
        <w:trPr>
          <w:trHeight w:val="380" w:hRule="exact"/>
        </w:trPr>
        <w:tc>
          <w:tcPr>
            <w:tcW w:w="3011"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8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1"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资本溢价（股本溢价）</w:t>
            </w:r>
          </w:p>
        </w:tc>
        <w:tc>
          <w:tcPr>
            <w:tcW w:w="161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）投资者投入的资本</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349,831,739.27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349,831,739.27</w:t>
            </w:r>
          </w:p>
        </w:tc>
      </w:tr>
      <w:tr>
        <w:trPr>
          <w:trHeight w:val="370"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349,831,739.27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349,831,739.27</w:t>
            </w:r>
          </w:p>
        </w:tc>
      </w:tr>
      <w:tr>
        <w:trPr>
          <w:trHeight w:val="371"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其他资本公积</w:t>
            </w:r>
          </w:p>
        </w:tc>
        <w:tc>
          <w:tcPr>
            <w:tcW w:w="1614"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）其他资本公积</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8,780,104.29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8,780,104.29</w:t>
            </w:r>
          </w:p>
        </w:tc>
      </w:tr>
      <w:tr>
        <w:trPr>
          <w:trHeight w:val="730"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97" w:lineRule="auto" w:before="53"/>
              <w:ind w:left="122" w:right="101"/>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）可供出售金融资产公允价</w:t>
            </w:r>
            <w:r>
              <w:rPr>
                <w:rFonts w:ascii="宋体" w:hAnsi="宋体" w:cs="宋体" w:eastAsia="宋体" w:hint="default"/>
                <w:sz w:val="21"/>
                <w:szCs w:val="21"/>
              </w:rPr>
              <w:t> 值变动产生的利得或损失</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9,207,304.43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9,207,304.43</w:t>
            </w:r>
          </w:p>
        </w:tc>
      </w:tr>
      <w:tr>
        <w:trPr>
          <w:trHeight w:val="371" w:hRule="exact"/>
        </w:trPr>
        <w:tc>
          <w:tcPr>
            <w:tcW w:w="3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8,780,104.29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9,207,304.43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17,987,408.72</w:t>
            </w:r>
          </w:p>
        </w:tc>
      </w:tr>
      <w:tr>
        <w:trPr>
          <w:trHeight w:val="380" w:hRule="exact"/>
        </w:trPr>
        <w:tc>
          <w:tcPr>
            <w:tcW w:w="3011"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358,611,843.56</w:t>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9,207,304.43</w:t>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367,819,147.99</w:t>
            </w:r>
          </w:p>
        </w:tc>
      </w:tr>
    </w:tbl>
    <w:p>
      <w:pPr>
        <w:spacing w:line="240" w:lineRule="auto" w:before="8"/>
        <w:rPr>
          <w:rFonts w:ascii="宋体" w:hAnsi="宋体" w:cs="宋体" w:eastAsia="宋体" w:hint="default"/>
          <w:b/>
          <w:bCs/>
          <w:sz w:val="6"/>
          <w:szCs w:val="6"/>
        </w:rPr>
      </w:pPr>
    </w:p>
    <w:p>
      <w:pPr>
        <w:pStyle w:val="BodyText"/>
        <w:spacing w:line="338" w:lineRule="auto" w:before="35"/>
        <w:ind w:right="0" w:firstLine="540"/>
        <w:jc w:val="left"/>
      </w:pPr>
      <w:r>
        <w:rPr>
          <w:spacing w:val="52"/>
        </w:rPr>
        <w:t>本公司的子公司 </w:t>
      </w:r>
      <w:r>
        <w:rPr>
          <w:rFonts w:ascii="Times New Roman" w:hAnsi="Times New Roman" w:cs="Times New Roman" w:eastAsia="Times New Roman" w:hint="default"/>
        </w:rPr>
        <w:t>GRG Banking Equipment (HK) Co.,Limited </w:t>
      </w:r>
      <w:r>
        <w:rPr>
          <w:spacing w:val="30"/>
        </w:rPr>
        <w:t>在本 </w:t>
      </w:r>
      <w:r>
        <w:rPr>
          <w:spacing w:val="40"/>
        </w:rPr>
        <w:t>年持有</w:t>
      </w:r>
      <w:r>
        <w:rPr>
          <w:spacing w:val="18"/>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3"/>
        </w:rPr>
        <w:t>INTERNATIONAL  LTD(GRGI)  </w:t>
      </w:r>
      <w:r>
        <w:rPr>
          <w:spacing w:val="6"/>
        </w:rPr>
        <w:t>股份 </w:t>
      </w:r>
      <w:r>
        <w:rPr>
          <w:rFonts w:ascii="Times New Roman" w:hAnsi="Times New Roman" w:cs="Times New Roman" w:eastAsia="Times New Roman" w:hint="default"/>
        </w:rPr>
        <w:t>8,897,282  </w:t>
      </w:r>
      <w:r>
        <w:rPr>
          <w:spacing w:val="7"/>
        </w:rPr>
        <w:t>股，其中 </w:t>
      </w:r>
      <w:r>
        <w:rPr>
          <w:rFonts w:ascii="Times New Roman" w:hAnsi="Times New Roman" w:cs="Times New Roman" w:eastAsia="Times New Roman" w:hint="default"/>
        </w:rPr>
        <w:t>6,897,282  </w:t>
      </w:r>
      <w:r>
        <w:rPr>
          <w:rFonts w:ascii="Times New Roman" w:hAnsi="Times New Roman" w:cs="Times New Roman" w:eastAsia="Times New Roman" w:hint="default"/>
          <w:spacing w:val="8"/>
        </w:rPr>
        <w:t> </w:t>
      </w:r>
      <w:r>
        <w:rPr>
          <w:spacing w:val="10"/>
        </w:rPr>
        <w:t>股是原始股，购买成本为</w:t>
      </w:r>
      <w:r>
        <w:rPr/>
      </w:r>
    </w:p>
    <w:p>
      <w:pPr>
        <w:pStyle w:val="BodyText"/>
        <w:spacing w:line="240" w:lineRule="auto" w:before="22"/>
        <w:ind w:right="0"/>
        <w:jc w:val="left"/>
      </w:pPr>
      <w:r>
        <w:rPr>
          <w:rFonts w:ascii="Times New Roman" w:hAnsi="Times New Roman" w:cs="Times New Roman" w:eastAsia="Times New Roman" w:hint="default"/>
        </w:rPr>
        <w:t>640,500.40  AUD</w:t>
      </w:r>
      <w:r>
        <w:rPr/>
        <w:t>，</w:t>
      </w:r>
      <w:r>
        <w:rPr>
          <w:rFonts w:ascii="Times New Roman" w:hAnsi="Times New Roman" w:cs="Times New Roman" w:eastAsia="Times New Roman" w:hint="default"/>
        </w:rPr>
        <w:t>2,000,000  </w:t>
      </w:r>
      <w:r>
        <w:rPr>
          <w:spacing w:val="3"/>
        </w:rPr>
        <w:t>股是流通股，购买成本为 </w:t>
      </w:r>
      <w:r>
        <w:rPr>
          <w:rFonts w:ascii="Times New Roman" w:hAnsi="Times New Roman" w:cs="Times New Roman" w:eastAsia="Times New Roman" w:hint="default"/>
        </w:rPr>
        <w:t>400,000.00 </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3"/>
        </w:rPr>
        <w:t>AUD</w:t>
      </w:r>
      <w:r>
        <w:rPr>
          <w:spacing w:val="3"/>
        </w:rPr>
        <w:t>，总购买成本为人民币</w:t>
      </w:r>
      <w:r>
        <w:rPr/>
      </w:r>
    </w:p>
    <w:p>
      <w:pPr>
        <w:pStyle w:val="BodyText"/>
        <w:spacing w:line="240" w:lineRule="auto" w:before="117"/>
        <w:ind w:right="0"/>
        <w:jc w:val="left"/>
      </w:pPr>
      <w:r>
        <w:rPr>
          <w:rFonts w:ascii="Times New Roman" w:hAnsi="Times New Roman" w:cs="Times New Roman" w:eastAsia="Times New Roman" w:hint="default"/>
        </w:rPr>
        <w:t>6,616,010.69</w:t>
      </w:r>
      <w:r>
        <w:rPr>
          <w:rFonts w:ascii="Times New Roman" w:hAnsi="Times New Roman" w:cs="Times New Roman" w:eastAsia="Times New Roman" w:hint="default"/>
          <w:spacing w:val="-3"/>
        </w:rPr>
        <w:t> </w:t>
      </w:r>
      <w:r>
        <w:rPr>
          <w:spacing w:val="-7"/>
        </w:rPr>
        <w:t>元。</w:t>
      </w:r>
      <w:r>
        <w:rPr>
          <w:rFonts w:ascii="Times New Roman" w:hAnsi="Times New Roman" w:cs="Times New Roman" w:eastAsia="Times New Roman" w:hint="default"/>
          <w:spacing w:val="-7"/>
        </w:rPr>
        <w:t>2010-12-29</w:t>
      </w:r>
      <w:r>
        <w:rPr>
          <w:rFonts w:ascii="Times New Roman" w:hAnsi="Times New Roman" w:cs="Times New Roman" w:eastAsia="Times New Roman" w:hint="default"/>
          <w:spacing w:val="-1"/>
        </w:rPr>
        <w:t> </w:t>
      </w:r>
      <w:r>
        <w:rPr/>
        <w:t>该公司股票收市价为</w:t>
      </w:r>
      <w:r>
        <w:rPr>
          <w:spacing w:val="-55"/>
        </w:rPr>
        <w:t> </w:t>
      </w:r>
      <w:r>
        <w:rPr>
          <w:rFonts w:ascii="Times New Roman" w:hAnsi="Times New Roman" w:cs="Times New Roman" w:eastAsia="Times New Roman" w:hint="default"/>
        </w:rPr>
        <w:t>0.265AUD,</w:t>
      </w:r>
      <w:r>
        <w:rPr>
          <w:rFonts w:ascii="Times New Roman" w:hAnsi="Times New Roman" w:cs="Times New Roman" w:eastAsia="Times New Roman" w:hint="default"/>
          <w:spacing w:val="50"/>
        </w:rPr>
        <w:t> </w:t>
      </w:r>
      <w:r>
        <w:rPr/>
        <w:t>按</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日汇率折算人民</w:t>
      </w:r>
    </w:p>
    <w:p>
      <w:pPr>
        <w:pStyle w:val="BodyText"/>
        <w:spacing w:line="240" w:lineRule="auto" w:before="118"/>
        <w:ind w:left="139" w:right="0"/>
        <w:jc w:val="left"/>
      </w:pPr>
      <w:r>
        <w:rPr/>
        <w:t>币期末公允价值为</w:t>
      </w:r>
      <w:r>
        <w:rPr>
          <w:spacing w:val="-59"/>
        </w:rPr>
        <w:t> </w:t>
      </w:r>
      <w:r>
        <w:rPr>
          <w:rFonts w:ascii="Times New Roman" w:hAnsi="Times New Roman" w:cs="Times New Roman" w:eastAsia="Times New Roman" w:hint="default"/>
        </w:rPr>
        <w:t>15,823,315.12</w:t>
      </w:r>
      <w:r>
        <w:rPr>
          <w:rFonts w:ascii="Times New Roman" w:hAnsi="Times New Roman" w:cs="Times New Roman" w:eastAsia="Times New Roman" w:hint="default"/>
          <w:spacing w:val="-5"/>
        </w:rPr>
        <w:t> </w:t>
      </w:r>
      <w:r>
        <w:rPr/>
        <w:t>元，公允价值增加</w:t>
      </w:r>
      <w:r>
        <w:rPr>
          <w:spacing w:val="-59"/>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6"/>
        </w:rPr>
        <w:t> </w:t>
      </w:r>
      <w:r>
        <w:rPr/>
        <w:t>元转入资本公积。</w:t>
      </w:r>
    </w:p>
    <w:p>
      <w:pPr>
        <w:spacing w:line="240" w:lineRule="auto" w:before="12"/>
        <w:rPr>
          <w:rFonts w:ascii="宋体" w:hAnsi="宋体" w:cs="宋体" w:eastAsia="宋体" w:hint="default"/>
          <w:sz w:val="20"/>
          <w:szCs w:val="20"/>
        </w:rPr>
      </w:pPr>
    </w:p>
    <w:p>
      <w:pPr>
        <w:pStyle w:val="Heading4"/>
        <w:tabs>
          <w:tab w:pos="1819" w:val="left" w:leader="none"/>
        </w:tabs>
        <w:spacing w:line="240" w:lineRule="auto" w:before="0"/>
        <w:ind w:right="0"/>
        <w:jc w:val="left"/>
        <w:rPr>
          <w:b w:val="0"/>
          <w:bCs w:val="0"/>
        </w:rPr>
      </w:pPr>
      <w:r>
        <w:rPr>
          <w:rFonts w:ascii="Times New Roman" w:hAnsi="Times New Roman" w:cs="Times New Roman" w:eastAsia="Times New Roman" w:hint="default"/>
          <w:w w:val="95"/>
        </w:rPr>
        <w:t>(</w:t>
      </w:r>
      <w:r>
        <w:rPr>
          <w:w w:val="95"/>
        </w:rPr>
        <w:t>二十五</w:t>
      </w:r>
      <w:r>
        <w:rPr>
          <w:rFonts w:ascii="Times New Roman" w:hAnsi="Times New Roman" w:cs="Times New Roman" w:eastAsia="Times New Roman" w:hint="default"/>
          <w:w w:val="95"/>
        </w:rPr>
        <w:t>)</w:t>
        <w:tab/>
      </w:r>
      <w:r>
        <w:rPr/>
        <w:t>盈余公积</w:t>
      </w:r>
      <w:r>
        <w:rPr>
          <w:b w:val="0"/>
          <w:bCs w:val="0"/>
        </w:rPr>
      </w:r>
    </w:p>
    <w:p>
      <w:pPr>
        <w:spacing w:line="240" w:lineRule="auto" w:before="9"/>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1972"/>
        <w:gridCol w:w="1742"/>
        <w:gridCol w:w="1742"/>
        <w:gridCol w:w="1744"/>
        <w:gridCol w:w="1742"/>
      </w:tblGrid>
      <w:tr>
        <w:trPr>
          <w:trHeight w:val="380" w:hRule="exact"/>
        </w:trPr>
        <w:tc>
          <w:tcPr>
            <w:tcW w:w="1972"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70" w:hRule="exact"/>
        </w:trPr>
        <w:tc>
          <w:tcPr>
            <w:tcW w:w="19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103,987,649.57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23" w:right="0"/>
              <w:jc w:val="left"/>
              <w:rPr>
                <w:rFonts w:ascii="Times New Roman" w:hAnsi="Times New Roman" w:cs="Times New Roman" w:eastAsia="Times New Roman" w:hint="default"/>
                <w:sz w:val="21"/>
                <w:szCs w:val="21"/>
              </w:rPr>
            </w:pPr>
            <w:r>
              <w:rPr>
                <w:rFonts w:ascii="Times New Roman"/>
                <w:sz w:val="21"/>
              </w:rPr>
              <w:t>48,107,600.67</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152,095,250.24</w:t>
            </w:r>
          </w:p>
        </w:tc>
      </w:tr>
      <w:tr>
        <w:trPr>
          <w:trHeight w:val="380" w:hRule="exact"/>
        </w:trPr>
        <w:tc>
          <w:tcPr>
            <w:tcW w:w="1972"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103,987,649.57</w:t>
            </w:r>
          </w:p>
        </w:tc>
        <w:tc>
          <w:tcPr>
            <w:tcW w:w="17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423" w:right="0"/>
              <w:jc w:val="left"/>
              <w:rPr>
                <w:rFonts w:ascii="Times New Roman" w:hAnsi="Times New Roman" w:cs="Times New Roman" w:eastAsia="Times New Roman" w:hint="default"/>
                <w:sz w:val="21"/>
                <w:szCs w:val="21"/>
              </w:rPr>
            </w:pPr>
            <w:r>
              <w:rPr>
                <w:rFonts w:ascii="Times New Roman"/>
                <w:sz w:val="21"/>
              </w:rPr>
              <w:t>48,107,600.67</w:t>
            </w:r>
          </w:p>
        </w:tc>
        <w:tc>
          <w:tcPr>
            <w:tcW w:w="1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152,095,250.24</w:t>
            </w:r>
          </w:p>
        </w:tc>
      </w:tr>
    </w:tbl>
    <w:p>
      <w:pPr>
        <w:spacing w:line="240" w:lineRule="auto" w:before="8"/>
        <w:rPr>
          <w:rFonts w:ascii="宋体" w:hAnsi="宋体" w:cs="宋体" w:eastAsia="宋体" w:hint="default"/>
          <w:b/>
          <w:bCs/>
          <w:sz w:val="6"/>
          <w:szCs w:val="6"/>
        </w:rPr>
      </w:pPr>
    </w:p>
    <w:p>
      <w:pPr>
        <w:pStyle w:val="BodyText"/>
        <w:spacing w:line="240" w:lineRule="auto" w:before="35"/>
        <w:ind w:left="680" w:right="0"/>
        <w:jc w:val="left"/>
      </w:pPr>
      <w:r>
        <w:rPr/>
        <w:t>盈余公积说明：本年度按照公司章程，按净利润的</w:t>
      </w:r>
      <w:r>
        <w:rPr>
          <w:spacing w:val="-55"/>
        </w:rPr>
        <w:t> </w:t>
      </w:r>
      <w:r>
        <w:rPr/>
        <w:t>10%计提法定盈余公积。</w:t>
      </w:r>
    </w:p>
    <w:p>
      <w:pPr>
        <w:spacing w:line="240" w:lineRule="auto" w:before="2"/>
        <w:rPr>
          <w:rFonts w:ascii="宋体" w:hAnsi="宋体" w:cs="宋体" w:eastAsia="宋体" w:hint="default"/>
          <w:sz w:val="22"/>
          <w:szCs w:val="22"/>
        </w:rPr>
      </w:pPr>
    </w:p>
    <w:p>
      <w:pPr>
        <w:pStyle w:val="Heading4"/>
        <w:tabs>
          <w:tab w:pos="1819" w:val="left" w:leader="none"/>
        </w:tabs>
        <w:spacing w:line="240" w:lineRule="auto" w:before="0"/>
        <w:ind w:right="0"/>
        <w:jc w:val="left"/>
        <w:rPr>
          <w:b w:val="0"/>
          <w:bCs w:val="0"/>
        </w:rPr>
      </w:pPr>
      <w:r>
        <w:rPr>
          <w:rFonts w:ascii="Times New Roman" w:hAnsi="Times New Roman" w:cs="Times New Roman" w:eastAsia="Times New Roman" w:hint="default"/>
          <w:w w:val="95"/>
        </w:rPr>
        <w:t>(</w:t>
      </w:r>
      <w:r>
        <w:rPr>
          <w:w w:val="95"/>
        </w:rPr>
        <w:t>二十六</w:t>
      </w:r>
      <w:r>
        <w:rPr>
          <w:rFonts w:ascii="Times New Roman" w:hAnsi="Times New Roman" w:cs="Times New Roman" w:eastAsia="Times New Roman" w:hint="default"/>
          <w:w w:val="95"/>
        </w:rPr>
        <w:t>)</w:t>
        <w:tab/>
      </w:r>
      <w:r>
        <w:rPr/>
        <w:t>未分配利润</w:t>
      </w:r>
      <w:r>
        <w:rPr>
          <w:b w:val="0"/>
          <w:bCs w:val="0"/>
        </w:rPr>
      </w:r>
    </w:p>
    <w:p>
      <w:pPr>
        <w:spacing w:line="240" w:lineRule="auto" w:before="7"/>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4442"/>
        <w:gridCol w:w="1924"/>
        <w:gridCol w:w="2257"/>
      </w:tblGrid>
      <w:tr>
        <w:trPr>
          <w:trHeight w:val="380" w:hRule="exact"/>
        </w:trPr>
        <w:tc>
          <w:tcPr>
            <w:tcW w:w="4442"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2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71"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856,254,785.41</w:t>
            </w: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调整年初未分配利润合计数（调增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856,254,785.41</w:t>
            </w: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475,131,689.63</w:t>
            </w: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48,107,600.67</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10%</w:t>
            </w:r>
          </w:p>
        </w:tc>
      </w:tr>
      <w:tr>
        <w:trPr>
          <w:trHeight w:val="370"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136,856,649.60</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r>
      <w:tr>
        <w:trPr>
          <w:trHeight w:val="371" w:hRule="exact"/>
        </w:trPr>
        <w:tc>
          <w:tcPr>
            <w:tcW w:w="4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257"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4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1,146,422,224.77</w:t>
            </w:r>
          </w:p>
        </w:tc>
        <w:tc>
          <w:tcPr>
            <w:tcW w:w="2257" w:type="dxa"/>
            <w:tcBorders>
              <w:top w:val="single" w:sz="4" w:space="0" w:color="000000"/>
              <w:left w:val="single" w:sz="4" w:space="0" w:color="000000"/>
              <w:bottom w:val="single" w:sz="12" w:space="0" w:color="000000"/>
              <w:right w:val="nil" w:sz="6" w:space="0" w:color="auto"/>
            </w:tcBorders>
          </w:tcPr>
          <w:p>
            <w:pPr/>
          </w:p>
        </w:tc>
      </w:tr>
    </w:tbl>
    <w:p>
      <w:pPr>
        <w:pStyle w:val="BodyText"/>
        <w:spacing w:line="257" w:lineRule="exact"/>
        <w:ind w:left="672" w:right="0"/>
        <w:jc w:val="left"/>
      </w:pPr>
      <w:r>
        <w:rPr/>
        <w:t>经本公司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日股东大会决议通过，本公司以</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年末总股本</w:t>
      </w:r>
      <w:r>
        <w:rPr>
          <w:spacing w:val="-45"/>
        </w:rPr>
        <w:t> </w:t>
      </w:r>
      <w:r>
        <w:rPr>
          <w:rFonts w:ascii="Times New Roman" w:hAnsi="Times New Roman" w:cs="Times New Roman" w:eastAsia="Times New Roman" w:hint="default"/>
        </w:rPr>
        <w:t>342,141,624</w:t>
      </w:r>
      <w:r>
        <w:rPr>
          <w:rFonts w:ascii="Times New Roman" w:hAnsi="Times New Roman" w:cs="Times New Roman" w:eastAsia="Times New Roman" w:hint="default"/>
          <w:spacing w:val="8"/>
        </w:rPr>
        <w:t> </w:t>
      </w:r>
      <w:r>
        <w:rPr/>
        <w:t>为</w:t>
      </w:r>
    </w:p>
    <w:p>
      <w:pPr>
        <w:pStyle w:val="BodyText"/>
        <w:spacing w:line="240" w:lineRule="auto" w:before="117"/>
        <w:ind w:left="139" w:right="0"/>
        <w:jc w:val="left"/>
        <w:rPr>
          <w:rFonts w:ascii="Times New Roman" w:hAnsi="Times New Roman" w:cs="Times New Roman" w:eastAsia="Times New Roman" w:hint="default"/>
        </w:rPr>
      </w:pPr>
      <w:r>
        <w:rPr/>
        <w:t>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元（含税）的现金股利，上述利润分配已于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p>
    <w:p>
      <w:pPr>
        <w:pStyle w:val="BodyText"/>
        <w:spacing w:line="240" w:lineRule="auto" w:before="118"/>
        <w:ind w:left="139" w:right="0"/>
        <w:jc w:val="left"/>
      </w:pPr>
      <w:r>
        <w:rPr/>
        <w:t>日实施。</w:t>
      </w:r>
    </w:p>
    <w:p>
      <w:pPr>
        <w:spacing w:after="0" w:line="240" w:lineRule="auto"/>
        <w:jc w:val="left"/>
        <w:sectPr>
          <w:pgSz w:w="11910" w:h="16840"/>
          <w:pgMar w:header="0" w:footer="982" w:top="1100" w:bottom="1180" w:left="1660" w:right="760"/>
        </w:sectPr>
      </w:pPr>
    </w:p>
    <w:p>
      <w:pPr>
        <w:spacing w:line="240" w:lineRule="auto" w:before="2"/>
        <w:rPr>
          <w:rFonts w:ascii="宋体" w:hAnsi="宋体" w:cs="宋体" w:eastAsia="宋体" w:hint="default"/>
          <w:sz w:val="19"/>
          <w:szCs w:val="19"/>
        </w:rPr>
      </w:pPr>
    </w:p>
    <w:p>
      <w:pPr>
        <w:pStyle w:val="Heading4"/>
        <w:tabs>
          <w:tab w:pos="1819" w:val="left" w:leader="none"/>
        </w:tabs>
        <w:spacing w:line="240" w:lineRule="auto"/>
        <w:ind w:left="675" w:right="0"/>
        <w:jc w:val="left"/>
        <w:rPr>
          <w:b w:val="0"/>
          <w:bCs w:val="0"/>
        </w:rPr>
      </w:pPr>
      <w:r>
        <w:rPr>
          <w:rFonts w:ascii="Times New Roman" w:hAnsi="Times New Roman" w:cs="Times New Roman" w:eastAsia="Times New Roman" w:hint="default"/>
          <w:w w:val="95"/>
        </w:rPr>
        <w:t>(</w:t>
      </w:r>
      <w:r>
        <w:rPr>
          <w:w w:val="95"/>
        </w:rPr>
        <w:t>二十七</w:t>
      </w:r>
      <w:r>
        <w:rPr>
          <w:rFonts w:ascii="Times New Roman" w:hAnsi="Times New Roman" w:cs="Times New Roman" w:eastAsia="Times New Roman" w:hint="default"/>
          <w:w w:val="95"/>
        </w:rPr>
        <w:t>)</w:t>
        <w:tab/>
      </w:r>
      <w:r>
        <w:rPr/>
        <w:t>营业收入和营业成本</w:t>
      </w:r>
      <w:r>
        <w:rPr>
          <w:b w:val="0"/>
          <w:bCs w:val="0"/>
        </w:rPr>
      </w:r>
    </w:p>
    <w:p>
      <w:pPr>
        <w:spacing w:before="117"/>
        <w:ind w:left="6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3185"/>
        <w:gridCol w:w="2520"/>
        <w:gridCol w:w="2520"/>
      </w:tblGrid>
      <w:tr>
        <w:trPr>
          <w:trHeight w:val="380" w:hRule="exact"/>
        </w:trPr>
        <w:tc>
          <w:tcPr>
            <w:tcW w:w="31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83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1,724,211,269.52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1,488,739,930.16</w:t>
            </w:r>
          </w:p>
        </w:tc>
      </w:tr>
      <w:tr>
        <w:trPr>
          <w:trHeight w:val="371"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31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874,983,893.11</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853,051,747.18</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957"/>
        <w:gridCol w:w="1700"/>
        <w:gridCol w:w="1559"/>
        <w:gridCol w:w="1812"/>
        <w:gridCol w:w="1574"/>
      </w:tblGrid>
      <w:tr>
        <w:trPr>
          <w:trHeight w:val="380" w:hRule="exact"/>
        </w:trPr>
        <w:tc>
          <w:tcPr>
            <w:tcW w:w="1957"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8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1957"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1,538,817,505.30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780,322,517.90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1,364,871,329.79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791,404,887.39</w:t>
            </w:r>
          </w:p>
        </w:tc>
      </w:tr>
      <w:tr>
        <w:trPr>
          <w:trHeight w:val="370" w:hRule="exact"/>
        </w:trPr>
        <w:tc>
          <w:tcPr>
            <w:tcW w:w="1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）材料</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65,154,549.37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39,353,541.12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37,729,831.27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20,535,472.13</w:t>
            </w:r>
          </w:p>
        </w:tc>
      </w:tr>
      <w:tr>
        <w:trPr>
          <w:trHeight w:val="371" w:hRule="exact"/>
        </w:trPr>
        <w:tc>
          <w:tcPr>
            <w:tcW w:w="1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）营运收入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25,314,768.28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21,918,316.86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30,582,786.56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19,882,978.43</w:t>
            </w:r>
          </w:p>
        </w:tc>
      </w:tr>
      <w:tr>
        <w:trPr>
          <w:trHeight w:val="370" w:hRule="exact"/>
        </w:trPr>
        <w:tc>
          <w:tcPr>
            <w:tcW w:w="19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）服务费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94,924,446.57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33,389,517.23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55,555,982.54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21,228,409.23</w:t>
            </w:r>
          </w:p>
        </w:tc>
      </w:tr>
      <w:tr>
        <w:trPr>
          <w:trHeight w:val="380" w:hRule="exact"/>
        </w:trPr>
        <w:tc>
          <w:tcPr>
            <w:tcW w:w="1957"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1,724,211,269.52</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874,983,893.11</w:t>
            </w:r>
          </w:p>
        </w:tc>
        <w:tc>
          <w:tcPr>
            <w:tcW w:w="18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1,488,739,930.16</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853,051,747.18</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925"/>
        <w:gridCol w:w="1733"/>
        <w:gridCol w:w="1576"/>
        <w:gridCol w:w="1811"/>
        <w:gridCol w:w="1574"/>
      </w:tblGrid>
      <w:tr>
        <w:trPr>
          <w:trHeight w:val="380" w:hRule="exact"/>
        </w:trPr>
        <w:tc>
          <w:tcPr>
            <w:tcW w:w="192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1925"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1,474,792,662.26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738,396,947.22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1,318,575,840.83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40" w:right="0"/>
              <w:jc w:val="center"/>
              <w:rPr>
                <w:rFonts w:ascii="Times New Roman" w:hAnsi="Times New Roman" w:cs="Times New Roman" w:eastAsia="Times New Roman" w:hint="default"/>
                <w:sz w:val="21"/>
                <w:szCs w:val="21"/>
              </w:rPr>
            </w:pPr>
            <w:r>
              <w:rPr>
                <w:rFonts w:ascii="Times New Roman"/>
                <w:sz w:val="21"/>
              </w:rPr>
              <w:t>761,445,042.94</w:t>
            </w:r>
          </w:p>
        </w:tc>
      </w:tr>
      <w:tr>
        <w:trPr>
          <w:trHeight w:val="37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64,024,843.04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41,925,570.68</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46,295,488.96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47" w:right="0"/>
              <w:jc w:val="center"/>
              <w:rPr>
                <w:rFonts w:ascii="Times New Roman" w:hAnsi="Times New Roman" w:cs="Times New Roman" w:eastAsia="Times New Roman" w:hint="default"/>
                <w:sz w:val="21"/>
                <w:szCs w:val="21"/>
              </w:rPr>
            </w:pPr>
            <w:r>
              <w:rPr>
                <w:rFonts w:ascii="Times New Roman"/>
                <w:sz w:val="21"/>
              </w:rPr>
              <w:t>29,959,844.45</w:t>
            </w:r>
          </w:p>
        </w:tc>
      </w:tr>
      <w:tr>
        <w:trPr>
          <w:trHeight w:val="37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）材料</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65,154,549.37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39,353,541.12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37,729,831.27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47" w:right="0"/>
              <w:jc w:val="center"/>
              <w:rPr>
                <w:rFonts w:ascii="Times New Roman" w:hAnsi="Times New Roman" w:cs="Times New Roman" w:eastAsia="Times New Roman" w:hint="default"/>
                <w:sz w:val="21"/>
                <w:szCs w:val="21"/>
              </w:rPr>
            </w:pPr>
            <w:r>
              <w:rPr>
                <w:rFonts w:ascii="Times New Roman"/>
                <w:sz w:val="21"/>
              </w:rPr>
              <w:t>20,535,472.13</w:t>
            </w:r>
          </w:p>
        </w:tc>
      </w:tr>
      <w:tr>
        <w:trPr>
          <w:trHeight w:val="37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）营运收入</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25,314,768.28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21,918,316.86</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30,582,786.56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47" w:right="0"/>
              <w:jc w:val="center"/>
              <w:rPr>
                <w:rFonts w:ascii="Times New Roman" w:hAnsi="Times New Roman" w:cs="Times New Roman" w:eastAsia="Times New Roman" w:hint="default"/>
                <w:sz w:val="21"/>
                <w:szCs w:val="21"/>
              </w:rPr>
            </w:pPr>
            <w:r>
              <w:rPr>
                <w:rFonts w:ascii="Times New Roman"/>
                <w:sz w:val="21"/>
              </w:rPr>
              <w:t>19,882,978.43</w:t>
            </w:r>
          </w:p>
        </w:tc>
      </w:tr>
      <w:tr>
        <w:trPr>
          <w:trHeight w:val="371"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服务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94,924,446.57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33,389,517.23</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55,555,982.54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47" w:right="0"/>
              <w:jc w:val="center"/>
              <w:rPr>
                <w:rFonts w:ascii="Times New Roman" w:hAnsi="Times New Roman" w:cs="Times New Roman" w:eastAsia="Times New Roman" w:hint="default"/>
                <w:sz w:val="21"/>
                <w:szCs w:val="21"/>
              </w:rPr>
            </w:pPr>
            <w:r>
              <w:rPr>
                <w:rFonts w:ascii="Times New Roman"/>
                <w:sz w:val="21"/>
              </w:rPr>
              <w:t>21,228,409.23</w:t>
            </w:r>
          </w:p>
        </w:tc>
      </w:tr>
      <w:tr>
        <w:trPr>
          <w:trHeight w:val="380" w:hRule="exact"/>
        </w:trPr>
        <w:tc>
          <w:tcPr>
            <w:tcW w:w="1925" w:type="dxa"/>
            <w:tcBorders>
              <w:top w:val="single" w:sz="4" w:space="0" w:color="000000"/>
              <w:left w:val="nil" w:sz="6" w:space="0" w:color="auto"/>
              <w:bottom w:val="single" w:sz="12" w:space="0" w:color="000000"/>
              <w:right w:val="single" w:sz="4" w:space="0" w:color="000000"/>
            </w:tcBorders>
          </w:tcPr>
          <w:p>
            <w:pPr>
              <w:pStyle w:val="TableParagraph"/>
              <w:tabs>
                <w:tab w:pos="1075" w:val="left" w:leader="none"/>
              </w:tabs>
              <w:spacing w:line="240" w:lineRule="auto" w:before="53"/>
              <w:ind w:left="65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1,724,211,269.52</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874,983,893.11</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1,488,739,930.16</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40" w:right="0"/>
              <w:jc w:val="center"/>
              <w:rPr>
                <w:rFonts w:ascii="Times New Roman" w:hAnsi="Times New Roman" w:cs="Times New Roman" w:eastAsia="Times New Roman" w:hint="default"/>
                <w:sz w:val="21"/>
                <w:szCs w:val="21"/>
              </w:rPr>
            </w:pPr>
            <w:r>
              <w:rPr>
                <w:rFonts w:ascii="Times New Roman"/>
                <w:sz w:val="21"/>
              </w:rPr>
              <w:t>853,051,747.18</w:t>
            </w:r>
          </w:p>
        </w:tc>
      </w:tr>
    </w:tbl>
    <w:p>
      <w:pPr>
        <w:spacing w:line="240" w:lineRule="auto" w:before="8"/>
        <w:rPr>
          <w:rFonts w:ascii="宋体" w:hAnsi="宋体" w:cs="宋体" w:eastAsia="宋体" w:hint="default"/>
          <w:b/>
          <w:bCs/>
          <w:sz w:val="6"/>
          <w:szCs w:val="6"/>
        </w:rPr>
      </w:pPr>
    </w:p>
    <w:p>
      <w:pPr>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925"/>
        <w:gridCol w:w="1733"/>
        <w:gridCol w:w="1576"/>
        <w:gridCol w:w="1811"/>
        <w:gridCol w:w="1574"/>
      </w:tblGrid>
      <w:tr>
        <w:trPr>
          <w:trHeight w:val="380" w:hRule="exact"/>
        </w:trPr>
        <w:tc>
          <w:tcPr>
            <w:tcW w:w="192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1925" w:type="dxa"/>
            <w:vMerge/>
            <w:tcBorders>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1,606,317,428.00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795,724,111.32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1,379,275,193.91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40" w:right="0"/>
              <w:jc w:val="center"/>
              <w:rPr>
                <w:rFonts w:ascii="Times New Roman" w:hAnsi="Times New Roman" w:cs="Times New Roman" w:eastAsia="Times New Roman" w:hint="default"/>
                <w:sz w:val="21"/>
                <w:szCs w:val="21"/>
              </w:rPr>
            </w:pPr>
            <w:r>
              <w:rPr>
                <w:rFonts w:ascii="Times New Roman"/>
                <w:sz w:val="21"/>
              </w:rPr>
              <w:t>763,275,061.56</w:t>
            </w:r>
          </w:p>
        </w:tc>
      </w:tr>
      <w:tr>
        <w:trPr>
          <w:trHeight w:val="370"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117,893,841.52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79,259,781.79</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109,464,736.25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46" w:right="0"/>
              <w:jc w:val="center"/>
              <w:rPr>
                <w:rFonts w:ascii="Times New Roman" w:hAnsi="Times New Roman" w:cs="Times New Roman" w:eastAsia="Times New Roman" w:hint="default"/>
                <w:sz w:val="21"/>
                <w:szCs w:val="21"/>
              </w:rPr>
            </w:pPr>
            <w:r>
              <w:rPr>
                <w:rFonts w:ascii="Times New Roman"/>
                <w:sz w:val="21"/>
              </w:rPr>
              <w:t>89,776,685.62</w:t>
            </w:r>
          </w:p>
        </w:tc>
      </w:tr>
      <w:tr>
        <w:trPr>
          <w:trHeight w:val="381" w:hRule="exact"/>
        </w:trPr>
        <w:tc>
          <w:tcPr>
            <w:tcW w:w="1925" w:type="dxa"/>
            <w:tcBorders>
              <w:top w:val="single" w:sz="4" w:space="0" w:color="000000"/>
              <w:left w:val="nil" w:sz="6" w:space="0" w:color="auto"/>
              <w:bottom w:val="single" w:sz="12" w:space="0" w:color="000000"/>
              <w:right w:val="single" w:sz="4" w:space="0" w:color="000000"/>
            </w:tcBorders>
          </w:tcPr>
          <w:p>
            <w:pPr>
              <w:pStyle w:val="TableParagraph"/>
              <w:tabs>
                <w:tab w:pos="1075" w:val="left" w:leader="none"/>
              </w:tabs>
              <w:spacing w:line="240" w:lineRule="auto" w:before="53"/>
              <w:ind w:left="65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1,724,211,269.52</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874,983,893.11</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1,488,739,930.16</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40" w:right="0"/>
              <w:jc w:val="center"/>
              <w:rPr>
                <w:rFonts w:ascii="Times New Roman" w:hAnsi="Times New Roman" w:cs="Times New Roman" w:eastAsia="Times New Roman" w:hint="default"/>
                <w:sz w:val="21"/>
                <w:szCs w:val="21"/>
              </w:rPr>
            </w:pPr>
            <w:r>
              <w:rPr>
                <w:rFonts w:ascii="Times New Roman"/>
                <w:sz w:val="21"/>
              </w:rPr>
              <w:t>853,051,747.18</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82" w:top="1100" w:bottom="1180" w:left="1660" w:right="760"/>
        </w:sectPr>
      </w:pPr>
    </w:p>
    <w:p>
      <w:pPr>
        <w:spacing w:line="240" w:lineRule="auto" w:before="0"/>
        <w:rPr>
          <w:rFonts w:ascii="宋体" w:hAnsi="宋体" w:cs="宋体" w:eastAsia="宋体" w:hint="default"/>
          <w:b/>
          <w:bCs/>
          <w:sz w:val="20"/>
          <w:szCs w:val="20"/>
        </w:rPr>
      </w:pPr>
    </w:p>
    <w:p>
      <w:pPr>
        <w:spacing w:before="180"/>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3456"/>
        <w:gridCol w:w="2027"/>
        <w:gridCol w:w="3102"/>
      </w:tblGrid>
      <w:tr>
        <w:trPr>
          <w:trHeight w:val="380" w:hRule="exact"/>
        </w:trPr>
        <w:tc>
          <w:tcPr>
            <w:tcW w:w="34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0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77"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占公司全部营业收入的比例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71"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548,927,133.10</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1"/>
                <w:sz w:val="21"/>
              </w:rPr>
              <w:t>31.84</w:t>
            </w:r>
          </w:p>
        </w:tc>
      </w:tr>
      <w:tr>
        <w:trPr>
          <w:trHeight w:val="37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222,717,166.77</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1"/>
                <w:sz w:val="21"/>
              </w:rPr>
              <w:t>12.92</w:t>
            </w:r>
          </w:p>
        </w:tc>
      </w:tr>
      <w:tr>
        <w:trPr>
          <w:trHeight w:val="37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1"/>
                <w:szCs w:val="21"/>
              </w:rPr>
            </w:pPr>
            <w:r>
              <w:rPr>
                <w:rFonts w:ascii="Times New Roman"/>
                <w:spacing w:val="-1"/>
                <w:sz w:val="21"/>
              </w:rPr>
              <w:t>143,220,900.23</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spacing w:val="-1"/>
                <w:sz w:val="21"/>
              </w:rPr>
              <w:t>8.31</w:t>
            </w:r>
          </w:p>
        </w:tc>
      </w:tr>
      <w:tr>
        <w:trPr>
          <w:trHeight w:val="371"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IRAN ARGHAM</w:t>
            </w:r>
            <w:r>
              <w:rPr>
                <w:rFonts w:ascii="Times New Roman"/>
                <w:spacing w:val="-21"/>
                <w:sz w:val="21"/>
              </w:rPr>
              <w:t> </w:t>
            </w:r>
            <w:r>
              <w:rPr>
                <w:rFonts w:ascii="Times New Roman"/>
                <w:sz w:val="21"/>
              </w:rPr>
              <w:t>CO</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1"/>
                <w:szCs w:val="21"/>
              </w:rPr>
            </w:pPr>
            <w:r>
              <w:rPr>
                <w:rFonts w:ascii="Times New Roman"/>
                <w:spacing w:val="-1"/>
                <w:sz w:val="21"/>
              </w:rPr>
              <w:t>92,520,429.21</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spacing w:val="-1"/>
                <w:sz w:val="21"/>
              </w:rPr>
              <w:t>5.37</w:t>
            </w:r>
          </w:p>
        </w:tc>
      </w:tr>
      <w:tr>
        <w:trPr>
          <w:trHeight w:val="370" w:hRule="exact"/>
        </w:trPr>
        <w:tc>
          <w:tcPr>
            <w:tcW w:w="3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1"/>
                <w:szCs w:val="21"/>
              </w:rPr>
            </w:pPr>
            <w:r>
              <w:rPr>
                <w:rFonts w:ascii="Times New Roman"/>
                <w:spacing w:val="-1"/>
                <w:sz w:val="21"/>
              </w:rPr>
              <w:t>57,933,779.72</w:t>
            </w:r>
          </w:p>
        </w:tc>
        <w:tc>
          <w:tcPr>
            <w:tcW w:w="31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Times New Roman" w:hAnsi="Times New Roman" w:cs="Times New Roman" w:eastAsia="Times New Roman" w:hint="default"/>
                <w:sz w:val="21"/>
                <w:szCs w:val="21"/>
              </w:rPr>
            </w:pPr>
            <w:r>
              <w:rPr>
                <w:rFonts w:ascii="Times New Roman"/>
                <w:spacing w:val="-1"/>
                <w:sz w:val="21"/>
              </w:rPr>
              <w:t>3.36</w:t>
            </w:r>
          </w:p>
        </w:tc>
      </w:tr>
      <w:tr>
        <w:trPr>
          <w:trHeight w:val="380" w:hRule="exact"/>
        </w:trPr>
        <w:tc>
          <w:tcPr>
            <w:tcW w:w="3456"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1,065,319,409.03</w:t>
            </w:r>
          </w:p>
        </w:tc>
        <w:tc>
          <w:tcPr>
            <w:tcW w:w="31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21"/>
                <w:szCs w:val="21"/>
              </w:rPr>
            </w:pPr>
            <w:r>
              <w:rPr>
                <w:rFonts w:ascii="Times New Roman"/>
                <w:spacing w:val="-1"/>
                <w:sz w:val="21"/>
              </w:rPr>
              <w:t>61.80</w:t>
            </w:r>
          </w:p>
        </w:tc>
      </w:tr>
    </w:tbl>
    <w:p>
      <w:pPr>
        <w:spacing w:line="240" w:lineRule="auto" w:before="8"/>
        <w:rPr>
          <w:rFonts w:ascii="宋体" w:hAnsi="宋体" w:cs="宋体" w:eastAsia="宋体" w:hint="default"/>
          <w:b/>
          <w:bCs/>
          <w:sz w:val="6"/>
          <w:szCs w:val="6"/>
        </w:rPr>
      </w:pPr>
    </w:p>
    <w:p>
      <w:pPr>
        <w:tabs>
          <w:tab w:pos="1819" w:val="left" w:leader="none"/>
        </w:tabs>
        <w:spacing w:before="35"/>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二十八</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678" w:type="dxa"/>
        <w:tblLayout w:type="fixed"/>
        <w:tblCellMar>
          <w:top w:w="0" w:type="dxa"/>
          <w:left w:w="0" w:type="dxa"/>
          <w:bottom w:w="0" w:type="dxa"/>
          <w:right w:w="0" w:type="dxa"/>
        </w:tblCellMar>
        <w:tblLook w:val="01E0"/>
      </w:tblPr>
      <w:tblGrid>
        <w:gridCol w:w="2141"/>
        <w:gridCol w:w="1985"/>
        <w:gridCol w:w="1842"/>
        <w:gridCol w:w="2257"/>
      </w:tblGrid>
      <w:tr>
        <w:trPr>
          <w:trHeight w:val="380" w:hRule="exact"/>
        </w:trPr>
        <w:tc>
          <w:tcPr>
            <w:tcW w:w="2141"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6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9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25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370"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10,137,308.40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7,128,851.93</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5%</w:t>
            </w:r>
          </w:p>
        </w:tc>
      </w:tr>
      <w:tr>
        <w:trPr>
          <w:trHeight w:val="554"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9,074,992.13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6,073,783.60</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p>
            <w:pPr>
              <w:pStyle w:val="TableParagraph"/>
              <w:spacing w:line="282" w:lineRule="exact"/>
              <w:ind w:left="71"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71" w:hRule="exact"/>
        </w:trPr>
        <w:tc>
          <w:tcPr>
            <w:tcW w:w="21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4,105,901.97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2,801,762.51</w:t>
            </w:r>
          </w:p>
        </w:tc>
        <w:tc>
          <w:tcPr>
            <w:tcW w:w="2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80" w:hRule="exact"/>
        </w:trPr>
        <w:tc>
          <w:tcPr>
            <w:tcW w:w="2141"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23,318,202.50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16,004,398.04</w:t>
            </w:r>
          </w:p>
        </w:tc>
        <w:tc>
          <w:tcPr>
            <w:tcW w:w="2257"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tabs>
          <w:tab w:pos="1819" w:val="left" w:leader="none"/>
        </w:tabs>
        <w:spacing w:before="35"/>
        <w:ind w:left="677" w:right="4777" w:firstLine="0"/>
        <w:jc w:val="left"/>
        <w:rPr>
          <w:rFonts w:ascii="宋体" w:hAnsi="宋体" w:cs="宋体" w:eastAsia="宋体" w:hint="default"/>
          <w:sz w:val="21"/>
          <w:szCs w:val="21"/>
        </w:rPr>
      </w:pPr>
      <w:r>
        <w:rPr>
          <w:rFonts w:ascii="宋体" w:hAnsi="宋体" w:cs="宋体" w:eastAsia="宋体" w:hint="default"/>
          <w:b/>
          <w:bCs/>
          <w:w w:val="95"/>
          <w:sz w:val="21"/>
          <w:szCs w:val="21"/>
        </w:rPr>
        <w:t>(二十九)</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678" w:type="dxa"/>
        <w:tblLayout w:type="fixed"/>
        <w:tblCellMar>
          <w:top w:w="0" w:type="dxa"/>
          <w:left w:w="0" w:type="dxa"/>
          <w:bottom w:w="0" w:type="dxa"/>
          <w:right w:w="0" w:type="dxa"/>
        </w:tblCellMar>
        <w:tblLook w:val="01E0"/>
      </w:tblPr>
      <w:tblGrid>
        <w:gridCol w:w="2849"/>
        <w:gridCol w:w="2410"/>
        <w:gridCol w:w="2335"/>
      </w:tblGrid>
      <w:tr>
        <w:trPr>
          <w:trHeight w:val="380"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09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8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70,333,164.17</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53,683,125.45</w:t>
            </w:r>
          </w:p>
        </w:tc>
      </w:tr>
      <w:tr>
        <w:trPr>
          <w:trHeight w:val="37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37,695,140.85</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29,568,425.70</w:t>
            </w:r>
          </w:p>
        </w:tc>
      </w:tr>
      <w:tr>
        <w:trPr>
          <w:trHeight w:val="37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31,639,262.37</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18,171,620.94</w:t>
            </w:r>
          </w:p>
        </w:tc>
      </w:tr>
      <w:tr>
        <w:trPr>
          <w:trHeight w:val="37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24,095,797.13</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20,011,316.16</w:t>
            </w:r>
          </w:p>
        </w:tc>
      </w:tr>
      <w:tr>
        <w:trPr>
          <w:trHeight w:val="370"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14,800,155.58</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12,056,180.36</w:t>
            </w:r>
          </w:p>
        </w:tc>
      </w:tr>
      <w:tr>
        <w:trPr>
          <w:trHeight w:val="371"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33,864,258.38</w:t>
            </w:r>
          </w:p>
        </w:tc>
        <w:tc>
          <w:tcPr>
            <w:tcW w:w="23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30,340,620.40</w:t>
            </w:r>
          </w:p>
        </w:tc>
      </w:tr>
      <w:tr>
        <w:trPr>
          <w:trHeight w:val="380"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09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212,427,778.48</w:t>
            </w:r>
          </w:p>
        </w:tc>
        <w:tc>
          <w:tcPr>
            <w:tcW w:w="23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163,831,289.01</w:t>
            </w:r>
          </w:p>
        </w:tc>
      </w:tr>
    </w:tbl>
    <w:p>
      <w:pPr>
        <w:spacing w:line="240" w:lineRule="auto" w:before="8"/>
        <w:rPr>
          <w:rFonts w:ascii="宋体" w:hAnsi="宋体" w:cs="宋体" w:eastAsia="宋体" w:hint="default"/>
          <w:b/>
          <w:bCs/>
          <w:sz w:val="6"/>
          <w:szCs w:val="6"/>
        </w:rPr>
      </w:pPr>
    </w:p>
    <w:p>
      <w:pPr>
        <w:spacing w:before="35"/>
        <w:ind w:left="678" w:right="4777" w:firstLine="0"/>
        <w:jc w:val="left"/>
        <w:rPr>
          <w:rFonts w:ascii="宋体" w:hAnsi="宋体" w:cs="宋体" w:eastAsia="宋体" w:hint="default"/>
          <w:sz w:val="21"/>
          <w:szCs w:val="21"/>
        </w:rPr>
      </w:pPr>
      <w:r>
        <w:rPr>
          <w:rFonts w:ascii="宋体" w:hAnsi="宋体" w:cs="宋体" w:eastAsia="宋体" w:hint="default"/>
          <w:b/>
          <w:bCs/>
          <w:sz w:val="21"/>
          <w:szCs w:val="21"/>
        </w:rPr>
        <w:t>(三十)</w:t>
      </w:r>
      <w:r>
        <w:rPr>
          <w:rFonts w:ascii="宋体" w:hAnsi="宋体" w:cs="宋体" w:eastAsia="宋体" w:hint="default"/>
          <w:b/>
          <w:bCs/>
          <w:spacing w:val="-19"/>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698" w:type="dxa"/>
        <w:tblLayout w:type="fixed"/>
        <w:tblCellMar>
          <w:top w:w="0" w:type="dxa"/>
          <w:left w:w="0" w:type="dxa"/>
          <w:bottom w:w="0" w:type="dxa"/>
          <w:right w:w="0" w:type="dxa"/>
        </w:tblCellMar>
        <w:tblLook w:val="01E0"/>
      </w:tblPr>
      <w:tblGrid>
        <w:gridCol w:w="2828"/>
        <w:gridCol w:w="2410"/>
        <w:gridCol w:w="2350"/>
      </w:tblGrid>
      <w:tr>
        <w:trPr>
          <w:trHeight w:val="380" w:hRule="exact"/>
        </w:trPr>
        <w:tc>
          <w:tcPr>
            <w:tcW w:w="2828"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08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7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4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66,553,389.90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56,680,894.82</w:t>
            </w:r>
          </w:p>
        </w:tc>
      </w:tr>
      <w:tr>
        <w:trPr>
          <w:trHeight w:val="37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35,047,723.83</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24,697,881.85</w:t>
            </w:r>
          </w:p>
        </w:tc>
      </w:tr>
      <w:tr>
        <w:trPr>
          <w:trHeight w:val="37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11,920,026.59</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10,514,242.27</w:t>
            </w:r>
          </w:p>
        </w:tc>
      </w:tr>
      <w:tr>
        <w:trPr>
          <w:trHeight w:val="371"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5,634,028.00</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3,587,266.00</w:t>
            </w:r>
          </w:p>
        </w:tc>
      </w:tr>
      <w:tr>
        <w:trPr>
          <w:trHeight w:val="37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4,891,778.66</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1,489,603.03</w:t>
            </w:r>
          </w:p>
        </w:tc>
      </w:tr>
      <w:tr>
        <w:trPr>
          <w:trHeight w:val="370"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30,144,993.25</w:t>
            </w:r>
          </w:p>
        </w:tc>
        <w:tc>
          <w:tcPr>
            <w:tcW w:w="23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24,529,444.88</w:t>
            </w:r>
          </w:p>
        </w:tc>
      </w:tr>
      <w:tr>
        <w:trPr>
          <w:trHeight w:val="381" w:hRule="exact"/>
        </w:trPr>
        <w:tc>
          <w:tcPr>
            <w:tcW w:w="2828"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08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154,191,940.23</w:t>
            </w:r>
          </w:p>
        </w:tc>
        <w:tc>
          <w:tcPr>
            <w:tcW w:w="23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121,499,332.85</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78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tabs>
          <w:tab w:pos="1819" w:val="left" w:leader="none"/>
        </w:tabs>
        <w:spacing w:before="0"/>
        <w:ind w:left="678" w:right="5444" w:firstLine="0"/>
        <w:jc w:val="left"/>
        <w:rPr>
          <w:rFonts w:ascii="宋体" w:hAnsi="宋体" w:cs="宋体" w:eastAsia="宋体" w:hint="default"/>
          <w:sz w:val="21"/>
          <w:szCs w:val="21"/>
        </w:rPr>
      </w:pPr>
      <w:r>
        <w:rPr>
          <w:rFonts w:ascii="宋体" w:hAnsi="宋体" w:cs="宋体" w:eastAsia="宋体" w:hint="default"/>
          <w:b/>
          <w:bCs/>
          <w:w w:val="95"/>
          <w:sz w:val="21"/>
          <w:szCs w:val="21"/>
        </w:rPr>
        <w:t>(三十一)</w:t>
        <w:tab/>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713" w:type="dxa"/>
        <w:tblLayout w:type="fixed"/>
        <w:tblCellMar>
          <w:top w:w="0" w:type="dxa"/>
          <w:left w:w="0" w:type="dxa"/>
          <w:bottom w:w="0" w:type="dxa"/>
          <w:right w:w="0" w:type="dxa"/>
        </w:tblCellMar>
        <w:tblLook w:val="01E0"/>
      </w:tblPr>
      <w:tblGrid>
        <w:gridCol w:w="2814"/>
        <w:gridCol w:w="2380"/>
        <w:gridCol w:w="2380"/>
      </w:tblGrid>
      <w:tr>
        <w:trPr>
          <w:trHeight w:val="380" w:hRule="exact"/>
        </w:trPr>
        <w:tc>
          <w:tcPr>
            <w:tcW w:w="2814"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079"/>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23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6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138,293.14</w:t>
            </w:r>
            <w:r>
              <w:rPr>
                <w:rFonts w:ascii="Times New Roman"/>
                <w:sz w:val="21"/>
              </w:rPr>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951,194.66</w:t>
            </w:r>
            <w:r>
              <w:rPr>
                <w:rFonts w:ascii="Times New Roman"/>
                <w:sz w:val="21"/>
              </w:rPr>
            </w:r>
          </w:p>
        </w:tc>
      </w:tr>
      <w:tr>
        <w:trPr>
          <w:trHeight w:val="37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5,065,366.41</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8,642,482.36</w:t>
            </w:r>
          </w:p>
        </w:tc>
      </w:tr>
      <w:tr>
        <w:trPr>
          <w:trHeight w:val="37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1,827,719.46</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-1,870,424.48</w:t>
            </w:r>
          </w:p>
        </w:tc>
      </w:tr>
      <w:tr>
        <w:trPr>
          <w:trHeight w:val="371"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2"/>
                <w:sz w:val="21"/>
              </w:rPr>
              <w:t>1,097,641.11</w:t>
            </w:r>
          </w:p>
        </w:tc>
        <w:tc>
          <w:tcPr>
            <w:tcW w:w="2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864,004.48</w:t>
            </w:r>
            <w:r>
              <w:rPr>
                <w:rFonts w:ascii="Times New Roman"/>
                <w:sz w:val="21"/>
              </w:rPr>
            </w:r>
          </w:p>
        </w:tc>
      </w:tr>
      <w:tr>
        <w:trPr>
          <w:trHeight w:val="380" w:hRule="exact"/>
        </w:trPr>
        <w:tc>
          <w:tcPr>
            <w:tcW w:w="281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07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-2,001,712.70</w:t>
            </w:r>
          </w:p>
        </w:tc>
        <w:tc>
          <w:tcPr>
            <w:tcW w:w="23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-8,697,707.70</w:t>
            </w:r>
          </w:p>
        </w:tc>
      </w:tr>
    </w:tbl>
    <w:p>
      <w:pPr>
        <w:spacing w:line="240" w:lineRule="auto" w:before="8"/>
        <w:rPr>
          <w:rFonts w:ascii="宋体" w:hAnsi="宋体" w:cs="宋体" w:eastAsia="宋体" w:hint="default"/>
          <w:b/>
          <w:bCs/>
          <w:sz w:val="6"/>
          <w:szCs w:val="6"/>
        </w:rPr>
      </w:pPr>
    </w:p>
    <w:p>
      <w:pPr>
        <w:tabs>
          <w:tab w:pos="1819" w:val="left" w:leader="none"/>
        </w:tabs>
        <w:spacing w:before="35"/>
        <w:ind w:left="682" w:right="5444"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三十二</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13" w:type="dxa"/>
        <w:tblLayout w:type="fixed"/>
        <w:tblCellMar>
          <w:top w:w="0" w:type="dxa"/>
          <w:left w:w="0" w:type="dxa"/>
          <w:bottom w:w="0" w:type="dxa"/>
          <w:right w:w="0" w:type="dxa"/>
        </w:tblCellMar>
        <w:tblLook w:val="01E0"/>
      </w:tblPr>
      <w:tblGrid>
        <w:gridCol w:w="2814"/>
        <w:gridCol w:w="2375"/>
        <w:gridCol w:w="2375"/>
      </w:tblGrid>
      <w:tr>
        <w:trPr>
          <w:trHeight w:val="380" w:hRule="exact"/>
        </w:trPr>
        <w:tc>
          <w:tcPr>
            <w:tcW w:w="2814"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53"/>
              <w:ind w:right="107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6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76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2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7,465,248.48</w:t>
            </w:r>
          </w:p>
        </w:tc>
        <w:tc>
          <w:tcPr>
            <w:tcW w:w="2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4,608,540.15</w:t>
            </w:r>
          </w:p>
        </w:tc>
      </w:tr>
      <w:tr>
        <w:trPr>
          <w:trHeight w:val="380" w:hRule="exact"/>
        </w:trPr>
        <w:tc>
          <w:tcPr>
            <w:tcW w:w="2814" w:type="dxa"/>
            <w:tcBorders>
              <w:top w:val="single" w:sz="4" w:space="0" w:color="000000"/>
              <w:left w:val="nil" w:sz="6" w:space="0" w:color="auto"/>
              <w:bottom w:val="single" w:sz="12" w:space="0" w:color="000000"/>
              <w:right w:val="single" w:sz="4" w:space="0" w:color="000000"/>
            </w:tcBorders>
          </w:tcPr>
          <w:p>
            <w:pPr>
              <w:pStyle w:val="TableParagraph"/>
              <w:tabs>
                <w:tab w:pos="421" w:val="left" w:leader="none"/>
              </w:tabs>
              <w:spacing w:line="240" w:lineRule="auto" w:before="53"/>
              <w:ind w:right="107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7,465,248.48</w:t>
            </w:r>
          </w:p>
        </w:tc>
        <w:tc>
          <w:tcPr>
            <w:tcW w:w="23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4,608,540.15</w:t>
            </w:r>
          </w:p>
        </w:tc>
      </w:tr>
    </w:tbl>
    <w:p>
      <w:pPr>
        <w:spacing w:line="240" w:lineRule="auto" w:before="8"/>
        <w:rPr>
          <w:rFonts w:ascii="宋体" w:hAnsi="宋体" w:cs="宋体" w:eastAsia="宋体" w:hint="default"/>
          <w:b/>
          <w:bCs/>
          <w:sz w:val="6"/>
          <w:szCs w:val="6"/>
        </w:rPr>
      </w:pPr>
    </w:p>
    <w:p>
      <w:pPr>
        <w:tabs>
          <w:tab w:pos="1819" w:val="left" w:leader="none"/>
        </w:tabs>
        <w:spacing w:before="35"/>
        <w:ind w:left="680" w:right="5444"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三十三</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before="0"/>
        <w:ind w:left="682" w:right="5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、营业外收入明细：</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2825"/>
        <w:gridCol w:w="1800"/>
        <w:gridCol w:w="1800"/>
        <w:gridCol w:w="1980"/>
      </w:tblGrid>
      <w:tr>
        <w:trPr>
          <w:trHeight w:val="565" w:hRule="exact"/>
        </w:trPr>
        <w:tc>
          <w:tcPr>
            <w:tcW w:w="2825"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2,219,928.02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4,163,449.36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2,219,928.02</w:t>
            </w:r>
          </w:p>
        </w:tc>
      </w:tr>
      <w:tr>
        <w:trPr>
          <w:trHeight w:val="37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其中：处置固定资产利得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2,219,928.02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4,163,449.36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2,219,928.02</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处置无形资产利得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622,614.68</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2,257,805.67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622,614.68</w:t>
            </w:r>
            <w:r>
              <w:rPr>
                <w:rFonts w:ascii="Times New Roman"/>
                <w:sz w:val="21"/>
              </w:rPr>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69,750,941.65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78,662,933.15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11,095,535.06</w:t>
            </w:r>
          </w:p>
        </w:tc>
      </w:tr>
      <w:tr>
        <w:trPr>
          <w:trHeight w:val="37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罚款及违约金赔款利得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2"/>
                <w:sz w:val="21"/>
              </w:rPr>
              <w:t>233,117.84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158,233.88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2"/>
                <w:sz w:val="21"/>
              </w:rPr>
              <w:t>233,117.84</w:t>
            </w:r>
          </w:p>
        </w:tc>
      </w:tr>
      <w:tr>
        <w:trPr>
          <w:trHeight w:val="37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无法支付的应付款项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39,486.82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103,971.04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39,486.82</w:t>
            </w:r>
          </w:p>
        </w:tc>
      </w:tr>
      <w:tr>
        <w:trPr>
          <w:trHeight w:val="380" w:hRule="exact"/>
        </w:trPr>
        <w:tc>
          <w:tcPr>
            <w:tcW w:w="2825"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72,866,089.01</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85,346,393.10</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14,210,682.42</w:t>
            </w:r>
          </w:p>
        </w:tc>
      </w:tr>
    </w:tbl>
    <w:p>
      <w:pPr>
        <w:spacing w:line="240" w:lineRule="auto" w:before="8"/>
        <w:rPr>
          <w:rFonts w:ascii="宋体" w:hAnsi="宋体" w:cs="宋体" w:eastAsia="宋体" w:hint="default"/>
          <w:b/>
          <w:bCs/>
          <w:sz w:val="6"/>
          <w:szCs w:val="6"/>
        </w:rPr>
      </w:pPr>
    </w:p>
    <w:p>
      <w:pPr>
        <w:spacing w:before="35"/>
        <w:ind w:left="682" w:right="54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2825"/>
        <w:gridCol w:w="1800"/>
        <w:gridCol w:w="1800"/>
        <w:gridCol w:w="1980"/>
      </w:tblGrid>
      <w:tr>
        <w:trPr>
          <w:trHeight w:val="339" w:hRule="exact"/>
        </w:trPr>
        <w:tc>
          <w:tcPr>
            <w:tcW w:w="2825"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科技三项费用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3,635,179.79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2,955,296.81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软件退税款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58,655,406.59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60,276,200.14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年市场出口退税扶持资金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123,100.00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5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64" w:lineRule="auto" w:before="12"/>
              <w:ind w:left="122"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年国际知名品牌企业发展 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年“两新”产品专项资金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550,000.00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5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25"/>
                <w:sz w:val="21"/>
                <w:szCs w:val="21"/>
              </w:rPr>
              <w:t> </w:t>
            </w:r>
            <w:r>
              <w:rPr>
                <w:rFonts w:ascii="宋体" w:hAnsi="宋体" w:cs="宋体" w:eastAsia="宋体" w:hint="default"/>
                <w:spacing w:val="17"/>
                <w:sz w:val="21"/>
                <w:szCs w:val="21"/>
              </w:rPr>
              <w:t>年省保持外贸稳定增长</w:t>
            </w:r>
            <w:r>
              <w:rPr>
                <w:rFonts w:ascii="宋体" w:hAnsi="宋体" w:cs="宋体" w:eastAsia="宋体" w:hint="default"/>
                <w:sz w:val="21"/>
                <w:szCs w:val="21"/>
              </w:rPr>
            </w:r>
          </w:p>
          <w:p>
            <w:pPr>
              <w:pStyle w:val="TableParagraph"/>
              <w:spacing w:line="240" w:lineRule="auto" w:before="29"/>
              <w:ind w:left="122" w:right="0"/>
              <w:jc w:val="left"/>
              <w:rPr>
                <w:rFonts w:ascii="宋体" w:hAnsi="宋体" w:cs="宋体" w:eastAsia="宋体" w:hint="default"/>
                <w:sz w:val="21"/>
                <w:szCs w:val="21"/>
              </w:rPr>
            </w:pPr>
            <w:r>
              <w:rPr>
                <w:rFonts w:ascii="宋体" w:hAnsi="宋体" w:cs="宋体" w:eastAsia="宋体" w:hint="default"/>
                <w:sz w:val="21"/>
                <w:szCs w:val="21"/>
              </w:rPr>
              <w:t>（境外营销网络建设）资金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40" w:hRule="exact"/>
        </w:trPr>
        <w:tc>
          <w:tcPr>
            <w:tcW w:w="28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年服务外包发展专项资金</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138,000.00</w:t>
            </w:r>
            <w:r>
              <w:rPr>
                <w:rFonts w:ascii="Times New Roman"/>
                <w:sz w:val="21"/>
              </w:rPr>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982" w:top="1100" w:bottom="1180" w:left="1660" w:right="960"/>
        </w:sectPr>
      </w:pPr>
    </w:p>
    <w:p>
      <w:pPr>
        <w:spacing w:line="240" w:lineRule="auto" w:before="6"/>
        <w:rPr>
          <w:rFonts w:ascii="宋体" w:hAnsi="宋体" w:cs="宋体" w:eastAsia="宋体" w:hint="default"/>
          <w:b/>
          <w:bCs/>
          <w:sz w:val="24"/>
          <w:szCs w:val="24"/>
        </w:rPr>
      </w:pPr>
    </w:p>
    <w:tbl>
      <w:tblPr>
        <w:tblW w:w="0" w:type="auto"/>
        <w:jc w:val="left"/>
        <w:tblInd w:w="720" w:type="dxa"/>
        <w:tblLayout w:type="fixed"/>
        <w:tblCellMar>
          <w:top w:w="0" w:type="dxa"/>
          <w:left w:w="0" w:type="dxa"/>
          <w:bottom w:w="0" w:type="dxa"/>
          <w:right w:w="0" w:type="dxa"/>
        </w:tblCellMar>
        <w:tblLook w:val="01E0"/>
      </w:tblPr>
      <w:tblGrid>
        <w:gridCol w:w="2825"/>
        <w:gridCol w:w="1800"/>
        <w:gridCol w:w="1800"/>
        <w:gridCol w:w="1980"/>
      </w:tblGrid>
      <w:tr>
        <w:trPr>
          <w:trHeight w:val="340" w:hRule="exact"/>
        </w:trPr>
        <w:tc>
          <w:tcPr>
            <w:tcW w:w="2825" w:type="dxa"/>
            <w:tcBorders>
              <w:top w:val="single" w:sz="12" w:space="0" w:color="000000"/>
              <w:left w:val="nil" w:sz="6" w:space="0" w:color="auto"/>
              <w:bottom w:val="single" w:sz="4" w:space="0" w:color="000000"/>
              <w:right w:val="single" w:sz="4" w:space="0" w:color="000000"/>
            </w:tcBorders>
          </w:tcPr>
          <w:p>
            <w:pPr>
              <w:pStyle w:val="TableParagraph"/>
              <w:tabs>
                <w:tab w:pos="440" w:val="left" w:leader="none"/>
              </w:tabs>
              <w:spacing w:line="240" w:lineRule="auto" w:before="1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年服务外包业务发展资金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882,000.00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4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64" w:lineRule="auto" w:before="12"/>
              <w:ind w:left="122"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7-11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月出口信用保险扶 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3,055.55</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企业发展资金（燃气燃油）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14,419.00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年度外贸出口奖励资金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专利资助费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14,600.00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36,900.00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5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12"/>
              <w:ind w:left="122" w:right="93"/>
              <w:jc w:val="left"/>
              <w:rPr>
                <w:rFonts w:ascii="宋体" w:hAnsi="宋体" w:cs="宋体" w:eastAsia="宋体" w:hint="default"/>
                <w:sz w:val="21"/>
                <w:szCs w:val="21"/>
              </w:rPr>
            </w:pPr>
            <w:r>
              <w:rPr>
                <w:rFonts w:ascii="宋体" w:hAnsi="宋体" w:cs="宋体" w:eastAsia="宋体" w:hint="default"/>
                <w:spacing w:val="6"/>
                <w:sz w:val="21"/>
                <w:szCs w:val="21"/>
              </w:rPr>
              <w:t>专项价格补贴资金（企业政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策性亏损补贴）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717,397.80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5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12"/>
              <w:ind w:left="122" w:right="93"/>
              <w:jc w:val="left"/>
              <w:rPr>
                <w:rFonts w:ascii="宋体" w:hAnsi="宋体" w:cs="宋体" w:eastAsia="宋体" w:hint="default"/>
                <w:sz w:val="21"/>
                <w:szCs w:val="21"/>
              </w:rPr>
            </w:pPr>
            <w:r>
              <w:rPr>
                <w:rFonts w:ascii="宋体" w:hAnsi="宋体" w:cs="宋体" w:eastAsia="宋体" w:hint="default"/>
                <w:spacing w:val="6"/>
                <w:sz w:val="21"/>
                <w:szCs w:val="21"/>
              </w:rPr>
              <w:t>发展专项资金（产业优化升</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级奖励金）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专利资助款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117,100.00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21,300.00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49"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2"/>
              <w:ind w:left="122" w:right="93"/>
              <w:jc w:val="left"/>
              <w:rPr>
                <w:rFonts w:ascii="宋体" w:hAnsi="宋体" w:cs="宋体" w:eastAsia="宋体" w:hint="default"/>
                <w:sz w:val="21"/>
                <w:szCs w:val="21"/>
              </w:rPr>
            </w:pPr>
            <w:r>
              <w:rPr>
                <w:rFonts w:ascii="宋体" w:hAnsi="宋体" w:cs="宋体" w:eastAsia="宋体" w:hint="default"/>
                <w:spacing w:val="6"/>
                <w:sz w:val="21"/>
                <w:szCs w:val="21"/>
              </w:rPr>
              <w:t>专项价格补贴资金（企业政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策性亏损补贴）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311,799.40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资助资金（人力实训点）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引智资金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50,876.00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年度市科学技术奖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30,000.00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标准战略项目资助费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企业“走出去”专项资金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社保退款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1,176,375.20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企业所得税奖励资金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9,586,600.00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开拓资金补助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115,000.00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年外贸出口奖励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90,000.00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年服务外包奖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360,000.00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开发区临电补贴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市场出口退税扶持资金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71,929.00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65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12"/>
              <w:ind w:left="122" w:right="93"/>
              <w:jc w:val="left"/>
              <w:rPr>
                <w:rFonts w:ascii="宋体" w:hAnsi="宋体" w:cs="宋体" w:eastAsia="宋体" w:hint="default"/>
                <w:sz w:val="21"/>
                <w:szCs w:val="21"/>
              </w:rPr>
            </w:pPr>
            <w:r>
              <w:rPr>
                <w:rFonts w:ascii="宋体" w:hAnsi="宋体" w:cs="宋体" w:eastAsia="宋体" w:hint="default"/>
                <w:spacing w:val="6"/>
                <w:sz w:val="21"/>
                <w:szCs w:val="21"/>
              </w:rPr>
              <w:t>一般贸易和进料加工出口退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税征退差资助资金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55,332.00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知识产权示范企业认定奖励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外包业务发展资金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2,146,000.00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pacing w:val="-1"/>
                <w:sz w:val="21"/>
              </w:rPr>
              <w:t>3,568,000.00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就业安置单位补贴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5,694.52</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30"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准就业见习补贴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5,313.00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40" w:hRule="exact"/>
        </w:trPr>
        <w:tc>
          <w:tcPr>
            <w:tcW w:w="2825"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12"/>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69,750,941.65</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78,662,933.15</w:t>
            </w:r>
          </w:p>
        </w:tc>
        <w:tc>
          <w:tcPr>
            <w:tcW w:w="198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18"/>
          <w:szCs w:val="18"/>
        </w:rPr>
      </w:pPr>
    </w:p>
    <w:p>
      <w:pPr>
        <w:pStyle w:val="BodyText"/>
        <w:spacing w:line="240" w:lineRule="auto" w:before="35"/>
        <w:ind w:left="680" w:right="304"/>
        <w:jc w:val="left"/>
      </w:pPr>
      <w:r>
        <w:rPr/>
        <w:t>注</w:t>
      </w:r>
      <w:r>
        <w:rPr>
          <w:spacing w:val="21"/>
        </w:rPr>
        <w:t> </w:t>
      </w:r>
      <w:r>
        <w:rPr>
          <w:rFonts w:ascii="Times New Roman" w:hAnsi="Times New Roman" w:cs="Times New Roman" w:eastAsia="Times New Roman" w:hint="default"/>
          <w:spacing w:val="13"/>
        </w:rPr>
        <w:t>1</w:t>
      </w:r>
      <w:r>
        <w:rPr>
          <w:spacing w:val="13"/>
        </w:rPr>
        <w:t>：为使用计入递延收益的政府补助分配转入。其中：本期资本性支出分配金额为</w:t>
      </w:r>
    </w:p>
    <w:p>
      <w:pPr>
        <w:pStyle w:val="BodyText"/>
        <w:spacing w:line="240" w:lineRule="auto" w:before="117"/>
        <w:ind w:left="139" w:right="405"/>
        <w:jc w:val="left"/>
      </w:pPr>
      <w:r>
        <w:rPr>
          <w:rFonts w:ascii="Times New Roman" w:hAnsi="Times New Roman" w:cs="Times New Roman" w:eastAsia="Times New Roman" w:hint="default"/>
        </w:rPr>
        <w:t>2,587,694.42</w:t>
      </w:r>
      <w:r>
        <w:rPr>
          <w:rFonts w:ascii="Times New Roman" w:hAnsi="Times New Roman" w:cs="Times New Roman" w:eastAsia="Times New Roman" w:hint="default"/>
          <w:spacing w:val="-5"/>
        </w:rPr>
        <w:t> </w:t>
      </w:r>
      <w:r>
        <w:rPr/>
        <w:t>元，本期收益性支出分配金额为</w:t>
      </w:r>
      <w:r>
        <w:rPr>
          <w:spacing w:val="-57"/>
        </w:rPr>
        <w:t> </w:t>
      </w:r>
      <w:r>
        <w:rPr>
          <w:rFonts w:ascii="Times New Roman" w:hAnsi="Times New Roman" w:cs="Times New Roman" w:eastAsia="Times New Roman" w:hint="default"/>
        </w:rPr>
        <w:t>367,602.39</w:t>
      </w:r>
      <w:r>
        <w:rPr>
          <w:rFonts w:ascii="Times New Roman" w:hAnsi="Times New Roman" w:cs="Times New Roman" w:eastAsia="Times New Roman" w:hint="default"/>
          <w:spacing w:val="-4"/>
        </w:rPr>
        <w:t> </w:t>
      </w:r>
      <w:r>
        <w:rPr/>
        <w:t>元。</w:t>
      </w:r>
    </w:p>
    <w:p>
      <w:pPr>
        <w:pStyle w:val="BodyText"/>
        <w:spacing w:line="336" w:lineRule="auto" w:before="118"/>
        <w:ind w:left="139" w:right="315" w:firstLine="540"/>
        <w:jc w:val="left"/>
      </w:pPr>
      <w:r>
        <w:rPr/>
        <w:t>注</w:t>
      </w:r>
      <w:r>
        <w:rPr>
          <w:spacing w:val="-71"/>
        </w:rPr>
        <w:t> </w:t>
      </w:r>
      <w:r>
        <w:rPr>
          <w:rFonts w:ascii="Times New Roman" w:hAnsi="Times New Roman" w:cs="Times New Roman" w:eastAsia="Times New Roman" w:hint="default"/>
        </w:rPr>
        <w:t>2</w:t>
      </w:r>
      <w:r>
        <w:rPr/>
        <w:t>：软件退税款系本公司根据国务院</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[2000]18</w:t>
      </w:r>
      <w:r>
        <w:rPr>
          <w:rFonts w:ascii="Times New Roman" w:hAnsi="Times New Roman" w:cs="Times New Roman" w:eastAsia="Times New Roman" w:hint="default"/>
          <w:spacing w:val="-18"/>
        </w:rPr>
        <w:t> </w:t>
      </w:r>
      <w:r>
        <w:rPr/>
        <w:t>号</w:t>
      </w:r>
      <w:r>
        <w:rPr>
          <w:rFonts w:ascii="Times New Roman" w:hAnsi="Times New Roman" w:cs="Times New Roman" w:eastAsia="Times New Roman" w:hint="default"/>
        </w:rPr>
        <w:t>”</w:t>
      </w:r>
      <w:r>
        <w:rPr/>
        <w:t>《鼓励软件产业和集成电路产业发 展的若干政策》的规定，报告期内收到的自行开发软件销售增值税退税收入</w:t>
      </w:r>
      <w:r>
        <w:rPr>
          <w:spacing w:val="-59"/>
        </w:rPr>
        <w:t> </w:t>
      </w:r>
      <w:r>
        <w:rPr>
          <w:rFonts w:ascii="Times New Roman" w:hAnsi="Times New Roman" w:cs="Times New Roman" w:eastAsia="Times New Roman" w:hint="default"/>
        </w:rPr>
        <w:t>58,655,406.59</w:t>
      </w:r>
      <w:r>
        <w:rPr>
          <w:rFonts w:ascii="Times New Roman" w:hAnsi="Times New Roman" w:cs="Times New Roman" w:eastAsia="Times New Roman" w:hint="default"/>
          <w:spacing w:val="-6"/>
        </w:rPr>
        <w:t> </w:t>
      </w:r>
      <w:r>
        <w:rPr/>
        <w:t>元。</w:t>
      </w:r>
    </w:p>
    <w:p>
      <w:pPr>
        <w:pStyle w:val="BodyText"/>
        <w:spacing w:line="240" w:lineRule="auto" w:before="25"/>
        <w:ind w:left="679" w:right="304"/>
        <w:jc w:val="left"/>
        <w:rPr>
          <w:rFonts w:ascii="Times New Roman" w:hAnsi="Times New Roman" w:cs="Times New Roman" w:eastAsia="Times New Roman" w:hint="default"/>
        </w:rPr>
      </w:pPr>
      <w:r>
        <w:rPr/>
        <w:t>注</w:t>
      </w:r>
      <w:r>
        <w:rPr>
          <w:spacing w:val="-55"/>
        </w:rPr>
        <w:t> </w:t>
      </w:r>
      <w:r>
        <w:rPr>
          <w:rFonts w:ascii="Times New Roman" w:hAnsi="Times New Roman" w:cs="Times New Roman" w:eastAsia="Times New Roman" w:hint="default"/>
          <w:spacing w:val="-6"/>
        </w:rPr>
        <w:t>3</w:t>
      </w:r>
      <w:r>
        <w:rPr>
          <w:spacing w:val="-6"/>
        </w:rPr>
        <w:t>：本期收取的其他政府补助为：收天河区经贸局</w:t>
      </w:r>
      <w:r>
        <w:rPr>
          <w:spacing w:val="-55"/>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年市场出口退税扶持资金</w:t>
      </w:r>
      <w:r>
        <w:rPr>
          <w:spacing w:val="-55"/>
        </w:rPr>
        <w:t> </w:t>
      </w:r>
      <w:r>
        <w:rPr>
          <w:rFonts w:ascii="Times New Roman" w:hAnsi="Times New Roman" w:cs="Times New Roman" w:eastAsia="Times New Roman" w:hint="default"/>
        </w:rPr>
        <w:t>123,100.00</w:t>
      </w:r>
    </w:p>
    <w:p>
      <w:pPr>
        <w:pStyle w:val="BodyText"/>
        <w:spacing w:line="240" w:lineRule="auto" w:before="117"/>
        <w:ind w:left="139" w:right="184"/>
        <w:jc w:val="left"/>
      </w:pPr>
      <w:r>
        <w:rPr/>
        <w:t>元</w:t>
      </w:r>
      <w:r>
        <w:rPr>
          <w:rFonts w:ascii="Times New Roman" w:hAnsi="Times New Roman" w:cs="Times New Roman" w:eastAsia="Times New Roman" w:hint="default"/>
        </w:rPr>
        <w:t>,</w:t>
      </w:r>
      <w:r>
        <w:rPr/>
        <w:t>收天河区经贸局</w:t>
      </w:r>
      <w:r>
        <w:rPr>
          <w:spacing w:val="-69"/>
        </w:rPr>
        <w:t> </w:t>
      </w:r>
      <w:r>
        <w:rPr>
          <w:rFonts w:ascii="Times New Roman" w:hAnsi="Times New Roman" w:cs="Times New Roman" w:eastAsia="Times New Roman" w:hint="default"/>
        </w:rPr>
        <w:t>09</w:t>
      </w:r>
      <w:r>
        <w:rPr>
          <w:rFonts w:ascii="Times New Roman" w:hAnsi="Times New Roman" w:cs="Times New Roman" w:eastAsia="Times New Roman" w:hint="default"/>
          <w:spacing w:val="-16"/>
        </w:rPr>
        <w:t> </w:t>
      </w:r>
      <w:r>
        <w:rPr/>
        <w:t>年国际知名品牌企业发展资金</w:t>
      </w:r>
      <w:r>
        <w:rPr>
          <w:spacing w:val="-69"/>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16"/>
        </w:rPr>
        <w:t> </w:t>
      </w:r>
      <w:r>
        <w:rPr/>
        <w:t>元</w:t>
      </w:r>
      <w:r>
        <w:rPr>
          <w:rFonts w:ascii="Times New Roman" w:hAnsi="Times New Roman" w:cs="Times New Roman" w:eastAsia="Times New Roman" w:hint="default"/>
        </w:rPr>
        <w:t>,</w:t>
      </w:r>
      <w:r>
        <w:rPr/>
        <w:t>收市补助</w:t>
      </w:r>
      <w:r>
        <w:rPr>
          <w:spacing w:val="-69"/>
        </w:rPr>
        <w:t> </w:t>
      </w:r>
      <w:r>
        <w:rPr>
          <w:rFonts w:ascii="Times New Roman" w:hAnsi="Times New Roman" w:cs="Times New Roman" w:eastAsia="Times New Roman" w:hint="default"/>
        </w:rPr>
        <w:t>09</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w:t>
      </w:r>
      <w:r>
        <w:rPr/>
        <w:t>两新</w:t>
      </w:r>
      <w:r>
        <w:rPr>
          <w:rFonts w:ascii="Times New Roman" w:hAnsi="Times New Roman" w:cs="Times New Roman" w:eastAsia="Times New Roman" w:hint="default"/>
        </w:rPr>
        <w:t>”</w:t>
      </w:r>
      <w:r>
        <w:rPr/>
        <w:t>产品专项</w:t>
      </w:r>
    </w:p>
    <w:p>
      <w:pPr>
        <w:pStyle w:val="BodyText"/>
        <w:spacing w:line="240" w:lineRule="auto" w:before="118"/>
        <w:ind w:left="139" w:right="304"/>
        <w:jc w:val="left"/>
      </w:pPr>
      <w:r>
        <w:rPr/>
        <w:t>资金</w:t>
      </w:r>
      <w:r>
        <w:rPr>
          <w:spacing w:val="-57"/>
        </w:rPr>
        <w:t> </w:t>
      </w:r>
      <w:r>
        <w:rPr>
          <w:rFonts w:ascii="Times New Roman" w:hAnsi="Times New Roman" w:cs="Times New Roman" w:eastAsia="Times New Roman" w:hint="default"/>
        </w:rPr>
        <w:t>550,000.00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收市拨</w:t>
      </w:r>
      <w:r>
        <w:rPr>
          <w:spacing w:val="-58"/>
        </w:rPr>
        <w:t> </w:t>
      </w:r>
      <w:r>
        <w:rPr>
          <w:rFonts w:ascii="Times New Roman" w:hAnsi="Times New Roman" w:cs="Times New Roman" w:eastAsia="Times New Roman" w:hint="default"/>
        </w:rPr>
        <w:t>09</w:t>
      </w:r>
      <w:r>
        <w:rPr>
          <w:rFonts w:ascii="Times New Roman" w:hAnsi="Times New Roman" w:cs="Times New Roman" w:eastAsia="Times New Roman" w:hint="default"/>
          <w:spacing w:val="-4"/>
        </w:rPr>
        <w:t> </w:t>
      </w:r>
      <w:r>
        <w:rPr/>
        <w:t>年省保持外贸稳定增长（境外营销网络建设）资金</w:t>
      </w:r>
      <w:r>
        <w:rPr>
          <w:spacing w:val="-57"/>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收</w:t>
      </w:r>
    </w:p>
    <w:p>
      <w:pPr>
        <w:spacing w:after="0" w:line="240" w:lineRule="auto"/>
        <w:jc w:val="left"/>
        <w:sectPr>
          <w:pgSz w:w="11910" w:h="16840"/>
          <w:pgMar w:header="0" w:footer="982" w:top="1100" w:bottom="1180" w:left="1660" w:right="960"/>
        </w:sectPr>
      </w:pPr>
    </w:p>
    <w:p>
      <w:pPr>
        <w:spacing w:line="240" w:lineRule="auto" w:before="2"/>
        <w:rPr>
          <w:rFonts w:ascii="宋体" w:hAnsi="宋体" w:cs="宋体" w:eastAsia="宋体" w:hint="default"/>
          <w:sz w:val="19"/>
          <w:szCs w:val="19"/>
        </w:rPr>
      </w:pPr>
    </w:p>
    <w:p>
      <w:pPr>
        <w:pStyle w:val="BodyText"/>
        <w:spacing w:line="240" w:lineRule="auto" w:before="35"/>
        <w:ind w:right="0"/>
        <w:jc w:val="both"/>
      </w:pPr>
      <w:r>
        <w:rPr>
          <w:spacing w:val="9"/>
        </w:rPr>
        <w:t>市补助 </w:t>
      </w:r>
      <w:r>
        <w:rPr>
          <w:rFonts w:ascii="Times New Roman" w:hAnsi="Times New Roman" w:cs="Times New Roman" w:eastAsia="Times New Roman" w:hint="default"/>
        </w:rPr>
        <w:t>09  </w:t>
      </w:r>
      <w:r>
        <w:rPr>
          <w:spacing w:val="12"/>
        </w:rPr>
        <w:t>年服务外包发展专项资金 </w:t>
      </w:r>
      <w:r>
        <w:rPr>
          <w:rFonts w:ascii="Times New Roman" w:hAnsi="Times New Roman" w:cs="Times New Roman" w:eastAsia="Times New Roman" w:hint="default"/>
        </w:rPr>
        <w:t>138,000.00  </w:t>
      </w:r>
      <w:r>
        <w:rPr>
          <w:spacing w:val="11"/>
        </w:rPr>
        <w:t>元</w:t>
      </w:r>
      <w:r>
        <w:rPr>
          <w:rFonts w:ascii="Times New Roman" w:hAnsi="Times New Roman" w:cs="Times New Roman" w:eastAsia="Times New Roman" w:hint="default"/>
          <w:spacing w:val="11"/>
        </w:rPr>
        <w:t>,</w:t>
      </w:r>
      <w:r>
        <w:rPr>
          <w:spacing w:val="11"/>
        </w:rPr>
        <w:t>收市补助 </w:t>
      </w:r>
      <w:r>
        <w:rPr>
          <w:rFonts w:ascii="Times New Roman" w:hAnsi="Times New Roman" w:cs="Times New Roman" w:eastAsia="Times New Roman" w:hint="default"/>
        </w:rPr>
        <w:t>09  </w:t>
      </w:r>
      <w:r>
        <w:rPr>
          <w:rFonts w:ascii="Times New Roman" w:hAnsi="Times New Roman" w:cs="Times New Roman" w:eastAsia="Times New Roman" w:hint="default"/>
          <w:spacing w:val="9"/>
        </w:rPr>
        <w:t> </w:t>
      </w:r>
      <w:r>
        <w:rPr>
          <w:spacing w:val="13"/>
        </w:rPr>
        <w:t>年服务外包业务发展资金</w:t>
      </w:r>
      <w:r>
        <w:rPr/>
      </w:r>
    </w:p>
    <w:p>
      <w:pPr>
        <w:pStyle w:val="BodyText"/>
        <w:spacing w:line="338" w:lineRule="auto" w:before="117"/>
        <w:ind w:right="146"/>
        <w:jc w:val="both"/>
      </w:pPr>
      <w:r>
        <w:rPr>
          <w:rFonts w:ascii="Times New Roman" w:hAnsi="Times New Roman" w:cs="Times New Roman" w:eastAsia="Times New Roman" w:hint="default"/>
        </w:rPr>
        <w:t>882,000.00</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收市补助</w:t>
      </w:r>
      <w:r>
        <w:rPr>
          <w:spacing w:val="-43"/>
        </w:rPr>
        <w:t> </w:t>
      </w:r>
      <w:r>
        <w:rPr>
          <w:rFonts w:ascii="Times New Roman" w:hAnsi="Times New Roman" w:cs="Times New Roman" w:eastAsia="Times New Roman" w:hint="default"/>
        </w:rPr>
        <w:t>09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7-11</w:t>
      </w:r>
      <w:r>
        <w:rPr>
          <w:rFonts w:ascii="Times New Roman" w:hAnsi="Times New Roman" w:cs="Times New Roman" w:eastAsia="Times New Roman" w:hint="default"/>
          <w:spacing w:val="10"/>
        </w:rPr>
        <w:t> </w:t>
      </w:r>
      <w:r>
        <w:rPr/>
        <w:t>月出口信用保险扶持资金</w:t>
      </w:r>
      <w:r>
        <w:rPr>
          <w:spacing w:val="-43"/>
        </w:rPr>
        <w:t> </w:t>
      </w:r>
      <w:r>
        <w:rPr>
          <w:rFonts w:ascii="Times New Roman" w:hAnsi="Times New Roman" w:cs="Times New Roman" w:eastAsia="Times New Roman" w:hint="default"/>
        </w:rPr>
        <w:t>3,055.55</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收开发区企业建设局企 </w:t>
      </w:r>
      <w:r>
        <w:rPr>
          <w:spacing w:val="3"/>
        </w:rPr>
        <w:t>业发展资金（燃气燃油）</w:t>
      </w:r>
      <w:r>
        <w:rPr>
          <w:rFonts w:ascii="Times New Roman" w:hAnsi="Times New Roman" w:cs="Times New Roman" w:eastAsia="Times New Roman" w:hint="default"/>
          <w:spacing w:val="3"/>
        </w:rPr>
        <w:t>14,419.00 </w:t>
      </w:r>
      <w:r>
        <w:rPr>
          <w:spacing w:val="6"/>
        </w:rPr>
        <w:t>元</w:t>
      </w:r>
      <w:r>
        <w:rPr>
          <w:rFonts w:ascii="Times New Roman" w:hAnsi="Times New Roman" w:cs="Times New Roman" w:eastAsia="Times New Roman" w:hint="default"/>
          <w:spacing w:val="6"/>
        </w:rPr>
        <w:t>,</w:t>
      </w:r>
      <w:r>
        <w:rPr>
          <w:spacing w:val="6"/>
        </w:rPr>
        <w:t>收到广州市天河区经贸局 </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spacing w:val="6"/>
        </w:rPr>
        <w:t>年度外贸出口奖励资金</w:t>
      </w:r>
      <w:r>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收广州市知识产权局专利资助费</w:t>
      </w:r>
      <w:r>
        <w:rPr>
          <w:spacing w:val="-52"/>
        </w:rPr>
        <w:t> </w:t>
      </w:r>
      <w:r>
        <w:rPr>
          <w:rFonts w:ascii="Times New Roman" w:hAnsi="Times New Roman" w:cs="Times New Roman" w:eastAsia="Times New Roman" w:hint="default"/>
        </w:rPr>
        <w:t>14,600.00</w:t>
      </w:r>
      <w:r>
        <w:rPr>
          <w:rFonts w:ascii="Times New Roman" w:hAnsi="Times New Roman" w:cs="Times New Roman" w:eastAsia="Times New Roman" w:hint="default"/>
          <w:spacing w:val="1"/>
        </w:rPr>
        <w:t> </w:t>
      </w:r>
      <w:r>
        <w:rPr>
          <w:spacing w:val="-4"/>
        </w:rPr>
        <w:t>元</w:t>
      </w:r>
      <w:r>
        <w:rPr>
          <w:rFonts w:ascii="Times New Roman" w:hAnsi="Times New Roman" w:cs="Times New Roman" w:eastAsia="Times New Roman" w:hint="default"/>
          <w:spacing w:val="-4"/>
        </w:rPr>
        <w:t>,</w:t>
      </w:r>
      <w:r>
        <w:rPr>
          <w:spacing w:val="-4"/>
        </w:rPr>
        <w:t>收开发区发改局专项价格补贴资金（企</w:t>
      </w:r>
      <w:r>
        <w:rPr/>
        <w:t> 业政策性亏损补贴）</w:t>
      </w:r>
      <w:r>
        <w:rPr>
          <w:rFonts w:ascii="Times New Roman" w:hAnsi="Times New Roman" w:cs="Times New Roman" w:eastAsia="Times New Roman" w:hint="default"/>
        </w:rPr>
        <w:t>717,397.80</w:t>
      </w:r>
      <w:r>
        <w:rPr>
          <w:rFonts w:ascii="Times New Roman" w:hAnsi="Times New Roman" w:cs="Times New Roman" w:eastAsia="Times New Roman" w:hint="default"/>
          <w:spacing w:val="30"/>
        </w:rPr>
        <w:t> </w:t>
      </w:r>
      <w:r>
        <w:rPr>
          <w:spacing w:val="3"/>
        </w:rPr>
        <w:t>元</w:t>
      </w:r>
      <w:r>
        <w:rPr>
          <w:rFonts w:ascii="Times New Roman" w:hAnsi="Times New Roman" w:cs="Times New Roman" w:eastAsia="Times New Roman" w:hint="default"/>
          <w:spacing w:val="3"/>
        </w:rPr>
        <w:t>,</w:t>
      </w:r>
      <w:r>
        <w:rPr>
          <w:spacing w:val="3"/>
        </w:rPr>
        <w:t>收开发区建设局企业发展专项资金（产业优化升级奖励金）</w:t>
      </w:r>
      <w:r>
        <w:rPr>
          <w:spacing w:val="-96"/>
        </w:rPr>
        <w:t> </w:t>
      </w:r>
      <w:r>
        <w:rPr>
          <w:spacing w:val="-96"/>
        </w:rPr>
      </w:r>
      <w:r>
        <w:rPr>
          <w:rFonts w:ascii="Times New Roman" w:hAnsi="Times New Roman" w:cs="Times New Roman" w:eastAsia="Times New Roman" w:hint="default"/>
        </w:rPr>
        <w:t>1,550,000.00  </w:t>
      </w:r>
      <w:r>
        <w:rPr/>
        <w:t>元</w:t>
      </w:r>
      <w:r>
        <w:rPr>
          <w:rFonts w:ascii="Times New Roman" w:hAnsi="Times New Roman" w:cs="Times New Roman" w:eastAsia="Times New Roman" w:hint="default"/>
        </w:rPr>
        <w:t>,</w:t>
      </w:r>
      <w:r>
        <w:rPr/>
        <w:t>收广州知识产权局专利资助款 </w:t>
      </w:r>
      <w:r>
        <w:rPr>
          <w:rFonts w:ascii="Times New Roman" w:hAnsi="Times New Roman" w:cs="Times New Roman" w:eastAsia="Times New Roman" w:hint="default"/>
        </w:rPr>
        <w:t>117,100.00 </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w:t>
      </w:r>
      <w:r>
        <w:rPr/>
        <w:t>收开发区发改局专项价格补贴资金</w:t>
      </w:r>
    </w:p>
    <w:p>
      <w:pPr>
        <w:pStyle w:val="BodyText"/>
        <w:spacing w:line="240" w:lineRule="auto" w:before="23"/>
        <w:ind w:left="139" w:right="0"/>
        <w:jc w:val="both"/>
      </w:pPr>
      <w:r>
        <w:rPr>
          <w:spacing w:val="3"/>
        </w:rPr>
        <w:t>（企业政策性亏损补贴）</w:t>
      </w:r>
      <w:r>
        <w:rPr>
          <w:rFonts w:ascii="Times New Roman" w:hAnsi="Times New Roman" w:cs="Times New Roman" w:eastAsia="Times New Roman" w:hint="default"/>
          <w:spacing w:val="3"/>
        </w:rPr>
        <w:t>311,799.40  </w:t>
      </w:r>
      <w:r>
        <w:rPr>
          <w:spacing w:val="3"/>
        </w:rPr>
        <w:t>元</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8"/>
        </w:rPr>
        <w:t> </w:t>
      </w:r>
      <w:r>
        <w:rPr>
          <w:spacing w:val="6"/>
        </w:rPr>
        <w:t>收广州市萝岗区社区管理局资助资金（人力实训点）</w:t>
      </w:r>
    </w:p>
    <w:p>
      <w:pPr>
        <w:pStyle w:val="BodyText"/>
        <w:spacing w:line="240" w:lineRule="auto" w:before="117"/>
        <w:ind w:left="139" w:right="0"/>
        <w:jc w:val="both"/>
      </w:pPr>
      <w:r>
        <w:rPr>
          <w:rFonts w:ascii="Times New Roman" w:hAnsi="Times New Roman" w:cs="Times New Roman" w:eastAsia="Times New Roman" w:hint="default"/>
        </w:rPr>
        <w:t>100,000.00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收广州市人事局引智资金</w:t>
      </w:r>
      <w:r>
        <w:rPr>
          <w:spacing w:val="-57"/>
        </w:rPr>
        <w:t> </w:t>
      </w:r>
      <w:r>
        <w:rPr>
          <w:rFonts w:ascii="Times New Roman" w:hAnsi="Times New Roman" w:cs="Times New Roman" w:eastAsia="Times New Roman" w:hint="default"/>
        </w:rPr>
        <w:t>50,876.00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收</w:t>
      </w:r>
      <w:r>
        <w:rPr>
          <w:spacing w:val="-57"/>
        </w:rPr>
        <w:t> </w:t>
      </w:r>
      <w:r>
        <w:rPr>
          <w:rFonts w:ascii="Times New Roman" w:hAnsi="Times New Roman" w:cs="Times New Roman" w:eastAsia="Times New Roman" w:hint="default"/>
        </w:rPr>
        <w:t>08</w:t>
      </w:r>
      <w:r>
        <w:rPr>
          <w:rFonts w:ascii="Times New Roman" w:hAnsi="Times New Roman" w:cs="Times New Roman" w:eastAsia="Times New Roman" w:hint="default"/>
          <w:spacing w:val="-4"/>
        </w:rPr>
        <w:t> </w:t>
      </w:r>
      <w:r>
        <w:rPr/>
        <w:t>年度市科学技术奖</w:t>
      </w:r>
      <w:r>
        <w:rPr>
          <w:spacing w:val="-57"/>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收广州</w:t>
      </w:r>
    </w:p>
    <w:p>
      <w:pPr>
        <w:pStyle w:val="BodyText"/>
        <w:spacing w:line="240" w:lineRule="auto" w:before="117"/>
        <w:ind w:left="139" w:right="0"/>
        <w:jc w:val="both"/>
      </w:pPr>
      <w:r>
        <w:rPr>
          <w:spacing w:val="2"/>
        </w:rPr>
        <w:t>市质量技术监督局标准战略项目资助费 </w:t>
      </w:r>
      <w:r>
        <w:rPr>
          <w:rFonts w:ascii="Times New Roman" w:hAnsi="Times New Roman" w:cs="Times New Roman" w:eastAsia="Times New Roman" w:hint="default"/>
        </w:rPr>
        <w:t>1,000.00  </w:t>
      </w:r>
      <w:r>
        <w:rPr/>
        <w:t>元；收福田区总商会 </w:t>
      </w:r>
      <w:r>
        <w:rPr>
          <w:rFonts w:ascii="Times New Roman" w:hAnsi="Times New Roman" w:cs="Times New Roman" w:eastAsia="Times New Roman" w:hint="default"/>
        </w:rPr>
        <w:t>08 </w:t>
      </w:r>
      <w:r>
        <w:rPr>
          <w:rFonts w:ascii="Times New Roman" w:hAnsi="Times New Roman" w:cs="Times New Roman" w:eastAsia="Times New Roman" w:hint="default"/>
          <w:spacing w:val="42"/>
        </w:rPr>
        <w:t> </w:t>
      </w:r>
      <w:r>
        <w:rPr/>
        <w:t>年外包业务发展资金</w:t>
      </w:r>
    </w:p>
    <w:p>
      <w:pPr>
        <w:pStyle w:val="BodyText"/>
        <w:spacing w:line="240" w:lineRule="auto" w:before="118"/>
        <w:ind w:left="139" w:right="0"/>
        <w:jc w:val="both"/>
      </w:pPr>
      <w:r>
        <w:rPr>
          <w:rFonts w:ascii="Times New Roman" w:hAnsi="Times New Roman" w:cs="Times New Roman" w:eastAsia="Times New Roman" w:hint="default"/>
        </w:rPr>
        <w:t>40,000.00 </w:t>
      </w:r>
      <w:r>
        <w:rPr/>
        <w:t>元，收深圳市财政委员会 </w:t>
      </w:r>
      <w:r>
        <w:rPr>
          <w:rFonts w:ascii="Times New Roman" w:hAnsi="Times New Roman" w:cs="Times New Roman" w:eastAsia="Times New Roman" w:hint="default"/>
        </w:rPr>
        <w:t>08 </w:t>
      </w:r>
      <w:r>
        <w:rPr/>
        <w:t>年外包业务发展资金 </w:t>
      </w:r>
      <w:r>
        <w:rPr>
          <w:rFonts w:ascii="Times New Roman" w:hAnsi="Times New Roman" w:cs="Times New Roman" w:eastAsia="Times New Roman" w:hint="default"/>
        </w:rPr>
        <w:t>1,746,000.00</w:t>
      </w:r>
      <w:r>
        <w:rPr>
          <w:rFonts w:ascii="Times New Roman" w:hAnsi="Times New Roman" w:cs="Times New Roman" w:eastAsia="Times New Roman" w:hint="default"/>
          <w:spacing w:val="-18"/>
        </w:rPr>
        <w:t> </w:t>
      </w:r>
      <w:r>
        <w:rPr/>
        <w:t>元；收天河区劳动保障</w:t>
      </w:r>
    </w:p>
    <w:p>
      <w:pPr>
        <w:pStyle w:val="BodyText"/>
        <w:spacing w:line="240" w:lineRule="auto" w:before="117"/>
        <w:ind w:left="139" w:right="0"/>
        <w:jc w:val="both"/>
      </w:pPr>
      <w:r>
        <w:rPr/>
        <w:t>局</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年就业安置单位补贴</w:t>
      </w:r>
      <w:r>
        <w:rPr>
          <w:spacing w:val="-55"/>
        </w:rPr>
        <w:t> </w:t>
      </w:r>
      <w:r>
        <w:rPr>
          <w:rFonts w:ascii="Times New Roman" w:hAnsi="Times New Roman" w:cs="Times New Roman" w:eastAsia="Times New Roman" w:hint="default"/>
        </w:rPr>
        <w:t>5,694.52</w:t>
      </w:r>
      <w:r>
        <w:rPr>
          <w:rFonts w:ascii="Times New Roman" w:hAnsi="Times New Roman" w:cs="Times New Roman" w:eastAsia="Times New Roman" w:hint="default"/>
          <w:spacing w:val="-3"/>
        </w:rPr>
        <w:t> </w:t>
      </w:r>
      <w:r>
        <w:rPr/>
        <w:t>元；收南方人才市场准就业见习补贴</w:t>
      </w:r>
      <w:r>
        <w:rPr>
          <w:spacing w:val="-55"/>
        </w:rPr>
        <w:t> </w:t>
      </w:r>
      <w:r>
        <w:rPr>
          <w:rFonts w:ascii="Times New Roman" w:hAnsi="Times New Roman" w:cs="Times New Roman" w:eastAsia="Times New Roman" w:hint="default"/>
        </w:rPr>
        <w:t>5,313.00</w:t>
      </w:r>
      <w:r>
        <w:rPr>
          <w:rFonts w:ascii="Times New Roman" w:hAnsi="Times New Roman" w:cs="Times New Roman" w:eastAsia="Times New Roman" w:hint="default"/>
          <w:spacing w:val="-3"/>
        </w:rPr>
        <w:t> </w:t>
      </w:r>
      <w:r>
        <w:rPr/>
        <w:t>元。</w:t>
      </w:r>
    </w:p>
    <w:p>
      <w:pPr>
        <w:spacing w:line="240" w:lineRule="auto" w:before="13"/>
        <w:rPr>
          <w:rFonts w:ascii="宋体" w:hAnsi="宋体" w:cs="宋体" w:eastAsia="宋体" w:hint="default"/>
          <w:sz w:val="20"/>
          <w:szCs w:val="20"/>
        </w:rPr>
      </w:pPr>
    </w:p>
    <w:p>
      <w:pPr>
        <w:pStyle w:val="Heading4"/>
        <w:tabs>
          <w:tab w:pos="1819" w:val="left" w:leader="none"/>
        </w:tabs>
        <w:spacing w:line="240" w:lineRule="auto" w:before="0"/>
        <w:ind w:right="0"/>
        <w:jc w:val="left"/>
        <w:rPr>
          <w:b w:val="0"/>
          <w:bCs w:val="0"/>
        </w:rPr>
      </w:pPr>
      <w:r>
        <w:rPr>
          <w:rFonts w:ascii="Times New Roman" w:hAnsi="Times New Roman" w:cs="Times New Roman" w:eastAsia="Times New Roman" w:hint="default"/>
          <w:w w:val="95"/>
        </w:rPr>
        <w:t>(</w:t>
      </w:r>
      <w:r>
        <w:rPr>
          <w:w w:val="95"/>
        </w:rPr>
        <w:t>三十四</w:t>
      </w:r>
      <w:r>
        <w:rPr>
          <w:rFonts w:ascii="Times New Roman" w:hAnsi="Times New Roman" w:cs="Times New Roman" w:eastAsia="Times New Roman" w:hint="default"/>
          <w:w w:val="95"/>
        </w:rPr>
        <w:t>)</w:t>
        <w:tab/>
      </w:r>
      <w:r>
        <w:rPr/>
        <w:t>营业外支出</w:t>
      </w:r>
      <w:r>
        <w:rPr>
          <w:b w:val="0"/>
          <w:bCs w:val="0"/>
        </w:rPr>
      </w:r>
    </w:p>
    <w:p>
      <w:pPr>
        <w:spacing w:line="240" w:lineRule="auto" w:before="7"/>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2759"/>
        <w:gridCol w:w="1896"/>
        <w:gridCol w:w="1843"/>
        <w:gridCol w:w="2062"/>
      </w:tblGrid>
      <w:tr>
        <w:trPr>
          <w:trHeight w:val="565" w:hRule="exact"/>
        </w:trPr>
        <w:tc>
          <w:tcPr>
            <w:tcW w:w="2759" w:type="dxa"/>
            <w:tcBorders>
              <w:top w:val="single" w:sz="12" w:space="0" w:color="000000"/>
              <w:left w:val="nil" w:sz="6" w:space="0" w:color="auto"/>
              <w:bottom w:val="single" w:sz="4" w:space="0" w:color="000000"/>
              <w:right w:val="single" w:sz="4" w:space="0" w:color="000000"/>
            </w:tcBorders>
          </w:tcPr>
          <w:p>
            <w:pPr>
              <w:pStyle w:val="TableParagraph"/>
              <w:tabs>
                <w:tab w:pos="438" w:val="left" w:leader="none"/>
              </w:tabs>
              <w:spacing w:line="240" w:lineRule="auto" w:before="100"/>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496"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062"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777,085.92</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115,916.11</w:t>
            </w:r>
            <w:r>
              <w:rPr>
                <w:rFonts w:ascii="Times New Roman"/>
                <w:sz w:val="21"/>
              </w:rPr>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777,085.92</w:t>
            </w:r>
            <w:r>
              <w:rPr>
                <w:rFonts w:ascii="Times New Roman"/>
                <w:sz w:val="21"/>
              </w:rPr>
            </w:r>
          </w:p>
        </w:tc>
      </w:tr>
      <w:tr>
        <w:trPr>
          <w:trHeight w:val="371"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777,085.92</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115,916.11</w:t>
            </w:r>
            <w:r>
              <w:rPr>
                <w:rFonts w:ascii="Times New Roman"/>
                <w:sz w:val="21"/>
              </w:rPr>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777,085.92</w:t>
            </w:r>
            <w:r>
              <w:rPr>
                <w:rFonts w:ascii="Times New Roman"/>
                <w:sz w:val="21"/>
              </w:rPr>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其中：公益性捐赠支出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503,520.72</w:t>
            </w:r>
            <w:r>
              <w:rPr>
                <w:rFonts w:ascii="Times New Roman"/>
                <w:sz w:val="21"/>
              </w:rPr>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16,151.75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24,652.98</w:t>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16,151.75</w:t>
            </w:r>
          </w:p>
        </w:tc>
      </w:tr>
      <w:tr>
        <w:trPr>
          <w:trHeight w:val="370"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238,286.41</w:t>
            </w:r>
            <w:r>
              <w:rPr>
                <w:rFonts w:ascii="Times New Roman"/>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149,779.69</w:t>
            </w:r>
            <w:r>
              <w:rPr>
                <w:rFonts w:ascii="Times New Roman"/>
                <w:sz w:val="21"/>
              </w:rPr>
            </w:r>
          </w:p>
        </w:tc>
        <w:tc>
          <w:tcPr>
            <w:tcW w:w="20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8"/>
              <w:jc w:val="right"/>
              <w:rPr>
                <w:rFonts w:ascii="Times New Roman" w:hAnsi="Times New Roman" w:cs="Times New Roman" w:eastAsia="Times New Roman" w:hint="default"/>
                <w:sz w:val="21"/>
                <w:szCs w:val="21"/>
              </w:rPr>
            </w:pPr>
            <w:r>
              <w:rPr>
                <w:rFonts w:ascii="Times New Roman"/>
                <w:spacing w:val="-1"/>
                <w:sz w:val="21"/>
              </w:rPr>
              <w:t>238,286.41</w:t>
            </w:r>
            <w:r>
              <w:rPr>
                <w:rFonts w:ascii="Times New Roman"/>
                <w:sz w:val="21"/>
              </w:rPr>
            </w:r>
          </w:p>
        </w:tc>
      </w:tr>
      <w:tr>
        <w:trPr>
          <w:trHeight w:val="381" w:hRule="exact"/>
        </w:trPr>
        <w:tc>
          <w:tcPr>
            <w:tcW w:w="2759"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1,131,524.08</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793,869.50</w:t>
            </w:r>
          </w:p>
        </w:tc>
        <w:tc>
          <w:tcPr>
            <w:tcW w:w="20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1,131,524.08</w:t>
            </w:r>
          </w:p>
        </w:tc>
      </w:tr>
    </w:tbl>
    <w:p>
      <w:pPr>
        <w:spacing w:line="240" w:lineRule="auto" w:before="8"/>
        <w:rPr>
          <w:rFonts w:ascii="宋体" w:hAnsi="宋体" w:cs="宋体" w:eastAsia="宋体" w:hint="default"/>
          <w:b/>
          <w:bCs/>
          <w:sz w:val="6"/>
          <w:szCs w:val="6"/>
        </w:rPr>
      </w:pPr>
    </w:p>
    <w:p>
      <w:pPr>
        <w:tabs>
          <w:tab w:pos="1819" w:val="left" w:leader="none"/>
        </w:tabs>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三十五</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92" w:type="dxa"/>
        <w:tblLayout w:type="fixed"/>
        <w:tblCellMar>
          <w:top w:w="0" w:type="dxa"/>
          <w:left w:w="0" w:type="dxa"/>
          <w:bottom w:w="0" w:type="dxa"/>
          <w:right w:w="0" w:type="dxa"/>
        </w:tblCellMar>
        <w:tblLook w:val="01E0"/>
      </w:tblPr>
      <w:tblGrid>
        <w:gridCol w:w="4652"/>
        <w:gridCol w:w="1840"/>
        <w:gridCol w:w="1980"/>
      </w:tblGrid>
      <w:tr>
        <w:trPr>
          <w:trHeight w:val="380" w:hRule="exact"/>
        </w:trPr>
        <w:tc>
          <w:tcPr>
            <w:tcW w:w="4652"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9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6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59,048,881.82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38,035,144.56</w:t>
            </w:r>
          </w:p>
        </w:tc>
      </w:tr>
      <w:tr>
        <w:trPr>
          <w:trHeight w:val="371"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上年企业所得税汇算清缴补计</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-70,294.91</w:t>
            </w:r>
            <w:r>
              <w:rPr>
                <w:rFonts w:ascii="Times New Roman"/>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272,927.81</w:t>
            </w:r>
            <w:r>
              <w:rPr>
                <w:rFonts w:ascii="Times New Roman"/>
                <w:sz w:val="21"/>
              </w:rPr>
            </w:r>
          </w:p>
        </w:tc>
      </w:tr>
      <w:tr>
        <w:trPr>
          <w:trHeight w:val="37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-9,122,817.56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-2,584,857.04</w:t>
            </w:r>
          </w:p>
        </w:tc>
      </w:tr>
      <w:tr>
        <w:trPr>
          <w:trHeight w:val="380" w:hRule="exact"/>
        </w:trPr>
        <w:tc>
          <w:tcPr>
            <w:tcW w:w="4652"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49,855,769.35</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35,723,215.33</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1140"/>
        </w:sectPr>
      </w:pPr>
    </w:p>
    <w:p>
      <w:pPr>
        <w:spacing w:line="240" w:lineRule="auto" w:before="0"/>
        <w:rPr>
          <w:rFonts w:ascii="宋体" w:hAnsi="宋体" w:cs="宋体" w:eastAsia="宋体" w:hint="default"/>
          <w:b/>
          <w:bCs/>
          <w:sz w:val="20"/>
          <w:szCs w:val="20"/>
        </w:rPr>
      </w:pPr>
    </w:p>
    <w:p>
      <w:pPr>
        <w:tabs>
          <w:tab w:pos="1819" w:val="left" w:leader="none"/>
        </w:tabs>
        <w:spacing w:before="180"/>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三十六</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3434"/>
        <w:gridCol w:w="1714"/>
        <w:gridCol w:w="1688"/>
        <w:gridCol w:w="1559"/>
      </w:tblGrid>
      <w:tr>
        <w:trPr>
          <w:trHeight w:val="380" w:hRule="exact"/>
        </w:trPr>
        <w:tc>
          <w:tcPr>
            <w:tcW w:w="3434"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5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35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P1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475,131,689.63</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387,933,928.14</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归属于公司普通股股东的非经常性</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11,257,489.07</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21,476,952.99</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扣除非经常性损益后归属于公司普</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P2=P1-F</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463,874,200.56</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366,456,975.15</w:t>
            </w:r>
          </w:p>
        </w:tc>
      </w:tr>
      <w:tr>
        <w:trPr>
          <w:trHeight w:val="371"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S0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342,141,624.00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285,118,020.00</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报告期因公积金转增股本或股票股</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利分配等增加股份数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S1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57,023,604.00</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报告期因发行新股或债转股等增加</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Si</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Sj</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Sk</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资产负债表日后发生的需调整股数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S2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认股权证、股份期权、可转换债券</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等增加的普通股加权平均数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S3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21"/>
                <w:szCs w:val="21"/>
              </w:rPr>
            </w:pPr>
            <w:r>
              <w:rPr>
                <w:rFonts w:ascii="Times New Roman"/>
                <w:sz w:val="21"/>
              </w:rPr>
              <w:t>M0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12.00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12.00</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增加股份次月起至报告期期末的累</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计月数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Mi</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减少股份次月起至报告期期末的累</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计月数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1"/>
                <w:szCs w:val="21"/>
              </w:rPr>
            </w:pPr>
            <w:r>
              <w:rPr>
                <w:rFonts w:ascii="Times New Roman"/>
                <w:sz w:val="21"/>
              </w:rPr>
              <w:t>Mj</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827"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宋体" w:hAnsi="宋体" w:cs="宋体" w:eastAsia="宋体" w:hint="default"/>
                <w:sz w:val="21"/>
                <w:szCs w:val="21"/>
              </w:rPr>
              <w:t>×</w:t>
            </w:r>
          </w:p>
          <w:p>
            <w:pPr>
              <w:pStyle w:val="TableParagraph"/>
              <w:spacing w:line="27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M0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w:t>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M0-Sk+S2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342,141,624.00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342,141,624.00</w:t>
            </w:r>
          </w:p>
        </w:tc>
      </w:tr>
      <w:tr>
        <w:trPr>
          <w:trHeight w:val="371"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=P1</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1.39</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1.13</w:t>
            </w:r>
          </w:p>
        </w:tc>
      </w:tr>
      <w:tr>
        <w:trPr>
          <w:trHeight w:val="370"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扣除非经常性损益后基本每股收益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=P2</w:t>
            </w:r>
            <w:r>
              <w:rPr>
                <w:rFonts w:ascii="宋体" w:hAnsi="宋体" w:cs="宋体" w:eastAsia="宋体" w:hint="default"/>
                <w:sz w:val="21"/>
                <w:szCs w:val="21"/>
              </w:rPr>
              <w:t>÷</w:t>
            </w:r>
            <w:r>
              <w:rPr>
                <w:rFonts w:ascii="Times New Roman" w:hAnsi="Times New Roman" w:cs="Times New Roman" w:eastAsia="Times New Roman" w:hint="default"/>
                <w:sz w:val="21"/>
                <w:szCs w:val="21"/>
              </w:rPr>
              <w:t>S</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1.07</w:t>
            </w:r>
          </w:p>
        </w:tc>
      </w:tr>
      <w:tr>
        <w:trPr>
          <w:trHeight w:val="370"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=P1</w:t>
            </w:r>
            <w:r>
              <w:rPr>
                <w:rFonts w:ascii="宋体" w:hAnsi="宋体" w:cs="宋体" w:eastAsia="宋体" w:hint="default"/>
                <w:sz w:val="21"/>
                <w:szCs w:val="21"/>
              </w:rPr>
              <w:t>÷</w:t>
            </w:r>
            <w:r>
              <w:rPr>
                <w:rFonts w:ascii="Times New Roman" w:hAnsi="Times New Roman" w:cs="Times New Roman" w:eastAsia="Times New Roman" w:hint="default"/>
                <w:sz w:val="21"/>
                <w:szCs w:val="21"/>
              </w:rPr>
              <w:t>(S-S3)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1.39</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1.13</w:t>
            </w:r>
          </w:p>
        </w:tc>
      </w:tr>
      <w:tr>
        <w:trPr>
          <w:trHeight w:val="381" w:hRule="exact"/>
        </w:trPr>
        <w:tc>
          <w:tcPr>
            <w:tcW w:w="3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扣除非经常性损益后稀释每股收益</w:t>
            </w:r>
          </w:p>
        </w:tc>
        <w:tc>
          <w:tcPr>
            <w:tcW w:w="1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=P2</w:t>
            </w:r>
            <w:r>
              <w:rPr>
                <w:rFonts w:ascii="宋体" w:hAnsi="宋体" w:cs="宋体" w:eastAsia="宋体" w:hint="default"/>
                <w:sz w:val="21"/>
                <w:szCs w:val="21"/>
              </w:rPr>
              <w:t>÷</w:t>
            </w:r>
            <w:r>
              <w:rPr>
                <w:rFonts w:ascii="Times New Roman" w:hAnsi="Times New Roman" w:cs="Times New Roman" w:eastAsia="Times New Roman" w:hint="default"/>
                <w:sz w:val="21"/>
                <w:szCs w:val="21"/>
              </w:rPr>
              <w:t>(S-S3)</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w:t>
            </w:r>
          </w:p>
        </w:tc>
        <w:tc>
          <w:tcPr>
            <w:tcW w:w="155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1.07</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1140"/>
        </w:sectPr>
      </w:pPr>
    </w:p>
    <w:p>
      <w:pPr>
        <w:spacing w:line="240" w:lineRule="auto" w:before="2"/>
        <w:rPr>
          <w:rFonts w:ascii="宋体" w:hAnsi="宋体" w:cs="宋体" w:eastAsia="宋体" w:hint="default"/>
          <w:b/>
          <w:bCs/>
          <w:sz w:val="19"/>
          <w:szCs w:val="19"/>
        </w:rPr>
      </w:pPr>
    </w:p>
    <w:p>
      <w:pPr>
        <w:pStyle w:val="Heading4"/>
        <w:tabs>
          <w:tab w:pos="1819" w:val="left" w:leader="none"/>
        </w:tabs>
        <w:spacing w:line="240" w:lineRule="auto"/>
        <w:ind w:right="0"/>
        <w:jc w:val="left"/>
        <w:rPr>
          <w:b w:val="0"/>
          <w:bCs w:val="0"/>
        </w:rPr>
      </w:pPr>
      <w:r>
        <w:rPr>
          <w:rFonts w:ascii="Times New Roman" w:hAnsi="Times New Roman" w:cs="Times New Roman" w:eastAsia="Times New Roman" w:hint="default"/>
          <w:w w:val="95"/>
        </w:rPr>
        <w:t>(</w:t>
      </w:r>
      <w:r>
        <w:rPr>
          <w:w w:val="95"/>
        </w:rPr>
        <w:t>三十七</w:t>
      </w:r>
      <w:r>
        <w:rPr>
          <w:rFonts w:ascii="Times New Roman" w:hAnsi="Times New Roman" w:cs="Times New Roman" w:eastAsia="Times New Roman" w:hint="default"/>
          <w:w w:val="95"/>
        </w:rPr>
        <w:t>)</w:t>
        <w:tab/>
      </w:r>
      <w:r>
        <w:rPr/>
        <w:t>其他综合收益</w:t>
      </w:r>
      <w:r>
        <w:rPr>
          <w:b w:val="0"/>
          <w:bCs w:val="0"/>
        </w:rPr>
      </w:r>
    </w:p>
    <w:p>
      <w:pPr>
        <w:spacing w:line="240" w:lineRule="auto" w:before="7"/>
        <w:rPr>
          <w:rFonts w:ascii="宋体" w:hAnsi="宋体" w:cs="宋体" w:eastAsia="宋体" w:hint="default"/>
          <w:b/>
          <w:bCs/>
          <w:sz w:val="11"/>
          <w:szCs w:val="11"/>
        </w:rPr>
      </w:pPr>
    </w:p>
    <w:tbl>
      <w:tblPr>
        <w:tblW w:w="0" w:type="auto"/>
        <w:jc w:val="left"/>
        <w:tblInd w:w="395" w:type="dxa"/>
        <w:tblLayout w:type="fixed"/>
        <w:tblCellMar>
          <w:top w:w="0" w:type="dxa"/>
          <w:left w:w="0" w:type="dxa"/>
          <w:bottom w:w="0" w:type="dxa"/>
          <w:right w:w="0" w:type="dxa"/>
        </w:tblCellMar>
        <w:tblLook w:val="01E0"/>
      </w:tblPr>
      <w:tblGrid>
        <w:gridCol w:w="4950"/>
        <w:gridCol w:w="1710"/>
        <w:gridCol w:w="1710"/>
      </w:tblGrid>
      <w:tr>
        <w:trPr>
          <w:trHeight w:val="380" w:hRule="exact"/>
        </w:trPr>
        <w:tc>
          <w:tcPr>
            <w:tcW w:w="4950" w:type="dxa"/>
            <w:tcBorders>
              <w:top w:val="single" w:sz="12"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2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2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9,207,304.43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9,207,304.43</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73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97" w:lineRule="auto" w:before="53"/>
              <w:ind w:left="122" w:right="95"/>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按照权益法核算的在被投资单位其他综合收益中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所享有的份额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73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3"/>
              <w:ind w:left="122" w:right="95"/>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减：按照权益法核算的在被投资单位其他综合收益 </w:t>
            </w:r>
            <w:r>
              <w:rPr>
                <w:rFonts w:ascii="宋体" w:hAnsi="宋体" w:cs="宋体" w:eastAsia="宋体" w:hint="default"/>
                <w:sz w:val="21"/>
                <w:szCs w:val="21"/>
              </w:rPr>
              <w:t>中所享有的份额产生的所得税影响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-497,805.48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-48,880.48</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-497,805.48</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-48,880.48</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1"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4950"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8,709,498.95</w:t>
            </w:r>
          </w:p>
        </w:tc>
        <w:tc>
          <w:tcPr>
            <w:tcW w:w="17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-48,880.48</w:t>
            </w:r>
            <w:r>
              <w:rPr>
                <w:rFonts w:ascii="Times New Roman"/>
                <w:sz w:val="21"/>
              </w:rPr>
            </w:r>
          </w:p>
        </w:tc>
      </w:tr>
    </w:tbl>
    <w:p>
      <w:pPr>
        <w:spacing w:line="240" w:lineRule="auto" w:before="8"/>
        <w:rPr>
          <w:rFonts w:ascii="宋体" w:hAnsi="宋体" w:cs="宋体" w:eastAsia="宋体" w:hint="default"/>
          <w:b/>
          <w:bCs/>
          <w:sz w:val="6"/>
          <w:szCs w:val="6"/>
        </w:rPr>
      </w:pPr>
    </w:p>
    <w:p>
      <w:pPr>
        <w:pStyle w:val="BodyText"/>
        <w:spacing w:line="338" w:lineRule="auto" w:before="35"/>
        <w:ind w:left="139" w:right="135" w:firstLine="535"/>
        <w:jc w:val="both"/>
      </w:pPr>
      <w:r>
        <w:rPr>
          <w:spacing w:val="45"/>
        </w:rPr>
        <w:t>本公司的 </w:t>
      </w:r>
      <w:r>
        <w:rPr>
          <w:spacing w:val="40"/>
        </w:rPr>
        <w:t>子公司 </w:t>
      </w:r>
      <w:r>
        <w:rPr>
          <w:rFonts w:ascii="Times New Roman" w:hAnsi="Times New Roman" w:cs="Times New Roman" w:eastAsia="Times New Roman" w:hint="default"/>
        </w:rPr>
        <w:t>GRG Banking Equipment (HK) Co.,Limited </w:t>
      </w:r>
      <w:r>
        <w:rPr>
          <w:spacing w:val="48"/>
        </w:rPr>
        <w:t>在本年持有</w:t>
      </w:r>
      <w:r>
        <w:rPr>
          <w:spacing w:val="28"/>
        </w:rPr>
        <w:t> </w:t>
      </w:r>
      <w:r>
        <w:rPr>
          <w:rFonts w:ascii="Times New Roman" w:hAnsi="Times New Roman" w:cs="Times New Roman" w:eastAsia="Times New Roman" w:hint="default"/>
        </w:rPr>
        <w:t>GRG</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3"/>
        </w:rPr>
        <w:t>INTERNATIONAL </w:t>
      </w:r>
      <w:r>
        <w:rPr>
          <w:rFonts w:ascii="Times New Roman" w:hAnsi="Times New Roman" w:cs="Times New Roman" w:eastAsia="Times New Roman" w:hint="default"/>
          <w:spacing w:val="-4"/>
        </w:rPr>
        <w:t>LTD(GRG) </w:t>
      </w:r>
      <w:r>
        <w:rPr>
          <w:spacing w:val="7"/>
        </w:rPr>
        <w:t>股份 </w:t>
      </w:r>
      <w:r>
        <w:rPr>
          <w:rFonts w:ascii="Times New Roman" w:hAnsi="Times New Roman" w:cs="Times New Roman" w:eastAsia="Times New Roman" w:hint="default"/>
        </w:rPr>
        <w:t>8,897,282 </w:t>
      </w:r>
      <w:r>
        <w:rPr>
          <w:spacing w:val="10"/>
        </w:rPr>
        <w:t>股，其中 </w:t>
      </w:r>
      <w:r>
        <w:rPr>
          <w:rFonts w:ascii="Times New Roman" w:hAnsi="Times New Roman" w:cs="Times New Roman" w:eastAsia="Times New Roman" w:hint="default"/>
        </w:rPr>
        <w:t>6,897,282</w:t>
      </w:r>
      <w:r>
        <w:rPr>
          <w:rFonts w:ascii="Times New Roman" w:hAnsi="Times New Roman" w:cs="Times New Roman" w:eastAsia="Times New Roman" w:hint="default"/>
          <w:spacing w:val="42"/>
        </w:rPr>
        <w:t> </w:t>
      </w:r>
      <w:r>
        <w:rPr>
          <w:spacing w:val="13"/>
        </w:rPr>
        <w:t>股是原始股，购买成本为</w:t>
      </w:r>
      <w:r>
        <w:rPr>
          <w:spacing w:val="14"/>
        </w:rPr>
        <w:t> </w:t>
      </w:r>
      <w:r>
        <w:rPr>
          <w:rFonts w:ascii="Times New Roman" w:hAnsi="Times New Roman" w:cs="Times New Roman" w:eastAsia="Times New Roman" w:hint="default"/>
        </w:rPr>
        <w:t>640,500.40  AUD</w:t>
      </w:r>
      <w:r>
        <w:rPr/>
        <w:t>，</w:t>
      </w:r>
      <w:r>
        <w:rPr>
          <w:rFonts w:ascii="Times New Roman" w:hAnsi="Times New Roman" w:cs="Times New Roman" w:eastAsia="Times New Roman" w:hint="default"/>
        </w:rPr>
        <w:t>2,000,000  </w:t>
      </w:r>
      <w:r>
        <w:rPr>
          <w:spacing w:val="3"/>
        </w:rPr>
        <w:t>股是流通股，购买成本为 </w:t>
      </w:r>
      <w:r>
        <w:rPr>
          <w:rFonts w:ascii="Times New Roman" w:hAnsi="Times New Roman" w:cs="Times New Roman" w:eastAsia="Times New Roman" w:hint="default"/>
        </w:rPr>
        <w:t>400,000.00 </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3"/>
        </w:rPr>
        <w:t>AUD</w:t>
      </w:r>
      <w:r>
        <w:rPr>
          <w:spacing w:val="3"/>
        </w:rPr>
        <w:t>，总购买成本为人民币</w:t>
      </w:r>
      <w:r>
        <w:rPr/>
      </w:r>
    </w:p>
    <w:p>
      <w:pPr>
        <w:pStyle w:val="BodyText"/>
        <w:spacing w:line="240" w:lineRule="auto" w:before="23"/>
        <w:ind w:left="139" w:right="0"/>
        <w:jc w:val="left"/>
      </w:pPr>
      <w:r>
        <w:rPr>
          <w:rFonts w:ascii="Times New Roman" w:hAnsi="Times New Roman" w:cs="Times New Roman" w:eastAsia="Times New Roman" w:hint="default"/>
        </w:rPr>
        <w:t>6,616,010.69</w:t>
      </w:r>
      <w:r>
        <w:rPr>
          <w:rFonts w:ascii="Times New Roman" w:hAnsi="Times New Roman" w:cs="Times New Roman" w:eastAsia="Times New Roman" w:hint="default"/>
          <w:spacing w:val="-3"/>
        </w:rPr>
        <w:t> </w:t>
      </w:r>
      <w:r>
        <w:rPr>
          <w:spacing w:val="-7"/>
        </w:rPr>
        <w:t>元。</w:t>
      </w:r>
      <w:r>
        <w:rPr>
          <w:rFonts w:ascii="Times New Roman" w:hAnsi="Times New Roman" w:cs="Times New Roman" w:eastAsia="Times New Roman" w:hint="default"/>
          <w:spacing w:val="-7"/>
        </w:rPr>
        <w:t>2010-12-29</w:t>
      </w:r>
      <w:r>
        <w:rPr>
          <w:rFonts w:ascii="Times New Roman" w:hAnsi="Times New Roman" w:cs="Times New Roman" w:eastAsia="Times New Roman" w:hint="default"/>
          <w:spacing w:val="-1"/>
        </w:rPr>
        <w:t> </w:t>
      </w:r>
      <w:r>
        <w:rPr/>
        <w:t>该公司股票收市价为</w:t>
      </w:r>
      <w:r>
        <w:rPr>
          <w:spacing w:val="-55"/>
        </w:rPr>
        <w:t> </w:t>
      </w:r>
      <w:r>
        <w:rPr>
          <w:rFonts w:ascii="Times New Roman" w:hAnsi="Times New Roman" w:cs="Times New Roman" w:eastAsia="Times New Roman" w:hint="default"/>
        </w:rPr>
        <w:t>0.265AUD,</w:t>
      </w:r>
      <w:r>
        <w:rPr>
          <w:rFonts w:ascii="Times New Roman" w:hAnsi="Times New Roman" w:cs="Times New Roman" w:eastAsia="Times New Roman" w:hint="default"/>
          <w:spacing w:val="50"/>
        </w:rPr>
        <w:t> </w:t>
      </w:r>
      <w:r>
        <w:rPr/>
        <w:t>按</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日汇率折算人民</w:t>
      </w:r>
    </w:p>
    <w:p>
      <w:pPr>
        <w:pStyle w:val="BodyText"/>
        <w:spacing w:line="240" w:lineRule="auto" w:before="117"/>
        <w:ind w:left="139" w:right="0"/>
        <w:jc w:val="left"/>
      </w:pPr>
      <w:r>
        <w:rPr/>
        <w:t>币期末公允价值为</w:t>
      </w:r>
      <w:r>
        <w:rPr>
          <w:spacing w:val="-59"/>
        </w:rPr>
        <w:t> </w:t>
      </w:r>
      <w:r>
        <w:rPr>
          <w:rFonts w:ascii="Times New Roman" w:hAnsi="Times New Roman" w:cs="Times New Roman" w:eastAsia="Times New Roman" w:hint="default"/>
        </w:rPr>
        <w:t>15,823,315.12</w:t>
      </w:r>
      <w:r>
        <w:rPr>
          <w:rFonts w:ascii="Times New Roman" w:hAnsi="Times New Roman" w:cs="Times New Roman" w:eastAsia="Times New Roman" w:hint="default"/>
          <w:spacing w:val="-5"/>
        </w:rPr>
        <w:t> </w:t>
      </w:r>
      <w:r>
        <w:rPr/>
        <w:t>元，公允价值增加</w:t>
      </w:r>
      <w:r>
        <w:rPr>
          <w:spacing w:val="-59"/>
        </w:rPr>
        <w:t> </w:t>
      </w:r>
      <w:r>
        <w:rPr>
          <w:rFonts w:ascii="Times New Roman" w:hAnsi="Times New Roman" w:cs="Times New Roman" w:eastAsia="Times New Roman" w:hint="default"/>
        </w:rPr>
        <w:t>9,207,304.43</w:t>
      </w:r>
      <w:r>
        <w:rPr>
          <w:rFonts w:ascii="Times New Roman" w:hAnsi="Times New Roman" w:cs="Times New Roman" w:eastAsia="Times New Roman" w:hint="default"/>
          <w:spacing w:val="-6"/>
        </w:rPr>
        <w:t> </w:t>
      </w:r>
      <w:r>
        <w:rPr/>
        <w:t>元转入资本公积。</w:t>
      </w:r>
    </w:p>
    <w:p>
      <w:pPr>
        <w:spacing w:after="0" w:line="240" w:lineRule="auto"/>
        <w:jc w:val="left"/>
        <w:sectPr>
          <w:footerReference w:type="default" r:id="rId36"/>
          <w:pgSz w:w="11910" w:h="16840"/>
          <w:pgMar w:footer="982" w:header="0" w:top="1100" w:bottom="1180" w:left="1660" w:right="1140"/>
          <w:pgNumType w:start="110"/>
        </w:sectPr>
      </w:pPr>
    </w:p>
    <w:p>
      <w:pPr>
        <w:spacing w:line="240" w:lineRule="auto" w:before="2"/>
        <w:rPr>
          <w:rFonts w:ascii="宋体" w:hAnsi="宋体" w:cs="宋体" w:eastAsia="宋体" w:hint="default"/>
          <w:sz w:val="19"/>
          <w:szCs w:val="19"/>
        </w:rPr>
      </w:pPr>
    </w:p>
    <w:p>
      <w:pPr>
        <w:pStyle w:val="Heading4"/>
        <w:tabs>
          <w:tab w:pos="1819" w:val="left" w:leader="none"/>
        </w:tabs>
        <w:spacing w:line="240" w:lineRule="auto"/>
        <w:ind w:left="677" w:right="4777"/>
        <w:jc w:val="left"/>
        <w:rPr>
          <w:b w:val="0"/>
          <w:bCs w:val="0"/>
        </w:rPr>
      </w:pPr>
      <w:r>
        <w:rPr>
          <w:rFonts w:ascii="Times New Roman" w:hAnsi="Times New Roman" w:cs="Times New Roman" w:eastAsia="Times New Roman" w:hint="default"/>
          <w:w w:val="95"/>
        </w:rPr>
        <w:t>(</w:t>
      </w:r>
      <w:r>
        <w:rPr>
          <w:w w:val="95"/>
        </w:rPr>
        <w:t>三十八</w:t>
      </w:r>
      <w:r>
        <w:rPr>
          <w:rFonts w:ascii="Times New Roman" w:hAnsi="Times New Roman" w:cs="Times New Roman" w:eastAsia="Times New Roman" w:hint="default"/>
          <w:w w:val="95"/>
        </w:rPr>
        <w:t>)</w:t>
        <w:tab/>
      </w:r>
      <w:r>
        <w:rPr/>
        <w:t>现金流量表附注</w:t>
      </w:r>
      <w:r>
        <w:rPr>
          <w:b w:val="0"/>
          <w:bCs w:val="0"/>
        </w:rPr>
      </w:r>
    </w:p>
    <w:p>
      <w:pPr>
        <w:spacing w:before="117"/>
        <w:ind w:left="677"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5705"/>
        <w:gridCol w:w="2520"/>
      </w:tblGrid>
      <w:tr>
        <w:trPr>
          <w:trHeight w:val="340" w:hRule="exact"/>
        </w:trPr>
        <w:tc>
          <w:tcPr>
            <w:tcW w:w="570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12"/>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left="835"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政府补助及专项拨款</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21"/>
                <w:szCs w:val="21"/>
              </w:rPr>
            </w:pPr>
            <w:r>
              <w:rPr>
                <w:rFonts w:ascii="Times New Roman"/>
                <w:spacing w:val="-1"/>
                <w:sz w:val="21"/>
              </w:rPr>
              <w:t>17,309,347.75</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收取押金、保证金等</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spacing w:val="-1"/>
                <w:sz w:val="21"/>
              </w:rPr>
              <w:t>1,819,781.41</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21"/>
                <w:szCs w:val="21"/>
              </w:rPr>
            </w:pPr>
            <w:r>
              <w:rPr>
                <w:rFonts w:ascii="Times New Roman"/>
                <w:spacing w:val="-1"/>
                <w:sz w:val="21"/>
              </w:rPr>
              <w:t>4,589,486.74</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14,179,400.34</w:t>
            </w:r>
            <w:r>
              <w:rPr>
                <w:rFonts w:ascii="Times New Roman"/>
                <w:sz w:val="21"/>
              </w:rPr>
            </w:r>
          </w:p>
        </w:tc>
      </w:tr>
      <w:tr>
        <w:trPr>
          <w:trHeight w:val="340" w:hRule="exact"/>
        </w:trPr>
        <w:tc>
          <w:tcPr>
            <w:tcW w:w="5705" w:type="dxa"/>
            <w:tcBorders>
              <w:top w:val="single" w:sz="4" w:space="0" w:color="000000"/>
              <w:left w:val="nil" w:sz="6" w:space="0" w:color="auto"/>
              <w:bottom w:val="single" w:sz="12" w:space="0" w:color="000000"/>
              <w:right w:val="single" w:sz="4" w:space="0" w:color="000000"/>
            </w:tcBorders>
          </w:tcPr>
          <w:p>
            <w:pPr>
              <w:pStyle w:val="TableParagraph"/>
              <w:tabs>
                <w:tab w:pos="437" w:val="left" w:leader="none"/>
              </w:tabs>
              <w:spacing w:line="240" w:lineRule="auto" w:before="12"/>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21"/>
                <w:szCs w:val="21"/>
              </w:rPr>
            </w:pPr>
            <w:r>
              <w:rPr>
                <w:rFonts w:ascii="Times New Roman"/>
                <w:spacing w:val="-1"/>
                <w:sz w:val="21"/>
              </w:rPr>
              <w:t>37,898,016.24</w:t>
            </w:r>
          </w:p>
        </w:tc>
      </w:tr>
    </w:tbl>
    <w:p>
      <w:pPr>
        <w:spacing w:line="240" w:lineRule="auto" w:before="8"/>
        <w:rPr>
          <w:rFonts w:ascii="宋体" w:hAnsi="宋体" w:cs="宋体" w:eastAsia="宋体" w:hint="default"/>
          <w:b/>
          <w:bCs/>
          <w:sz w:val="6"/>
          <w:szCs w:val="6"/>
        </w:rPr>
      </w:pPr>
    </w:p>
    <w:p>
      <w:pPr>
        <w:spacing w:before="35"/>
        <w:ind w:left="677"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5705"/>
        <w:gridCol w:w="2520"/>
      </w:tblGrid>
      <w:tr>
        <w:trPr>
          <w:trHeight w:val="340" w:hRule="exact"/>
        </w:trPr>
        <w:tc>
          <w:tcPr>
            <w:tcW w:w="5705" w:type="dxa"/>
            <w:tcBorders>
              <w:top w:val="single" w:sz="12" w:space="0" w:color="000000"/>
              <w:left w:val="nil" w:sz="6" w:space="0" w:color="auto"/>
              <w:bottom w:val="single" w:sz="4" w:space="0" w:color="000000"/>
              <w:right w:val="single" w:sz="4" w:space="0" w:color="000000"/>
            </w:tcBorders>
          </w:tcPr>
          <w:p>
            <w:pPr>
              <w:pStyle w:val="TableParagraph"/>
              <w:tabs>
                <w:tab w:pos="629" w:val="left" w:leader="none"/>
              </w:tabs>
              <w:spacing w:line="240" w:lineRule="auto" w:before="12"/>
              <w:ind w:right="241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left="835" w:right="0"/>
              <w:jc w:val="left"/>
              <w:rPr>
                <w:rFonts w:ascii="宋体" w:hAnsi="宋体" w:cs="宋体" w:eastAsia="宋体" w:hint="default"/>
                <w:sz w:val="21"/>
                <w:szCs w:val="21"/>
              </w:rPr>
            </w:pPr>
            <w:r>
              <w:rPr>
                <w:rFonts w:ascii="宋体" w:hAnsi="宋体" w:cs="宋体" w:eastAsia="宋体" w:hint="default"/>
                <w:sz w:val="21"/>
                <w:szCs w:val="21"/>
              </w:rPr>
              <w:t>本期金额</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182,975,654.40</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职工借款</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9,784,560.47</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退押金</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670,088.36</w:t>
            </w:r>
          </w:p>
        </w:tc>
      </w:tr>
      <w:tr>
        <w:trPr>
          <w:trHeight w:val="330" w:hRule="exact"/>
        </w:trPr>
        <w:tc>
          <w:tcPr>
            <w:tcW w:w="5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21"/>
                <w:szCs w:val="21"/>
              </w:rPr>
            </w:pPr>
            <w:r>
              <w:rPr>
                <w:rFonts w:ascii="Times New Roman"/>
                <w:spacing w:val="-1"/>
                <w:sz w:val="21"/>
              </w:rPr>
              <w:t>11,245,078.76</w:t>
            </w:r>
            <w:r>
              <w:rPr>
                <w:rFonts w:ascii="Times New Roman"/>
                <w:sz w:val="21"/>
              </w:rPr>
            </w:r>
          </w:p>
        </w:tc>
      </w:tr>
      <w:tr>
        <w:trPr>
          <w:trHeight w:val="340" w:hRule="exact"/>
        </w:trPr>
        <w:tc>
          <w:tcPr>
            <w:tcW w:w="5705" w:type="dxa"/>
            <w:tcBorders>
              <w:top w:val="single" w:sz="4" w:space="0" w:color="000000"/>
              <w:left w:val="nil" w:sz="6" w:space="0" w:color="auto"/>
              <w:bottom w:val="single" w:sz="12" w:space="0" w:color="000000"/>
              <w:right w:val="single" w:sz="4" w:space="0" w:color="000000"/>
            </w:tcBorders>
          </w:tcPr>
          <w:p>
            <w:pPr>
              <w:pStyle w:val="TableParagraph"/>
              <w:tabs>
                <w:tab w:pos="629" w:val="left" w:leader="none"/>
              </w:tabs>
              <w:spacing w:line="240" w:lineRule="auto" w:before="12"/>
              <w:ind w:right="241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21"/>
                <w:szCs w:val="21"/>
              </w:rPr>
            </w:pPr>
            <w:r>
              <w:rPr>
                <w:rFonts w:ascii="Times New Roman"/>
                <w:spacing w:val="-1"/>
                <w:sz w:val="21"/>
              </w:rPr>
              <w:t>204,675,381.99</w:t>
            </w:r>
          </w:p>
        </w:tc>
      </w:tr>
    </w:tbl>
    <w:p>
      <w:pPr>
        <w:spacing w:line="240" w:lineRule="auto" w:before="7"/>
        <w:rPr>
          <w:rFonts w:ascii="宋体" w:hAnsi="宋体" w:cs="宋体" w:eastAsia="宋体" w:hint="default"/>
          <w:b/>
          <w:bCs/>
          <w:sz w:val="18"/>
          <w:szCs w:val="18"/>
        </w:rPr>
      </w:pPr>
    </w:p>
    <w:p>
      <w:pPr>
        <w:tabs>
          <w:tab w:pos="1819" w:val="left" w:leader="none"/>
        </w:tabs>
        <w:spacing w:before="35"/>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三十九</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17"/>
        <w:ind w:left="677"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4985"/>
        <w:gridCol w:w="1800"/>
        <w:gridCol w:w="1800"/>
      </w:tblGrid>
      <w:tr>
        <w:trPr>
          <w:trHeight w:val="380" w:hRule="exact"/>
        </w:trPr>
        <w:tc>
          <w:tcPr>
            <w:tcW w:w="49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475,704,715.00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387,271,638.90</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7,465,248.48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4,608,540.15</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24,469,836.57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20,495,845.25</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835,871.70</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590,163.95</w:t>
            </w:r>
            <w:r>
              <w:rPr>
                <w:rFonts w:ascii="Times New Roman"/>
                <w:sz w:val="21"/>
              </w:rPr>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111,865.47</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696,300.31</w:t>
            </w:r>
            <w:r>
              <w:rPr>
                <w:rFonts w:ascii="Times New Roman"/>
                <w:sz w:val="21"/>
              </w:rPr>
            </w:r>
          </w:p>
        </w:tc>
      </w:tr>
      <w:tr>
        <w:trPr>
          <w:trHeight w:val="556"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-2,210,677.28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21"/>
                <w:szCs w:val="21"/>
              </w:rPr>
            </w:pPr>
            <w:r>
              <w:rPr>
                <w:rFonts w:ascii="Times New Roman"/>
                <w:spacing w:val="-1"/>
                <w:sz w:val="21"/>
              </w:rPr>
              <w:t>-4,055,245.85</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767,835.18</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7,712.60</w:t>
            </w:r>
            <w:r>
              <w:rPr>
                <w:rFonts w:ascii="Times New Roman"/>
                <w:sz w:val="21"/>
              </w:rPr>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5,105,020.46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719,596.47</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-9,122,152.15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-2,584,856.13</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21,964,568.70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91,586,479.62</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-596,643,740.01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-61,736,155.53</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190,473,966.92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-182,849,226.88</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118,922,359.04</w:t>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254,750,792.86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780"/>
        </w:sectPr>
      </w:pPr>
    </w:p>
    <w:p>
      <w:pPr>
        <w:spacing w:line="240" w:lineRule="auto" w:before="6"/>
        <w:rPr>
          <w:rFonts w:ascii="宋体" w:hAnsi="宋体" w:cs="宋体" w:eastAsia="宋体" w:hint="default"/>
          <w:b/>
          <w:bCs/>
          <w:sz w:val="24"/>
          <w:szCs w:val="24"/>
        </w:rPr>
      </w:pPr>
    </w:p>
    <w:tbl>
      <w:tblPr>
        <w:tblW w:w="0" w:type="auto"/>
        <w:jc w:val="left"/>
        <w:tblInd w:w="720" w:type="dxa"/>
        <w:tblLayout w:type="fixed"/>
        <w:tblCellMar>
          <w:top w:w="0" w:type="dxa"/>
          <w:left w:w="0" w:type="dxa"/>
          <w:bottom w:w="0" w:type="dxa"/>
          <w:right w:w="0" w:type="dxa"/>
        </w:tblCellMar>
        <w:tblLook w:val="01E0"/>
      </w:tblPr>
      <w:tblGrid>
        <w:gridCol w:w="4985"/>
        <w:gridCol w:w="1800"/>
        <w:gridCol w:w="1800"/>
      </w:tblGrid>
      <w:tr>
        <w:trPr>
          <w:trHeight w:val="380" w:hRule="exact"/>
        </w:trPr>
        <w:tc>
          <w:tcPr>
            <w:tcW w:w="49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998,997,804.01</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1,086,045,644.56</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1,086,045,644.56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974,066,748.35</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4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-87,047,840.55</w:t>
            </w:r>
            <w:r>
              <w:rPr>
                <w:rFonts w:ascii="Times New Roman"/>
                <w:sz w:val="21"/>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111,978,896.21</w:t>
            </w:r>
            <w:r>
              <w:rPr>
                <w:rFonts w:ascii="Times New Roman"/>
                <w:sz w:val="21"/>
              </w:rPr>
            </w:r>
          </w:p>
        </w:tc>
      </w:tr>
    </w:tbl>
    <w:p>
      <w:pPr>
        <w:spacing w:line="240" w:lineRule="auto" w:before="8"/>
        <w:rPr>
          <w:rFonts w:ascii="宋体" w:hAnsi="宋体" w:cs="宋体" w:eastAsia="宋体" w:hint="default"/>
          <w:b/>
          <w:bCs/>
          <w:sz w:val="6"/>
          <w:szCs w:val="6"/>
        </w:rPr>
      </w:pPr>
    </w:p>
    <w:p>
      <w:pPr>
        <w:spacing w:before="35"/>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、本期取得或处置子公司及其他营业单位的相关信息</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4985"/>
        <w:gridCol w:w="1800"/>
        <w:gridCol w:w="1800"/>
      </w:tblGrid>
      <w:tr>
        <w:trPr>
          <w:trHeight w:val="380" w:hRule="exact"/>
        </w:trPr>
        <w:tc>
          <w:tcPr>
            <w:tcW w:w="49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8,560,000.00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减：子公司及其他营业单位持有的现金和现金等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8,560,000.00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542" w:right="0"/>
              <w:jc w:val="left"/>
              <w:rPr>
                <w:rFonts w:ascii="宋体" w:hAnsi="宋体" w:cs="宋体" w:eastAsia="宋体" w:hint="default"/>
                <w:sz w:val="21"/>
                <w:szCs w:val="21"/>
              </w:rPr>
            </w:pPr>
            <w:r>
              <w:rPr>
                <w:rFonts w:ascii="宋体" w:hAnsi="宋体" w:cs="宋体" w:eastAsia="宋体" w:hint="default"/>
                <w:spacing w:val="-4"/>
                <w:sz w:val="21"/>
                <w:szCs w:val="21"/>
              </w:rPr>
              <w:t>减：子公司及其他营业单位持有的现金和现金等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00" w:type="dxa"/>
            <w:tcBorders>
              <w:top w:val="single" w:sz="4" w:space="0" w:color="000000"/>
              <w:left w:val="single" w:sz="4" w:space="0" w:color="000000"/>
              <w:bottom w:val="single" w:sz="12" w:space="0" w:color="000000"/>
              <w:right w:val="single" w:sz="4" w:space="0" w:color="000000"/>
            </w:tcBorders>
          </w:tcPr>
          <w:p>
            <w:pPr/>
          </w:p>
        </w:tc>
        <w:tc>
          <w:tcPr>
            <w:tcW w:w="18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spacing w:before="35"/>
        <w:ind w:left="677"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1660" w:right="780"/>
        </w:sectPr>
      </w:pPr>
    </w:p>
    <w:p>
      <w:pPr>
        <w:spacing w:line="240" w:lineRule="auto" w:before="10"/>
        <w:rPr>
          <w:rFonts w:ascii="Times New Roman" w:hAnsi="Times New Roman" w:cs="Times New Roman" w:eastAsia="Times New Roman" w:hint="default"/>
          <w:sz w:val="27"/>
          <w:szCs w:val="27"/>
        </w:rPr>
      </w:pPr>
    </w:p>
    <w:tbl>
      <w:tblPr>
        <w:tblW w:w="0" w:type="auto"/>
        <w:jc w:val="left"/>
        <w:tblInd w:w="720" w:type="dxa"/>
        <w:tblLayout w:type="fixed"/>
        <w:tblCellMar>
          <w:top w:w="0" w:type="dxa"/>
          <w:left w:w="0" w:type="dxa"/>
          <w:bottom w:w="0" w:type="dxa"/>
          <w:right w:w="0" w:type="dxa"/>
        </w:tblCellMar>
        <w:tblLook w:val="01E0"/>
      </w:tblPr>
      <w:tblGrid>
        <w:gridCol w:w="4985"/>
        <w:gridCol w:w="1800"/>
        <w:gridCol w:w="1800"/>
      </w:tblGrid>
      <w:tr>
        <w:trPr>
          <w:trHeight w:val="380" w:hRule="exact"/>
        </w:trPr>
        <w:tc>
          <w:tcPr>
            <w:tcW w:w="49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tabs>
                <w:tab w:pos="1172" w:val="left" w:leader="none"/>
              </w:tabs>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998,997,804.01</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1,086,045,644.56</w:t>
            </w: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172,937.61</w:t>
            </w:r>
            <w:r>
              <w:rPr>
                <w:rFonts w:ascii="Times New Roman"/>
                <w:sz w:val="21"/>
              </w:rPr>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115,262.88</w:t>
            </w:r>
            <w:r>
              <w:rPr>
                <w:rFonts w:ascii="Times New Roman"/>
                <w:sz w:val="21"/>
              </w:rPr>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839,728,535.89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916,912,644.17</w:t>
            </w: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511"/>
              <w:jc w:val="righ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511"/>
              <w:jc w:val="righ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527"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49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998,997,804.01</w:t>
            </w:r>
            <w:r>
              <w:rPr>
                <w:rFonts w:ascii="Times New Roman"/>
                <w:sz w:val="21"/>
              </w:rPr>
            </w:r>
          </w:p>
        </w:tc>
        <w:tc>
          <w:tcPr>
            <w:tcW w:w="18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1,086,045,644.56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780"/>
        </w:sectPr>
      </w:pPr>
    </w:p>
    <w:p>
      <w:pPr>
        <w:spacing w:line="240" w:lineRule="auto" w:before="6"/>
        <w:rPr>
          <w:rFonts w:ascii="Times New Roman" w:hAnsi="Times New Roman" w:cs="Times New Roman" w:eastAsia="Times New Roman" w:hint="default"/>
          <w:sz w:val="6"/>
          <w:szCs w:val="6"/>
        </w:rPr>
      </w:pPr>
    </w:p>
    <w:p>
      <w:pPr>
        <w:spacing w:line="720" w:lineRule="exact"/>
        <w:ind w:left="2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701.65pt;height:36pt;mso-position-horizontal-relative:char;mso-position-vertical-relative:line" coordorigin="0,0" coordsize="14033,720">
            <v:group style="position:absolute;left:7;top:713;width:14019;height:2" coordorigin="7,713" coordsize="14019,2">
              <v:shape style="position:absolute;left:7;top:713;width:14019;height:2" coordorigin="7,713" coordsize="14019,0" path="m7,713l14026,713e" filled="false" stroked="true" strokeweight=".72pt" strokecolor="#000000">
                <v:path arrowok="t"/>
              </v:shape>
              <v:shape style="position:absolute;left:26;top:0;width:1608;height:640" type="#_x0000_t75" stroked="false">
                <v:imagedata r:id="rId16" o:title=""/>
              </v:shape>
              <v:shape style="position:absolute;left:0;top:0;width:14033;height: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8"/>
                          <w:szCs w:val="18"/>
                        </w:rPr>
                      </w:pPr>
                    </w:p>
                    <w:p>
                      <w:pPr>
                        <w:spacing w:before="0"/>
                        <w:ind w:left="0" w:right="35" w:firstLine="0"/>
                        <w:jc w:val="righ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1499" w:val="left" w:leader="none"/>
        </w:tabs>
        <w:spacing w:before="179"/>
        <w:ind w:left="778" w:right="0" w:firstLine="0"/>
        <w:jc w:val="left"/>
        <w:rPr>
          <w:rFonts w:ascii="宋体" w:hAnsi="宋体" w:cs="宋体" w:eastAsia="宋体"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关联方及关联交易</w:t>
      </w:r>
      <w:r>
        <w:rPr>
          <w:rFonts w:ascii="宋体" w:hAnsi="宋体" w:cs="宋体" w:eastAsia="宋体" w:hint="default"/>
          <w:sz w:val="24"/>
          <w:szCs w:val="24"/>
        </w:rPr>
      </w:r>
    </w:p>
    <w:p>
      <w:pPr>
        <w:spacing w:before="157"/>
        <w:ind w:left="77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本企业的母公司情况（金额单位：万元）</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2102"/>
        <w:gridCol w:w="734"/>
        <w:gridCol w:w="1178"/>
        <w:gridCol w:w="1344"/>
        <w:gridCol w:w="1106"/>
        <w:gridCol w:w="1442"/>
        <w:gridCol w:w="1214"/>
        <w:gridCol w:w="1620"/>
        <w:gridCol w:w="1080"/>
        <w:gridCol w:w="1656"/>
        <w:gridCol w:w="1294"/>
      </w:tblGrid>
      <w:tr>
        <w:trPr>
          <w:trHeight w:val="721" w:hRule="exact"/>
        </w:trPr>
        <w:tc>
          <w:tcPr>
            <w:tcW w:w="21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7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182" w:right="180"/>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3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278" w:right="276" w:firstLine="90"/>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219" w:right="173"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 的持股比例</w:t>
            </w:r>
            <w:r>
              <w:rPr>
                <w:rFonts w:ascii="Times New Roman" w:hAnsi="Times New Roman" w:cs="Times New Roman" w:eastAsia="Times New Roman" w:hint="default"/>
                <w:sz w:val="18"/>
                <w:szCs w:val="18"/>
              </w:rPr>
              <w:t>(%)</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对本公司</w:t>
            </w:r>
          </w:p>
          <w:p>
            <w:pPr>
              <w:pStyle w:val="TableParagraph"/>
              <w:spacing w:line="232" w:lineRule="exact" w:before="24"/>
              <w:ind w:left="219" w:right="173"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的表决权 比例</w:t>
            </w:r>
            <w:r>
              <w:rPr>
                <w:rFonts w:ascii="Times New Roman" w:hAnsi="Times New Roman" w:cs="Times New Roman" w:eastAsia="Times New Roman" w:hint="default"/>
                <w:sz w:val="18"/>
                <w:szCs w:val="18"/>
              </w:rPr>
              <w:t>(%)</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6"/>
              <w:ind w:left="373" w:right="371" w:firstLine="180"/>
              <w:jc w:val="left"/>
              <w:rPr>
                <w:rFonts w:ascii="宋体" w:hAnsi="宋体" w:cs="宋体" w:eastAsia="宋体" w:hint="default"/>
                <w:sz w:val="18"/>
                <w:szCs w:val="18"/>
              </w:rPr>
            </w:pPr>
            <w:r>
              <w:rPr>
                <w:rFonts w:ascii="宋体" w:hAnsi="宋体" w:cs="宋体" w:eastAsia="宋体" w:hint="default"/>
                <w:sz w:val="18"/>
                <w:szCs w:val="18"/>
              </w:rPr>
              <w:t>本公司 最终控制方</w:t>
            </w:r>
          </w:p>
        </w:tc>
        <w:tc>
          <w:tcPr>
            <w:tcW w:w="12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6"/>
              <w:ind w:left="461" w:right="284"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21" w:hRule="exact"/>
        </w:trPr>
        <w:tc>
          <w:tcPr>
            <w:tcW w:w="21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3" w:right="-6"/>
              <w:jc w:val="center"/>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母子</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10"/>
              <w:ind w:left="404" w:right="222" w:hanging="180"/>
              <w:jc w:val="left"/>
              <w:rPr>
                <w:rFonts w:ascii="宋体" w:hAnsi="宋体" w:cs="宋体" w:eastAsia="宋体" w:hint="default"/>
                <w:sz w:val="18"/>
                <w:szCs w:val="18"/>
              </w:rPr>
            </w:pPr>
            <w:r>
              <w:rPr>
                <w:rFonts w:ascii="宋体" w:hAnsi="宋体" w:cs="宋体" w:eastAsia="宋体" w:hint="default"/>
                <w:sz w:val="18"/>
                <w:szCs w:val="18"/>
              </w:rPr>
              <w:t>国有独资 公司</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广州市天河黄</w:t>
            </w:r>
          </w:p>
          <w:p>
            <w:pPr>
              <w:pStyle w:val="TableParagraph"/>
              <w:spacing w:line="240" w:lineRule="auto"/>
              <w:ind w:left="307" w:right="125" w:hanging="180"/>
              <w:jc w:val="left"/>
              <w:rPr>
                <w:rFonts w:ascii="宋体" w:hAnsi="宋体" w:cs="宋体" w:eastAsia="宋体" w:hint="default"/>
                <w:sz w:val="18"/>
                <w:szCs w:val="18"/>
              </w:rPr>
            </w:pPr>
            <w:r>
              <w:rPr>
                <w:rFonts w:ascii="宋体" w:hAnsi="宋体" w:cs="宋体" w:eastAsia="宋体" w:hint="default"/>
                <w:sz w:val="18"/>
                <w:szCs w:val="18"/>
              </w:rPr>
              <w:t>埔大道西平云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54"/>
              <w:jc w:val="right"/>
              <w:rPr>
                <w:rFonts w:ascii="宋体" w:hAnsi="宋体" w:cs="宋体" w:eastAsia="宋体" w:hint="default"/>
                <w:sz w:val="18"/>
                <w:szCs w:val="18"/>
              </w:rPr>
            </w:pPr>
            <w:r>
              <w:rPr>
                <w:rFonts w:ascii="宋体" w:hAnsi="宋体" w:cs="宋体" w:eastAsia="宋体" w:hint="default"/>
                <w:sz w:val="18"/>
                <w:szCs w:val="18"/>
              </w:rPr>
              <w:t>投资控股</w:t>
            </w:r>
          </w:p>
        </w:tc>
        <w:tc>
          <w:tcPr>
            <w:tcW w:w="12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50.23</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50.23</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12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231216220</w:t>
            </w:r>
          </w:p>
        </w:tc>
      </w:tr>
    </w:tbl>
    <w:p>
      <w:pPr>
        <w:spacing w:line="240" w:lineRule="auto" w:before="7"/>
        <w:rPr>
          <w:rFonts w:ascii="宋体" w:hAnsi="宋体" w:cs="宋体" w:eastAsia="宋体" w:hint="default"/>
          <w:b/>
          <w:bCs/>
          <w:sz w:val="18"/>
          <w:szCs w:val="18"/>
        </w:rPr>
      </w:pPr>
    </w:p>
    <w:p>
      <w:pPr>
        <w:spacing w:before="35"/>
        <w:ind w:left="782" w:right="0" w:firstLine="0"/>
        <w:jc w:val="left"/>
        <w:rPr>
          <w:rFonts w:ascii="宋体" w:hAnsi="宋体" w:cs="宋体" w:eastAsia="宋体" w:hint="default"/>
          <w:sz w:val="21"/>
          <w:szCs w:val="21"/>
        </w:rPr>
      </w:pPr>
      <w:r>
        <w:rPr>
          <w:rFonts w:ascii="宋体" w:hAnsi="宋体" w:cs="宋体" w:eastAsia="宋体" w:hint="default"/>
          <w:b/>
          <w:bCs/>
          <w:sz w:val="21"/>
          <w:szCs w:val="21"/>
        </w:rPr>
        <w:t>(二)本企业的子公司情况：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3241"/>
        <w:gridCol w:w="1166"/>
        <w:gridCol w:w="1166"/>
        <w:gridCol w:w="786"/>
        <w:gridCol w:w="1165"/>
        <w:gridCol w:w="1289"/>
        <w:gridCol w:w="1388"/>
        <w:gridCol w:w="1306"/>
        <w:gridCol w:w="1640"/>
        <w:gridCol w:w="1296"/>
      </w:tblGrid>
      <w:tr>
        <w:trPr>
          <w:trHeight w:val="659" w:hRule="exact"/>
        </w:trPr>
        <w:tc>
          <w:tcPr>
            <w:tcW w:w="32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166" w:type="dxa"/>
            <w:tcBorders>
              <w:top w:val="single" w:sz="12" w:space="0" w:color="000000"/>
              <w:left w:val="single" w:sz="4" w:space="0" w:color="000000"/>
              <w:bottom w:val="single" w:sz="4" w:space="0" w:color="000000"/>
              <w:right w:val="single" w:sz="4" w:space="0" w:color="000000"/>
            </w:tcBorders>
          </w:tcPr>
          <w:p>
            <w:pPr>
              <w:pStyle w:val="TableParagraph"/>
              <w:spacing w:line="326" w:lineRule="auto" w:before="56"/>
              <w:ind w:left="398" w:right="306"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1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2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296" w:type="dxa"/>
            <w:tcBorders>
              <w:top w:val="single" w:sz="12" w:space="0" w:color="000000"/>
              <w:left w:val="single" w:sz="4" w:space="0" w:color="000000"/>
              <w:bottom w:val="single" w:sz="4" w:space="0" w:color="000000"/>
              <w:right w:val="nil" w:sz="6" w:space="0" w:color="auto"/>
            </w:tcBorders>
          </w:tcPr>
          <w:p>
            <w:pPr>
              <w:pStyle w:val="TableParagraph"/>
              <w:spacing w:line="326" w:lineRule="auto" w:before="56"/>
              <w:ind w:left="463" w:right="287"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服务营运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18"/>
                <w:szCs w:val="18"/>
              </w:rPr>
            </w:pPr>
            <w:r>
              <w:rPr>
                <w:rFonts w:ascii="Times New Roman"/>
                <w:sz w:val="18"/>
              </w:rPr>
              <w:t>755664630</w:t>
            </w:r>
          </w:p>
        </w:tc>
      </w:tr>
      <w:tr>
        <w:trPr>
          <w:trHeight w:val="3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清分处理</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51.00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51.00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5"/>
              <w:jc w:val="center"/>
              <w:rPr>
                <w:rFonts w:ascii="Times New Roman" w:hAnsi="Times New Roman" w:cs="Times New Roman" w:eastAsia="Times New Roman" w:hint="default"/>
                <w:sz w:val="18"/>
                <w:szCs w:val="18"/>
              </w:rPr>
            </w:pPr>
            <w:r>
              <w:rPr>
                <w:rFonts w:ascii="Times New Roman"/>
                <w:sz w:val="18"/>
              </w:rPr>
              <w:t>683277112</w:t>
            </w:r>
          </w:p>
        </w:tc>
      </w:tr>
      <w:tr>
        <w:trPr>
          <w:trHeight w:val="64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320" w:lineRule="exact" w:before="20"/>
              <w:ind w:left="122" w:right="816"/>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11"/>
                <w:sz w:val="18"/>
              </w:rPr>
              <w:t> </w:t>
            </w:r>
            <w:r>
              <w:rPr>
                <w:rFonts w:ascii="Times New Roman"/>
                <w:sz w:val="18"/>
              </w:rPr>
              <w:t>(HK)</w:t>
            </w:r>
            <w:r>
              <w:rPr>
                <w:rFonts w:ascii="Times New Roman"/>
                <w:spacing w:val="-1"/>
                <w:w w:val="99"/>
                <w:sz w:val="18"/>
              </w:rPr>
              <w:t> </w:t>
            </w:r>
            <w:r>
              <w:rPr>
                <w:rFonts w:ascii="Times New Roman"/>
                <w:sz w:val="18"/>
              </w:rPr>
              <w:t>Co.,Limited</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6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GRG Hongkong Mexico, S.A.</w:t>
            </w:r>
            <w:r>
              <w:rPr>
                <w:rFonts w:ascii="Times New Roman"/>
                <w:spacing w:val="-6"/>
                <w:sz w:val="18"/>
              </w:rPr>
              <w:t> </w:t>
            </w:r>
            <w:r>
              <w:rPr>
                <w:rFonts w:ascii="Times New Roman"/>
                <w:sz w:val="18"/>
              </w:rPr>
              <w:t>DE</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墨西哥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6"/>
              <w:ind w:left="264" w:right="173" w:hanging="1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销售及 维修服务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比索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650"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Global </w:t>
            </w:r>
            <w:r>
              <w:rPr>
                <w:rFonts w:ascii="Times New Roman"/>
                <w:spacing w:val="-7"/>
                <w:sz w:val="18"/>
              </w:rPr>
              <w:t>ATM </w:t>
            </w:r>
            <w:r>
              <w:rPr>
                <w:rFonts w:ascii="Times New Roman"/>
                <w:sz w:val="18"/>
              </w:rPr>
              <w:t>Parts  </w:t>
            </w:r>
            <w:r>
              <w:rPr>
                <w:rFonts w:ascii="Times New Roman"/>
                <w:spacing w:val="39"/>
                <w:sz w:val="18"/>
              </w:rPr>
              <w:t> </w:t>
            </w:r>
            <w:r>
              <w:rPr>
                <w:rFonts w:ascii="Times New Roman"/>
                <w:sz w:val="18"/>
              </w:rPr>
              <w:t>Co.,Limited</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1"/>
              <w:jc w:val="center"/>
              <w:rPr>
                <w:rFonts w:ascii="Times New Roman" w:hAnsi="Times New Roman" w:cs="Times New Roman" w:eastAsia="Times New Roman" w:hint="default"/>
                <w:sz w:val="18"/>
                <w:szCs w:val="18"/>
              </w:rPr>
            </w:pPr>
            <w:r>
              <w:rPr>
                <w:rFonts w:ascii="Times New Roman"/>
                <w:spacing w:val="-7"/>
                <w:sz w:val="18"/>
              </w:rPr>
              <w:t>ATM</w:t>
            </w:r>
          </w:p>
          <w:p>
            <w:pPr>
              <w:pStyle w:val="TableParagraph"/>
              <w:spacing w:line="240" w:lineRule="auto" w:before="61"/>
              <w:ind w:right="31"/>
              <w:jc w:val="center"/>
              <w:rPr>
                <w:rFonts w:ascii="宋体" w:hAnsi="宋体" w:cs="宋体" w:eastAsia="宋体" w:hint="default"/>
                <w:sz w:val="18"/>
                <w:szCs w:val="18"/>
              </w:rPr>
            </w:pPr>
            <w:r>
              <w:rPr>
                <w:rFonts w:ascii="宋体" w:hAnsi="宋体" w:cs="宋体" w:eastAsia="宋体" w:hint="default"/>
                <w:sz w:val="18"/>
                <w:szCs w:val="18"/>
              </w:rPr>
              <w:t>备件服务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港元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49"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清分处理</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498.00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51.00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sz w:val="18"/>
              </w:rPr>
              <w:t>51.00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18"/>
                <w:szCs w:val="18"/>
              </w:rPr>
            </w:pPr>
            <w:r>
              <w:rPr>
                <w:rFonts w:ascii="Times New Roman"/>
                <w:sz w:val="18"/>
              </w:rPr>
              <w:t>56572417-X</w:t>
            </w:r>
          </w:p>
        </w:tc>
      </w:tr>
      <w:tr>
        <w:trPr>
          <w:trHeight w:val="361" w:hRule="exact"/>
        </w:trPr>
        <w:tc>
          <w:tcPr>
            <w:tcW w:w="32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江苏保通金融外包服务有限公司</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29"/>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1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30"/>
              <w:jc w:val="center"/>
              <w:rPr>
                <w:rFonts w:ascii="宋体" w:hAnsi="宋体" w:cs="宋体" w:eastAsia="宋体" w:hint="default"/>
                <w:sz w:val="18"/>
                <w:szCs w:val="18"/>
              </w:rPr>
            </w:pPr>
            <w:r>
              <w:rPr>
                <w:rFonts w:ascii="Times New Roman" w:hAnsi="Times New Roman" w:cs="Times New Roman" w:eastAsia="Times New Roman" w:hint="default"/>
                <w:spacing w:val="-7"/>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清分处理</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55.00</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z w:val="18"/>
              </w:rPr>
              <w:t>55.00</w:t>
            </w:r>
          </w:p>
        </w:tc>
        <w:tc>
          <w:tcPr>
            <w:tcW w:w="129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5"/>
              <w:jc w:val="center"/>
              <w:rPr>
                <w:rFonts w:ascii="Times New Roman" w:hAnsi="Times New Roman" w:cs="Times New Roman" w:eastAsia="Times New Roman" w:hint="default"/>
                <w:sz w:val="18"/>
                <w:szCs w:val="18"/>
              </w:rPr>
            </w:pPr>
            <w:r>
              <w:rPr>
                <w:rFonts w:ascii="Times New Roman"/>
                <w:sz w:val="18"/>
              </w:rPr>
              <w:t>56294967-2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0"/>
        <w:ind w:left="7069" w:right="7650" w:firstLine="0"/>
        <w:jc w:val="center"/>
        <w:rPr>
          <w:rFonts w:ascii="Times New Roman" w:hAnsi="Times New Roman" w:cs="Times New Roman" w:eastAsia="Times New Roman" w:hint="default"/>
          <w:sz w:val="18"/>
          <w:szCs w:val="18"/>
        </w:rPr>
      </w:pPr>
      <w:r>
        <w:rPr>
          <w:rFonts w:ascii="Times New Roman"/>
          <w:spacing w:val="-3"/>
          <w:sz w:val="18"/>
        </w:rPr>
        <w:t>114</w:t>
      </w:r>
    </w:p>
    <w:p>
      <w:pPr>
        <w:spacing w:after="0"/>
        <w:jc w:val="center"/>
        <w:rPr>
          <w:rFonts w:ascii="Times New Roman" w:hAnsi="Times New Roman" w:cs="Times New Roman" w:eastAsia="Times New Roman" w:hint="default"/>
          <w:sz w:val="18"/>
          <w:szCs w:val="18"/>
        </w:rPr>
        <w:sectPr>
          <w:headerReference w:type="default" r:id="rId37"/>
          <w:footerReference w:type="default" r:id="rId38"/>
          <w:pgSz w:w="16840" w:h="11910" w:orient="landscape"/>
          <w:pgMar w:header="0" w:footer="0" w:top="320" w:bottom="280" w:left="1200" w:right="620"/>
        </w:sectPr>
      </w:pPr>
    </w:p>
    <w:p>
      <w:pPr>
        <w:spacing w:line="240" w:lineRule="auto" w:before="10"/>
        <w:rPr>
          <w:rFonts w:ascii="Times New Roman" w:hAnsi="Times New Roman" w:cs="Times New Roman" w:eastAsia="Times New Roman" w:hint="default"/>
          <w:sz w:val="21"/>
          <w:szCs w:val="21"/>
        </w:rPr>
      </w:pPr>
    </w:p>
    <w:p>
      <w:pPr>
        <w:pStyle w:val="Heading4"/>
        <w:tabs>
          <w:tab w:pos="1579" w:val="left" w:leader="none"/>
        </w:tabs>
        <w:spacing w:line="240" w:lineRule="auto"/>
        <w:ind w:left="858" w:right="211"/>
        <w:jc w:val="left"/>
        <w:rPr>
          <w:b w:val="0"/>
          <w:bCs w:val="0"/>
        </w:rPr>
      </w:pPr>
      <w:r>
        <w:rPr>
          <w:w w:val="95"/>
        </w:rPr>
        <w:t>(四)</w:t>
        <w:tab/>
      </w:r>
      <w:r>
        <w:rPr/>
        <w:t>本企业的其他关联方情况</w:t>
      </w:r>
      <w:r>
        <w:rPr>
          <w:b w:val="0"/>
          <w:bCs w:val="0"/>
        </w:rPr>
      </w:r>
    </w:p>
    <w:p>
      <w:pPr>
        <w:spacing w:line="240" w:lineRule="auto" w:before="10"/>
        <w:rPr>
          <w:rFonts w:ascii="宋体" w:hAnsi="宋体" w:cs="宋体" w:eastAsia="宋体" w:hint="default"/>
          <w:b/>
          <w:bCs/>
          <w:sz w:val="12"/>
          <w:szCs w:val="12"/>
        </w:rPr>
      </w:pPr>
    </w:p>
    <w:tbl>
      <w:tblPr>
        <w:tblW w:w="0" w:type="auto"/>
        <w:jc w:val="left"/>
        <w:tblInd w:w="470" w:type="dxa"/>
        <w:tblLayout w:type="fixed"/>
        <w:tblCellMar>
          <w:top w:w="0" w:type="dxa"/>
          <w:left w:w="0" w:type="dxa"/>
          <w:bottom w:w="0" w:type="dxa"/>
          <w:right w:w="0" w:type="dxa"/>
        </w:tblCellMar>
        <w:tblLook w:val="01E0"/>
      </w:tblPr>
      <w:tblGrid>
        <w:gridCol w:w="3902"/>
        <w:gridCol w:w="2770"/>
        <w:gridCol w:w="2090"/>
      </w:tblGrid>
      <w:tr>
        <w:trPr>
          <w:trHeight w:val="380" w:hRule="exact"/>
        </w:trPr>
        <w:tc>
          <w:tcPr>
            <w:tcW w:w="39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22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7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其他关联方与本公司的关系</w:t>
            </w:r>
          </w:p>
        </w:tc>
        <w:tc>
          <w:tcPr>
            <w:tcW w:w="20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71"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同一最终母公司</w:t>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724308131</w:t>
            </w:r>
          </w:p>
        </w:tc>
      </w:tr>
      <w:tr>
        <w:trPr>
          <w:trHeight w:val="370" w:hRule="exact"/>
        </w:trPr>
        <w:tc>
          <w:tcPr>
            <w:tcW w:w="39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同一最终母公司</w:t>
            </w:r>
          </w:p>
        </w:tc>
        <w:tc>
          <w:tcPr>
            <w:tcW w:w="20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781223943</w:t>
            </w:r>
          </w:p>
        </w:tc>
      </w:tr>
      <w:tr>
        <w:trPr>
          <w:trHeight w:val="380" w:hRule="exact"/>
        </w:trPr>
        <w:tc>
          <w:tcPr>
            <w:tcW w:w="39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2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同一最终母公司</w:t>
            </w:r>
          </w:p>
        </w:tc>
        <w:tc>
          <w:tcPr>
            <w:tcW w:w="20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708242750</w:t>
            </w:r>
          </w:p>
        </w:tc>
      </w:tr>
    </w:tbl>
    <w:p>
      <w:pPr>
        <w:spacing w:line="240" w:lineRule="auto" w:before="8"/>
        <w:rPr>
          <w:rFonts w:ascii="宋体" w:hAnsi="宋体" w:cs="宋体" w:eastAsia="宋体" w:hint="default"/>
          <w:b/>
          <w:bCs/>
          <w:sz w:val="6"/>
          <w:szCs w:val="6"/>
        </w:rPr>
      </w:pPr>
    </w:p>
    <w:p>
      <w:pPr>
        <w:tabs>
          <w:tab w:pos="1579" w:val="left" w:leader="none"/>
        </w:tabs>
        <w:spacing w:before="35"/>
        <w:ind w:left="857" w:right="211" w:firstLine="0"/>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关联交易</w:t>
      </w:r>
      <w:r>
        <w:rPr>
          <w:rFonts w:ascii="宋体" w:hAnsi="宋体" w:cs="宋体" w:eastAsia="宋体" w:hint="default"/>
          <w:sz w:val="21"/>
          <w:szCs w:val="21"/>
        </w:rPr>
      </w:r>
    </w:p>
    <w:p>
      <w:pPr>
        <w:spacing w:line="336" w:lineRule="auto" w:before="134"/>
        <w:ind w:left="320" w:right="211" w:firstLine="537"/>
        <w:jc w:val="left"/>
        <w:rPr>
          <w:rFonts w:ascii="宋体" w:hAnsi="宋体" w:cs="宋体" w:eastAsia="宋体" w:hint="default"/>
          <w:sz w:val="21"/>
          <w:szCs w:val="21"/>
        </w:rPr>
      </w:pPr>
      <w:r>
        <w:rPr>
          <w:rFonts w:ascii="Times New Roman" w:hAnsi="Times New Roman" w:cs="Times New Roman" w:eastAsia="Times New Roman" w:hint="default"/>
          <w:b/>
          <w:bCs/>
          <w:spacing w:val="-1"/>
          <w:w w:val="95"/>
          <w:sz w:val="21"/>
          <w:szCs w:val="21"/>
        </w:rPr>
        <w:t>1</w:t>
      </w:r>
      <w:r>
        <w:rPr>
          <w:rFonts w:ascii="宋体" w:hAnsi="宋体" w:cs="宋体" w:eastAsia="宋体" w:hint="default"/>
          <w:b/>
          <w:bCs/>
          <w:spacing w:val="-1"/>
          <w:w w:val="95"/>
          <w:sz w:val="21"/>
          <w:szCs w:val="21"/>
        </w:rPr>
        <w:t>、存在控制关系且已纳入本公司合并会计报表范围的子公司，其相互间交易及母子公司交</w:t>
      </w:r>
      <w:r>
        <w:rPr>
          <w:rFonts w:ascii="宋体" w:hAnsi="宋体" w:cs="宋体" w:eastAsia="宋体" w:hint="default"/>
          <w:b/>
          <w:bCs/>
          <w:w w:val="99"/>
          <w:sz w:val="21"/>
          <w:szCs w:val="21"/>
        </w:rPr>
        <w:t> </w:t>
      </w:r>
      <w:r>
        <w:rPr>
          <w:rFonts w:ascii="宋体" w:hAnsi="宋体" w:cs="宋体" w:eastAsia="宋体" w:hint="default"/>
          <w:b/>
          <w:bCs/>
          <w:sz w:val="21"/>
          <w:szCs w:val="21"/>
        </w:rPr>
        <w:t>易已作抵销。</w:t>
      </w:r>
      <w:r>
        <w:rPr>
          <w:rFonts w:ascii="宋体" w:hAnsi="宋体" w:cs="宋体" w:eastAsia="宋体" w:hint="default"/>
          <w:sz w:val="21"/>
          <w:szCs w:val="21"/>
        </w:rPr>
      </w:r>
    </w:p>
    <w:p>
      <w:pPr>
        <w:spacing w:before="50"/>
        <w:ind w:left="857" w:right="2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90" w:type="dxa"/>
        <w:tblLayout w:type="fixed"/>
        <w:tblCellMar>
          <w:top w:w="0" w:type="dxa"/>
          <w:left w:w="0" w:type="dxa"/>
          <w:bottom w:w="0" w:type="dxa"/>
          <w:right w:w="0" w:type="dxa"/>
        </w:tblCellMar>
        <w:tblLook w:val="01E0"/>
      </w:tblPr>
      <w:tblGrid>
        <w:gridCol w:w="1574"/>
        <w:gridCol w:w="1080"/>
        <w:gridCol w:w="1330"/>
        <w:gridCol w:w="1508"/>
        <w:gridCol w:w="1248"/>
        <w:gridCol w:w="1472"/>
        <w:gridCol w:w="1284"/>
      </w:tblGrid>
      <w:tr>
        <w:trPr>
          <w:trHeight w:val="359" w:hRule="exact"/>
        </w:trPr>
        <w:tc>
          <w:tcPr>
            <w:tcW w:w="1574"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080" w:type="dxa"/>
            <w:vMerge w:val="restart"/>
            <w:tcBorders>
              <w:top w:val="single" w:sz="12" w:space="0" w:color="000000"/>
              <w:left w:val="single" w:sz="4" w:space="0" w:color="000000"/>
              <w:right w:val="single" w:sz="4" w:space="0" w:color="000000"/>
            </w:tcBorders>
          </w:tcPr>
          <w:p>
            <w:pPr>
              <w:pStyle w:val="TableParagraph"/>
              <w:spacing w:line="272" w:lineRule="exact" w:before="152"/>
              <w:ind w:left="325" w:right="113"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330" w:type="dxa"/>
            <w:vMerge w:val="restart"/>
            <w:tcBorders>
              <w:top w:val="single" w:sz="12" w:space="0" w:color="000000"/>
              <w:left w:val="single" w:sz="4" w:space="0" w:color="000000"/>
              <w:right w:val="single" w:sz="4" w:space="0" w:color="000000"/>
            </w:tcBorders>
          </w:tcPr>
          <w:p>
            <w:pPr>
              <w:pStyle w:val="TableParagraph"/>
              <w:spacing w:line="272" w:lineRule="exact" w:before="16"/>
              <w:ind w:left="134" w:right="133"/>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75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56" w:type="dxa"/>
            <w:gridSpan w:val="2"/>
            <w:tcBorders>
              <w:top w:val="single" w:sz="12"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6" w:hRule="exact"/>
        </w:trPr>
        <w:tc>
          <w:tcPr>
            <w:tcW w:w="1574" w:type="dxa"/>
            <w:vMerge/>
            <w:tcBorders>
              <w:left w:val="nil" w:sz="6" w:space="0" w:color="auto"/>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firstLine="52"/>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89" w:lineRule="exact"/>
              <w:ind w:left="14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易比例</w:t>
            </w:r>
            <w:r>
              <w:rPr>
                <w:rFonts w:ascii="Times New Roman" w:hAnsi="Times New Roman" w:cs="Times New Roman" w:eastAsia="Times New Roman" w:hint="default"/>
                <w:sz w:val="21"/>
                <w:szCs w:val="21"/>
              </w:rPr>
              <w:t>(%)</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89"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740" w:hRule="exact"/>
        </w:trPr>
        <w:tc>
          <w:tcPr>
            <w:tcW w:w="1574" w:type="dxa"/>
            <w:tcBorders>
              <w:top w:val="single" w:sz="4" w:space="0" w:color="000000"/>
              <w:left w:val="nil" w:sz="6" w:space="0" w:color="auto"/>
              <w:bottom w:val="single" w:sz="12" w:space="0" w:color="000000"/>
              <w:right w:val="single" w:sz="4" w:space="0" w:color="000000"/>
            </w:tcBorders>
          </w:tcPr>
          <w:p>
            <w:pPr>
              <w:pStyle w:val="TableParagraph"/>
              <w:spacing w:line="314" w:lineRule="auto" w:before="53"/>
              <w:ind w:left="122" w:right="84"/>
              <w:jc w:val="left"/>
              <w:rPr>
                <w:rFonts w:ascii="宋体" w:hAnsi="宋体" w:cs="宋体" w:eastAsia="宋体" w:hint="default"/>
                <w:sz w:val="21"/>
                <w:szCs w:val="21"/>
              </w:rPr>
            </w:pPr>
            <w:r>
              <w:rPr>
                <w:rFonts w:ascii="宋体" w:hAnsi="宋体" w:cs="宋体" w:eastAsia="宋体" w:hint="default"/>
                <w:spacing w:val="16"/>
                <w:sz w:val="21"/>
                <w:szCs w:val="21"/>
              </w:rPr>
              <w:t>广州海格机械 </w:t>
            </w:r>
            <w:r>
              <w:rPr>
                <w:rFonts w:ascii="宋体" w:hAnsi="宋体" w:cs="宋体" w:eastAsia="宋体" w:hint="default"/>
                <w:sz w:val="21"/>
                <w:szCs w:val="21"/>
              </w:rPr>
              <w:t>有限公司</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采购</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材料</w:t>
            </w:r>
          </w:p>
        </w:tc>
        <w:tc>
          <w:tcPr>
            <w:tcW w:w="1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14,517,613.27</w:t>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766" w:right="0"/>
              <w:jc w:val="left"/>
              <w:rPr>
                <w:rFonts w:ascii="Times New Roman" w:hAnsi="Times New Roman" w:cs="Times New Roman" w:eastAsia="Times New Roman" w:hint="default"/>
                <w:sz w:val="21"/>
                <w:szCs w:val="21"/>
              </w:rPr>
            </w:pPr>
            <w:r>
              <w:rPr>
                <w:rFonts w:ascii="Times New Roman"/>
                <w:sz w:val="21"/>
              </w:rPr>
              <w:t>1.75</w:t>
            </w:r>
          </w:p>
        </w:tc>
        <w:tc>
          <w:tcPr>
            <w:tcW w:w="14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6,185,150.78</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802" w:right="0"/>
              <w:jc w:val="left"/>
              <w:rPr>
                <w:rFonts w:ascii="Times New Roman" w:hAnsi="Times New Roman" w:cs="Times New Roman" w:eastAsia="Times New Roman" w:hint="default"/>
                <w:sz w:val="21"/>
                <w:szCs w:val="21"/>
              </w:rPr>
            </w:pPr>
            <w:r>
              <w:rPr>
                <w:rFonts w:ascii="Times New Roman"/>
                <w:sz w:val="21"/>
              </w:rPr>
              <w:t>0.87</w:t>
            </w:r>
          </w:p>
        </w:tc>
      </w:tr>
    </w:tbl>
    <w:p>
      <w:pPr>
        <w:spacing w:line="240" w:lineRule="auto" w:before="8"/>
        <w:rPr>
          <w:rFonts w:ascii="宋体" w:hAnsi="宋体" w:cs="宋体" w:eastAsia="宋体" w:hint="default"/>
          <w:b/>
          <w:bCs/>
          <w:sz w:val="6"/>
          <w:szCs w:val="6"/>
        </w:rPr>
      </w:pPr>
    </w:p>
    <w:p>
      <w:pPr>
        <w:spacing w:line="336" w:lineRule="auto" w:before="35"/>
        <w:ind w:left="855" w:right="772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公司承租情况：</w:t>
      </w:r>
    </w:p>
    <w:p>
      <w:pPr>
        <w:spacing w:line="240" w:lineRule="auto" w:before="6"/>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814"/>
        <w:gridCol w:w="1156"/>
        <w:gridCol w:w="1004"/>
        <w:gridCol w:w="1800"/>
        <w:gridCol w:w="1800"/>
        <w:gridCol w:w="1080"/>
        <w:gridCol w:w="1260"/>
      </w:tblGrid>
      <w:tr>
        <w:trPr>
          <w:trHeight w:val="659"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2"/>
              <w:ind w:left="38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156" w:type="dxa"/>
            <w:tcBorders>
              <w:top w:val="single" w:sz="12" w:space="0" w:color="000000"/>
              <w:left w:val="single" w:sz="4" w:space="0" w:color="000000"/>
              <w:bottom w:val="single" w:sz="4" w:space="0" w:color="000000"/>
              <w:right w:val="single" w:sz="4" w:space="0" w:color="000000"/>
            </w:tcBorders>
          </w:tcPr>
          <w:p>
            <w:pPr>
              <w:pStyle w:val="TableParagraph"/>
              <w:spacing w:line="280" w:lineRule="auto" w:before="12"/>
              <w:ind w:left="362" w:right="257" w:hanging="105"/>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1004" w:type="dxa"/>
            <w:tcBorders>
              <w:top w:val="single" w:sz="12" w:space="0" w:color="000000"/>
              <w:left w:val="single" w:sz="4" w:space="0" w:color="000000"/>
              <w:bottom w:val="single" w:sz="4" w:space="0" w:color="000000"/>
              <w:right w:val="single" w:sz="4" w:space="0" w:color="000000"/>
            </w:tcBorders>
          </w:tcPr>
          <w:p>
            <w:pPr>
              <w:pStyle w:val="TableParagraph"/>
              <w:spacing w:line="280" w:lineRule="auto" w:before="12"/>
              <w:ind w:left="182" w:right="180"/>
              <w:jc w:val="left"/>
              <w:rPr>
                <w:rFonts w:ascii="宋体" w:hAnsi="宋体" w:cs="宋体" w:eastAsia="宋体" w:hint="default"/>
                <w:sz w:val="21"/>
                <w:szCs w:val="21"/>
              </w:rPr>
            </w:pPr>
            <w:r>
              <w:rPr>
                <w:rFonts w:ascii="宋体" w:hAnsi="宋体" w:cs="宋体" w:eastAsia="宋体" w:hint="default"/>
                <w:sz w:val="21"/>
                <w:szCs w:val="21"/>
              </w:rPr>
              <w:t>租赁资 产种类</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80" w:lineRule="auto" w:before="12"/>
              <w:ind w:left="579" w:right="578" w:firstLine="105"/>
              <w:jc w:val="left"/>
              <w:rPr>
                <w:rFonts w:ascii="宋体" w:hAnsi="宋体" w:cs="宋体" w:eastAsia="宋体" w:hint="default"/>
                <w:sz w:val="21"/>
                <w:szCs w:val="21"/>
              </w:rPr>
            </w:pPr>
            <w:r>
              <w:rPr>
                <w:rFonts w:ascii="宋体" w:hAnsi="宋体" w:cs="宋体" w:eastAsia="宋体" w:hint="default"/>
                <w:sz w:val="21"/>
                <w:szCs w:val="21"/>
              </w:rPr>
              <w:t>租赁 起始日</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80" w:lineRule="auto" w:before="12"/>
              <w:ind w:left="579" w:right="578" w:firstLine="105"/>
              <w:jc w:val="left"/>
              <w:rPr>
                <w:rFonts w:ascii="宋体" w:hAnsi="宋体" w:cs="宋体" w:eastAsia="宋体" w:hint="default"/>
                <w:sz w:val="21"/>
                <w:szCs w:val="21"/>
              </w:rPr>
            </w:pPr>
            <w:r>
              <w:rPr>
                <w:rFonts w:ascii="宋体" w:hAnsi="宋体" w:cs="宋体" w:eastAsia="宋体" w:hint="default"/>
                <w:sz w:val="21"/>
                <w:szCs w:val="21"/>
              </w:rPr>
              <w:t>租赁 终止日</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80" w:lineRule="auto" w:before="12"/>
              <w:ind w:left="115" w:right="113" w:firstLine="104"/>
              <w:jc w:val="left"/>
              <w:rPr>
                <w:rFonts w:ascii="宋体" w:hAnsi="宋体" w:cs="宋体" w:eastAsia="宋体" w:hint="default"/>
                <w:sz w:val="21"/>
                <w:szCs w:val="21"/>
              </w:rPr>
            </w:pPr>
            <w:r>
              <w:rPr>
                <w:rFonts w:ascii="宋体" w:hAnsi="宋体" w:cs="宋体" w:eastAsia="宋体" w:hint="default"/>
                <w:sz w:val="21"/>
                <w:szCs w:val="21"/>
              </w:rPr>
              <w:t>租赁费 定价依据</w:t>
            </w:r>
          </w:p>
        </w:tc>
        <w:tc>
          <w:tcPr>
            <w:tcW w:w="1260" w:type="dxa"/>
            <w:tcBorders>
              <w:top w:val="single" w:sz="12" w:space="0" w:color="000000"/>
              <w:left w:val="single" w:sz="4" w:space="0" w:color="000000"/>
              <w:bottom w:val="single" w:sz="4" w:space="0" w:color="000000"/>
              <w:right w:val="nil" w:sz="6" w:space="0" w:color="auto"/>
            </w:tcBorders>
          </w:tcPr>
          <w:p>
            <w:pPr>
              <w:pStyle w:val="TableParagraph"/>
              <w:spacing w:line="280" w:lineRule="auto" w:before="12"/>
              <w:ind w:left="205" w:right="208"/>
              <w:jc w:val="left"/>
              <w:rPr>
                <w:rFonts w:ascii="宋体" w:hAnsi="宋体" w:cs="宋体" w:eastAsia="宋体" w:hint="default"/>
                <w:sz w:val="21"/>
                <w:szCs w:val="21"/>
              </w:rPr>
            </w:pPr>
            <w:r>
              <w:rPr>
                <w:rFonts w:ascii="宋体" w:hAnsi="宋体" w:cs="宋体" w:eastAsia="宋体" w:hint="default"/>
                <w:sz w:val="21"/>
                <w:szCs w:val="21"/>
              </w:rPr>
              <w:t>本期确认 的租赁费</w:t>
            </w:r>
          </w:p>
        </w:tc>
      </w:tr>
      <w:tr>
        <w:trPr>
          <w:trHeight w:val="971"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80" w:lineRule="auto" w:before="172"/>
              <w:ind w:left="122" w:right="82"/>
              <w:jc w:val="left"/>
              <w:rPr>
                <w:rFonts w:ascii="宋体" w:hAnsi="宋体" w:cs="宋体" w:eastAsia="宋体" w:hint="default"/>
                <w:sz w:val="21"/>
                <w:szCs w:val="21"/>
              </w:rPr>
            </w:pPr>
            <w:r>
              <w:rPr>
                <w:rFonts w:ascii="宋体" w:hAnsi="宋体" w:cs="宋体" w:eastAsia="宋体" w:hint="default"/>
                <w:spacing w:val="16"/>
                <w:sz w:val="21"/>
                <w:szCs w:val="21"/>
              </w:rPr>
              <w:t>广州无线电集团</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103" w:right="66"/>
              <w:jc w:val="both"/>
              <w:rPr>
                <w:rFonts w:ascii="宋体" w:hAnsi="宋体" w:cs="宋体" w:eastAsia="宋体" w:hint="default"/>
                <w:sz w:val="21"/>
                <w:szCs w:val="21"/>
              </w:rPr>
            </w:pPr>
            <w:r>
              <w:rPr>
                <w:rFonts w:ascii="宋体" w:hAnsi="宋体" w:cs="宋体" w:eastAsia="宋体" w:hint="default"/>
                <w:spacing w:val="24"/>
                <w:sz w:val="21"/>
                <w:szCs w:val="21"/>
              </w:rPr>
              <w:t>深圳银通</w:t>
            </w:r>
            <w:r>
              <w:rPr>
                <w:rFonts w:ascii="宋体" w:hAnsi="宋体" w:cs="宋体" w:eastAsia="宋体" w:hint="default"/>
                <w:spacing w:val="-103"/>
                <w:sz w:val="21"/>
                <w:szCs w:val="21"/>
              </w:rPr>
              <w:t> </w:t>
            </w:r>
            <w:r>
              <w:rPr>
                <w:rFonts w:ascii="宋体" w:hAnsi="宋体" w:cs="宋体" w:eastAsia="宋体" w:hint="default"/>
                <w:spacing w:val="24"/>
                <w:sz w:val="21"/>
                <w:szCs w:val="21"/>
              </w:rPr>
              <w:t>金融电子</w:t>
            </w:r>
            <w:r>
              <w:rPr>
                <w:rFonts w:ascii="宋体" w:hAnsi="宋体" w:cs="宋体" w:eastAsia="宋体" w:hint="default"/>
                <w:spacing w:val="-103"/>
                <w:sz w:val="21"/>
                <w:szCs w:val="21"/>
              </w:rPr>
              <w:t> </w:t>
            </w:r>
            <w:r>
              <w:rPr>
                <w:rFonts w:ascii="宋体" w:hAnsi="宋体" w:cs="宋体" w:eastAsia="宋体" w:hint="default"/>
                <w:sz w:val="21"/>
                <w:szCs w:val="21"/>
              </w:rPr>
              <w:t>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286" w:right="286"/>
              <w:jc w:val="left"/>
              <w:rPr>
                <w:rFonts w:ascii="宋体" w:hAnsi="宋体" w:cs="宋体" w:eastAsia="宋体" w:hint="default"/>
                <w:sz w:val="21"/>
                <w:szCs w:val="21"/>
              </w:rPr>
            </w:pPr>
            <w:r>
              <w:rPr>
                <w:rFonts w:ascii="宋体" w:hAnsi="宋体" w:cs="宋体" w:eastAsia="宋体" w:hint="default"/>
                <w:sz w:val="21"/>
                <w:szCs w:val="21"/>
              </w:rPr>
              <w:t>通讯 大楼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325" w:right="323"/>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7"/>
              <w:jc w:val="right"/>
              <w:rPr>
                <w:rFonts w:ascii="Times New Roman" w:hAnsi="Times New Roman" w:cs="Times New Roman" w:eastAsia="Times New Roman" w:hint="default"/>
                <w:sz w:val="21"/>
                <w:szCs w:val="21"/>
              </w:rPr>
            </w:pPr>
            <w:r>
              <w:rPr>
                <w:rFonts w:ascii="Times New Roman"/>
                <w:spacing w:val="-1"/>
                <w:sz w:val="21"/>
              </w:rPr>
              <w:t>986,597.15</w:t>
            </w:r>
            <w:r>
              <w:rPr>
                <w:rFonts w:ascii="Times New Roman"/>
                <w:sz w:val="21"/>
              </w:rPr>
            </w:r>
          </w:p>
        </w:tc>
      </w:tr>
      <w:tr>
        <w:trPr>
          <w:trHeight w:val="980"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78" w:lineRule="auto" w:before="172"/>
              <w:ind w:left="122" w:right="82"/>
              <w:jc w:val="left"/>
              <w:rPr>
                <w:rFonts w:ascii="宋体" w:hAnsi="宋体" w:cs="宋体" w:eastAsia="宋体" w:hint="default"/>
                <w:sz w:val="21"/>
                <w:szCs w:val="21"/>
              </w:rPr>
            </w:pPr>
            <w:r>
              <w:rPr>
                <w:rFonts w:ascii="宋体" w:hAnsi="宋体" w:cs="宋体" w:eastAsia="宋体" w:hint="default"/>
                <w:spacing w:val="16"/>
                <w:sz w:val="21"/>
                <w:szCs w:val="21"/>
              </w:rPr>
              <w:t>广州无线电集团</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156" w:type="dxa"/>
            <w:tcBorders>
              <w:top w:val="single" w:sz="4" w:space="0" w:color="000000"/>
              <w:left w:val="single" w:sz="4" w:space="0" w:color="000000"/>
              <w:bottom w:val="single" w:sz="12" w:space="0" w:color="000000"/>
              <w:right w:val="single" w:sz="4" w:space="0" w:color="000000"/>
            </w:tcBorders>
          </w:tcPr>
          <w:p>
            <w:pPr>
              <w:pStyle w:val="TableParagraph"/>
              <w:spacing w:line="278" w:lineRule="auto" w:before="12"/>
              <w:ind w:left="103" w:right="66"/>
              <w:jc w:val="both"/>
              <w:rPr>
                <w:rFonts w:ascii="宋体" w:hAnsi="宋体" w:cs="宋体" w:eastAsia="宋体" w:hint="default"/>
                <w:sz w:val="21"/>
                <w:szCs w:val="21"/>
              </w:rPr>
            </w:pPr>
            <w:r>
              <w:rPr>
                <w:rFonts w:ascii="宋体" w:hAnsi="宋体" w:cs="宋体" w:eastAsia="宋体" w:hint="default"/>
                <w:spacing w:val="24"/>
                <w:sz w:val="21"/>
                <w:szCs w:val="21"/>
              </w:rPr>
              <w:t>广州穗通</w:t>
            </w:r>
            <w:r>
              <w:rPr>
                <w:rFonts w:ascii="宋体" w:hAnsi="宋体" w:cs="宋体" w:eastAsia="宋体" w:hint="default"/>
                <w:spacing w:val="-103"/>
                <w:sz w:val="21"/>
                <w:szCs w:val="21"/>
              </w:rPr>
              <w:t> </w:t>
            </w:r>
            <w:r>
              <w:rPr>
                <w:rFonts w:ascii="宋体" w:hAnsi="宋体" w:cs="宋体" w:eastAsia="宋体" w:hint="default"/>
                <w:spacing w:val="24"/>
                <w:sz w:val="21"/>
                <w:szCs w:val="21"/>
              </w:rPr>
              <w:t>金融服务</w:t>
            </w:r>
            <w:r>
              <w:rPr>
                <w:rFonts w:ascii="宋体" w:hAnsi="宋体" w:cs="宋体" w:eastAsia="宋体" w:hint="default"/>
                <w:spacing w:val="-103"/>
                <w:sz w:val="21"/>
                <w:szCs w:val="21"/>
              </w:rPr>
              <w:t> </w:t>
            </w:r>
            <w:r>
              <w:rPr>
                <w:rFonts w:ascii="宋体" w:hAnsi="宋体" w:cs="宋体" w:eastAsia="宋体" w:hint="default"/>
                <w:sz w:val="21"/>
                <w:szCs w:val="21"/>
              </w:rPr>
              <w:t>有限公司</w:t>
            </w:r>
          </w:p>
        </w:tc>
        <w:tc>
          <w:tcPr>
            <w:tcW w:w="1004" w:type="dxa"/>
            <w:tcBorders>
              <w:top w:val="single" w:sz="4" w:space="0" w:color="000000"/>
              <w:left w:val="single" w:sz="4" w:space="0" w:color="000000"/>
              <w:bottom w:val="single" w:sz="12" w:space="0" w:color="000000"/>
              <w:right w:val="single" w:sz="4" w:space="0" w:color="000000"/>
            </w:tcBorders>
          </w:tcPr>
          <w:p>
            <w:pPr>
              <w:pStyle w:val="TableParagraph"/>
              <w:spacing w:line="278" w:lineRule="auto" w:before="172"/>
              <w:ind w:left="286" w:right="286"/>
              <w:jc w:val="left"/>
              <w:rPr>
                <w:rFonts w:ascii="宋体" w:hAnsi="宋体" w:cs="宋体" w:eastAsia="宋体" w:hint="default"/>
                <w:sz w:val="21"/>
                <w:szCs w:val="21"/>
              </w:rPr>
            </w:pPr>
            <w:r>
              <w:rPr>
                <w:rFonts w:ascii="宋体" w:hAnsi="宋体" w:cs="宋体" w:eastAsia="宋体" w:hint="default"/>
                <w:sz w:val="21"/>
                <w:szCs w:val="21"/>
              </w:rPr>
              <w:t>通讯 大楼</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78" w:lineRule="auto" w:before="172"/>
              <w:ind w:left="325" w:right="323"/>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26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7"/>
              <w:jc w:val="right"/>
              <w:rPr>
                <w:rFonts w:ascii="Times New Roman" w:hAnsi="Times New Roman" w:cs="Times New Roman" w:eastAsia="Times New Roman" w:hint="default"/>
                <w:sz w:val="21"/>
                <w:szCs w:val="21"/>
              </w:rPr>
            </w:pPr>
            <w:r>
              <w:rPr>
                <w:rFonts w:ascii="Times New Roman"/>
                <w:spacing w:val="-1"/>
                <w:sz w:val="21"/>
              </w:rPr>
              <w:t>212,461.20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338" w:lineRule="auto" w:before="35"/>
        <w:ind w:left="320" w:right="1049"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w:t>
      </w:r>
      <w:r>
        <w:rPr>
          <w:spacing w:val="-4"/>
        </w:rPr>
        <w:t>）、本公司的全资子公司深圳广电银通金融电子科技有限公司于</w:t>
      </w:r>
      <w:r>
        <w:rPr>
          <w:spacing w:val="-52"/>
        </w:rPr>
        <w:t> </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日与广州 无线电集团有限公司签订编号为 </w:t>
      </w:r>
      <w:r>
        <w:rPr>
          <w:rFonts w:ascii="Times New Roman" w:hAnsi="Times New Roman" w:cs="Times New Roman" w:eastAsia="Times New Roman" w:hint="default"/>
        </w:rPr>
        <w:t>ZL2008015</w:t>
      </w:r>
      <w:r>
        <w:rPr>
          <w:rFonts w:ascii="Times New Roman" w:hAnsi="Times New Roman" w:cs="Times New Roman" w:eastAsia="Times New Roman" w:hint="default"/>
          <w:spacing w:val="3"/>
        </w:rPr>
        <w:t> </w:t>
      </w:r>
      <w:r>
        <w:rPr>
          <w:spacing w:val="-5"/>
        </w:rPr>
        <w:t>的《房屋租赁合同》，租用广州无线电集团有限公司</w:t>
      </w:r>
      <w:r>
        <w:rPr/>
        <w:t> 拥有的坐落在广州市天河区平云路</w:t>
      </w:r>
      <w:r>
        <w:rPr>
          <w:spacing w:val="-55"/>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号的房屋、场地</w:t>
      </w:r>
      <w:r>
        <w:rPr>
          <w:rFonts w:ascii="Times New Roman" w:hAnsi="Times New Roman" w:cs="Times New Roman" w:eastAsia="Times New Roman" w:hint="default"/>
        </w:rPr>
        <w:t>,</w:t>
      </w:r>
      <w:r>
        <w:rPr/>
        <w:t>租赁期限从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p>
    <w:p>
      <w:pPr>
        <w:pStyle w:val="BodyText"/>
        <w:spacing w:line="240" w:lineRule="auto" w:before="22"/>
        <w:ind w:left="319" w:right="211"/>
        <w:jc w:val="left"/>
      </w:pP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日。其中租用通讯大楼六楼东部，房地产建筑</w:t>
      </w:r>
      <w:r>
        <w:rPr>
          <w:spacing w:val="-6"/>
        </w:rPr>
        <w:t> </w:t>
      </w:r>
      <w:r>
        <w:rPr/>
        <w:t>面积</w:t>
      </w:r>
      <w:r>
        <w:rPr>
          <w:spacing w:val="-56"/>
        </w:rPr>
        <w:t> </w:t>
      </w:r>
      <w:r>
        <w:rPr>
          <w:rFonts w:ascii="Times New Roman" w:hAnsi="Times New Roman" w:cs="Times New Roman" w:eastAsia="Times New Roman" w:hint="default"/>
        </w:rPr>
        <w:t>1,674.57</w:t>
      </w:r>
      <w:r>
        <w:rPr>
          <w:rFonts w:ascii="Times New Roman" w:hAnsi="Times New Roman" w:cs="Times New Roman" w:eastAsia="Times New Roman" w:hint="default"/>
          <w:spacing w:val="-3"/>
        </w:rPr>
        <w:t> </w:t>
      </w:r>
      <w:r>
        <w:rPr/>
        <w:t>平方米；租用通讯大楼六楼西</w:t>
      </w:r>
    </w:p>
    <w:p>
      <w:pPr>
        <w:pStyle w:val="BodyText"/>
        <w:spacing w:line="240" w:lineRule="auto" w:before="117"/>
        <w:ind w:left="319" w:right="211"/>
        <w:jc w:val="left"/>
      </w:pPr>
      <w:r>
        <w:rPr/>
        <w:t>部，房地产建筑面积</w:t>
      </w:r>
      <w:r>
        <w:rPr>
          <w:spacing w:val="-56"/>
        </w:rPr>
        <w:t> </w:t>
      </w:r>
      <w:r>
        <w:rPr>
          <w:rFonts w:ascii="Times New Roman" w:hAnsi="Times New Roman" w:cs="Times New Roman" w:eastAsia="Times New Roman" w:hint="default"/>
        </w:rPr>
        <w:t>1,048.39</w:t>
      </w:r>
      <w:r>
        <w:rPr>
          <w:rFonts w:ascii="Times New Roman" w:hAnsi="Times New Roman" w:cs="Times New Roman" w:eastAsia="Times New Roman" w:hint="default"/>
          <w:spacing w:val="-3"/>
        </w:rPr>
        <w:t> </w:t>
      </w:r>
      <w:r>
        <w:rPr/>
        <w:t>平方米，按单价</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pStyle w:val="BodyText"/>
        <w:spacing w:line="338" w:lineRule="auto" w:before="118"/>
        <w:ind w:left="319" w:right="1049" w:firstLine="419"/>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2</w:t>
      </w:r>
      <w:r>
        <w:rPr>
          <w:spacing w:val="-4"/>
        </w:rPr>
        <w:t>）、本公司的全资子公司深圳广电银通金融电子科技有限公司于</w:t>
      </w:r>
      <w:r>
        <w:rPr>
          <w:spacing w:val="-35"/>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8"/>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日与广州 无线电集团有限公司签订编号为 </w:t>
      </w:r>
      <w:r>
        <w:rPr>
          <w:rFonts w:ascii="Times New Roman" w:hAnsi="Times New Roman" w:cs="Times New Roman" w:eastAsia="Times New Roman" w:hint="default"/>
        </w:rPr>
        <w:t>ZL2009014</w:t>
      </w:r>
      <w:r>
        <w:rPr>
          <w:rFonts w:ascii="Times New Roman" w:hAnsi="Times New Roman" w:cs="Times New Roman" w:eastAsia="Times New Roman" w:hint="default"/>
          <w:spacing w:val="3"/>
        </w:rPr>
        <w:t> </w:t>
      </w:r>
      <w:r>
        <w:rPr>
          <w:spacing w:val="-5"/>
        </w:rPr>
        <w:t>的《房屋租赁合同》，租用广州无线电集团有限公司</w:t>
      </w:r>
      <w:r>
        <w:rPr/>
        <w:t> 拥有的坐落在广州市天河区平云路</w:t>
      </w:r>
      <w:r>
        <w:rPr>
          <w:spacing w:val="-55"/>
        </w:rPr>
        <w:t> </w:t>
      </w:r>
      <w:r>
        <w:rPr>
          <w:rFonts w:ascii="Times New Roman" w:hAnsi="Times New Roman" w:cs="Times New Roman" w:eastAsia="Times New Roman" w:hint="default"/>
        </w:rPr>
        <w:t>163</w:t>
      </w:r>
      <w:r>
        <w:rPr>
          <w:rFonts w:ascii="Times New Roman" w:hAnsi="Times New Roman" w:cs="Times New Roman" w:eastAsia="Times New Roman" w:hint="default"/>
          <w:spacing w:val="-2"/>
        </w:rPr>
        <w:t> </w:t>
      </w:r>
      <w:r>
        <w:rPr/>
        <w:t>号的房屋、场地</w:t>
      </w:r>
      <w:r>
        <w:rPr>
          <w:rFonts w:ascii="Times New Roman" w:hAnsi="Times New Roman" w:cs="Times New Roman" w:eastAsia="Times New Roman" w:hint="default"/>
        </w:rPr>
        <w:t>,</w:t>
      </w:r>
      <w:r>
        <w:rPr/>
        <w:t>租赁期限从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7</w:t>
      </w:r>
    </w:p>
    <w:p>
      <w:pPr>
        <w:pStyle w:val="BodyText"/>
        <w:spacing w:line="240" w:lineRule="auto" w:before="22"/>
        <w:ind w:left="319" w:right="211"/>
        <w:jc w:val="left"/>
      </w:pP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日。其中租用通讯大楼六层东部，房地产建筑</w:t>
      </w:r>
      <w:r>
        <w:rPr>
          <w:spacing w:val="2"/>
        </w:rPr>
        <w:t> </w:t>
      </w:r>
      <w:r>
        <w:rPr/>
        <w:t>面积</w:t>
      </w:r>
      <w:r>
        <w:rPr>
          <w:spacing w:val="-52"/>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1"/>
        </w:rPr>
        <w:t> </w:t>
      </w:r>
      <w:r>
        <w:rPr>
          <w:spacing w:val="-4"/>
        </w:rPr>
        <w:t>平方米；租用通讯大楼七层东部，</w:t>
      </w:r>
    </w:p>
    <w:p>
      <w:pPr>
        <w:pStyle w:val="BodyText"/>
        <w:spacing w:line="240" w:lineRule="auto" w:before="118"/>
        <w:ind w:left="319" w:right="211"/>
        <w:jc w:val="left"/>
      </w:pPr>
      <w:r>
        <w:rPr/>
        <w:t>房地产建筑面积</w:t>
      </w:r>
      <w:r>
        <w:rPr>
          <w:spacing w:val="-55"/>
        </w:rPr>
        <w:t> </w:t>
      </w:r>
      <w:r>
        <w:rPr>
          <w:rFonts w:ascii="Times New Roman" w:hAnsi="Times New Roman" w:cs="Times New Roman" w:eastAsia="Times New Roman" w:hint="default"/>
        </w:rPr>
        <w:t>1,361.12</w:t>
      </w:r>
      <w:r>
        <w:rPr>
          <w:rFonts w:ascii="Times New Roman" w:hAnsi="Times New Roman" w:cs="Times New Roman" w:eastAsia="Times New Roman" w:hint="default"/>
          <w:spacing w:val="-2"/>
        </w:rPr>
        <w:t> </w:t>
      </w:r>
      <w:r>
        <w:rPr/>
        <w:t>平方米，按单价</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月计算月租金。</w:t>
      </w:r>
    </w:p>
    <w:p>
      <w:pPr>
        <w:spacing w:after="0" w:line="240" w:lineRule="auto"/>
        <w:jc w:val="left"/>
        <w:sectPr>
          <w:footerReference w:type="default" r:id="rId39"/>
          <w:pgSz w:w="11910" w:h="16840"/>
          <w:pgMar w:footer="982" w:header="0" w:top="1100" w:bottom="1180" w:left="1480" w:right="240"/>
          <w:pgNumType w:start="115"/>
        </w:sectPr>
      </w:pPr>
    </w:p>
    <w:p>
      <w:pPr>
        <w:spacing w:line="240" w:lineRule="auto" w:before="2"/>
        <w:rPr>
          <w:rFonts w:ascii="宋体" w:hAnsi="宋体" w:cs="宋体" w:eastAsia="宋体" w:hint="default"/>
          <w:sz w:val="19"/>
          <w:szCs w:val="19"/>
        </w:rPr>
      </w:pPr>
    </w:p>
    <w:p>
      <w:pPr>
        <w:pStyle w:val="BodyText"/>
        <w:spacing w:line="338" w:lineRule="auto" w:before="35"/>
        <w:ind w:right="209" w:firstLine="420"/>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3</w:t>
      </w:r>
      <w:r>
        <w:rPr>
          <w:spacing w:val="-4"/>
        </w:rPr>
        <w:t>）、本公司的全资子公司深圳广电银通金融电子科技有限公司于</w:t>
      </w:r>
      <w:r>
        <w:rPr>
          <w:spacing w:val="-52"/>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日与广州 无线电集团有限公司签订编号为 </w:t>
      </w:r>
      <w:r>
        <w:rPr>
          <w:rFonts w:ascii="Times New Roman" w:hAnsi="Times New Roman" w:cs="Times New Roman" w:eastAsia="Times New Roman" w:hint="default"/>
        </w:rPr>
        <w:t>ZL2010020</w:t>
      </w:r>
      <w:r>
        <w:rPr>
          <w:rFonts w:ascii="Times New Roman" w:hAnsi="Times New Roman" w:cs="Times New Roman" w:eastAsia="Times New Roman" w:hint="default"/>
          <w:spacing w:val="3"/>
        </w:rPr>
        <w:t> </w:t>
      </w:r>
      <w:r>
        <w:rPr>
          <w:spacing w:val="-5"/>
        </w:rPr>
        <w:t>的《房屋租赁合同》，租用广州无线电集团有限公司</w:t>
      </w:r>
      <w:r>
        <w:rPr/>
        <w:t> 拥有的坐落在广州市天河区平云路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t>号的房屋、场地</w:t>
      </w:r>
      <w:r>
        <w:rPr>
          <w:rFonts w:ascii="Times New Roman" w:hAnsi="Times New Roman" w:cs="Times New Roman" w:eastAsia="Times New Roman" w:hint="default"/>
        </w:rPr>
        <w:t>,</w:t>
      </w:r>
      <w:r>
        <w:rPr/>
        <w:t>租赁期限从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p>
    <w:p>
      <w:pPr>
        <w:pStyle w:val="BodyText"/>
        <w:spacing w:line="240" w:lineRule="auto" w:before="22"/>
        <w:ind w:left="139" w:right="0"/>
        <w:jc w:val="left"/>
      </w:pP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日。其中租用通讯大楼六层东部，房地产建筑面积</w:t>
      </w:r>
      <w:r>
        <w:rPr>
          <w:spacing w:val="-70"/>
        </w:rPr>
        <w:t> </w:t>
      </w:r>
      <w:r>
        <w:rPr>
          <w:rFonts w:ascii="Times New Roman" w:hAnsi="Times New Roman" w:cs="Times New Roman" w:eastAsia="Times New Roman" w:hint="default"/>
        </w:rPr>
        <w:t>950.00</w:t>
      </w:r>
      <w:r>
        <w:rPr>
          <w:rFonts w:ascii="Times New Roman" w:hAnsi="Times New Roman" w:cs="Times New Roman" w:eastAsia="Times New Roman" w:hint="default"/>
          <w:spacing w:val="-17"/>
        </w:rPr>
        <w:t> </w:t>
      </w:r>
      <w:r>
        <w:rPr/>
        <w:t>平方米；租用通讯大楼六层中部，</w:t>
      </w:r>
    </w:p>
    <w:p>
      <w:pPr>
        <w:pStyle w:val="BodyText"/>
        <w:spacing w:line="240" w:lineRule="auto" w:before="118"/>
        <w:ind w:left="139" w:right="103"/>
        <w:jc w:val="left"/>
      </w:pPr>
      <w:r>
        <w:rPr/>
        <w:t>房地产建筑面积</w:t>
      </w:r>
      <w:r>
        <w:rPr>
          <w:spacing w:val="-58"/>
        </w:rPr>
        <w:t> </w:t>
      </w:r>
      <w:r>
        <w:rPr>
          <w:rFonts w:ascii="Times New Roman" w:hAnsi="Times New Roman" w:cs="Times New Roman" w:eastAsia="Times New Roman" w:hint="default"/>
        </w:rPr>
        <w:t>1,120.16</w:t>
      </w:r>
      <w:r>
        <w:rPr>
          <w:rFonts w:ascii="Times New Roman" w:hAnsi="Times New Roman" w:cs="Times New Roman" w:eastAsia="Times New Roman" w:hint="default"/>
          <w:spacing w:val="-5"/>
        </w:rPr>
        <w:t> </w:t>
      </w:r>
      <w:r>
        <w:rPr/>
        <w:t>平方米；租用通讯大楼七层西部，房地产建筑面积</w:t>
      </w:r>
      <w:r>
        <w:rPr>
          <w:spacing w:val="-58"/>
        </w:rPr>
        <w:t> </w:t>
      </w:r>
      <w:r>
        <w:rPr>
          <w:rFonts w:ascii="Times New Roman" w:hAnsi="Times New Roman" w:cs="Times New Roman" w:eastAsia="Times New Roman" w:hint="default"/>
        </w:rPr>
        <w:t>1,361.12</w:t>
      </w:r>
      <w:r>
        <w:rPr>
          <w:rFonts w:ascii="Times New Roman" w:hAnsi="Times New Roman" w:cs="Times New Roman" w:eastAsia="Times New Roman" w:hint="default"/>
          <w:spacing w:val="-5"/>
        </w:rPr>
        <w:t> </w:t>
      </w:r>
      <w:r>
        <w:rPr/>
        <w:t>平方米；租</w:t>
      </w:r>
    </w:p>
    <w:p>
      <w:pPr>
        <w:pStyle w:val="BodyText"/>
        <w:spacing w:line="338" w:lineRule="auto" w:before="117"/>
        <w:ind w:left="139" w:right="200" w:hanging="1"/>
        <w:jc w:val="left"/>
      </w:pPr>
      <w:r>
        <w:rPr/>
        <w:t>用通讯大楼七层中部，房地产建筑面积</w:t>
      </w:r>
      <w:r>
        <w:rPr>
          <w:spacing w:val="-64"/>
        </w:rPr>
        <w:t> </w:t>
      </w:r>
      <w:r>
        <w:rPr>
          <w:rFonts w:ascii="Times New Roman" w:hAnsi="Times New Roman" w:cs="Times New Roman" w:eastAsia="Times New Roman" w:hint="default"/>
        </w:rPr>
        <w:t>420.11</w:t>
      </w:r>
      <w:r>
        <w:rPr>
          <w:rFonts w:ascii="Times New Roman" w:hAnsi="Times New Roman" w:cs="Times New Roman" w:eastAsia="Times New Roman" w:hint="default"/>
          <w:spacing w:val="-11"/>
        </w:rPr>
        <w:t> </w:t>
      </w:r>
      <w:r>
        <w:rPr>
          <w:spacing w:val="-3"/>
        </w:rPr>
        <w:t>平方米，上述房产按单价</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 金。</w:t>
      </w:r>
    </w:p>
    <w:p>
      <w:pPr>
        <w:pStyle w:val="BodyText"/>
        <w:spacing w:line="338" w:lineRule="auto" w:before="47"/>
        <w:ind w:left="139" w:right="106" w:firstLine="419"/>
        <w:jc w:val="both"/>
      </w:pPr>
      <w:r>
        <w:rPr>
          <w:spacing w:val="-5"/>
        </w:rPr>
        <w:t>（</w:t>
      </w:r>
      <w:r>
        <w:rPr>
          <w:rFonts w:ascii="Times New Roman" w:hAnsi="Times New Roman" w:cs="Times New Roman" w:eastAsia="Times New Roman" w:hint="default"/>
          <w:spacing w:val="-5"/>
        </w:rPr>
        <w:t>4</w:t>
      </w:r>
      <w:r>
        <w:rPr>
          <w:spacing w:val="-5"/>
        </w:rPr>
        <w:t>）、本公司的控股子公司广州穗通金融服务有限公司于</w:t>
      </w:r>
      <w:r>
        <w:rPr>
          <w:spacing w:val="-3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日与广州无线电集 团有限公司签订编号为 </w:t>
      </w:r>
      <w:r>
        <w:rPr>
          <w:rFonts w:ascii="Times New Roman" w:hAnsi="Times New Roman" w:cs="Times New Roman" w:eastAsia="Times New Roman" w:hint="default"/>
          <w:spacing w:val="-1"/>
        </w:rPr>
        <w:t>ZL2009002</w:t>
      </w:r>
      <w:r>
        <w:rPr>
          <w:rFonts w:ascii="Times New Roman" w:hAnsi="Times New Roman" w:cs="Times New Roman" w:eastAsia="Times New Roman" w:hint="default"/>
        </w:rPr>
        <w:t> </w:t>
      </w:r>
      <w:r>
        <w:rPr>
          <w:spacing w:val="-4"/>
        </w:rPr>
        <w:t>的《房屋租赁合同》，租用广州无线电集团有限公司拥有的坐</w:t>
      </w:r>
      <w:r>
        <w:rPr>
          <w:spacing w:val="-102"/>
        </w:rPr>
        <w:t> </w:t>
      </w:r>
      <w:r>
        <w:rPr>
          <w:spacing w:val="-102"/>
        </w:rPr>
      </w:r>
      <w:r>
        <w:rPr/>
        <w:t>落在广州市天河区平云路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spacing w:val="-5"/>
        </w:rPr>
        <w:t>号的房屋、场地</w:t>
      </w:r>
      <w:r>
        <w:rPr>
          <w:rFonts w:ascii="Times New Roman" w:hAnsi="Times New Roman" w:cs="Times New Roman" w:eastAsia="Times New Roman" w:hint="default"/>
          <w:spacing w:val="-5"/>
        </w:rPr>
        <w:t>,</w:t>
      </w:r>
      <w:r>
        <w:rPr>
          <w:spacing w:val="-5"/>
        </w:rPr>
        <w:t>租赁期限从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22"/>
        <w:ind w:left="139" w:right="0"/>
        <w:jc w:val="left"/>
      </w:pPr>
      <w:r>
        <w:rPr/>
        <w:t>其中租用通讯大楼七层东部</w:t>
      </w:r>
      <w:r>
        <w:rPr>
          <w:spacing w:val="-88"/>
        </w:rPr>
        <w:t>，</w:t>
      </w:r>
      <w:r>
        <w:rPr/>
        <w:t>房地产建筑面积</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46.8</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平方米</w:t>
      </w:r>
      <w:r>
        <w:rPr>
          <w:spacing w:val="-89"/>
        </w:rPr>
        <w:t>，</w:t>
      </w:r>
      <w:r>
        <w:rPr/>
        <w:t>按单价</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 </w:t>
      </w:r>
      <w:r>
        <w:rPr/>
        <w:t>元</w:t>
      </w:r>
      <w:r>
        <w:rPr>
          <w:rFonts w:ascii="Times New Roman" w:hAnsi="Times New Roman" w:cs="Times New Roman" w:eastAsia="Times New Roman" w:hint="default"/>
          <w:spacing w:val="-1"/>
        </w:rPr>
        <w:t>/</w:t>
      </w:r>
      <w:r>
        <w:rPr/>
        <w:t>平方米</w:t>
      </w:r>
      <w:r>
        <w:rPr>
          <w:rFonts w:ascii="Times New Roman" w:hAnsi="Times New Roman" w:cs="Times New Roman" w:eastAsia="Times New Roman" w:hint="default"/>
        </w:rPr>
        <w:t>/</w:t>
      </w:r>
      <w:r>
        <w:rPr/>
        <w:t>月计算月租金。</w:t>
      </w:r>
    </w:p>
    <w:p>
      <w:pPr>
        <w:pStyle w:val="BodyText"/>
        <w:spacing w:line="338" w:lineRule="auto" w:before="118"/>
        <w:ind w:left="139" w:right="106" w:firstLine="419"/>
        <w:jc w:val="both"/>
      </w:pPr>
      <w:r>
        <w:rPr>
          <w:spacing w:val="-5"/>
        </w:rPr>
        <w:t>（</w:t>
      </w:r>
      <w:r>
        <w:rPr>
          <w:rFonts w:ascii="Times New Roman" w:hAnsi="Times New Roman" w:cs="Times New Roman" w:eastAsia="Times New Roman" w:hint="default"/>
          <w:spacing w:val="-5"/>
        </w:rPr>
        <w:t>5</w:t>
      </w:r>
      <w:r>
        <w:rPr>
          <w:spacing w:val="-5"/>
        </w:rPr>
        <w:t>）、本公司的控股子公司广州穗通金融服务有限公司于</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spacing w:val="-1"/>
        </w:rPr>
        <w:t>日与广州无线电集</w:t>
      </w:r>
      <w:r>
        <w:rPr/>
        <w:t> 团有限公司签订编号为 </w:t>
      </w:r>
      <w:r>
        <w:rPr>
          <w:rFonts w:ascii="Times New Roman" w:hAnsi="Times New Roman" w:cs="Times New Roman" w:eastAsia="Times New Roman" w:hint="default"/>
          <w:spacing w:val="-1"/>
        </w:rPr>
        <w:t>ZL2009016</w:t>
      </w:r>
      <w:r>
        <w:rPr>
          <w:rFonts w:ascii="Times New Roman" w:hAnsi="Times New Roman" w:cs="Times New Roman" w:eastAsia="Times New Roman" w:hint="default"/>
        </w:rPr>
        <w:t> </w:t>
      </w:r>
      <w:r>
        <w:rPr>
          <w:spacing w:val="-4"/>
        </w:rPr>
        <w:t>的《房屋租赁合同》，租用广州无线电集团有限公司拥有的坐</w:t>
      </w:r>
      <w:r>
        <w:rPr>
          <w:spacing w:val="-102"/>
        </w:rPr>
        <w:t> </w:t>
      </w:r>
      <w:r>
        <w:rPr>
          <w:spacing w:val="-102"/>
        </w:rPr>
      </w:r>
      <w:r>
        <w:rPr/>
        <w:t>落在广州市天河区平云路</w:t>
      </w:r>
      <w:r>
        <w:rPr>
          <w:spacing w:val="-54"/>
        </w:rPr>
        <w:t> </w:t>
      </w:r>
      <w:r>
        <w:rPr>
          <w:rFonts w:ascii="Times New Roman" w:hAnsi="Times New Roman" w:cs="Times New Roman" w:eastAsia="Times New Roman" w:hint="default"/>
        </w:rPr>
        <w:t>163</w:t>
      </w:r>
      <w:r>
        <w:rPr>
          <w:rFonts w:ascii="Times New Roman" w:hAnsi="Times New Roman" w:cs="Times New Roman" w:eastAsia="Times New Roman" w:hint="default"/>
          <w:spacing w:val="-1"/>
        </w:rPr>
        <w:t> </w:t>
      </w:r>
      <w:r>
        <w:rPr>
          <w:spacing w:val="-5"/>
        </w:rPr>
        <w:t>号的房屋、场地</w:t>
      </w:r>
      <w:r>
        <w:rPr>
          <w:rFonts w:ascii="Times New Roman" w:hAnsi="Times New Roman" w:cs="Times New Roman" w:eastAsia="Times New Roman" w:hint="default"/>
          <w:spacing w:val="-5"/>
        </w:rPr>
        <w:t>,</w:t>
      </w:r>
      <w:r>
        <w:rPr>
          <w:spacing w:val="-5"/>
        </w:rPr>
        <w:t>租赁期限从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336" w:lineRule="auto" w:before="22"/>
        <w:ind w:left="139" w:right="202"/>
        <w:jc w:val="left"/>
      </w:pPr>
      <w:r>
        <w:rPr/>
        <w:t>其中租用通讯大楼七层东部，房地产建筑面积</w:t>
      </w:r>
      <w:r>
        <w:rPr>
          <w:spacing w:val="-60"/>
        </w:rPr>
        <w:t> </w:t>
      </w:r>
      <w:r>
        <w:rPr>
          <w:rFonts w:ascii="Times New Roman" w:hAnsi="Times New Roman" w:cs="Times New Roman" w:eastAsia="Times New Roman" w:hint="default"/>
        </w:rPr>
        <w:t>1,180.34</w:t>
      </w:r>
      <w:r>
        <w:rPr>
          <w:rFonts w:ascii="Times New Roman" w:hAnsi="Times New Roman" w:cs="Times New Roman" w:eastAsia="Times New Roman" w:hint="default"/>
          <w:spacing w:val="-7"/>
        </w:rPr>
        <w:t> </w:t>
      </w:r>
      <w:r>
        <w:rPr/>
        <w:t>平方米，按单价</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 金。</w:t>
      </w:r>
    </w:p>
    <w:p>
      <w:pPr>
        <w:pStyle w:val="BodyText"/>
        <w:spacing w:line="338" w:lineRule="auto" w:before="50"/>
        <w:ind w:left="139" w:right="105" w:firstLine="419"/>
        <w:jc w:val="both"/>
      </w:pPr>
      <w:r>
        <w:rPr>
          <w:spacing w:val="-5"/>
        </w:rPr>
        <w:t>（</w:t>
      </w:r>
      <w:r>
        <w:rPr>
          <w:rFonts w:ascii="Times New Roman" w:hAnsi="Times New Roman" w:cs="Times New Roman" w:eastAsia="Times New Roman" w:hint="default"/>
          <w:spacing w:val="-5"/>
        </w:rPr>
        <w:t>6</w:t>
      </w:r>
      <w:r>
        <w:rPr>
          <w:spacing w:val="-5"/>
        </w:rPr>
        <w:t>）、本公司的控股子公司广州穗通金融服务有限公司于</w:t>
      </w:r>
      <w:r>
        <w:rPr>
          <w:spacing w:val="-3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w:t>
      </w:r>
      <w:r>
        <w:rPr>
          <w:spacing w:val="-35"/>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日与广州无线电集 团有限公司签订编号为 </w:t>
      </w:r>
      <w:r>
        <w:rPr>
          <w:rFonts w:ascii="Times New Roman" w:hAnsi="Times New Roman" w:cs="Times New Roman" w:eastAsia="Times New Roman" w:hint="default"/>
          <w:spacing w:val="-1"/>
        </w:rPr>
        <w:t>ZL2010021</w:t>
      </w:r>
      <w:r>
        <w:rPr>
          <w:rFonts w:ascii="Times New Roman" w:hAnsi="Times New Roman" w:cs="Times New Roman" w:eastAsia="Times New Roman" w:hint="default"/>
        </w:rPr>
        <w:t> </w:t>
      </w:r>
      <w:r>
        <w:rPr>
          <w:spacing w:val="-4"/>
        </w:rPr>
        <w:t>的《房屋租赁合同》，租用广州无线电集团有限公司拥有的坐</w:t>
      </w:r>
      <w:r>
        <w:rPr>
          <w:spacing w:val="-102"/>
        </w:rPr>
        <w:t> </w:t>
      </w:r>
      <w:r>
        <w:rPr>
          <w:spacing w:val="-102"/>
        </w:rPr>
      </w:r>
      <w:r>
        <w:rPr/>
        <w:t>落在广州市天河区平云路</w:t>
      </w:r>
      <w:r>
        <w:rPr>
          <w:spacing w:val="-53"/>
        </w:rPr>
        <w:t> </w:t>
      </w:r>
      <w:r>
        <w:rPr>
          <w:rFonts w:ascii="Times New Roman" w:hAnsi="Times New Roman" w:cs="Times New Roman" w:eastAsia="Times New Roman" w:hint="default"/>
        </w:rPr>
        <w:t>163 </w:t>
      </w:r>
      <w:r>
        <w:rPr>
          <w:spacing w:val="-5"/>
        </w:rPr>
        <w:t>号的房屋、场地</w:t>
      </w:r>
      <w:r>
        <w:rPr>
          <w:rFonts w:ascii="Times New Roman" w:hAnsi="Times New Roman" w:cs="Times New Roman" w:eastAsia="Times New Roman" w:hint="default"/>
          <w:spacing w:val="-5"/>
        </w:rPr>
        <w:t>,</w:t>
      </w:r>
      <w:r>
        <w:rPr>
          <w:spacing w:val="-5"/>
        </w:rPr>
        <w:t>租赁期限从</w:t>
      </w:r>
      <w:r>
        <w:rPr>
          <w:spacing w:val="-53"/>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31 </w:t>
      </w:r>
      <w:r>
        <w:rPr/>
        <w:t>日。</w:t>
      </w:r>
    </w:p>
    <w:p>
      <w:pPr>
        <w:pStyle w:val="BodyText"/>
        <w:spacing w:line="338" w:lineRule="auto" w:before="22"/>
        <w:ind w:left="139" w:right="202"/>
        <w:jc w:val="left"/>
      </w:pPr>
      <w:r>
        <w:rPr/>
        <w:t>其中租用通讯大楼七层东部，房地产建筑面积</w:t>
      </w:r>
      <w:r>
        <w:rPr>
          <w:spacing w:val="-60"/>
        </w:rPr>
        <w:t> </w:t>
      </w:r>
      <w:r>
        <w:rPr>
          <w:rFonts w:ascii="Times New Roman" w:hAnsi="Times New Roman" w:cs="Times New Roman" w:eastAsia="Times New Roman" w:hint="default"/>
        </w:rPr>
        <w:t>1,180.34</w:t>
      </w:r>
      <w:r>
        <w:rPr>
          <w:rFonts w:ascii="Times New Roman" w:hAnsi="Times New Roman" w:cs="Times New Roman" w:eastAsia="Times New Roman" w:hint="default"/>
          <w:spacing w:val="-7"/>
        </w:rPr>
        <w:t> </w:t>
      </w:r>
      <w:r>
        <w:rPr/>
        <w:t>平方米，按单价</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月计算月租 金。</w:t>
      </w:r>
    </w:p>
    <w:p>
      <w:pPr>
        <w:pStyle w:val="Heading4"/>
        <w:spacing w:line="240" w:lineRule="auto" w:before="47"/>
        <w:ind w:right="103"/>
        <w:jc w:val="left"/>
        <w:rPr>
          <w:b w:val="0"/>
          <w:bCs w:val="0"/>
        </w:rPr>
      </w:pPr>
      <w:r>
        <w:rPr>
          <w:rFonts w:ascii="Times New Roman" w:hAnsi="Times New Roman" w:cs="Times New Roman" w:eastAsia="Times New Roman" w:hint="default"/>
        </w:rPr>
        <w:t>4</w:t>
      </w:r>
      <w:r>
        <w:rPr/>
        <w:t>、其他关联交易</w:t>
      </w:r>
      <w:r>
        <w:rPr>
          <w:b w:val="0"/>
          <w:bCs w:val="0"/>
        </w:rPr>
      </w:r>
    </w:p>
    <w:p>
      <w:pPr>
        <w:spacing w:before="117"/>
        <w:ind w:left="559" w:right="103"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物</w:t>
      </w:r>
      <w:r>
        <w:rPr>
          <w:rFonts w:ascii="宋体" w:hAnsi="宋体" w:cs="宋体" w:eastAsia="宋体" w:hint="default"/>
          <w:b/>
          <w:bCs/>
          <w:w w:val="99"/>
          <w:sz w:val="21"/>
          <w:szCs w:val="21"/>
        </w:rPr>
        <w:t>业</w:t>
      </w:r>
      <w:r>
        <w:rPr>
          <w:rFonts w:ascii="宋体" w:hAnsi="宋体" w:cs="宋体" w:eastAsia="宋体" w:hint="default"/>
          <w:b/>
          <w:bCs/>
          <w:spacing w:val="1"/>
          <w:w w:val="99"/>
          <w:sz w:val="21"/>
          <w:szCs w:val="21"/>
        </w:rPr>
        <w:t>管</w:t>
      </w:r>
      <w:r>
        <w:rPr>
          <w:rFonts w:ascii="宋体" w:hAnsi="宋体" w:cs="宋体" w:eastAsia="宋体" w:hint="default"/>
          <w:b/>
          <w:bCs/>
          <w:w w:val="99"/>
          <w:sz w:val="21"/>
          <w:szCs w:val="21"/>
        </w:rPr>
        <w:t>理</w:t>
      </w:r>
      <w:r>
        <w:rPr>
          <w:rFonts w:ascii="宋体" w:hAnsi="宋体" w:cs="宋体" w:eastAsia="宋体" w:hint="default"/>
          <w:sz w:val="21"/>
          <w:szCs w:val="21"/>
        </w:rPr>
      </w:r>
    </w:p>
    <w:p>
      <w:pPr>
        <w:pStyle w:val="BodyText"/>
        <w:spacing w:line="240" w:lineRule="auto" w:before="118"/>
        <w:ind w:left="559"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67"/>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日，本公司与广州广电物业管理有限公司签订《广州广电运通科学城产业园》</w:t>
      </w:r>
    </w:p>
    <w:p>
      <w:pPr>
        <w:pStyle w:val="BodyText"/>
        <w:spacing w:line="348" w:lineRule="auto" w:before="117"/>
        <w:ind w:left="139" w:right="209"/>
        <w:jc w:val="both"/>
      </w:pPr>
      <w:r>
        <w:rPr/>
        <w:t>物业管理合同，将位于广州市萝岗区科学城科林路</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号广电运通产业园的物业委托给广州广电物 </w:t>
      </w:r>
      <w:r>
        <w:rPr>
          <w:spacing w:val="-1"/>
        </w:rPr>
        <w:t>业管理有限公司进行管理，每月固定费用，临时增加管理人员费用另计，每月按双方核定并认可</w:t>
      </w:r>
      <w:r>
        <w:rPr>
          <w:spacing w:val="-72"/>
        </w:rPr>
        <w:t> </w:t>
      </w:r>
      <w:r>
        <w:rPr>
          <w:spacing w:val="-72"/>
        </w:rPr>
      </w:r>
      <w:r>
        <w:rPr/>
        <w:t>的服务人员人数按实结算，委托管理期限为一年。</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日，双方约定原合同延长至产</w:t>
      </w:r>
    </w:p>
    <w:p>
      <w:pPr>
        <w:pStyle w:val="BodyText"/>
        <w:spacing w:line="240" w:lineRule="auto" w:before="13"/>
        <w:ind w:right="0"/>
        <w:jc w:val="both"/>
      </w:pPr>
      <w:r>
        <w:rPr/>
        <w:t>业园整体完工。</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日，双方继续签订合同，委托管理物业面积为</w:t>
      </w:r>
      <w:r>
        <w:rPr>
          <w:spacing w:val="-56"/>
        </w:rPr>
        <w:t> </w:t>
      </w:r>
      <w:r>
        <w:rPr>
          <w:rFonts w:ascii="Times New Roman" w:hAnsi="Times New Roman" w:cs="Times New Roman" w:eastAsia="Times New Roman" w:hint="default"/>
        </w:rPr>
        <w:t>47,992</w:t>
      </w:r>
      <w:r>
        <w:rPr>
          <w:rFonts w:ascii="Times New Roman" w:hAnsi="Times New Roman" w:cs="Times New Roman" w:eastAsia="Times New Roman" w:hint="default"/>
          <w:spacing w:val="-2"/>
        </w:rPr>
        <w:t> </w:t>
      </w:r>
      <w:r>
        <w:rPr/>
        <w:t>平方米；价</w:t>
      </w:r>
    </w:p>
    <w:p>
      <w:pPr>
        <w:pStyle w:val="BodyText"/>
        <w:spacing w:line="336" w:lineRule="auto" w:before="117"/>
        <w:ind w:left="559" w:right="103" w:hanging="420"/>
        <w:jc w:val="left"/>
      </w:pPr>
      <w:r>
        <w:rPr/>
        <w:t>格约为</w:t>
      </w:r>
      <w:r>
        <w:rPr>
          <w:spacing w:val="-55"/>
        </w:rPr>
        <w:t> </w:t>
      </w:r>
      <w:r>
        <w:rPr>
          <w:rFonts w:ascii="Times New Roman" w:hAnsi="Times New Roman" w:cs="Times New Roman" w:eastAsia="Times New Roman" w:hint="default"/>
        </w:rPr>
        <w:t>1.76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平方米</w:t>
      </w:r>
      <w:r>
        <w:rPr>
          <w:rFonts w:ascii="Times New Roman" w:hAnsi="Times New Roman" w:cs="Times New Roman" w:eastAsia="Times New Roman" w:hint="default"/>
        </w:rPr>
        <w:t>/</w:t>
      </w:r>
      <w:r>
        <w:rPr/>
        <w:t>月，合计每月物业管理费为人民币</w:t>
      </w:r>
      <w:r>
        <w:rPr>
          <w:spacing w:val="-55"/>
        </w:rPr>
        <w:t> </w:t>
      </w:r>
      <w:r>
        <w:rPr>
          <w:rFonts w:ascii="Times New Roman" w:hAnsi="Times New Roman" w:cs="Times New Roman" w:eastAsia="Times New Roman" w:hint="default"/>
        </w:rPr>
        <w:t>84,397.00</w:t>
      </w:r>
      <w:r>
        <w:rPr>
          <w:rFonts w:ascii="Times New Roman" w:hAnsi="Times New Roman" w:cs="Times New Roman" w:eastAsia="Times New Roman" w:hint="default"/>
          <w:spacing w:val="-2"/>
        </w:rPr>
        <w:t> </w:t>
      </w:r>
      <w:r>
        <w:rPr/>
        <w:t>元，委托管理期限为三年。 </w:t>
      </w:r>
      <w:r>
        <w:rPr>
          <w:spacing w:val="4"/>
        </w:rPr>
        <w:t>本公司下属子公司深圳广电银通金融电子科技有限公司及广州穗通金融服务有限公司将坐</w:t>
      </w:r>
    </w:p>
    <w:p>
      <w:pPr>
        <w:pStyle w:val="BodyText"/>
        <w:spacing w:line="336" w:lineRule="auto" w:before="50"/>
        <w:ind w:left="139" w:right="143"/>
        <w:jc w:val="both"/>
      </w:pPr>
      <w:r>
        <w:rPr/>
        <w:t>落在天河区平云路</w:t>
      </w:r>
      <w:r>
        <w:rPr>
          <w:spacing w:val="-56"/>
        </w:rPr>
        <w:t> </w:t>
      </w:r>
      <w:r>
        <w:rPr>
          <w:rFonts w:ascii="Times New Roman" w:hAnsi="Times New Roman" w:cs="Times New Roman" w:eastAsia="Times New Roman" w:hint="default"/>
        </w:rPr>
        <w:t>163</w:t>
      </w:r>
      <w:r>
        <w:rPr>
          <w:rFonts w:ascii="Times New Roman" w:hAnsi="Times New Roman" w:cs="Times New Roman" w:eastAsia="Times New Roman" w:hint="default"/>
          <w:spacing w:val="-4"/>
        </w:rPr>
        <w:t> </w:t>
      </w:r>
      <w:r>
        <w:rPr/>
        <w:t>号与广州无线电集团有限公司签订租赁合同的房屋、场地等物业以</w:t>
      </w:r>
      <w:r>
        <w:rPr>
          <w:spacing w:val="-5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w:t>
      </w:r>
      <w:r>
        <w:rPr/>
        <w:t>平方米的价格委托给广州广电物业管理有限公司（广州鑫广电物业服务有限公司）进行管理。</w:t>
      </w:r>
    </w:p>
    <w:p>
      <w:pPr>
        <w:spacing w:after="0" w:line="336" w:lineRule="auto"/>
        <w:jc w:val="both"/>
        <w:sectPr>
          <w:pgSz w:w="11910" w:h="16840"/>
          <w:pgMar w:header="0" w:footer="982" w:top="1100" w:bottom="1180" w:left="1660" w:right="1080"/>
        </w:sectPr>
      </w:pPr>
    </w:p>
    <w:p>
      <w:pPr>
        <w:spacing w:line="240" w:lineRule="auto" w:before="2"/>
        <w:rPr>
          <w:rFonts w:ascii="宋体" w:hAnsi="宋体" w:cs="宋体" w:eastAsia="宋体" w:hint="default"/>
          <w:sz w:val="19"/>
          <w:szCs w:val="19"/>
        </w:rPr>
      </w:pPr>
    </w:p>
    <w:p>
      <w:pPr>
        <w:pStyle w:val="BodyText"/>
        <w:spacing w:line="240" w:lineRule="auto" w:before="35"/>
        <w:ind w:left="560" w:right="0"/>
        <w:jc w:val="left"/>
      </w:pPr>
      <w:r>
        <w:rPr>
          <w:rFonts w:ascii="Times New Roman" w:hAnsi="Times New Roman" w:cs="Times New Roman" w:eastAsia="Times New Roman" w:hint="default"/>
        </w:rPr>
        <w:t>2010 </w:t>
      </w:r>
      <w:r>
        <w:rPr/>
        <w:t>年度、</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年度的物业管理费情况列示如下：</w:t>
      </w:r>
    </w:p>
    <w:p>
      <w:pPr>
        <w:spacing w:line="240" w:lineRule="auto" w:before="7"/>
        <w:rPr>
          <w:rFonts w:ascii="宋体" w:hAnsi="宋体" w:cs="宋体" w:eastAsia="宋体" w:hint="default"/>
          <w:sz w:val="11"/>
          <w:szCs w:val="11"/>
        </w:rPr>
      </w:pPr>
    </w:p>
    <w:tbl>
      <w:tblPr>
        <w:tblW w:w="0" w:type="auto"/>
        <w:jc w:val="left"/>
        <w:tblInd w:w="331" w:type="dxa"/>
        <w:tblLayout w:type="fixed"/>
        <w:tblCellMar>
          <w:top w:w="0" w:type="dxa"/>
          <w:left w:w="0" w:type="dxa"/>
          <w:bottom w:w="0" w:type="dxa"/>
          <w:right w:w="0" w:type="dxa"/>
        </w:tblCellMar>
        <w:tblLook w:val="01E0"/>
      </w:tblPr>
      <w:tblGrid>
        <w:gridCol w:w="3394"/>
        <w:gridCol w:w="1620"/>
        <w:gridCol w:w="1800"/>
        <w:gridCol w:w="1800"/>
      </w:tblGrid>
      <w:tr>
        <w:trPr>
          <w:trHeight w:val="377" w:hRule="exact"/>
        </w:trPr>
        <w:tc>
          <w:tcPr>
            <w:tcW w:w="33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5" w:right="0"/>
              <w:jc w:val="center"/>
              <w:rPr>
                <w:rFonts w:ascii="宋体" w:hAnsi="宋体" w:cs="宋体" w:eastAsia="宋体" w:hint="default"/>
                <w:sz w:val="21"/>
                <w:szCs w:val="21"/>
              </w:rPr>
            </w:pPr>
            <w:r>
              <w:rPr>
                <w:rFonts w:ascii="宋体" w:hAnsi="宋体" w:cs="宋体" w:eastAsia="宋体" w:hint="default"/>
                <w:sz w:val="21"/>
                <w:szCs w:val="21"/>
              </w:rPr>
              <w:t>租赁方</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7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47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6" w:hRule="exact"/>
        </w:trPr>
        <w:tc>
          <w:tcPr>
            <w:tcW w:w="33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1,477,642.10</w:t>
            </w:r>
          </w:p>
        </w:tc>
        <w:tc>
          <w:tcPr>
            <w:tcW w:w="18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1,292,133.89</w:t>
            </w:r>
          </w:p>
        </w:tc>
      </w:tr>
      <w:tr>
        <w:trPr>
          <w:trHeight w:val="377" w:hRule="exact"/>
        </w:trPr>
        <w:tc>
          <w:tcPr>
            <w:tcW w:w="33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物业管理费</w:t>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363,266.76</w:t>
            </w:r>
            <w:r>
              <w:rPr>
                <w:rFonts w:ascii="Times New Roman"/>
                <w:sz w:val="21"/>
              </w:rPr>
            </w:r>
          </w:p>
        </w:tc>
        <w:tc>
          <w:tcPr>
            <w:tcW w:w="18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764,271.61</w:t>
            </w:r>
            <w:r>
              <w:rPr>
                <w:rFonts w:ascii="Times New Roman"/>
                <w:sz w:val="21"/>
              </w:rPr>
            </w:r>
          </w:p>
        </w:tc>
      </w:tr>
    </w:tbl>
    <w:p>
      <w:pPr>
        <w:spacing w:line="240" w:lineRule="auto" w:before="8"/>
        <w:rPr>
          <w:rFonts w:ascii="宋体" w:hAnsi="宋体" w:cs="宋体" w:eastAsia="宋体" w:hint="default"/>
          <w:sz w:val="6"/>
          <w:szCs w:val="6"/>
        </w:rPr>
      </w:pPr>
    </w:p>
    <w:p>
      <w:pPr>
        <w:spacing w:line="336" w:lineRule="auto" w:before="35"/>
        <w:ind w:left="680" w:right="0" w:hanging="120"/>
        <w:jc w:val="left"/>
        <w:rPr>
          <w:rFonts w:ascii="宋体" w:hAnsi="宋体" w:cs="宋体" w:eastAsia="宋体" w:hint="default"/>
          <w:sz w:val="21"/>
          <w:szCs w:val="21"/>
        </w:rPr>
      </w:pPr>
      <w:r>
        <w:rPr>
          <w:rFonts w:ascii="宋体" w:hAnsi="宋体" w:cs="宋体" w:eastAsia="宋体" w:hint="default"/>
          <w:b/>
          <w:bCs/>
          <w:spacing w:val="-7"/>
          <w:w w:val="99"/>
          <w:sz w:val="21"/>
          <w:szCs w:val="21"/>
        </w:rPr>
        <w:t>（</w:t>
      </w:r>
      <w:r>
        <w:rPr>
          <w:rFonts w:ascii="Times New Roman" w:hAnsi="Times New Roman" w:cs="Times New Roman" w:eastAsia="Times New Roman" w:hint="default"/>
          <w:b/>
          <w:bCs/>
          <w:spacing w:val="-7"/>
          <w:w w:val="99"/>
          <w:sz w:val="21"/>
          <w:szCs w:val="21"/>
        </w:rPr>
        <w:t>2</w:t>
      </w:r>
      <w:r>
        <w:rPr>
          <w:rFonts w:ascii="宋体" w:hAnsi="宋体" w:cs="宋体" w:eastAsia="宋体" w:hint="default"/>
          <w:b/>
          <w:bCs/>
          <w:spacing w:val="-7"/>
          <w:w w:val="99"/>
          <w:sz w:val="21"/>
          <w:szCs w:val="21"/>
        </w:rPr>
        <w:t>）、华颖宾馆和综合楼房租</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本公司按市场价格租用广州无线电集团有限公司下属二级核算单位广州无线电华颖宾馆房</w:t>
      </w:r>
    </w:p>
    <w:p>
      <w:pPr>
        <w:pStyle w:val="BodyText"/>
        <w:spacing w:line="240" w:lineRule="auto" w:before="50"/>
        <w:ind w:right="0"/>
        <w:jc w:val="left"/>
      </w:pPr>
      <w:r>
        <w:rPr/>
        <w:t>间和综合楼宿舍；</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年支付租赁费</w:t>
      </w:r>
      <w:r>
        <w:rPr>
          <w:spacing w:val="-55"/>
        </w:rPr>
        <w:t> </w:t>
      </w:r>
      <w:r>
        <w:rPr>
          <w:rFonts w:ascii="Times New Roman" w:hAnsi="Times New Roman" w:cs="Times New Roman" w:eastAsia="Times New Roman" w:hint="default"/>
        </w:rPr>
        <w:t>294,346.50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年支付租赁费</w:t>
      </w:r>
      <w:r>
        <w:rPr>
          <w:spacing w:val="-55"/>
        </w:rPr>
        <w:t> </w:t>
      </w:r>
      <w:r>
        <w:rPr>
          <w:rFonts w:ascii="Times New Roman" w:hAnsi="Times New Roman" w:cs="Times New Roman" w:eastAsia="Times New Roman" w:hint="default"/>
        </w:rPr>
        <w:t>288,720.00</w:t>
      </w:r>
      <w:r>
        <w:rPr>
          <w:rFonts w:ascii="Times New Roman" w:hAnsi="Times New Roman" w:cs="Times New Roman" w:eastAsia="Times New Roman" w:hint="default"/>
          <w:spacing w:val="-2"/>
        </w:rPr>
        <w:t> </w:t>
      </w:r>
      <w:r>
        <w:rPr/>
        <w:t>元。</w:t>
      </w:r>
    </w:p>
    <w:p>
      <w:pPr>
        <w:spacing w:line="336" w:lineRule="auto" w:before="117"/>
        <w:ind w:left="680" w:right="645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p>
    <w:p>
      <w:pPr>
        <w:spacing w:line="240" w:lineRule="auto" w:before="6"/>
        <w:rPr>
          <w:rFonts w:ascii="宋体" w:hAnsi="宋体" w:cs="宋体" w:eastAsia="宋体" w:hint="default"/>
          <w:sz w:val="6"/>
          <w:szCs w:val="6"/>
        </w:rPr>
      </w:pPr>
    </w:p>
    <w:tbl>
      <w:tblPr>
        <w:tblW w:w="0" w:type="auto"/>
        <w:jc w:val="left"/>
        <w:tblInd w:w="740" w:type="dxa"/>
        <w:tblLayout w:type="fixed"/>
        <w:tblCellMar>
          <w:top w:w="0" w:type="dxa"/>
          <w:left w:w="0" w:type="dxa"/>
          <w:bottom w:w="0" w:type="dxa"/>
          <w:right w:w="0" w:type="dxa"/>
        </w:tblCellMar>
        <w:tblLook w:val="01E0"/>
      </w:tblPr>
      <w:tblGrid>
        <w:gridCol w:w="1385"/>
        <w:gridCol w:w="1780"/>
        <w:gridCol w:w="1469"/>
        <w:gridCol w:w="1243"/>
        <w:gridCol w:w="1469"/>
        <w:gridCol w:w="1231"/>
      </w:tblGrid>
      <w:tr>
        <w:trPr>
          <w:trHeight w:val="380" w:hRule="exact"/>
        </w:trPr>
        <w:tc>
          <w:tcPr>
            <w:tcW w:w="138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80"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385" w:type="dxa"/>
            <w:vMerge/>
            <w:tcBorders>
              <w:left w:val="nil" w:sz="6" w:space="0" w:color="auto"/>
              <w:bottom w:val="single" w:sz="4" w:space="0" w:color="000000"/>
              <w:right w:val="single" w:sz="4" w:space="0" w:color="000000"/>
            </w:tcBorders>
          </w:tcPr>
          <w:p>
            <w:pPr/>
          </w:p>
        </w:tc>
        <w:tc>
          <w:tcPr>
            <w:tcW w:w="1780"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41" w:hRule="exact"/>
        </w:trPr>
        <w:tc>
          <w:tcPr>
            <w:tcW w:w="13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80"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3"/>
              <w:ind w:left="103" w:right="85"/>
              <w:jc w:val="left"/>
              <w:rPr>
                <w:rFonts w:ascii="宋体" w:hAnsi="宋体" w:cs="宋体" w:eastAsia="宋体" w:hint="default"/>
                <w:sz w:val="21"/>
                <w:szCs w:val="21"/>
              </w:rPr>
            </w:pPr>
            <w:r>
              <w:rPr>
                <w:rFonts w:ascii="宋体" w:hAnsi="宋体" w:cs="宋体" w:eastAsia="宋体" w:hint="default"/>
                <w:spacing w:val="15"/>
                <w:sz w:val="21"/>
                <w:szCs w:val="21"/>
              </w:rPr>
              <w:t>广州无线电集团 </w:t>
            </w:r>
            <w:r>
              <w:rPr>
                <w:rFonts w:ascii="宋体" w:hAnsi="宋体" w:cs="宋体" w:eastAsia="宋体" w:hint="default"/>
                <w:sz w:val="21"/>
                <w:szCs w:val="21"/>
              </w:rPr>
              <w:t>有限公司</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20" w:right="0"/>
              <w:jc w:val="left"/>
              <w:rPr>
                <w:rFonts w:ascii="Times New Roman" w:hAnsi="Times New Roman" w:cs="Times New Roman" w:eastAsia="Times New Roman" w:hint="default"/>
                <w:sz w:val="21"/>
                <w:szCs w:val="21"/>
              </w:rPr>
            </w:pPr>
            <w:r>
              <w:rPr>
                <w:rFonts w:ascii="Times New Roman"/>
                <w:sz w:val="21"/>
              </w:rPr>
              <w:t>2,820.00</w:t>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55" w:right="0"/>
              <w:jc w:val="left"/>
              <w:rPr>
                <w:rFonts w:ascii="Times New Roman" w:hAnsi="Times New Roman" w:cs="Times New Roman" w:eastAsia="Times New Roman" w:hint="default"/>
                <w:sz w:val="21"/>
                <w:szCs w:val="21"/>
              </w:rPr>
            </w:pPr>
            <w:r>
              <w:rPr>
                <w:rFonts w:ascii="Times New Roman"/>
                <w:sz w:val="21"/>
              </w:rPr>
              <w:t>14.10</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4,860.00</w:t>
            </w:r>
          </w:p>
        </w:tc>
        <w:tc>
          <w:tcPr>
            <w:tcW w:w="123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9" w:right="0"/>
              <w:jc w:val="left"/>
              <w:rPr>
                <w:rFonts w:ascii="Times New Roman" w:hAnsi="Times New Roman" w:cs="Times New Roman" w:eastAsia="Times New Roman" w:hint="default"/>
                <w:sz w:val="21"/>
                <w:szCs w:val="21"/>
              </w:rPr>
            </w:pPr>
            <w:r>
              <w:rPr>
                <w:rFonts w:ascii="Times New Roman"/>
                <w:sz w:val="21"/>
              </w:rPr>
              <w:t>401.25</w:t>
            </w:r>
          </w:p>
        </w:tc>
      </w:tr>
    </w:tbl>
    <w:p>
      <w:pPr>
        <w:spacing w:line="240" w:lineRule="auto" w:before="8"/>
        <w:rPr>
          <w:rFonts w:ascii="宋体" w:hAnsi="宋体" w:cs="宋体" w:eastAsia="宋体" w:hint="default"/>
          <w:sz w:val="6"/>
          <w:szCs w:val="6"/>
        </w:rPr>
      </w:pPr>
    </w:p>
    <w:p>
      <w:pPr>
        <w:pStyle w:val="BodyText"/>
        <w:spacing w:line="240" w:lineRule="auto" w:before="35"/>
        <w:ind w:left="680" w:right="4777"/>
        <w:jc w:val="left"/>
      </w:pPr>
      <w:r>
        <w:rPr/>
        <w:t>上市公司应付关联方款项</w:t>
      </w:r>
    </w:p>
    <w:p>
      <w:pPr>
        <w:spacing w:line="240" w:lineRule="auto" w:before="10"/>
        <w:rPr>
          <w:rFonts w:ascii="宋体" w:hAnsi="宋体" w:cs="宋体" w:eastAsia="宋体" w:hint="default"/>
          <w:sz w:val="12"/>
          <w:szCs w:val="12"/>
        </w:rPr>
      </w:pPr>
    </w:p>
    <w:tbl>
      <w:tblPr>
        <w:tblW w:w="0" w:type="auto"/>
        <w:jc w:val="left"/>
        <w:tblInd w:w="720" w:type="dxa"/>
        <w:tblLayout w:type="fixed"/>
        <w:tblCellMar>
          <w:top w:w="0" w:type="dxa"/>
          <w:left w:w="0" w:type="dxa"/>
          <w:bottom w:w="0" w:type="dxa"/>
          <w:right w:w="0" w:type="dxa"/>
        </w:tblCellMar>
        <w:tblLook w:val="01E0"/>
      </w:tblPr>
      <w:tblGrid>
        <w:gridCol w:w="1385"/>
        <w:gridCol w:w="3060"/>
        <w:gridCol w:w="1890"/>
        <w:gridCol w:w="1890"/>
      </w:tblGrid>
      <w:tr>
        <w:trPr>
          <w:trHeight w:val="380" w:hRule="exact"/>
        </w:trPr>
        <w:tc>
          <w:tcPr>
            <w:tcW w:w="138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7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1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19"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06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385" w:type="dxa"/>
            <w:tcBorders>
              <w:top w:val="single" w:sz="4" w:space="0" w:color="000000"/>
              <w:left w:val="nil" w:sz="6" w:space="0" w:color="auto"/>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51,707.94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5,736.15</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广州广电物业管理有限公司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2"/>
                <w:sz w:val="21"/>
              </w:rPr>
              <w:t>34,911.50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30,376.50</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广州鑫广电物业服务有限公司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63,531.96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41,314.62</w:t>
            </w:r>
          </w:p>
        </w:tc>
      </w:tr>
      <w:tr>
        <w:trPr>
          <w:trHeight w:val="381" w:hRule="exact"/>
        </w:trPr>
        <w:tc>
          <w:tcPr>
            <w:tcW w:w="1385" w:type="dxa"/>
            <w:tcBorders>
              <w:top w:val="single" w:sz="4" w:space="0" w:color="000000"/>
              <w:left w:val="nil" w:sz="6" w:space="0" w:color="auto"/>
              <w:bottom w:val="single" w:sz="12" w:space="0" w:color="000000"/>
              <w:right w:val="single" w:sz="4" w:space="0" w:color="000000"/>
            </w:tcBorders>
          </w:tcPr>
          <w:p>
            <w:pPr/>
          </w:p>
        </w:tc>
        <w:tc>
          <w:tcPr>
            <w:tcW w:w="3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广州海格机械有限公司</w:t>
            </w:r>
          </w:p>
        </w:tc>
        <w:tc>
          <w:tcPr>
            <w:tcW w:w="1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3,726,725.32</w:t>
            </w:r>
          </w:p>
        </w:tc>
        <w:tc>
          <w:tcPr>
            <w:tcW w:w="18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339,815.37</w:t>
            </w:r>
          </w:p>
        </w:tc>
      </w:tr>
    </w:tbl>
    <w:p>
      <w:pPr>
        <w:spacing w:line="240" w:lineRule="auto" w:before="8"/>
        <w:rPr>
          <w:rFonts w:ascii="宋体" w:hAnsi="宋体" w:cs="宋体" w:eastAsia="宋体" w:hint="default"/>
          <w:sz w:val="6"/>
          <w:szCs w:val="6"/>
        </w:rPr>
      </w:pPr>
    </w:p>
    <w:p>
      <w:pPr>
        <w:pStyle w:val="Heading4"/>
        <w:spacing w:line="240" w:lineRule="auto"/>
        <w:ind w:right="4777"/>
        <w:jc w:val="left"/>
        <w:rPr>
          <w:b w:val="0"/>
          <w:bCs w:val="0"/>
        </w:rPr>
      </w:pPr>
      <w:r>
        <w:rPr>
          <w:rFonts w:ascii="Times New Roman" w:hAnsi="Times New Roman" w:cs="Times New Roman" w:eastAsia="Times New Roman" w:hint="default"/>
        </w:rPr>
        <w:t>6</w:t>
      </w:r>
      <w:r>
        <w:rPr/>
        <w:t>、董事、监事、高级管理人员报酬</w:t>
      </w:r>
      <w:r>
        <w:rPr>
          <w:b w:val="0"/>
          <w:bCs w:val="0"/>
        </w:rPr>
      </w:r>
    </w:p>
    <w:p>
      <w:pPr>
        <w:spacing w:line="240" w:lineRule="auto" w:before="7"/>
        <w:rPr>
          <w:rFonts w:ascii="宋体" w:hAnsi="宋体" w:cs="宋体" w:eastAsia="宋体" w:hint="default"/>
          <w:b/>
          <w:bCs/>
          <w:sz w:val="11"/>
          <w:szCs w:val="11"/>
        </w:rPr>
      </w:pPr>
    </w:p>
    <w:tbl>
      <w:tblPr>
        <w:tblW w:w="0" w:type="auto"/>
        <w:jc w:val="left"/>
        <w:tblInd w:w="713" w:type="dxa"/>
        <w:tblLayout w:type="fixed"/>
        <w:tblCellMar>
          <w:top w:w="0" w:type="dxa"/>
          <w:left w:w="0" w:type="dxa"/>
          <w:bottom w:w="0" w:type="dxa"/>
          <w:right w:w="0" w:type="dxa"/>
        </w:tblCellMar>
        <w:tblLook w:val="01E0"/>
      </w:tblPr>
      <w:tblGrid>
        <w:gridCol w:w="2857"/>
        <w:gridCol w:w="2305"/>
        <w:gridCol w:w="2340"/>
      </w:tblGrid>
      <w:tr>
        <w:trPr>
          <w:trHeight w:val="377"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tabs>
                <w:tab w:pos="542" w:val="left" w:leader="none"/>
              </w:tabs>
              <w:spacing w:line="240" w:lineRule="auto" w:before="53"/>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72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74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65"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年度报酬总额</w:t>
            </w:r>
          </w:p>
        </w:tc>
        <w:tc>
          <w:tcPr>
            <w:tcW w:w="23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928.01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4"/>
              <w:jc w:val="right"/>
              <w:rPr>
                <w:rFonts w:ascii="宋体" w:hAnsi="宋体" w:cs="宋体" w:eastAsia="宋体" w:hint="default"/>
                <w:sz w:val="21"/>
                <w:szCs w:val="21"/>
              </w:rPr>
            </w:pPr>
            <w:r>
              <w:rPr>
                <w:rFonts w:ascii="Times New Roman" w:hAnsi="Times New Roman" w:cs="Times New Roman" w:eastAsia="Times New Roman" w:hint="default"/>
                <w:sz w:val="21"/>
                <w:szCs w:val="21"/>
              </w:rPr>
              <w:t>827.80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77" w:hRule="exact"/>
        </w:trPr>
        <w:tc>
          <w:tcPr>
            <w:tcW w:w="2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人均报酬</w:t>
            </w:r>
          </w:p>
        </w:tc>
        <w:tc>
          <w:tcPr>
            <w:tcW w:w="23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71.39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3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68.98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tabs>
          <w:tab w:pos="1399" w:val="left" w:leader="none"/>
        </w:tabs>
        <w:spacing w:line="355" w:lineRule="auto" w:before="35"/>
        <w:ind w:left="680" w:right="6262" w:firstLine="2"/>
        <w:jc w:val="left"/>
        <w:rPr>
          <w:rFonts w:ascii="宋体" w:hAnsi="宋体" w:cs="宋体" w:eastAsia="宋体" w:hint="default"/>
          <w:sz w:val="21"/>
          <w:szCs w:val="21"/>
        </w:rPr>
      </w:pPr>
      <w:r>
        <w:rPr>
          <w:rFonts w:ascii="宋体" w:hAnsi="宋体" w:cs="宋体" w:eastAsia="宋体" w:hint="default"/>
          <w:b/>
          <w:bCs/>
          <w:w w:val="95"/>
          <w:sz w:val="21"/>
          <w:szCs w:val="21"/>
        </w:rPr>
        <w:t>七、</w:t>
        <w:tab/>
      </w:r>
      <w:r>
        <w:rPr>
          <w:rFonts w:ascii="宋体" w:hAnsi="宋体" w:cs="宋体" w:eastAsia="宋体" w:hint="default"/>
          <w:b/>
          <w:bCs/>
          <w:sz w:val="21"/>
          <w:szCs w:val="21"/>
        </w:rPr>
        <w:t>股份支付</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spacing w:line="240" w:lineRule="auto" w:before="10"/>
        <w:rPr>
          <w:rFonts w:ascii="宋体" w:hAnsi="宋体" w:cs="宋体" w:eastAsia="宋体" w:hint="default"/>
          <w:sz w:val="29"/>
          <w:szCs w:val="29"/>
        </w:rPr>
      </w:pPr>
    </w:p>
    <w:p>
      <w:pPr>
        <w:pStyle w:val="Heading3"/>
        <w:tabs>
          <w:tab w:pos="1399" w:val="left" w:leader="none"/>
        </w:tabs>
        <w:spacing w:line="240" w:lineRule="auto"/>
        <w:ind w:left="680" w:right="4777"/>
        <w:jc w:val="left"/>
        <w:rPr>
          <w:b w:val="0"/>
          <w:bCs w:val="0"/>
        </w:rPr>
      </w:pPr>
      <w:r>
        <w:rPr>
          <w:w w:val="95"/>
        </w:rPr>
        <w:t>八、</w:t>
        <w:tab/>
      </w:r>
      <w:r>
        <w:rPr/>
        <w:t>或有事项</w:t>
      </w:r>
      <w:r>
        <w:rPr>
          <w:b w:val="0"/>
          <w:bCs w:val="0"/>
        </w:rPr>
      </w:r>
    </w:p>
    <w:p>
      <w:pPr>
        <w:tabs>
          <w:tab w:pos="1399" w:val="left" w:leader="none"/>
        </w:tabs>
        <w:spacing w:line="336" w:lineRule="auto" w:before="159"/>
        <w:ind w:left="675" w:right="3848" w:firstLine="4"/>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tabs>
          <w:tab w:pos="1399" w:val="left" w:leader="none"/>
        </w:tabs>
        <w:spacing w:line="338" w:lineRule="auto" w:before="49"/>
        <w:ind w:left="679" w:right="3003"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pStyle w:val="Heading4"/>
        <w:tabs>
          <w:tab w:pos="1399" w:val="left" w:leader="none"/>
        </w:tabs>
        <w:spacing w:line="240" w:lineRule="auto" w:before="47"/>
        <w:ind w:left="678" w:right="4777"/>
        <w:jc w:val="left"/>
        <w:rPr>
          <w:b w:val="0"/>
          <w:bCs w:val="0"/>
        </w:rPr>
      </w:pPr>
      <w:r>
        <w:rPr>
          <w:rFonts w:ascii="Times New Roman" w:hAnsi="Times New Roman" w:cs="Times New Roman" w:eastAsia="Times New Roman" w:hint="default"/>
          <w:w w:val="95"/>
        </w:rPr>
        <w:t>(</w:t>
      </w:r>
      <w:r>
        <w:rPr>
          <w:w w:val="95"/>
        </w:rPr>
        <w:t>三</w:t>
      </w:r>
      <w:r>
        <w:rPr>
          <w:rFonts w:ascii="Times New Roman" w:hAnsi="Times New Roman" w:cs="Times New Roman" w:eastAsia="Times New Roman" w:hint="default"/>
          <w:w w:val="95"/>
        </w:rPr>
        <w:t>)</w:t>
        <w:tab/>
      </w:r>
      <w:r>
        <w:rPr/>
        <w:t>其他或有负债</w:t>
      </w:r>
      <w:r>
        <w:rPr>
          <w:b w:val="0"/>
          <w:bCs w:val="0"/>
        </w:rPr>
      </w:r>
    </w:p>
    <w:p>
      <w:pPr>
        <w:spacing w:after="0" w:line="240" w:lineRule="auto"/>
        <w:jc w:val="left"/>
        <w:sectPr>
          <w:pgSz w:w="11910" w:h="16840"/>
          <w:pgMar w:header="0" w:footer="982" w:top="1100" w:bottom="1180" w:left="1660" w:right="780"/>
        </w:sectPr>
      </w:pPr>
    </w:p>
    <w:p>
      <w:pPr>
        <w:spacing w:line="240" w:lineRule="auto" w:before="2"/>
        <w:rPr>
          <w:rFonts w:ascii="宋体" w:hAnsi="宋体" w:cs="宋体" w:eastAsia="宋体" w:hint="default"/>
          <w:b/>
          <w:bCs/>
          <w:sz w:val="19"/>
          <w:szCs w:val="19"/>
        </w:rPr>
      </w:pPr>
    </w:p>
    <w:p>
      <w:pPr>
        <w:pStyle w:val="BodyText"/>
        <w:spacing w:line="240" w:lineRule="auto" w:before="35"/>
        <w:ind w:left="938" w:right="963"/>
        <w:jc w:val="left"/>
      </w:pPr>
      <w:r>
        <w:rPr/>
        <w:t>截至报告日止本公司未结清保函：</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166"/>
        <w:gridCol w:w="1410"/>
        <w:gridCol w:w="2161"/>
        <w:gridCol w:w="1025"/>
        <w:gridCol w:w="1108"/>
        <w:gridCol w:w="1476"/>
      </w:tblGrid>
      <w:tr>
        <w:trPr>
          <w:trHeight w:val="956" w:hRule="exact"/>
        </w:trPr>
        <w:tc>
          <w:tcPr>
            <w:tcW w:w="21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21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10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经济利益流</w:t>
            </w:r>
          </w:p>
          <w:p>
            <w:pPr>
              <w:pStyle w:val="TableParagraph"/>
              <w:spacing w:line="273" w:lineRule="auto" w:before="37"/>
              <w:ind w:left="237" w:right="18" w:hanging="210"/>
              <w:jc w:val="left"/>
              <w:rPr>
                <w:rFonts w:ascii="宋体" w:hAnsi="宋体" w:cs="宋体" w:eastAsia="宋体" w:hint="default"/>
                <w:sz w:val="21"/>
                <w:szCs w:val="21"/>
              </w:rPr>
            </w:pPr>
            <w:r>
              <w:rPr>
                <w:rFonts w:ascii="宋体" w:hAnsi="宋体" w:cs="宋体" w:eastAsia="宋体" w:hint="default"/>
                <w:sz w:val="21"/>
                <w:szCs w:val="21"/>
              </w:rPr>
              <w:t>出不确定性 的说明</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73" w:lineRule="auto" w:before="141"/>
              <w:ind w:left="316" w:right="206" w:hanging="105"/>
              <w:jc w:val="left"/>
              <w:rPr>
                <w:rFonts w:ascii="宋体" w:hAnsi="宋体" w:cs="宋体" w:eastAsia="宋体" w:hint="default"/>
                <w:sz w:val="21"/>
                <w:szCs w:val="21"/>
              </w:rPr>
            </w:pPr>
            <w:r>
              <w:rPr>
                <w:rFonts w:ascii="宋体" w:hAnsi="宋体" w:cs="宋体" w:eastAsia="宋体" w:hint="default"/>
                <w:sz w:val="21"/>
                <w:szCs w:val="21"/>
              </w:rPr>
              <w:t>对本公司的 财务影响</w:t>
            </w:r>
          </w:p>
        </w:tc>
      </w:tr>
      <w:tr>
        <w:trPr>
          <w:trHeight w:val="1151"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22" w:right="146"/>
              <w:jc w:val="left"/>
              <w:rPr>
                <w:rFonts w:ascii="宋体" w:hAnsi="宋体" w:cs="宋体" w:eastAsia="宋体" w:hint="default"/>
                <w:sz w:val="21"/>
                <w:szCs w:val="21"/>
              </w:rPr>
            </w:pPr>
            <w:r>
              <w:rPr>
                <w:rFonts w:ascii="宋体" w:hAnsi="宋体" w:cs="宋体" w:eastAsia="宋体" w:hint="default"/>
                <w:sz w:val="21"/>
                <w:szCs w:val="21"/>
              </w:rPr>
              <w:t>中国工商银行股份有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8,590,000.00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2006.12.12-2011.12.5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3" w:lineRule="auto"/>
              <w:ind w:left="103" w:right="106"/>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946"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中信银行广州分行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0" w:right="0" w:hanging="27"/>
              <w:jc w:val="left"/>
              <w:rPr>
                <w:rFonts w:ascii="宋体" w:hAnsi="宋体" w:cs="宋体" w:eastAsia="宋体" w:hint="default"/>
                <w:sz w:val="21"/>
                <w:szCs w:val="21"/>
              </w:rPr>
            </w:pPr>
            <w:r>
              <w:rPr>
                <w:rFonts w:ascii="Times New Roman" w:hAnsi="Times New Roman" w:cs="Times New Roman" w:eastAsia="Times New Roman" w:hint="default"/>
                <w:sz w:val="21"/>
                <w:szCs w:val="21"/>
              </w:rPr>
              <w:t>2006.12.1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签发并于货</w:t>
            </w:r>
          </w:p>
          <w:p>
            <w:pPr>
              <w:pStyle w:val="TableParagraph"/>
              <w:spacing w:line="273" w:lineRule="auto" w:before="21"/>
              <w:ind w:left="655" w:right="128" w:hanging="525"/>
              <w:jc w:val="left"/>
              <w:rPr>
                <w:rFonts w:ascii="宋体" w:hAnsi="宋体" w:cs="宋体" w:eastAsia="宋体" w:hint="default"/>
                <w:sz w:val="21"/>
                <w:szCs w:val="21"/>
              </w:rPr>
            </w:pPr>
            <w:r>
              <w:rPr>
                <w:rFonts w:ascii="宋体" w:hAnsi="宋体" w:cs="宋体" w:eastAsia="宋体" w:hint="default"/>
                <w:sz w:val="21"/>
                <w:szCs w:val="21"/>
              </w:rPr>
              <w:t>物安装到位且验收合 格时到期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91"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877,195.00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2010.4.16-2011.4.1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655,570.00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2010.4.16-2011.4.1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647,905.00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2010.5.27-2011.5.10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662,450.00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234,600.00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206,155.00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461,485.00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809,895.00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510,935.00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2010.5.19-2011.5.25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437,255.00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601,885.00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75" w:hRule="exact"/>
        </w:trPr>
        <w:tc>
          <w:tcPr>
            <w:tcW w:w="2166"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614,295.00</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2010.11.25-2011.10.22</w:t>
            </w:r>
          </w:p>
        </w:tc>
        <w:tc>
          <w:tcPr>
            <w:tcW w:w="1025"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bl>
    <w:p>
      <w:pPr>
        <w:spacing w:after="0" w:line="273" w:lineRule="auto"/>
        <w:jc w:val="left"/>
        <w:rPr>
          <w:rFonts w:ascii="宋体" w:hAnsi="宋体" w:cs="宋体" w:eastAsia="宋体" w:hint="default"/>
          <w:sz w:val="21"/>
          <w:szCs w:val="21"/>
        </w:rPr>
        <w:sectPr>
          <w:pgSz w:w="11910" w:h="16840"/>
          <w:pgMar w:header="0" w:footer="982" w:top="1100" w:bottom="1180" w:left="1400" w:right="90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166"/>
        <w:gridCol w:w="1410"/>
        <w:gridCol w:w="2161"/>
        <w:gridCol w:w="1025"/>
        <w:gridCol w:w="1108"/>
        <w:gridCol w:w="1476"/>
      </w:tblGrid>
      <w:tr>
        <w:trPr>
          <w:trHeight w:val="956" w:hRule="exact"/>
        </w:trPr>
        <w:tc>
          <w:tcPr>
            <w:tcW w:w="21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4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金额</w:t>
            </w:r>
          </w:p>
        </w:tc>
        <w:tc>
          <w:tcPr>
            <w:tcW w:w="21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担保期限</w:t>
            </w:r>
          </w:p>
        </w:tc>
        <w:tc>
          <w:tcPr>
            <w:tcW w:w="10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形成原因</w:t>
            </w:r>
          </w:p>
        </w:tc>
        <w:tc>
          <w:tcPr>
            <w:tcW w:w="1108"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经济利益流</w:t>
            </w:r>
          </w:p>
          <w:p>
            <w:pPr>
              <w:pStyle w:val="TableParagraph"/>
              <w:spacing w:line="273" w:lineRule="auto" w:before="37"/>
              <w:ind w:left="237" w:right="18" w:hanging="210"/>
              <w:jc w:val="left"/>
              <w:rPr>
                <w:rFonts w:ascii="宋体" w:hAnsi="宋体" w:cs="宋体" w:eastAsia="宋体" w:hint="default"/>
                <w:sz w:val="21"/>
                <w:szCs w:val="21"/>
              </w:rPr>
            </w:pPr>
            <w:r>
              <w:rPr>
                <w:rFonts w:ascii="宋体" w:hAnsi="宋体" w:cs="宋体" w:eastAsia="宋体" w:hint="default"/>
                <w:sz w:val="21"/>
                <w:szCs w:val="21"/>
              </w:rPr>
              <w:t>出不确定性 的说明</w:t>
            </w:r>
          </w:p>
        </w:tc>
        <w:tc>
          <w:tcPr>
            <w:tcW w:w="1476" w:type="dxa"/>
            <w:tcBorders>
              <w:top w:val="single" w:sz="12" w:space="0" w:color="000000"/>
              <w:left w:val="single" w:sz="4" w:space="0" w:color="000000"/>
              <w:bottom w:val="single" w:sz="4" w:space="0" w:color="000000"/>
              <w:right w:val="nil" w:sz="6" w:space="0" w:color="auto"/>
            </w:tcBorders>
          </w:tcPr>
          <w:p>
            <w:pPr>
              <w:pStyle w:val="TableParagraph"/>
              <w:spacing w:line="273" w:lineRule="auto" w:before="141"/>
              <w:ind w:left="316" w:right="206" w:hanging="105"/>
              <w:jc w:val="left"/>
              <w:rPr>
                <w:rFonts w:ascii="宋体" w:hAnsi="宋体" w:cs="宋体" w:eastAsia="宋体" w:hint="default"/>
                <w:sz w:val="21"/>
                <w:szCs w:val="21"/>
              </w:rPr>
            </w:pPr>
            <w:r>
              <w:rPr>
                <w:rFonts w:ascii="宋体" w:hAnsi="宋体" w:cs="宋体" w:eastAsia="宋体" w:hint="default"/>
                <w:sz w:val="21"/>
                <w:szCs w:val="21"/>
              </w:rPr>
              <w:t>对本公司的 财务影响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z w:val="21"/>
              </w:rPr>
              <w:t>623,700.00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z w:val="21"/>
              </w:rPr>
              <w:t>346,755.00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4"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z w:val="21"/>
              </w:rPr>
              <w:t>781,295.00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中国农业银行股份有 限公司广州天河支行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6" w:right="0"/>
              <w:jc w:val="left"/>
              <w:rPr>
                <w:rFonts w:ascii="Times New Roman" w:hAnsi="Times New Roman" w:cs="Times New Roman" w:eastAsia="Times New Roman" w:hint="default"/>
                <w:sz w:val="21"/>
                <w:szCs w:val="21"/>
              </w:rPr>
            </w:pPr>
            <w:r>
              <w:rPr>
                <w:rFonts w:ascii="Times New Roman"/>
                <w:sz w:val="21"/>
              </w:rPr>
              <w:t>643,450.00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2010.11.25-2011.10.26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交通银行股份有限公 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4,363,316.80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2010.1.20-2013.1.20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交通银行股份有限公 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8,726,633.60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2010.1.20-2011.6.30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交通银行股份有限公 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1,730,225.30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2010.2.8-2013.2.8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65" w:hRule="exact"/>
        </w:trPr>
        <w:tc>
          <w:tcPr>
            <w:tcW w:w="2166"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00"/>
              <w:ind w:left="122" w:right="146"/>
              <w:jc w:val="left"/>
              <w:rPr>
                <w:rFonts w:ascii="宋体" w:hAnsi="宋体" w:cs="宋体" w:eastAsia="宋体" w:hint="default"/>
                <w:sz w:val="21"/>
                <w:szCs w:val="21"/>
              </w:rPr>
            </w:pPr>
            <w:r>
              <w:rPr>
                <w:rFonts w:ascii="宋体" w:hAnsi="宋体" w:cs="宋体" w:eastAsia="宋体" w:hint="default"/>
                <w:sz w:val="21"/>
                <w:szCs w:val="21"/>
              </w:rPr>
              <w:t>交通银行股份有限公 司广州天河支行</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5"/>
              <w:jc w:val="right"/>
              <w:rPr>
                <w:rFonts w:ascii="Times New Roman" w:hAnsi="Times New Roman" w:cs="Times New Roman" w:eastAsia="Times New Roman" w:hint="default"/>
                <w:sz w:val="21"/>
                <w:szCs w:val="21"/>
              </w:rPr>
            </w:pPr>
            <w:r>
              <w:rPr>
                <w:rFonts w:ascii="Times New Roman"/>
                <w:spacing w:val="-1"/>
                <w:sz w:val="21"/>
              </w:rPr>
              <w:t>5,042,745.00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2010.2.10-2012.6.30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92" w:right="191"/>
              <w:jc w:val="left"/>
              <w:rPr>
                <w:rFonts w:ascii="宋体" w:hAnsi="宋体" w:cs="宋体" w:eastAsia="宋体" w:hint="default"/>
                <w:sz w:val="21"/>
                <w:szCs w:val="21"/>
              </w:rPr>
            </w:pPr>
            <w:r>
              <w:rPr>
                <w:rFonts w:ascii="宋体" w:hAnsi="宋体" w:cs="宋体" w:eastAsia="宋体" w:hint="default"/>
                <w:sz w:val="21"/>
                <w:szCs w:val="21"/>
              </w:rPr>
              <w:t>合同履 约保函</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0"/>
              <w:ind w:left="133" w:right="18" w:hanging="106"/>
              <w:jc w:val="left"/>
              <w:rPr>
                <w:rFonts w:ascii="宋体" w:hAnsi="宋体" w:cs="宋体" w:eastAsia="宋体" w:hint="default"/>
                <w:sz w:val="21"/>
                <w:szCs w:val="21"/>
              </w:rPr>
            </w:pPr>
            <w:r>
              <w:rPr>
                <w:rFonts w:ascii="宋体" w:hAnsi="宋体" w:cs="宋体" w:eastAsia="宋体" w:hint="default"/>
                <w:sz w:val="21"/>
                <w:szCs w:val="21"/>
              </w:rPr>
              <w:t>视合同履行 情况而定</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00"/>
              <w:ind w:left="106" w:right="102"/>
              <w:jc w:val="left"/>
              <w:rPr>
                <w:rFonts w:ascii="宋体" w:hAnsi="宋体" w:cs="宋体" w:eastAsia="宋体" w:hint="default"/>
                <w:sz w:val="21"/>
                <w:szCs w:val="21"/>
              </w:rPr>
            </w:pPr>
            <w:r>
              <w:rPr>
                <w:rFonts w:ascii="宋体" w:hAnsi="宋体" w:cs="宋体" w:eastAsia="宋体" w:hint="default"/>
                <w:sz w:val="21"/>
                <w:szCs w:val="21"/>
              </w:rPr>
              <w:t>对本公司财务 没有重大影响</w:t>
            </w:r>
          </w:p>
        </w:tc>
      </w:tr>
      <w:tr>
        <w:trPr>
          <w:trHeight w:val="874" w:hRule="exact"/>
        </w:trPr>
        <w:tc>
          <w:tcPr>
            <w:tcW w:w="21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tabs>
                <w:tab w:pos="543"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2"/>
              <w:jc w:val="right"/>
              <w:rPr>
                <w:rFonts w:ascii="Times New Roman" w:hAnsi="Times New Roman" w:cs="Times New Roman" w:eastAsia="Times New Roman" w:hint="default"/>
                <w:sz w:val="21"/>
                <w:szCs w:val="21"/>
              </w:rPr>
            </w:pPr>
            <w:r>
              <w:rPr>
                <w:rFonts w:ascii="Times New Roman"/>
                <w:spacing w:val="-1"/>
                <w:sz w:val="21"/>
              </w:rPr>
              <w:t>38,067,745.70</w:t>
            </w:r>
          </w:p>
        </w:tc>
        <w:tc>
          <w:tcPr>
            <w:tcW w:w="2161" w:type="dxa"/>
            <w:tcBorders>
              <w:top w:val="single" w:sz="4" w:space="0" w:color="000000"/>
              <w:left w:val="single" w:sz="4" w:space="0" w:color="000000"/>
              <w:bottom w:val="single" w:sz="12" w:space="0" w:color="000000"/>
              <w:right w:val="single" w:sz="4" w:space="0" w:color="000000"/>
            </w:tcBorders>
          </w:tcPr>
          <w:p>
            <w:pPr/>
          </w:p>
        </w:tc>
        <w:tc>
          <w:tcPr>
            <w:tcW w:w="1025" w:type="dxa"/>
            <w:tcBorders>
              <w:top w:val="single" w:sz="4" w:space="0" w:color="000000"/>
              <w:left w:val="single" w:sz="4" w:space="0" w:color="000000"/>
              <w:bottom w:val="single" w:sz="12" w:space="0" w:color="000000"/>
              <w:right w:val="single" w:sz="4" w:space="0" w:color="000000"/>
            </w:tcBorders>
          </w:tcPr>
          <w:p>
            <w:pPr/>
          </w:p>
        </w:tc>
        <w:tc>
          <w:tcPr>
            <w:tcW w:w="1108" w:type="dxa"/>
            <w:tcBorders>
              <w:top w:val="single" w:sz="4" w:space="0" w:color="000000"/>
              <w:left w:val="single" w:sz="4" w:space="0" w:color="000000"/>
              <w:bottom w:val="single" w:sz="12" w:space="0" w:color="000000"/>
              <w:right w:val="single" w:sz="4" w:space="0" w:color="000000"/>
            </w:tcBorders>
          </w:tcPr>
          <w:p>
            <w:pPr/>
          </w:p>
        </w:tc>
        <w:tc>
          <w:tcPr>
            <w:tcW w:w="1476"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82" w:top="1100" w:bottom="1180" w:left="1400" w:right="900"/>
        </w:sectPr>
      </w:pPr>
    </w:p>
    <w:p>
      <w:pPr>
        <w:spacing w:line="240" w:lineRule="auto" w:before="2"/>
        <w:rPr>
          <w:rFonts w:ascii="Times New Roman" w:hAnsi="Times New Roman" w:cs="Times New Roman" w:eastAsia="Times New Roman" w:hint="default"/>
          <w:sz w:val="22"/>
          <w:szCs w:val="22"/>
        </w:rPr>
      </w:pPr>
    </w:p>
    <w:p>
      <w:pPr>
        <w:pStyle w:val="Heading3"/>
        <w:spacing w:line="240" w:lineRule="auto" w:before="26"/>
        <w:ind w:left="737" w:right="0"/>
        <w:jc w:val="left"/>
        <w:rPr>
          <w:b w:val="0"/>
          <w:bCs w:val="0"/>
        </w:rPr>
      </w:pPr>
      <w:r>
        <w:rPr/>
        <w:t>九、</w:t>
      </w:r>
      <w:r>
        <w:rPr>
          <w:spacing w:val="59"/>
        </w:rPr>
        <w:t> </w:t>
      </w:r>
      <w:r>
        <w:rPr/>
        <w:t>承诺事项</w:t>
      </w:r>
      <w:r>
        <w:rPr>
          <w:b w:val="0"/>
          <w:bCs w:val="0"/>
        </w:rPr>
      </w:r>
    </w:p>
    <w:p>
      <w:pPr>
        <w:tabs>
          <w:tab w:pos="1399" w:val="left" w:leader="none"/>
        </w:tabs>
        <w:spacing w:line="345" w:lineRule="auto" w:before="152"/>
        <w:ind w:left="669" w:right="2003" w:firstLine="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4"/>
          <w:szCs w:val="24"/>
        </w:rPr>
        <w:t>重大承诺事项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、已签订的尚未履行或尚未完全履行的对外投资合同及有关财务支出</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、已签订的正在或准备履行的大额发包合同及财务影响。</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、已签订的正在或准备履行的租赁合同及财务影响。</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spacing w:line="345" w:lineRule="auto" w:before="42"/>
        <w:ind w:left="669" w:right="472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、已签订的正在或准备履行的并购协议</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、已签订的正在或准备履行的重组计划</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、其他重大财务承诺事项</w:t>
      </w:r>
      <w:r>
        <w:rPr>
          <w:rFonts w:ascii="宋体" w:hAnsi="宋体" w:cs="宋体" w:eastAsia="宋体" w:hint="default"/>
          <w:b/>
          <w:bCs/>
          <w:w w:val="99"/>
          <w:sz w:val="21"/>
          <w:szCs w:val="21"/>
        </w:rPr>
        <w:t> </w:t>
      </w:r>
      <w:r>
        <w:rPr>
          <w:rFonts w:ascii="宋体" w:hAnsi="宋体" w:cs="宋体" w:eastAsia="宋体" w:hint="default"/>
          <w:sz w:val="21"/>
          <w:szCs w:val="21"/>
        </w:rPr>
        <w:t>本公司本期未发生该事项。</w:t>
      </w:r>
    </w:p>
    <w:p>
      <w:pPr>
        <w:pStyle w:val="Heading4"/>
        <w:tabs>
          <w:tab w:pos="1399" w:val="left" w:leader="none"/>
        </w:tabs>
        <w:spacing w:line="240" w:lineRule="auto" w:before="41"/>
        <w:ind w:left="671" w:right="0"/>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tab/>
      </w:r>
      <w:r>
        <w:rPr/>
        <w:t>前期承诺履行情况</w:t>
      </w:r>
      <w:r>
        <w:rPr>
          <w:b w:val="0"/>
          <w:bCs w:val="0"/>
        </w:rPr>
      </w:r>
    </w:p>
    <w:p>
      <w:pPr>
        <w:pStyle w:val="BodyText"/>
        <w:spacing w:line="240" w:lineRule="auto" w:before="118"/>
        <w:ind w:left="669"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38"/>
        </w:rPr>
        <w:t> </w:t>
      </w:r>
      <w:r>
        <w:rPr/>
        <w:t>年，位于广州高新技术产业开发区科学城科林路以北的广电运通生产基地二期工程开</w:t>
      </w:r>
    </w:p>
    <w:p>
      <w:pPr>
        <w:pStyle w:val="BodyText"/>
        <w:spacing w:line="240" w:lineRule="auto" w:before="117"/>
        <w:ind w:right="0"/>
        <w:jc w:val="left"/>
      </w:pPr>
      <w:r>
        <w:rPr/>
        <w:t>工建设，项目固定资产投资预算</w:t>
      </w:r>
      <w:r>
        <w:rPr>
          <w:spacing w:val="-42"/>
        </w:rPr>
        <w:t> </w:t>
      </w:r>
      <w:r>
        <w:rPr>
          <w:rFonts w:ascii="Times New Roman" w:hAnsi="Times New Roman" w:cs="Times New Roman" w:eastAsia="Times New Roman" w:hint="default"/>
        </w:rPr>
        <w:t>8,490.80</w:t>
      </w:r>
      <w:r>
        <w:rPr>
          <w:rFonts w:ascii="Times New Roman" w:hAnsi="Times New Roman" w:cs="Times New Roman" w:eastAsia="Times New Roman" w:hint="default"/>
          <w:spacing w:val="11"/>
        </w:rPr>
        <w:t> </w:t>
      </w:r>
      <w:r>
        <w:rPr/>
        <w:t>万元，截至</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日止，工程已完工，实际</w:t>
      </w:r>
    </w:p>
    <w:p>
      <w:pPr>
        <w:pStyle w:val="BodyText"/>
        <w:spacing w:line="240" w:lineRule="auto" w:before="118"/>
        <w:ind w:right="0"/>
        <w:jc w:val="left"/>
      </w:pPr>
      <w:r>
        <w:rPr/>
        <w:t>已支付</w:t>
      </w:r>
      <w:r>
        <w:rPr>
          <w:spacing w:val="-55"/>
        </w:rPr>
        <w:t> </w:t>
      </w:r>
      <w:r>
        <w:rPr>
          <w:rFonts w:ascii="Times New Roman" w:hAnsi="Times New Roman" w:cs="Times New Roman" w:eastAsia="Times New Roman" w:hint="default"/>
        </w:rPr>
        <w:t>7,081.83</w:t>
      </w:r>
      <w:r>
        <w:rPr>
          <w:rFonts w:ascii="Times New Roman" w:hAnsi="Times New Roman" w:cs="Times New Roman" w:eastAsia="Times New Roman" w:hint="default"/>
          <w:spacing w:val="-2"/>
        </w:rPr>
        <w:t> </w:t>
      </w:r>
      <w:r>
        <w:rPr/>
        <w:t>万元，以后年度将要支出合同金额</w:t>
      </w:r>
      <w:r>
        <w:rPr>
          <w:spacing w:val="-55"/>
        </w:rPr>
        <w:t> </w:t>
      </w:r>
      <w:r>
        <w:rPr>
          <w:rFonts w:ascii="Times New Roman" w:hAnsi="Times New Roman" w:cs="Times New Roman" w:eastAsia="Times New Roman" w:hint="default"/>
        </w:rPr>
        <w:t>1,408.97</w:t>
      </w:r>
      <w:r>
        <w:rPr>
          <w:rFonts w:ascii="Times New Roman" w:hAnsi="Times New Roman" w:cs="Times New Roman" w:eastAsia="Times New Roman" w:hint="default"/>
          <w:spacing w:val="-3"/>
        </w:rPr>
        <w:t> </w:t>
      </w:r>
      <w:r>
        <w:rPr/>
        <w:t>万元。</w:t>
      </w:r>
    </w:p>
    <w:p>
      <w:pPr>
        <w:spacing w:line="240" w:lineRule="auto" w:before="0"/>
        <w:rPr>
          <w:rFonts w:ascii="宋体" w:hAnsi="宋体" w:cs="宋体" w:eastAsia="宋体" w:hint="default"/>
          <w:sz w:val="22"/>
          <w:szCs w:val="22"/>
        </w:rPr>
      </w:pPr>
    </w:p>
    <w:p>
      <w:pPr>
        <w:pStyle w:val="Heading3"/>
        <w:spacing w:line="240" w:lineRule="auto" w:before="186"/>
        <w:ind w:left="747" w:right="0"/>
        <w:jc w:val="left"/>
        <w:rPr>
          <w:b w:val="0"/>
          <w:bCs w:val="0"/>
        </w:rPr>
      </w:pPr>
      <w:r>
        <w:rPr/>
        <w:t>十、</w:t>
      </w:r>
      <w:r>
        <w:rPr>
          <w:spacing w:val="49"/>
        </w:rPr>
        <w:t> </w:t>
      </w:r>
      <w:r>
        <w:rPr/>
        <w:t>资产负债表日后事项</w:t>
      </w:r>
      <w:r>
        <w:rPr>
          <w:b w:val="0"/>
          <w:bCs w:val="0"/>
        </w:rPr>
      </w:r>
    </w:p>
    <w:p>
      <w:pPr>
        <w:tabs>
          <w:tab w:pos="1399" w:val="left" w:leader="none"/>
        </w:tabs>
        <w:spacing w:line="336" w:lineRule="auto" w:before="157"/>
        <w:ind w:left="669" w:right="150" w:firstLine="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重要的资产负债表日后事项说明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截至财务报表批准报出日止，本公司未发生按《企业会计准则第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资产负债表日后事</w:t>
      </w:r>
    </w:p>
    <w:p>
      <w:pPr>
        <w:pStyle w:val="BodyText"/>
        <w:spacing w:line="355" w:lineRule="auto" w:before="25"/>
        <w:ind w:left="139" w:right="0"/>
        <w:jc w:val="left"/>
      </w:pPr>
      <w:r>
        <w:rPr>
          <w:spacing w:val="-1"/>
        </w:rPr>
        <w:t>项》及有关规定，需披露的资产负债表日后股票和债券的发行、对一个公司的巨额投资、金额重</w:t>
      </w:r>
      <w:r>
        <w:rPr>
          <w:spacing w:val="-73"/>
        </w:rPr>
        <w:t> </w:t>
      </w:r>
      <w:r>
        <w:rPr>
          <w:spacing w:val="-73"/>
        </w:rPr>
      </w:r>
      <w:r>
        <w:rPr/>
        <w:t>大的债务重组、自然灾害导致的资产损失以及外汇汇率发生较大变动等非调整事项。</w:t>
      </w:r>
    </w:p>
    <w:p>
      <w:pPr>
        <w:pStyle w:val="Heading4"/>
        <w:tabs>
          <w:tab w:pos="1399" w:val="left" w:leader="none"/>
        </w:tabs>
        <w:spacing w:line="240" w:lineRule="auto" w:before="33"/>
        <w:ind w:left="671" w:right="0"/>
        <w:jc w:val="left"/>
        <w:rPr>
          <w:b w:val="0"/>
          <w:bCs w:val="0"/>
        </w:rPr>
      </w:pPr>
      <w:r>
        <w:rPr>
          <w:rFonts w:ascii="Times New Roman" w:hAnsi="Times New Roman" w:cs="Times New Roman" w:eastAsia="Times New Roman" w:hint="default"/>
          <w:w w:val="95"/>
        </w:rPr>
        <w:t>(</w:t>
      </w:r>
      <w:r>
        <w:rPr>
          <w:w w:val="95"/>
        </w:rPr>
        <w:t>二</w:t>
      </w:r>
      <w:r>
        <w:rPr>
          <w:rFonts w:ascii="Times New Roman" w:hAnsi="Times New Roman" w:cs="Times New Roman" w:eastAsia="Times New Roman" w:hint="default"/>
          <w:w w:val="95"/>
        </w:rPr>
        <w:t>)</w:t>
        <w:tab/>
      </w:r>
      <w:r>
        <w:rPr/>
        <w:t>资产负债表日后利润分配情况说明</w:t>
      </w:r>
      <w:r>
        <w:rPr>
          <w:b w:val="0"/>
          <w:bCs w:val="0"/>
        </w:rPr>
      </w:r>
    </w:p>
    <w:p>
      <w:pPr>
        <w:pStyle w:val="BodyText"/>
        <w:spacing w:line="333" w:lineRule="auto" w:before="117"/>
        <w:ind w:left="139" w:right="138" w:firstLine="529"/>
        <w:jc w:val="left"/>
        <w:rPr>
          <w:sz w:val="24"/>
          <w:szCs w:val="24"/>
        </w:rPr>
      </w:pPr>
      <w:r>
        <w:rPr/>
        <w:t>根据公司第二届董事会第十二次会议决议，</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3"/>
        </w:rPr>
        <w:t>年度利润分配预案为：公司拟按</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 实现净利润的</w:t>
      </w:r>
      <w:r>
        <w:rPr>
          <w:spacing w:val="-55"/>
        </w:rPr>
        <w:t> </w:t>
      </w:r>
      <w:r>
        <w:rPr>
          <w:rFonts w:ascii="Times New Roman" w:hAnsi="Times New Roman" w:cs="Times New Roman" w:eastAsia="Times New Roman" w:hint="default"/>
        </w:rPr>
        <w:t>10%</w:t>
      </w:r>
      <w:r>
        <w:rPr/>
        <w:t>提取盈余公积，以</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年末总股本为基数，</w:t>
      </w:r>
      <w:r>
        <w:rPr>
          <w:sz w:val="24"/>
          <w:szCs w:val="24"/>
        </w:rPr>
        <w:t>向全体股东每</w:t>
      </w:r>
      <w:r>
        <w:rPr>
          <w:spacing w:val="-56"/>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4"/>
          <w:sz w:val="24"/>
          <w:szCs w:val="24"/>
        </w:rPr>
        <w:t> </w:t>
      </w:r>
      <w:r>
        <w:rPr>
          <w:sz w:val="24"/>
          <w:szCs w:val="24"/>
        </w:rPr>
        <w:t>股送</w:t>
      </w:r>
      <w:r>
        <w:rPr>
          <w:spacing w:val="-56"/>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4"/>
          <w:sz w:val="24"/>
          <w:szCs w:val="24"/>
        </w:rPr>
        <w:t> </w:t>
      </w:r>
      <w:r>
        <w:rPr>
          <w:sz w:val="24"/>
          <w:szCs w:val="24"/>
        </w:rPr>
        <w:t>股红</w:t>
      </w:r>
    </w:p>
    <w:p>
      <w:pPr>
        <w:tabs>
          <w:tab w:pos="1397" w:val="left" w:leader="none"/>
        </w:tabs>
        <w:spacing w:line="338" w:lineRule="auto" w:before="32"/>
        <w:ind w:left="669" w:right="2572" w:hanging="530"/>
        <w:jc w:val="left"/>
        <w:rPr>
          <w:rFonts w:ascii="宋体" w:hAnsi="宋体" w:cs="宋体" w:eastAsia="宋体" w:hint="default"/>
          <w:sz w:val="21"/>
          <w:szCs w:val="21"/>
        </w:rPr>
      </w:pPr>
      <w:r>
        <w:rPr>
          <w:rFonts w:ascii="宋体" w:hAnsi="宋体" w:cs="宋体" w:eastAsia="宋体" w:hint="default"/>
          <w:sz w:val="24"/>
          <w:szCs w:val="24"/>
        </w:rPr>
        <w:t>股，派发现金股利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pacing w:val="-6"/>
          <w:sz w:val="24"/>
          <w:szCs w:val="24"/>
        </w:rPr>
        <w:t>元（含税）</w:t>
      </w:r>
      <w:r>
        <w:rPr>
          <w:rFonts w:ascii="宋体" w:hAnsi="宋体" w:cs="宋体" w:eastAsia="宋体" w:hint="default"/>
          <w:spacing w:val="-6"/>
          <w:sz w:val="21"/>
          <w:szCs w:val="21"/>
        </w:rPr>
        <w:t>，上述预案尚需经股东大会批准。</w:t>
      </w:r>
      <w:r>
        <w:rPr>
          <w:rFonts w:ascii="宋体" w:hAnsi="宋体" w:cs="宋体" w:eastAsia="宋体" w:hint="default"/>
          <w:sz w:val="21"/>
          <w:szCs w:val="21"/>
        </w:rPr>
        <w:t> </w:t>
      </w: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本公司无需要披露的其他资产负债表日后事项。</w:t>
      </w:r>
    </w:p>
    <w:p>
      <w:pPr>
        <w:spacing w:after="0" w:line="338" w:lineRule="auto"/>
        <w:jc w:val="left"/>
        <w:rPr>
          <w:rFonts w:ascii="宋体" w:hAnsi="宋体" w:cs="宋体" w:eastAsia="宋体" w:hint="default"/>
          <w:sz w:val="21"/>
          <w:szCs w:val="21"/>
        </w:rPr>
        <w:sectPr>
          <w:footerReference w:type="default" r:id="rId40"/>
          <w:pgSz w:w="11910" w:h="16840"/>
          <w:pgMar w:footer="982" w:header="0" w:top="1100" w:bottom="1180" w:left="1660" w:right="1140"/>
          <w:pgNumType w:start="120"/>
        </w:sectPr>
      </w:pPr>
    </w:p>
    <w:p>
      <w:pPr>
        <w:spacing w:line="240" w:lineRule="auto" w:before="7"/>
        <w:rPr>
          <w:rFonts w:ascii="宋体" w:hAnsi="宋体" w:cs="宋体" w:eastAsia="宋体" w:hint="default"/>
          <w:sz w:val="19"/>
          <w:szCs w:val="19"/>
        </w:rPr>
      </w:pPr>
    </w:p>
    <w:p>
      <w:pPr>
        <w:pStyle w:val="Heading3"/>
        <w:tabs>
          <w:tab w:pos="1819" w:val="left" w:leader="none"/>
        </w:tabs>
        <w:spacing w:line="240" w:lineRule="auto" w:before="26"/>
        <w:ind w:left="747" w:right="0"/>
        <w:jc w:val="left"/>
        <w:rPr>
          <w:b w:val="0"/>
          <w:bCs w:val="0"/>
        </w:rPr>
      </w:pPr>
      <w:r>
        <w:rPr>
          <w:w w:val="95"/>
        </w:rPr>
        <w:t>十一、</w:t>
        <w:tab/>
      </w:r>
      <w:r>
        <w:rPr/>
        <w:t>其他重要事项说明</w:t>
      </w:r>
      <w:r>
        <w:rPr>
          <w:b w:val="0"/>
          <w:bCs w:val="0"/>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0" w:footer="982" w:top="1100" w:bottom="1180" w:left="1660" w:right="620"/>
        </w:sectPr>
      </w:pPr>
    </w:p>
    <w:p>
      <w:pPr>
        <w:tabs>
          <w:tab w:pos="1397" w:val="left" w:leader="none"/>
        </w:tabs>
        <w:spacing w:line="352" w:lineRule="auto" w:before="35"/>
        <w:ind w:left="669" w:right="2214" w:firstLine="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一</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 </w:t>
      </w:r>
      <w:r>
        <w:rPr>
          <w:rFonts w:ascii="宋体" w:hAnsi="宋体" w:cs="宋体" w:eastAsia="宋体" w:hint="default"/>
          <w:b/>
          <w:bCs/>
          <w:w w:val="95"/>
          <w:sz w:val="21"/>
          <w:szCs w:val="21"/>
        </w:rPr>
        <w:t>(二)</w:t>
        <w:tab/>
      </w:r>
      <w:r>
        <w:rPr>
          <w:rFonts w:ascii="宋体" w:hAnsi="宋体" w:cs="宋体" w:eastAsia="宋体" w:hint="default"/>
          <w:b/>
          <w:bCs/>
          <w:sz w:val="21"/>
          <w:szCs w:val="21"/>
        </w:rPr>
        <w:t>债务重组</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 </w:t>
      </w:r>
      <w:r>
        <w:rPr>
          <w:rFonts w:ascii="宋体" w:hAnsi="宋体" w:cs="宋体" w:eastAsia="宋体" w:hint="default"/>
          <w:b/>
          <w:bCs/>
          <w:w w:val="95"/>
          <w:sz w:val="21"/>
          <w:szCs w:val="21"/>
        </w:rPr>
        <w:t>(三)</w:t>
        <w:tab/>
      </w:r>
      <w:r>
        <w:rPr>
          <w:rFonts w:ascii="宋体" w:hAnsi="宋体" w:cs="宋体" w:eastAsia="宋体" w:hint="default"/>
          <w:b/>
          <w:bCs/>
          <w:sz w:val="21"/>
          <w:szCs w:val="21"/>
        </w:rPr>
        <w:t>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 </w:t>
      </w:r>
      <w:r>
        <w:rPr>
          <w:rFonts w:ascii="宋体" w:hAnsi="宋体" w:cs="宋体" w:eastAsia="宋体" w:hint="default"/>
          <w:b/>
          <w:bCs/>
          <w:w w:val="95"/>
          <w:sz w:val="21"/>
          <w:szCs w:val="21"/>
        </w:rPr>
        <w:t>(四)</w:t>
        <w:tab/>
      </w: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tabs>
          <w:tab w:pos="1399" w:val="left" w:leader="none"/>
        </w:tabs>
        <w:spacing w:line="355" w:lineRule="auto" w:before="35"/>
        <w:ind w:left="669" w:right="0" w:firstLine="2"/>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期末发行在外的、可转换为股份的金融工具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pStyle w:val="Heading4"/>
        <w:tabs>
          <w:tab w:pos="1399" w:val="left" w:leader="none"/>
        </w:tabs>
        <w:spacing w:line="240" w:lineRule="auto" w:before="32"/>
        <w:ind w:left="671" w:right="0"/>
        <w:jc w:val="left"/>
        <w:rPr>
          <w:b w:val="0"/>
          <w:bCs w:val="0"/>
        </w:rPr>
      </w:pPr>
      <w:r>
        <w:rPr>
          <w:w w:val="95"/>
        </w:rPr>
        <w:t>(六)</w:t>
        <w:tab/>
      </w:r>
      <w:r>
        <w:rPr/>
        <w:t>以公允价值计量的资产和负债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669" w:right="0"/>
        <w:jc w:val="left"/>
      </w:pPr>
      <w:r>
        <w:rPr/>
        <w:t>单位：人民币元</w:t>
      </w:r>
    </w:p>
    <w:p>
      <w:pPr>
        <w:spacing w:after="0" w:line="240" w:lineRule="auto"/>
        <w:jc w:val="left"/>
        <w:sectPr>
          <w:type w:val="continuous"/>
          <w:pgSz w:w="11910" w:h="16840"/>
          <w:pgMar w:top="1100" w:bottom="280" w:left="1660" w:right="620"/>
          <w:cols w:num="2" w:equalWidth="0">
            <w:col w:w="5406" w:space="1408"/>
            <w:col w:w="2816"/>
          </w:cols>
        </w:sectPr>
      </w:pPr>
    </w:p>
    <w:p>
      <w:pPr>
        <w:spacing w:line="240" w:lineRule="auto" w:before="10"/>
        <w:rPr>
          <w:rFonts w:ascii="宋体" w:hAnsi="宋体" w:cs="宋体" w:eastAsia="宋体" w:hint="default"/>
          <w:sz w:val="12"/>
          <w:szCs w:val="12"/>
        </w:rPr>
      </w:pPr>
    </w:p>
    <w:tbl>
      <w:tblPr>
        <w:tblW w:w="0" w:type="auto"/>
        <w:jc w:val="left"/>
        <w:tblInd w:w="290" w:type="dxa"/>
        <w:tblLayout w:type="fixed"/>
        <w:tblCellMar>
          <w:top w:w="0" w:type="dxa"/>
          <w:left w:w="0" w:type="dxa"/>
          <w:bottom w:w="0" w:type="dxa"/>
          <w:right w:w="0" w:type="dxa"/>
        </w:tblCellMar>
        <w:tblLook w:val="01E0"/>
      </w:tblPr>
      <w:tblGrid>
        <w:gridCol w:w="2102"/>
        <w:gridCol w:w="1080"/>
        <w:gridCol w:w="1382"/>
        <w:gridCol w:w="1735"/>
        <w:gridCol w:w="1202"/>
        <w:gridCol w:w="1604"/>
      </w:tblGrid>
      <w:tr>
        <w:trPr>
          <w:trHeight w:val="565" w:hRule="exact"/>
        </w:trPr>
        <w:tc>
          <w:tcPr>
            <w:tcW w:w="21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13"/>
              <w:jc w:val="right"/>
              <w:rPr>
                <w:rFonts w:ascii="宋体" w:hAnsi="宋体" w:cs="宋体" w:eastAsia="宋体" w:hint="default"/>
                <w:sz w:val="21"/>
                <w:szCs w:val="21"/>
              </w:rPr>
            </w:pPr>
            <w:r>
              <w:rPr>
                <w:rFonts w:ascii="宋体" w:hAnsi="宋体" w:cs="宋体" w:eastAsia="宋体" w:hint="default"/>
                <w:sz w:val="21"/>
                <w:szCs w:val="21"/>
              </w:rPr>
              <w:t>年初金额</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266" w:right="0"/>
              <w:jc w:val="left"/>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735"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202"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6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left="37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7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110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以公允价值计量且</w:t>
            </w:r>
            <w:r>
              <w:rPr>
                <w:rFonts w:ascii="宋体" w:hAnsi="宋体" w:cs="宋体" w:eastAsia="宋体" w:hint="default"/>
                <w:sz w:val="21"/>
                <w:szCs w:val="21"/>
              </w:rPr>
            </w:r>
          </w:p>
          <w:p>
            <w:pPr>
              <w:pStyle w:val="TableParagraph"/>
              <w:spacing w:line="272" w:lineRule="exact" w:before="18"/>
              <w:ind w:left="122" w:right="73"/>
              <w:jc w:val="both"/>
              <w:rPr>
                <w:rFonts w:ascii="宋体" w:hAnsi="宋体" w:cs="宋体" w:eastAsia="宋体" w:hint="default"/>
                <w:sz w:val="21"/>
                <w:szCs w:val="21"/>
              </w:rPr>
            </w:pPr>
            <w:r>
              <w:rPr>
                <w:rFonts w:ascii="宋体" w:hAnsi="宋体" w:cs="宋体" w:eastAsia="宋体" w:hint="default"/>
                <w:spacing w:val="21"/>
                <w:sz w:val="21"/>
                <w:szCs w:val="21"/>
              </w:rPr>
              <w:t>其变动计入</w:t>
            </w:r>
            <w:r>
              <w:rPr>
                <w:rFonts w:ascii="宋体" w:hAnsi="宋体" w:cs="宋体" w:eastAsia="宋体" w:hint="default"/>
                <w:spacing w:val="-78"/>
                <w:sz w:val="21"/>
                <w:szCs w:val="21"/>
              </w:rPr>
              <w:t> </w:t>
            </w:r>
            <w:r>
              <w:rPr>
                <w:rFonts w:ascii="宋体" w:hAnsi="宋体" w:cs="宋体" w:eastAsia="宋体" w:hint="default"/>
                <w:spacing w:val="18"/>
                <w:sz w:val="21"/>
                <w:szCs w:val="21"/>
              </w:rPr>
              <w:t>当期损</w:t>
            </w:r>
            <w:r>
              <w:rPr>
                <w:rFonts w:ascii="宋体" w:hAnsi="宋体" w:cs="宋体" w:eastAsia="宋体" w:hint="default"/>
                <w:spacing w:val="-78"/>
                <w:sz w:val="21"/>
                <w:szCs w:val="21"/>
              </w:rPr>
              <w:t> </w:t>
            </w:r>
            <w:r>
              <w:rPr>
                <w:rFonts w:ascii="宋体" w:hAnsi="宋体" w:cs="宋体" w:eastAsia="宋体" w:hint="default"/>
                <w:sz w:val="21"/>
                <w:szCs w:val="21"/>
              </w:rPr>
              <w:t>益的金融资产（不含</w:t>
            </w:r>
            <w:r>
              <w:rPr>
                <w:rFonts w:ascii="宋体" w:hAnsi="宋体" w:cs="宋体" w:eastAsia="宋体" w:hint="default"/>
                <w:sz w:val="21"/>
                <w:szCs w:val="21"/>
              </w:rPr>
              <w:t> 衍生金融资产）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5" w:right="0"/>
              <w:jc w:val="center"/>
              <w:rPr>
                <w:rFonts w:ascii="Times New Roman" w:hAnsi="Times New Roman" w:cs="Times New Roman" w:eastAsia="Times New Roman" w:hint="default"/>
                <w:sz w:val="21"/>
                <w:szCs w:val="21"/>
              </w:rPr>
            </w:pPr>
            <w:r>
              <w:rPr>
                <w:rFonts w:ascii="Times New Roman"/>
                <w:sz w:val="21"/>
              </w:rPr>
              <w:t>6,616,010.69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9,207,304.43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15,823,315.12</w:t>
            </w:r>
          </w:p>
        </w:tc>
      </w:tr>
      <w:tr>
        <w:trPr>
          <w:trHeight w:val="381" w:hRule="exact"/>
        </w:trPr>
        <w:tc>
          <w:tcPr>
            <w:tcW w:w="21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65" w:right="0"/>
              <w:jc w:val="center"/>
              <w:rPr>
                <w:rFonts w:ascii="Times New Roman" w:hAnsi="Times New Roman" w:cs="Times New Roman" w:eastAsia="Times New Roman" w:hint="default"/>
                <w:sz w:val="21"/>
                <w:szCs w:val="21"/>
              </w:rPr>
            </w:pPr>
            <w:r>
              <w:rPr>
                <w:rFonts w:ascii="Times New Roman"/>
                <w:sz w:val="21"/>
              </w:rPr>
              <w:t>6,616,010.69</w:t>
            </w:r>
          </w:p>
        </w:tc>
        <w:tc>
          <w:tcPr>
            <w:tcW w:w="1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9,207,304.43</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15,823,315.12</w:t>
            </w:r>
          </w:p>
        </w:tc>
      </w:tr>
    </w:tbl>
    <w:p>
      <w:pPr>
        <w:spacing w:line="240" w:lineRule="auto" w:before="4"/>
        <w:rPr>
          <w:rFonts w:ascii="宋体" w:hAnsi="宋体" w:cs="宋体" w:eastAsia="宋体" w:hint="default"/>
          <w:sz w:val="22"/>
          <w:szCs w:val="22"/>
        </w:rPr>
      </w:pPr>
    </w:p>
    <w:p>
      <w:pPr>
        <w:pStyle w:val="Heading4"/>
        <w:tabs>
          <w:tab w:pos="1399" w:val="left" w:leader="none"/>
        </w:tabs>
        <w:spacing w:line="240" w:lineRule="auto"/>
        <w:ind w:right="0"/>
        <w:jc w:val="left"/>
        <w:rPr>
          <w:b w:val="0"/>
          <w:bCs w:val="0"/>
        </w:rPr>
      </w:pPr>
      <w:r>
        <w:rPr>
          <w:w w:val="95"/>
        </w:rPr>
        <w:t>(七)</w:t>
        <w:tab/>
      </w:r>
      <w:r>
        <w:rPr/>
        <w:t>外币金融资产和外币金融负债</w:t>
      </w:r>
      <w:r>
        <w:rPr>
          <w:b w:val="0"/>
          <w:bCs w:val="0"/>
        </w:rPr>
      </w:r>
    </w:p>
    <w:p>
      <w:pPr>
        <w:pStyle w:val="BodyText"/>
        <w:spacing w:line="240" w:lineRule="auto" w:before="134"/>
        <w:ind w:left="0" w:right="669"/>
        <w:jc w:val="right"/>
      </w:pPr>
      <w:r>
        <w:rPr/>
        <w:t>单位：人民币元</w:t>
      </w:r>
    </w:p>
    <w:p>
      <w:pPr>
        <w:spacing w:line="240" w:lineRule="auto" w:before="10"/>
        <w:rPr>
          <w:rFonts w:ascii="宋体" w:hAnsi="宋体" w:cs="宋体" w:eastAsia="宋体" w:hint="default"/>
          <w:sz w:val="12"/>
          <w:szCs w:val="12"/>
        </w:rPr>
      </w:pPr>
    </w:p>
    <w:tbl>
      <w:tblPr>
        <w:tblW w:w="0" w:type="auto"/>
        <w:jc w:val="left"/>
        <w:tblInd w:w="290" w:type="dxa"/>
        <w:tblLayout w:type="fixed"/>
        <w:tblCellMar>
          <w:top w:w="0" w:type="dxa"/>
          <w:left w:w="0" w:type="dxa"/>
          <w:bottom w:w="0" w:type="dxa"/>
          <w:right w:w="0" w:type="dxa"/>
        </w:tblCellMar>
        <w:tblLook w:val="01E0"/>
      </w:tblPr>
      <w:tblGrid>
        <w:gridCol w:w="2100"/>
        <w:gridCol w:w="1154"/>
        <w:gridCol w:w="1384"/>
        <w:gridCol w:w="1856"/>
        <w:gridCol w:w="1080"/>
        <w:gridCol w:w="1604"/>
      </w:tblGrid>
      <w:tr>
        <w:trPr>
          <w:trHeight w:val="565" w:hRule="exact"/>
        </w:trPr>
        <w:tc>
          <w:tcPr>
            <w:tcW w:w="21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50"/>
              <w:jc w:val="right"/>
              <w:rPr>
                <w:rFonts w:ascii="宋体" w:hAnsi="宋体" w:cs="宋体" w:eastAsia="宋体" w:hint="default"/>
                <w:sz w:val="21"/>
                <w:szCs w:val="21"/>
              </w:rPr>
            </w:pPr>
            <w:r>
              <w:rPr>
                <w:rFonts w:ascii="宋体" w:hAnsi="宋体" w:cs="宋体" w:eastAsia="宋体" w:hint="default"/>
                <w:sz w:val="21"/>
                <w:szCs w:val="21"/>
              </w:rPr>
              <w:t>年初金额</w:t>
            </w:r>
          </w:p>
        </w:tc>
        <w:tc>
          <w:tcPr>
            <w:tcW w:w="1384"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left="266" w:right="0"/>
              <w:jc w:val="left"/>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856"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计入权益的累计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公允价值变动</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6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left="37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71"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827"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以公允价值计量且</w:t>
            </w:r>
            <w:r>
              <w:rPr>
                <w:rFonts w:ascii="宋体" w:hAnsi="宋体" w:cs="宋体" w:eastAsia="宋体" w:hint="default"/>
                <w:sz w:val="21"/>
                <w:szCs w:val="21"/>
              </w:rPr>
            </w:r>
          </w:p>
          <w:p>
            <w:pPr>
              <w:pStyle w:val="TableParagraph"/>
              <w:spacing w:line="272" w:lineRule="exact" w:before="18"/>
              <w:ind w:left="122" w:right="103"/>
              <w:jc w:val="left"/>
              <w:rPr>
                <w:rFonts w:ascii="宋体" w:hAnsi="宋体" w:cs="宋体" w:eastAsia="宋体" w:hint="default"/>
                <w:sz w:val="21"/>
                <w:szCs w:val="21"/>
              </w:rPr>
            </w:pPr>
            <w:r>
              <w:rPr>
                <w:rFonts w:ascii="宋体" w:hAnsi="宋体" w:cs="宋体" w:eastAsia="宋体" w:hint="default"/>
                <w:spacing w:val="13"/>
                <w:sz w:val="21"/>
                <w:szCs w:val="21"/>
              </w:rPr>
              <w:t>其变</w:t>
            </w:r>
            <w:r>
              <w:rPr>
                <w:rFonts w:ascii="宋体" w:hAnsi="宋体" w:cs="宋体" w:eastAsia="宋体" w:hint="default"/>
                <w:spacing w:val="-78"/>
                <w:sz w:val="21"/>
                <w:szCs w:val="21"/>
              </w:rPr>
              <w:t> </w:t>
            </w:r>
            <w:r>
              <w:rPr>
                <w:rFonts w:ascii="宋体" w:hAnsi="宋体" w:cs="宋体" w:eastAsia="宋体" w:hint="default"/>
                <w:spacing w:val="19"/>
                <w:sz w:val="21"/>
                <w:szCs w:val="21"/>
              </w:rPr>
              <w:t>动计入当</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损</w:t>
            </w:r>
            <w:r>
              <w:rPr>
                <w:rFonts w:ascii="宋体" w:hAnsi="宋体" w:cs="宋体" w:eastAsia="宋体" w:hint="default"/>
                <w:sz w:val="21"/>
                <w:szCs w:val="21"/>
              </w:rPr>
              <w:t> 益的金融资产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衍生金融资产</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贷款和应收款</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6" w:right="0"/>
              <w:jc w:val="center"/>
              <w:rPr>
                <w:rFonts w:ascii="Times New Roman" w:hAnsi="Times New Roman" w:cs="Times New Roman" w:eastAsia="Times New Roman" w:hint="default"/>
                <w:sz w:val="21"/>
                <w:szCs w:val="21"/>
              </w:rPr>
            </w:pPr>
            <w:r>
              <w:rPr>
                <w:rFonts w:ascii="Times New Roman"/>
                <w:sz w:val="21"/>
              </w:rPr>
              <w:t>6,616,010.69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9,207,304.43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15,823,315.12</w:t>
            </w:r>
          </w:p>
        </w:tc>
      </w:tr>
      <w:tr>
        <w:trPr>
          <w:trHeight w:val="370" w:hRule="exact"/>
        </w:trPr>
        <w:tc>
          <w:tcPr>
            <w:tcW w:w="2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w:t>
            </w:r>
          </w:p>
        </w:tc>
        <w:tc>
          <w:tcPr>
            <w:tcW w:w="1154"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1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3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66" w:right="0"/>
              <w:jc w:val="center"/>
              <w:rPr>
                <w:rFonts w:ascii="Times New Roman" w:hAnsi="Times New Roman" w:cs="Times New Roman" w:eastAsia="Times New Roman" w:hint="default"/>
                <w:sz w:val="21"/>
                <w:szCs w:val="21"/>
              </w:rPr>
            </w:pPr>
            <w:r>
              <w:rPr>
                <w:rFonts w:ascii="Times New Roman"/>
                <w:sz w:val="21"/>
              </w:rPr>
              <w:t>6,616,010.69</w:t>
            </w:r>
          </w:p>
        </w:tc>
        <w:tc>
          <w:tcPr>
            <w:tcW w:w="1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9,207,304.43</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15,823,315.12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620"/>
        </w:sectPr>
      </w:pPr>
    </w:p>
    <w:p>
      <w:pPr>
        <w:spacing w:line="240" w:lineRule="auto" w:before="2"/>
        <w:rPr>
          <w:rFonts w:ascii="宋体" w:hAnsi="宋体" w:cs="宋体" w:eastAsia="宋体" w:hint="default"/>
          <w:sz w:val="19"/>
          <w:szCs w:val="19"/>
        </w:rPr>
      </w:pPr>
    </w:p>
    <w:p>
      <w:pPr>
        <w:tabs>
          <w:tab w:pos="1759" w:val="left" w:leader="none"/>
        </w:tabs>
        <w:spacing w:line="355" w:lineRule="auto" w:before="35"/>
        <w:ind w:left="1039" w:right="5701" w:hanging="2"/>
        <w:jc w:val="left"/>
        <w:rPr>
          <w:rFonts w:ascii="宋体" w:hAnsi="宋体" w:cs="宋体" w:eastAsia="宋体" w:hint="default"/>
          <w:sz w:val="21"/>
          <w:szCs w:val="21"/>
        </w:rPr>
      </w:pPr>
      <w:r>
        <w:rPr>
          <w:rFonts w:ascii="宋体" w:hAnsi="宋体" w:cs="宋体" w:eastAsia="宋体" w:hint="default"/>
          <w:b/>
          <w:bCs/>
          <w:w w:val="95"/>
          <w:sz w:val="21"/>
          <w:szCs w:val="21"/>
        </w:rPr>
        <w:t>(八)</w:t>
        <w:tab/>
      </w:r>
      <w:r>
        <w:rPr>
          <w:rFonts w:ascii="宋体" w:hAnsi="宋体" w:cs="宋体" w:eastAsia="宋体" w:hint="default"/>
          <w:b/>
          <w:bCs/>
          <w:sz w:val="21"/>
          <w:szCs w:val="21"/>
        </w:rPr>
        <w:t>年金计划主要内容及重大变化</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本公司本期未发生该事项。</w:t>
      </w:r>
    </w:p>
    <w:p>
      <w:pPr>
        <w:tabs>
          <w:tab w:pos="1759" w:val="left" w:leader="none"/>
        </w:tabs>
        <w:spacing w:line="355" w:lineRule="auto" w:before="33"/>
        <w:ind w:left="1038" w:right="4889" w:firstLine="0"/>
        <w:jc w:val="left"/>
        <w:rPr>
          <w:rFonts w:ascii="宋体" w:hAnsi="宋体" w:cs="宋体" w:eastAsia="宋体" w:hint="default"/>
          <w:sz w:val="21"/>
          <w:szCs w:val="21"/>
        </w:rPr>
      </w:pPr>
      <w:r>
        <w:rPr>
          <w:rFonts w:ascii="宋体" w:hAnsi="宋体" w:cs="宋体" w:eastAsia="宋体" w:hint="default"/>
          <w:b/>
          <w:bCs/>
          <w:w w:val="95"/>
          <w:sz w:val="21"/>
          <w:szCs w:val="21"/>
        </w:rPr>
        <w:t>(九)</w:t>
        <w:tab/>
      </w:r>
      <w:r>
        <w:rPr>
          <w:rFonts w:ascii="宋体" w:hAnsi="宋体" w:cs="宋体" w:eastAsia="宋体" w:hint="default"/>
          <w:b/>
          <w:bCs/>
          <w:sz w:val="21"/>
          <w:szCs w:val="21"/>
        </w:rPr>
        <w:t>其他需要披露的重要事项</w:t>
      </w:r>
      <w:r>
        <w:rPr>
          <w:rFonts w:ascii="宋体" w:hAnsi="宋体" w:cs="宋体" w:eastAsia="宋体" w:hint="default"/>
          <w:b/>
          <w:bCs/>
          <w:w w:val="99"/>
          <w:sz w:val="21"/>
          <w:szCs w:val="21"/>
        </w:rPr>
        <w:t> </w:t>
      </w:r>
      <w:r>
        <w:rPr>
          <w:rFonts w:ascii="宋体" w:hAnsi="宋体" w:cs="宋体" w:eastAsia="宋体" w:hint="default"/>
          <w:sz w:val="21"/>
          <w:szCs w:val="21"/>
        </w:rPr>
        <w:t>本公司本期未发生其他需要披露的重要事项。</w:t>
      </w:r>
    </w:p>
    <w:p>
      <w:pPr>
        <w:spacing w:line="240" w:lineRule="auto" w:before="11"/>
        <w:rPr>
          <w:rFonts w:ascii="宋体" w:hAnsi="宋体" w:cs="宋体" w:eastAsia="宋体" w:hint="default"/>
          <w:sz w:val="29"/>
          <w:szCs w:val="29"/>
        </w:rPr>
      </w:pPr>
    </w:p>
    <w:p>
      <w:pPr>
        <w:pStyle w:val="Heading3"/>
        <w:tabs>
          <w:tab w:pos="2179" w:val="left" w:leader="none"/>
        </w:tabs>
        <w:spacing w:line="240" w:lineRule="auto"/>
        <w:ind w:left="1038" w:right="4314"/>
        <w:jc w:val="left"/>
        <w:rPr>
          <w:b w:val="0"/>
          <w:bCs w:val="0"/>
        </w:rPr>
      </w:pPr>
      <w:r>
        <w:rPr>
          <w:w w:val="95"/>
        </w:rPr>
        <w:t>十二、</w:t>
        <w:tab/>
      </w:r>
      <w:r>
        <w:rPr/>
        <w:t>母公司财务报表主要项目注释</w:t>
      </w:r>
      <w:r>
        <w:rPr>
          <w:b w:val="0"/>
          <w:bCs w:val="0"/>
        </w:rPr>
      </w:r>
    </w:p>
    <w:p>
      <w:pPr>
        <w:pStyle w:val="Heading4"/>
        <w:tabs>
          <w:tab w:pos="1759" w:val="left" w:leader="none"/>
        </w:tabs>
        <w:spacing w:line="240" w:lineRule="auto" w:before="157"/>
        <w:ind w:left="1038" w:right="5701"/>
        <w:jc w:val="left"/>
        <w:rPr>
          <w:b w:val="0"/>
          <w:bCs w:val="0"/>
        </w:rPr>
      </w:pPr>
      <w:r>
        <w:rPr>
          <w:w w:val="95"/>
        </w:rPr>
        <w:t>(一)</w:t>
        <w:tab/>
      </w:r>
      <w:r>
        <w:rPr/>
        <w:t>应收账款</w:t>
      </w:r>
      <w:r>
        <w:rPr>
          <w:b w:val="0"/>
          <w:bCs w:val="0"/>
        </w:rPr>
      </w:r>
    </w:p>
    <w:p>
      <w:pPr>
        <w:spacing w:before="133"/>
        <w:ind w:left="1042" w:right="57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2250"/>
        <w:gridCol w:w="1216"/>
        <w:gridCol w:w="740"/>
        <w:gridCol w:w="1123"/>
        <w:gridCol w:w="754"/>
        <w:gridCol w:w="1250"/>
        <w:gridCol w:w="722"/>
        <w:gridCol w:w="1058"/>
        <w:gridCol w:w="748"/>
      </w:tblGrid>
      <w:tr>
        <w:trPr>
          <w:trHeight w:val="304" w:hRule="exact"/>
        </w:trPr>
        <w:tc>
          <w:tcPr>
            <w:tcW w:w="225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8"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83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79" w:type="dxa"/>
            <w:gridSpan w:val="4"/>
            <w:tcBorders>
              <w:top w:val="single" w:sz="12" w:space="0" w:color="000000"/>
              <w:left w:val="single" w:sz="4" w:space="0" w:color="000000"/>
              <w:bottom w:val="single" w:sz="4" w:space="0" w:color="000000"/>
              <w:right w:val="nil" w:sz="6" w:space="0" w:color="auto"/>
            </w:tcBorders>
          </w:tcPr>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4" w:hRule="exact"/>
        </w:trPr>
        <w:tc>
          <w:tcPr>
            <w:tcW w:w="2250" w:type="dxa"/>
            <w:vMerge/>
            <w:tcBorders>
              <w:left w:val="nil" w:sz="6" w:space="0" w:color="auto"/>
              <w:right w:val="single" w:sz="4" w:space="0" w:color="000000"/>
            </w:tcBorders>
          </w:tcPr>
          <w:p>
            <w:pPr/>
          </w:p>
        </w:tc>
        <w:tc>
          <w:tcPr>
            <w:tcW w:w="1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6" w:type="dxa"/>
            <w:gridSpan w:val="2"/>
            <w:tcBorders>
              <w:top w:val="single" w:sz="4" w:space="0" w:color="000000"/>
              <w:left w:val="single" w:sz="4" w:space="0" w:color="000000"/>
              <w:bottom w:val="single" w:sz="4" w:space="0" w:color="000000"/>
              <w:right w:val="nil" w:sz="6" w:space="0" w:color="auto"/>
            </w:tcBorders>
          </w:tcPr>
          <w:p>
            <w:pPr>
              <w:pStyle w:val="TableParagraph"/>
              <w:spacing w:line="234" w:lineRule="exact"/>
              <w:ind w:left="5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2250" w:type="dxa"/>
            <w:vMerge/>
            <w:tcBorders>
              <w:left w:val="nil" w:sz="6" w:space="0" w:color="auto"/>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5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76"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1"/>
                <w:sz w:val="18"/>
              </w:rPr>
              <w:t>518,520,564.10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52.01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1"/>
                <w:sz w:val="18"/>
              </w:rPr>
              <w:t>3,886,750.28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z w:val="18"/>
              </w:rPr>
              <w:t>0.75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1"/>
                <w:sz w:val="18"/>
              </w:rPr>
              <w:t>70,848,391.80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z w:val="18"/>
              </w:rPr>
              <w:t>17.56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z w:val="18"/>
              </w:rPr>
              <w:t>820,921.12</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46"/>
              <w:jc w:val="right"/>
              <w:rPr>
                <w:rFonts w:ascii="Times New Roman" w:hAnsi="Times New Roman" w:cs="Times New Roman" w:eastAsia="Times New Roman" w:hint="default"/>
                <w:sz w:val="18"/>
                <w:szCs w:val="18"/>
              </w:rPr>
            </w:pPr>
            <w:r>
              <w:rPr>
                <w:rFonts w:ascii="Times New Roman"/>
                <w:sz w:val="18"/>
              </w:rPr>
              <w:t>1.16</w:t>
            </w:r>
          </w:p>
        </w:tc>
      </w:tr>
      <w:tr>
        <w:trPr>
          <w:trHeight w:val="478"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21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单项金额不重大但按信用</w:t>
            </w:r>
            <w:r>
              <w:rPr>
                <w:rFonts w:ascii="宋体" w:hAnsi="宋体" w:cs="宋体" w:eastAsia="宋体" w:hint="default"/>
                <w:sz w:val="18"/>
                <w:szCs w:val="18"/>
              </w:rPr>
            </w: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pacing w:val="3"/>
                <w:sz w:val="18"/>
                <w:szCs w:val="18"/>
              </w:rPr>
              <w:t>风险特征组合后该组合的 </w:t>
            </w:r>
            <w:r>
              <w:rPr>
                <w:rFonts w:ascii="宋体" w:hAnsi="宋体" w:cs="宋体" w:eastAsia="宋体" w:hint="default"/>
                <w:sz w:val="18"/>
                <w:szCs w:val="18"/>
              </w:rPr>
              <w:t>风险较大的应收账款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535,779.91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0.05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228,964.96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42.73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2,661,079.91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0.66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906,037.97</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34.05</w:t>
            </w:r>
          </w:p>
        </w:tc>
      </w:tr>
      <w:tr>
        <w:trPr>
          <w:trHeight w:val="349"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其他不重大的应收账款</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pacing w:val="-1"/>
                <w:sz w:val="18"/>
              </w:rPr>
              <w:t>477,902,000.29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z w:val="18"/>
              </w:rPr>
              <w:t>47.94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10,796,674.27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2.26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
              <w:jc w:val="right"/>
              <w:rPr>
                <w:rFonts w:ascii="Times New Roman" w:hAnsi="Times New Roman" w:cs="Times New Roman" w:eastAsia="Times New Roman" w:hint="default"/>
                <w:sz w:val="18"/>
                <w:szCs w:val="18"/>
              </w:rPr>
            </w:pPr>
            <w:r>
              <w:rPr>
                <w:rFonts w:ascii="Times New Roman"/>
                <w:spacing w:val="-1"/>
                <w:sz w:val="18"/>
              </w:rPr>
              <w:t>330,065,644.21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81.78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6,224,255.35</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6"/>
              <w:jc w:val="right"/>
              <w:rPr>
                <w:rFonts w:ascii="Times New Roman" w:hAnsi="Times New Roman" w:cs="Times New Roman" w:eastAsia="Times New Roman" w:hint="default"/>
                <w:sz w:val="18"/>
                <w:szCs w:val="18"/>
              </w:rPr>
            </w:pPr>
            <w:r>
              <w:rPr>
                <w:rFonts w:ascii="Times New Roman"/>
                <w:sz w:val="18"/>
              </w:rPr>
              <w:t>1.89</w:t>
            </w:r>
          </w:p>
        </w:tc>
      </w:tr>
      <w:tr>
        <w:trPr>
          <w:trHeight w:val="35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pacing w:val="-1"/>
                <w:sz w:val="18"/>
              </w:rPr>
              <w:t>478,437,780.20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z w:val="18"/>
              </w:rPr>
              <w:t>47.99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11,025,639.23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2.30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
              <w:jc w:val="right"/>
              <w:rPr>
                <w:rFonts w:ascii="Times New Roman" w:hAnsi="Times New Roman" w:cs="Times New Roman" w:eastAsia="Times New Roman" w:hint="default"/>
                <w:sz w:val="18"/>
                <w:szCs w:val="18"/>
              </w:rPr>
            </w:pPr>
            <w:r>
              <w:rPr>
                <w:rFonts w:ascii="Times New Roman"/>
                <w:spacing w:val="-1"/>
                <w:sz w:val="18"/>
              </w:rPr>
              <w:t>332,726,724.12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82.44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7,130,293.32</w:t>
            </w:r>
          </w:p>
        </w:tc>
        <w:tc>
          <w:tcPr>
            <w:tcW w:w="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46"/>
              <w:jc w:val="right"/>
              <w:rPr>
                <w:rFonts w:ascii="Times New Roman" w:hAnsi="Times New Roman" w:cs="Times New Roman" w:eastAsia="Times New Roman" w:hint="default"/>
                <w:sz w:val="18"/>
                <w:szCs w:val="18"/>
              </w:rPr>
            </w:pPr>
            <w:r>
              <w:rPr>
                <w:rFonts w:ascii="Times New Roman"/>
                <w:sz w:val="18"/>
              </w:rPr>
              <w:t>2.14</w:t>
            </w:r>
          </w:p>
        </w:tc>
      </w:tr>
      <w:tr>
        <w:trPr>
          <w:trHeight w:val="476"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计提坏账准备的应收账款</w:t>
            </w:r>
          </w:p>
        </w:tc>
        <w:tc>
          <w:tcPr>
            <w:tcW w:w="121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2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pacing w:val="-1"/>
                <w:sz w:val="18"/>
              </w:rPr>
              <w:t>996,958,344.30</w:t>
            </w:r>
          </w:p>
        </w:tc>
        <w:tc>
          <w:tcPr>
            <w:tcW w:w="7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z w:val="18"/>
              </w:rPr>
              <w:t>100.00</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14,912,389.51</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1.50</w:t>
            </w:r>
          </w:p>
        </w:tc>
        <w:tc>
          <w:tcPr>
            <w:tcW w:w="12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39"/>
              <w:jc w:val="right"/>
              <w:rPr>
                <w:rFonts w:ascii="Times New Roman" w:hAnsi="Times New Roman" w:cs="Times New Roman" w:eastAsia="Times New Roman" w:hint="default"/>
                <w:sz w:val="18"/>
                <w:szCs w:val="18"/>
              </w:rPr>
            </w:pPr>
            <w:r>
              <w:rPr>
                <w:rFonts w:ascii="Times New Roman"/>
                <w:spacing w:val="-1"/>
                <w:sz w:val="18"/>
              </w:rPr>
              <w:t>403,575,115.92</w:t>
            </w:r>
          </w:p>
        </w:tc>
        <w:tc>
          <w:tcPr>
            <w:tcW w:w="7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z w:val="18"/>
              </w:rPr>
              <w:t>100.00</w:t>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42"/>
              <w:jc w:val="right"/>
              <w:rPr>
                <w:rFonts w:ascii="Times New Roman" w:hAnsi="Times New Roman" w:cs="Times New Roman" w:eastAsia="Times New Roman" w:hint="default"/>
                <w:sz w:val="18"/>
                <w:szCs w:val="18"/>
              </w:rPr>
            </w:pPr>
            <w:r>
              <w:rPr>
                <w:rFonts w:ascii="Times New Roman"/>
                <w:spacing w:val="-1"/>
                <w:sz w:val="18"/>
              </w:rPr>
              <w:t>7,951,214.44</w:t>
            </w:r>
          </w:p>
        </w:tc>
        <w:tc>
          <w:tcPr>
            <w:tcW w:w="7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46"/>
              <w:jc w:val="right"/>
              <w:rPr>
                <w:rFonts w:ascii="Times New Roman" w:hAnsi="Times New Roman" w:cs="Times New Roman" w:eastAsia="Times New Roman" w:hint="default"/>
                <w:sz w:val="18"/>
                <w:szCs w:val="18"/>
              </w:rPr>
            </w:pPr>
            <w:r>
              <w:rPr>
                <w:rFonts w:ascii="Times New Roman"/>
                <w:sz w:val="18"/>
              </w:rPr>
              <w:t>1.97</w:t>
            </w:r>
          </w:p>
        </w:tc>
      </w:tr>
    </w:tbl>
    <w:p>
      <w:pPr>
        <w:spacing w:line="240" w:lineRule="auto" w:before="8"/>
        <w:rPr>
          <w:rFonts w:ascii="宋体" w:hAnsi="宋体" w:cs="宋体" w:eastAsia="宋体" w:hint="default"/>
          <w:b/>
          <w:bCs/>
          <w:sz w:val="6"/>
          <w:szCs w:val="6"/>
        </w:rPr>
      </w:pPr>
    </w:p>
    <w:p>
      <w:pPr>
        <w:pStyle w:val="BodyText"/>
        <w:spacing w:line="355" w:lineRule="auto" w:before="35"/>
        <w:ind w:left="1040" w:right="4314" w:hanging="1"/>
        <w:jc w:val="left"/>
      </w:pPr>
      <w:r>
        <w:rPr>
          <w:spacing w:val="-10"/>
        </w:rPr>
        <w:t>应收账款种类的说明：详见本附注二、（十）。</w:t>
      </w:r>
      <w:r>
        <w:rPr/>
        <w:t> 期末单项金额重大并单项计提坏账准备的应收账款：</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936"/>
        <w:gridCol w:w="1548"/>
        <w:gridCol w:w="1465"/>
        <w:gridCol w:w="1080"/>
        <w:gridCol w:w="1904"/>
      </w:tblGrid>
      <w:tr>
        <w:trPr>
          <w:trHeight w:val="380" w:hRule="exact"/>
        </w:trPr>
        <w:tc>
          <w:tcPr>
            <w:tcW w:w="39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1"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5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21"/>
                <w:szCs w:val="21"/>
              </w:rPr>
            </w:pPr>
            <w:r>
              <w:rPr>
                <w:rFonts w:ascii="宋体" w:hAnsi="宋体" w:cs="宋体" w:eastAsia="宋体" w:hint="default"/>
                <w:sz w:val="21"/>
                <w:szCs w:val="21"/>
              </w:rPr>
              <w:t>计提比例</w:t>
            </w:r>
          </w:p>
        </w:tc>
        <w:tc>
          <w:tcPr>
            <w:tcW w:w="19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0" w:hRule="exact"/>
        </w:trPr>
        <w:tc>
          <w:tcPr>
            <w:tcW w:w="3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中国银行股份有限公司总行</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376,435,332.67</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1,882,176.66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GRGBankingEquipment(HK)Co.,Limited</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56,947,044.42</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子公司往来不计提</w:t>
            </w:r>
          </w:p>
        </w:tc>
      </w:tr>
      <w:tr>
        <w:trPr>
          <w:trHeight w:val="371" w:hRule="exact"/>
        </w:trPr>
        <w:tc>
          <w:tcPr>
            <w:tcW w:w="3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32,715,585.55</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1,635,779.28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5.00%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28,151,666.33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140,758.33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3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农业银行吉林省分行</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24,270,935.13</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228,036.01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0.94%</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81" w:hRule="exact"/>
        </w:trPr>
        <w:tc>
          <w:tcPr>
            <w:tcW w:w="3936"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518,520,564.10</w:t>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3,886,750.28</w:t>
            </w:r>
          </w:p>
        </w:tc>
        <w:tc>
          <w:tcPr>
            <w:tcW w:w="1080" w:type="dxa"/>
            <w:tcBorders>
              <w:top w:val="single" w:sz="4" w:space="0" w:color="000000"/>
              <w:left w:val="single" w:sz="4" w:space="0" w:color="000000"/>
              <w:bottom w:val="single" w:sz="12" w:space="0" w:color="000000"/>
              <w:right w:val="single" w:sz="4" w:space="0" w:color="000000"/>
            </w:tcBorders>
          </w:tcPr>
          <w:p>
            <w:pPr/>
          </w:p>
        </w:tc>
        <w:tc>
          <w:tcPr>
            <w:tcW w:w="190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35"/>
        <w:ind w:left="1040" w:right="0"/>
        <w:jc w:val="left"/>
      </w:pPr>
      <w:r>
        <w:rPr/>
        <w:t>组合中，采用账龄分析法计提坏账准备的应收账款：</w:t>
      </w:r>
    </w:p>
    <w:p>
      <w:pPr>
        <w:spacing w:line="240" w:lineRule="auto" w:before="10"/>
        <w:rPr>
          <w:rFonts w:ascii="宋体" w:hAnsi="宋体" w:cs="宋体" w:eastAsia="宋体" w:hint="default"/>
          <w:sz w:val="12"/>
          <w:szCs w:val="12"/>
        </w:rPr>
      </w:pPr>
    </w:p>
    <w:tbl>
      <w:tblPr>
        <w:tblW w:w="0" w:type="auto"/>
        <w:jc w:val="left"/>
        <w:tblInd w:w="650" w:type="dxa"/>
        <w:tblLayout w:type="fixed"/>
        <w:tblCellMar>
          <w:top w:w="0" w:type="dxa"/>
          <w:left w:w="0" w:type="dxa"/>
          <w:bottom w:w="0" w:type="dxa"/>
          <w:right w:w="0" w:type="dxa"/>
        </w:tblCellMar>
        <w:tblLook w:val="01E0"/>
      </w:tblPr>
      <w:tblGrid>
        <w:gridCol w:w="1502"/>
        <w:gridCol w:w="1572"/>
        <w:gridCol w:w="916"/>
        <w:gridCol w:w="1424"/>
        <w:gridCol w:w="1568"/>
        <w:gridCol w:w="916"/>
        <w:gridCol w:w="1424"/>
      </w:tblGrid>
      <w:tr>
        <w:trPr>
          <w:trHeight w:val="380" w:hRule="exact"/>
        </w:trPr>
        <w:tc>
          <w:tcPr>
            <w:tcW w:w="150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863" w:val="left" w:leader="none"/>
              </w:tabs>
              <w:spacing w:line="240" w:lineRule="auto" w:before="147"/>
              <w:ind w:left="44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1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1502" w:type="dxa"/>
            <w:vMerge/>
            <w:tcBorders>
              <w:left w:val="nil" w:sz="6" w:space="0" w:color="auto"/>
              <w:right w:val="single" w:sz="4" w:space="0" w:color="000000"/>
            </w:tcBorders>
          </w:tcPr>
          <w:p>
            <w:pP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1502"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vMerge/>
            <w:tcBorders>
              <w:left w:val="single" w:sz="4" w:space="0" w:color="000000"/>
              <w:bottom w:val="single" w:sz="4" w:space="0" w:color="000000"/>
              <w:right w:val="nil" w:sz="6" w:space="0" w:color="auto"/>
            </w:tcBorders>
          </w:tcPr>
          <w:p>
            <w:pPr/>
          </w:p>
        </w:tc>
      </w:tr>
      <w:tr>
        <w:trPr>
          <w:trHeight w:val="37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339,293,558.55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70.92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1,696,467.78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229,427,646.26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68.95</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5"/>
              <w:jc w:val="right"/>
              <w:rPr>
                <w:rFonts w:ascii="Times New Roman" w:hAnsi="Times New Roman" w:cs="Times New Roman" w:eastAsia="Times New Roman" w:hint="default"/>
                <w:sz w:val="21"/>
                <w:szCs w:val="21"/>
              </w:rPr>
            </w:pPr>
            <w:r>
              <w:rPr>
                <w:rFonts w:ascii="Times New Roman"/>
                <w:spacing w:val="-1"/>
                <w:sz w:val="21"/>
              </w:rPr>
              <w:t>1,146,310.45</w:t>
            </w:r>
          </w:p>
        </w:tc>
      </w:tr>
      <w:tr>
        <w:trPr>
          <w:trHeight w:val="37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95,212,753.64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19.90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4,760,637.69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99,717,097.95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29.97</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5"/>
              <w:jc w:val="right"/>
              <w:rPr>
                <w:rFonts w:ascii="Times New Roman" w:hAnsi="Times New Roman" w:cs="Times New Roman" w:eastAsia="Times New Roman" w:hint="default"/>
                <w:sz w:val="21"/>
                <w:szCs w:val="21"/>
              </w:rPr>
            </w:pPr>
            <w:r>
              <w:rPr>
                <w:rFonts w:ascii="Times New Roman"/>
                <w:spacing w:val="-1"/>
                <w:sz w:val="21"/>
              </w:rPr>
              <w:t>4,985,854.90</w:t>
            </w:r>
          </w:p>
        </w:tc>
      </w:tr>
      <w:tr>
        <w:trPr>
          <w:trHeight w:val="380" w:hRule="exact"/>
        </w:trPr>
        <w:tc>
          <w:tcPr>
            <w:tcW w:w="15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43,395,688.10</w:t>
            </w:r>
          </w:p>
        </w:tc>
        <w:tc>
          <w:tcPr>
            <w:tcW w:w="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9.07</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4,339,568.81</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920,900.00</w:t>
            </w:r>
            <w:r>
              <w:rPr>
                <w:rFonts w:ascii="Times New Roman"/>
                <w:sz w:val="21"/>
              </w:rPr>
            </w:r>
          </w:p>
        </w:tc>
        <w:tc>
          <w:tcPr>
            <w:tcW w:w="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0.28</w:t>
            </w:r>
          </w:p>
        </w:tc>
        <w:tc>
          <w:tcPr>
            <w:tcW w:w="1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47"/>
              <w:jc w:val="right"/>
              <w:rPr>
                <w:rFonts w:ascii="Times New Roman" w:hAnsi="Times New Roman" w:cs="Times New Roman" w:eastAsia="Times New Roman" w:hint="default"/>
                <w:sz w:val="21"/>
                <w:szCs w:val="21"/>
              </w:rPr>
            </w:pPr>
            <w:r>
              <w:rPr>
                <w:rFonts w:ascii="Times New Roman"/>
                <w:spacing w:val="-1"/>
                <w:sz w:val="21"/>
              </w:rPr>
              <w:t>92,090.00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300" w:right="400"/>
        </w:sectPr>
      </w:pPr>
    </w:p>
    <w:p>
      <w:pPr>
        <w:spacing w:line="240" w:lineRule="auto" w:before="6"/>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1502"/>
        <w:gridCol w:w="1572"/>
        <w:gridCol w:w="916"/>
        <w:gridCol w:w="1424"/>
        <w:gridCol w:w="1568"/>
        <w:gridCol w:w="916"/>
        <w:gridCol w:w="1424"/>
      </w:tblGrid>
      <w:tr>
        <w:trPr>
          <w:trHeight w:val="380" w:hRule="exact"/>
        </w:trPr>
        <w:tc>
          <w:tcPr>
            <w:tcW w:w="150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863" w:val="left" w:leader="none"/>
              </w:tabs>
              <w:spacing w:line="240" w:lineRule="auto" w:before="147"/>
              <w:ind w:left="44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91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0" w:hRule="exact"/>
        </w:trPr>
        <w:tc>
          <w:tcPr>
            <w:tcW w:w="1502" w:type="dxa"/>
            <w:vMerge/>
            <w:tcBorders>
              <w:left w:val="nil" w:sz="6" w:space="0" w:color="auto"/>
              <w:right w:val="single" w:sz="4" w:space="0" w:color="000000"/>
            </w:tcBorders>
          </w:tcPr>
          <w:p>
            <w:pP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1" w:hRule="exact"/>
        </w:trPr>
        <w:tc>
          <w:tcPr>
            <w:tcW w:w="1502" w:type="dxa"/>
            <w:vMerge/>
            <w:tcBorders>
              <w:left w:val="nil" w:sz="6" w:space="0" w:color="auto"/>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4" w:type="dxa"/>
            <w:vMerge/>
            <w:tcBorders>
              <w:left w:val="single" w:sz="4" w:space="0" w:color="000000"/>
              <w:bottom w:val="single" w:sz="4" w:space="0" w:color="000000"/>
              <w:right w:val="nil" w:sz="6" w:space="0" w:color="auto"/>
            </w:tcBorders>
          </w:tcPr>
          <w:p>
            <w:pPr/>
          </w:p>
        </w:tc>
      </w:tr>
      <w:tr>
        <w:trPr>
          <w:trHeight w:val="37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427,300.00</w:t>
            </w:r>
            <w:r>
              <w:rPr>
                <w:rFonts w:ascii="Times New Roman"/>
                <w:sz w:val="21"/>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0.09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128,190.00</w:t>
            </w:r>
            <w:r>
              <w:rPr>
                <w:rFonts w:ascii="Times New Roman"/>
                <w:sz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2,125,009.91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0.64</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8"/>
              <w:jc w:val="right"/>
              <w:rPr>
                <w:rFonts w:ascii="Times New Roman" w:hAnsi="Times New Roman" w:cs="Times New Roman" w:eastAsia="Times New Roman" w:hint="default"/>
                <w:sz w:val="21"/>
                <w:szCs w:val="21"/>
              </w:rPr>
            </w:pPr>
            <w:r>
              <w:rPr>
                <w:rFonts w:ascii="Times New Roman"/>
                <w:spacing w:val="-1"/>
                <w:sz w:val="21"/>
              </w:rPr>
              <w:t>637,502.97</w:t>
            </w:r>
            <w:r>
              <w:rPr>
                <w:rFonts w:ascii="Times New Roman"/>
                <w:sz w:val="21"/>
              </w:rPr>
            </w:r>
          </w:p>
        </w:tc>
      </w:tr>
      <w:tr>
        <w:trPr>
          <w:trHeight w:val="37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15,409.91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7,704.96</w:t>
            </w:r>
            <w:r>
              <w:rPr>
                <w:rFonts w:ascii="Times New Roman"/>
                <w:sz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535,070.00</w:t>
            </w:r>
            <w:r>
              <w:rPr>
                <w:rFonts w:ascii="Times New Roman"/>
                <w:sz w:val="21"/>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0.16</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8"/>
              <w:jc w:val="right"/>
              <w:rPr>
                <w:rFonts w:ascii="Times New Roman" w:hAnsi="Times New Roman" w:cs="Times New Roman" w:eastAsia="Times New Roman" w:hint="default"/>
                <w:sz w:val="21"/>
                <w:szCs w:val="21"/>
              </w:rPr>
            </w:pPr>
            <w:r>
              <w:rPr>
                <w:rFonts w:ascii="Times New Roman"/>
                <w:spacing w:val="-1"/>
                <w:sz w:val="21"/>
              </w:rPr>
              <w:t>267,535.00</w:t>
            </w:r>
            <w:r>
              <w:rPr>
                <w:rFonts w:ascii="Times New Roman"/>
                <w:sz w:val="21"/>
              </w:rPr>
            </w:r>
          </w:p>
        </w:tc>
      </w:tr>
      <w:tr>
        <w:trPr>
          <w:trHeight w:val="37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93,070.00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0.02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93,070.00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3"/>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44"/>
              <w:jc w:val="right"/>
              <w:rPr>
                <w:rFonts w:ascii="Times New Roman" w:hAnsi="Times New Roman" w:cs="Times New Roman" w:eastAsia="Times New Roman" w:hint="default"/>
                <w:sz w:val="21"/>
                <w:szCs w:val="21"/>
              </w:rPr>
            </w:pPr>
            <w:r>
              <w:rPr>
                <w:rFonts w:ascii="Times New Roman"/>
                <w:spacing w:val="-1"/>
                <w:sz w:val="21"/>
              </w:rPr>
              <w:t>0.00</w:t>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8"/>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r>
      <w:tr>
        <w:trPr>
          <w:trHeight w:val="380" w:hRule="exact"/>
        </w:trPr>
        <w:tc>
          <w:tcPr>
            <w:tcW w:w="1502" w:type="dxa"/>
            <w:tcBorders>
              <w:top w:val="single" w:sz="4" w:space="0" w:color="000000"/>
              <w:left w:val="nil" w:sz="6" w:space="0" w:color="auto"/>
              <w:bottom w:val="single" w:sz="12" w:space="0" w:color="000000"/>
              <w:right w:val="single" w:sz="4" w:space="0" w:color="000000"/>
            </w:tcBorders>
          </w:tcPr>
          <w:p>
            <w:pPr>
              <w:pStyle w:val="TableParagraph"/>
              <w:tabs>
                <w:tab w:pos="863" w:val="left" w:leader="none"/>
              </w:tabs>
              <w:spacing w:line="240" w:lineRule="auto" w:before="53"/>
              <w:ind w:left="4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478,437,780.20</w:t>
            </w:r>
          </w:p>
        </w:tc>
        <w:tc>
          <w:tcPr>
            <w:tcW w:w="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1"/>
              <w:jc w:val="right"/>
              <w:rPr>
                <w:rFonts w:ascii="Times New Roman" w:hAnsi="Times New Roman" w:cs="Times New Roman" w:eastAsia="Times New Roman" w:hint="default"/>
                <w:sz w:val="21"/>
                <w:szCs w:val="21"/>
              </w:rPr>
            </w:pPr>
            <w:r>
              <w:rPr>
                <w:rFonts w:ascii="Times New Roman"/>
                <w:spacing w:val="-1"/>
                <w:sz w:val="21"/>
              </w:rPr>
              <w:t>11,025,639.23</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332,726,724.12</w:t>
            </w:r>
          </w:p>
        </w:tc>
        <w:tc>
          <w:tcPr>
            <w:tcW w:w="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42"/>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45"/>
              <w:jc w:val="right"/>
              <w:rPr>
                <w:rFonts w:ascii="Times New Roman" w:hAnsi="Times New Roman" w:cs="Times New Roman" w:eastAsia="Times New Roman" w:hint="default"/>
                <w:sz w:val="21"/>
                <w:szCs w:val="21"/>
              </w:rPr>
            </w:pPr>
            <w:r>
              <w:rPr>
                <w:rFonts w:ascii="Times New Roman"/>
                <w:spacing w:val="-1"/>
                <w:sz w:val="21"/>
              </w:rPr>
              <w:t>7,130,293.32</w:t>
            </w:r>
          </w:p>
        </w:tc>
      </w:tr>
    </w:tbl>
    <w:p>
      <w:pPr>
        <w:spacing w:line="240" w:lineRule="auto" w:before="8"/>
        <w:rPr>
          <w:rFonts w:ascii="宋体" w:hAnsi="宋体" w:cs="宋体" w:eastAsia="宋体" w:hint="default"/>
          <w:sz w:val="6"/>
          <w:szCs w:val="6"/>
        </w:rPr>
      </w:pPr>
    </w:p>
    <w:p>
      <w:pPr>
        <w:pStyle w:val="BodyText"/>
        <w:spacing w:line="240" w:lineRule="auto" w:before="35"/>
        <w:ind w:left="680" w:right="0"/>
        <w:jc w:val="left"/>
      </w:pPr>
      <w:r>
        <w:rPr/>
        <w:t>期末没有单项金额虽不重大但单项计提坏账准备的应收账款。</w:t>
      </w:r>
    </w:p>
    <w:p>
      <w:pPr>
        <w:pStyle w:val="Heading4"/>
        <w:spacing w:line="240" w:lineRule="auto" w:before="133"/>
        <w:ind w:right="0"/>
        <w:jc w:val="left"/>
        <w:rPr>
          <w:b w:val="0"/>
          <w:bCs w:val="0"/>
        </w:rPr>
      </w:pPr>
      <w:r>
        <w:rPr>
          <w:rFonts w:ascii="Times New Roman" w:hAnsi="Times New Roman" w:cs="Times New Roman" w:eastAsia="Times New Roman" w:hint="default"/>
        </w:rPr>
        <w:t>2</w:t>
      </w:r>
      <w:r>
        <w:rPr/>
        <w:t>、本期没有转回或收回应收账款情况。</w:t>
      </w:r>
      <w:r>
        <w:rPr>
          <w:b w:val="0"/>
          <w:bCs w:val="0"/>
        </w:rPr>
      </w:r>
    </w:p>
    <w:p>
      <w:pPr>
        <w:spacing w:before="118"/>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、本报告期没有实际核销的应收账款。</w:t>
      </w:r>
      <w:r>
        <w:rPr>
          <w:rFonts w:ascii="宋体" w:hAnsi="宋体" w:cs="宋体" w:eastAsia="宋体" w:hint="default"/>
          <w:sz w:val="21"/>
          <w:szCs w:val="21"/>
        </w:rPr>
      </w:r>
    </w:p>
    <w:p>
      <w:pPr>
        <w:spacing w:before="117"/>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、期末应收账款中无持本公司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before="118"/>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、应收账款中欠款金额前五名：</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794"/>
        <w:gridCol w:w="1495"/>
        <w:gridCol w:w="1565"/>
        <w:gridCol w:w="992"/>
        <w:gridCol w:w="1649"/>
      </w:tblGrid>
      <w:tr>
        <w:trPr>
          <w:trHeight w:val="565" w:hRule="exact"/>
        </w:trPr>
        <w:tc>
          <w:tcPr>
            <w:tcW w:w="37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年限</w:t>
            </w:r>
          </w:p>
        </w:tc>
        <w:tc>
          <w:tcPr>
            <w:tcW w:w="1649" w:type="dxa"/>
            <w:tcBorders>
              <w:top w:val="single" w:sz="12" w:space="0" w:color="000000"/>
              <w:left w:val="single" w:sz="4" w:space="0" w:color="000000"/>
              <w:bottom w:val="single" w:sz="4" w:space="0" w:color="000000"/>
              <w:right w:val="nil" w:sz="6" w:space="0" w:color="auto"/>
            </w:tcBorders>
          </w:tcPr>
          <w:p>
            <w:pPr>
              <w:pStyle w:val="TableParagraph"/>
              <w:spacing w:line="238" w:lineRule="exact"/>
              <w:ind w:left="242" w:right="0" w:hanging="53"/>
              <w:jc w:val="left"/>
              <w:rPr>
                <w:rFonts w:ascii="宋体" w:hAnsi="宋体" w:cs="宋体" w:eastAsia="宋体" w:hint="default"/>
                <w:sz w:val="21"/>
                <w:szCs w:val="21"/>
              </w:rPr>
            </w:pPr>
            <w:r>
              <w:rPr>
                <w:rFonts w:ascii="宋体" w:hAnsi="宋体" w:cs="宋体" w:eastAsia="宋体" w:hint="default"/>
                <w:sz w:val="21"/>
                <w:szCs w:val="21"/>
              </w:rPr>
              <w:t>占应收账款总</w:t>
            </w:r>
          </w:p>
          <w:p>
            <w:pPr>
              <w:pStyle w:val="TableParagraph"/>
              <w:spacing w:line="289" w:lineRule="exact"/>
              <w:ind w:left="2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37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中国银行股份有限公司总行</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376,435,332.67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581" w:right="0"/>
              <w:jc w:val="left"/>
              <w:rPr>
                <w:rFonts w:ascii="Times New Roman" w:hAnsi="Times New Roman" w:cs="Times New Roman" w:eastAsia="Times New Roman" w:hint="default"/>
                <w:sz w:val="21"/>
                <w:szCs w:val="21"/>
              </w:rPr>
            </w:pPr>
            <w:r>
              <w:rPr>
                <w:rFonts w:ascii="Times New Roman"/>
                <w:sz w:val="21"/>
              </w:rPr>
              <w:t>37.76</w:t>
            </w:r>
          </w:p>
        </w:tc>
      </w:tr>
      <w:tr>
        <w:trPr>
          <w:trHeight w:val="371"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GRGBankingEquipment(HK)Co.,Limited</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56,947,044.42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634" w:right="0"/>
              <w:jc w:val="left"/>
              <w:rPr>
                <w:rFonts w:ascii="Times New Roman" w:hAnsi="Times New Roman" w:cs="Times New Roman" w:eastAsia="Times New Roman" w:hint="default"/>
                <w:sz w:val="21"/>
                <w:szCs w:val="21"/>
              </w:rPr>
            </w:pPr>
            <w:r>
              <w:rPr>
                <w:rFonts w:ascii="Times New Roman"/>
                <w:sz w:val="21"/>
              </w:rPr>
              <w:t>5.71</w:t>
            </w:r>
          </w:p>
        </w:tc>
      </w:tr>
      <w:tr>
        <w:trPr>
          <w:trHeight w:val="37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广州市新科佳都科技有限公司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32,715,585.55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634" w:right="0"/>
              <w:jc w:val="left"/>
              <w:rPr>
                <w:rFonts w:ascii="Times New Roman" w:hAnsi="Times New Roman" w:cs="Times New Roman" w:eastAsia="Times New Roman" w:hint="default"/>
                <w:sz w:val="21"/>
                <w:szCs w:val="21"/>
              </w:rPr>
            </w:pPr>
            <w:r>
              <w:rPr>
                <w:rFonts w:ascii="Times New Roman"/>
                <w:sz w:val="21"/>
              </w:rPr>
              <w:t>3.28</w:t>
            </w:r>
          </w:p>
        </w:tc>
      </w:tr>
      <w:tr>
        <w:trPr>
          <w:trHeight w:val="37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易程</w:t>
            </w:r>
            <w:r>
              <w:rPr>
                <w:rFonts w:ascii="Times New Roman" w:hAnsi="Times New Roman" w:cs="Times New Roman" w:eastAsia="Times New Roman" w:hint="default"/>
                <w:sz w:val="21"/>
                <w:szCs w:val="21"/>
              </w:rPr>
              <w:t>(</w:t>
            </w: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新技术股份有限公司</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28,151,666.33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634" w:right="0"/>
              <w:jc w:val="left"/>
              <w:rPr>
                <w:rFonts w:ascii="Times New Roman" w:hAnsi="Times New Roman" w:cs="Times New Roman" w:eastAsia="Times New Roman" w:hint="default"/>
                <w:sz w:val="21"/>
                <w:szCs w:val="21"/>
              </w:rPr>
            </w:pPr>
            <w:r>
              <w:rPr>
                <w:rFonts w:ascii="Times New Roman"/>
                <w:sz w:val="21"/>
              </w:rPr>
              <w:t>2.82</w:t>
            </w:r>
          </w:p>
        </w:tc>
      </w:tr>
      <w:tr>
        <w:trPr>
          <w:trHeight w:val="381" w:hRule="exact"/>
        </w:trPr>
        <w:tc>
          <w:tcPr>
            <w:tcW w:w="37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农业银行吉林省分行</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24,270,935.13</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16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634" w:right="0"/>
              <w:jc w:val="left"/>
              <w:rPr>
                <w:rFonts w:ascii="Times New Roman" w:hAnsi="Times New Roman" w:cs="Times New Roman" w:eastAsia="Times New Roman" w:hint="default"/>
                <w:sz w:val="21"/>
                <w:szCs w:val="21"/>
              </w:rPr>
            </w:pPr>
            <w:r>
              <w:rPr>
                <w:rFonts w:ascii="Times New Roman"/>
                <w:sz w:val="21"/>
              </w:rPr>
              <w:t>2.43</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3794"/>
        <w:gridCol w:w="1508"/>
        <w:gridCol w:w="1469"/>
        <w:gridCol w:w="2693"/>
      </w:tblGrid>
      <w:tr>
        <w:trPr>
          <w:trHeight w:val="380" w:hRule="exact"/>
        </w:trPr>
        <w:tc>
          <w:tcPr>
            <w:tcW w:w="37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370"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right="6"/>
              <w:jc w:val="center"/>
              <w:rPr>
                <w:rFonts w:ascii="Times New Roman" w:hAnsi="Times New Roman" w:cs="Times New Roman" w:eastAsia="Times New Roman" w:hint="default"/>
                <w:sz w:val="21"/>
                <w:szCs w:val="21"/>
              </w:rPr>
            </w:pPr>
            <w:r>
              <w:rPr>
                <w:rFonts w:ascii="Times New Roman"/>
                <w:sz w:val="21"/>
              </w:rPr>
              <w:t>GRGBankingEquipment(HK)Co.,Limited</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6" w:right="0"/>
              <w:jc w:val="center"/>
              <w:rPr>
                <w:rFonts w:ascii="Times New Roman" w:hAnsi="Times New Roman" w:cs="Times New Roman" w:eastAsia="Times New Roman" w:hint="default"/>
                <w:sz w:val="21"/>
                <w:szCs w:val="21"/>
              </w:rPr>
            </w:pPr>
            <w:r>
              <w:rPr>
                <w:rFonts w:ascii="Times New Roman"/>
                <w:sz w:val="21"/>
              </w:rPr>
              <w:t>56,947,044.42</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21"/>
                <w:szCs w:val="21"/>
              </w:rPr>
            </w:pPr>
            <w:r>
              <w:rPr>
                <w:rFonts w:ascii="Times New Roman"/>
                <w:sz w:val="21"/>
              </w:rPr>
              <w:t>5.71</w:t>
            </w:r>
          </w:p>
        </w:tc>
      </w:tr>
      <w:tr>
        <w:trPr>
          <w:trHeight w:val="381" w:hRule="exact"/>
        </w:trPr>
        <w:tc>
          <w:tcPr>
            <w:tcW w:w="3794"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08" w:type="dxa"/>
            <w:tcBorders>
              <w:top w:val="single" w:sz="4" w:space="0" w:color="000000"/>
              <w:left w:val="single" w:sz="4" w:space="0" w:color="000000"/>
              <w:bottom w:val="single" w:sz="12" w:space="0" w:color="000000"/>
              <w:right w:val="single" w:sz="4" w:space="0" w:color="000000"/>
            </w:tcBorders>
          </w:tcPr>
          <w:p>
            <w:pP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46" w:right="0"/>
              <w:jc w:val="center"/>
              <w:rPr>
                <w:rFonts w:ascii="Times New Roman" w:hAnsi="Times New Roman" w:cs="Times New Roman" w:eastAsia="Times New Roman" w:hint="default"/>
                <w:sz w:val="21"/>
                <w:szCs w:val="21"/>
              </w:rPr>
            </w:pPr>
            <w:r>
              <w:rPr>
                <w:rFonts w:ascii="Times New Roman"/>
                <w:sz w:val="21"/>
              </w:rPr>
              <w:t>56,947,044.42</w:t>
            </w:r>
          </w:p>
        </w:tc>
        <w:tc>
          <w:tcPr>
            <w:tcW w:w="26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21"/>
                <w:szCs w:val="21"/>
              </w:rPr>
            </w:pPr>
            <w:r>
              <w:rPr>
                <w:rFonts w:ascii="Times New Roman"/>
                <w:sz w:val="21"/>
              </w:rPr>
              <w:t>5.71</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、本期没有终止确认的应收账款情况。</w:t>
      </w:r>
      <w:r>
        <w:rPr>
          <w:rFonts w:ascii="宋体" w:hAnsi="宋体" w:cs="宋体" w:eastAsia="宋体" w:hint="default"/>
          <w:sz w:val="21"/>
          <w:szCs w:val="21"/>
        </w:rPr>
      </w:r>
    </w:p>
    <w:p>
      <w:pPr>
        <w:spacing w:before="117"/>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、本期没有以应收账款为标的进行证券化的情况。</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tabs>
          <w:tab w:pos="1399" w:val="left" w:leader="none"/>
        </w:tabs>
        <w:spacing w:before="0"/>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二</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17"/>
        <w:ind w:left="67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536" w:type="dxa"/>
        <w:tblLayout w:type="fixed"/>
        <w:tblCellMar>
          <w:top w:w="0" w:type="dxa"/>
          <w:left w:w="0" w:type="dxa"/>
          <w:bottom w:w="0" w:type="dxa"/>
          <w:right w:w="0" w:type="dxa"/>
        </w:tblCellMar>
        <w:tblLook w:val="01E0"/>
      </w:tblPr>
      <w:tblGrid>
        <w:gridCol w:w="1742"/>
        <w:gridCol w:w="1166"/>
        <w:gridCol w:w="720"/>
        <w:gridCol w:w="960"/>
        <w:gridCol w:w="720"/>
        <w:gridCol w:w="1154"/>
        <w:gridCol w:w="720"/>
        <w:gridCol w:w="989"/>
        <w:gridCol w:w="720"/>
      </w:tblGrid>
      <w:tr>
        <w:trPr>
          <w:trHeight w:val="380" w:hRule="exact"/>
        </w:trPr>
        <w:tc>
          <w:tcPr>
            <w:tcW w:w="174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56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742" w:type="dxa"/>
            <w:vMerge/>
            <w:tcBorders>
              <w:left w:val="nil" w:sz="6" w:space="0" w:color="auto"/>
              <w:right w:val="single" w:sz="4" w:space="0" w:color="000000"/>
            </w:tcBorders>
          </w:tcPr>
          <w:p>
            <w:pPr/>
          </w:p>
        </w:tc>
        <w:tc>
          <w:tcPr>
            <w:tcW w:w="1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1742" w:type="dxa"/>
            <w:vMerge/>
            <w:tcBorders>
              <w:left w:val="nil" w:sz="6" w:space="0" w:color="auto"/>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单项金额重大并单</w:t>
            </w:r>
          </w:p>
          <w:p>
            <w:pPr>
              <w:pStyle w:val="TableParagraph"/>
              <w:spacing w:line="232" w:lineRule="exact" w:before="24"/>
              <w:ind w:left="122" w:right="101"/>
              <w:jc w:val="left"/>
              <w:rPr>
                <w:rFonts w:ascii="宋体" w:hAnsi="宋体" w:cs="宋体" w:eastAsia="宋体" w:hint="default"/>
                <w:sz w:val="18"/>
                <w:szCs w:val="18"/>
              </w:rPr>
            </w:pPr>
            <w:r>
              <w:rPr>
                <w:rFonts w:ascii="宋体" w:hAnsi="宋体" w:cs="宋体" w:eastAsia="宋体" w:hint="default"/>
                <w:spacing w:val="8"/>
                <w:sz w:val="18"/>
                <w:szCs w:val="18"/>
              </w:rPr>
              <w:t>项计提坏账准备的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4,054,322.07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36.85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20,271.61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2,214,017.19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9,170.94</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0.41</w:t>
            </w:r>
          </w:p>
        </w:tc>
      </w:tr>
      <w:tr>
        <w:trPr>
          <w:trHeight w:val="488" w:hRule="exact"/>
        </w:trPr>
        <w:tc>
          <w:tcPr>
            <w:tcW w:w="1742"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按组合计提坏账准</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1166"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960"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154"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989"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nil" w:sz="6" w:space="0" w:color="auto"/>
            </w:tcBorders>
          </w:tcPr>
          <w:p>
            <w:pPr/>
          </w:p>
        </w:tc>
      </w:tr>
      <w:tr>
        <w:trPr>
          <w:trHeight w:val="497" w:hRule="exact"/>
        </w:trPr>
        <w:tc>
          <w:tcPr>
            <w:tcW w:w="1742" w:type="dxa"/>
            <w:tcBorders>
              <w:top w:val="single" w:sz="12"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单项金额不重大但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按信用风险特征组</w:t>
            </w:r>
          </w:p>
        </w:tc>
        <w:tc>
          <w:tcPr>
            <w:tcW w:w="116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53,967.95</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0.49</w:t>
            </w:r>
          </w:p>
        </w:tc>
        <w:tc>
          <w:tcPr>
            <w:tcW w:w="9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35,425.15</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65.64</w:t>
            </w:r>
          </w:p>
        </w:tc>
        <w:tc>
          <w:tcPr>
            <w:tcW w:w="115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43,468.69</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0.74</w:t>
            </w:r>
          </w:p>
        </w:tc>
        <w:tc>
          <w:tcPr>
            <w:tcW w:w="98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32,375.37</w:t>
            </w:r>
          </w:p>
        </w:tc>
        <w:tc>
          <w:tcPr>
            <w:tcW w:w="7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74.48</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1660" w:right="480"/>
        </w:sectPr>
      </w:pPr>
    </w:p>
    <w:p>
      <w:pPr>
        <w:spacing w:line="240" w:lineRule="auto" w:before="6"/>
        <w:rPr>
          <w:rFonts w:ascii="宋体" w:hAnsi="宋体" w:cs="宋体" w:eastAsia="宋体" w:hint="default"/>
          <w:b/>
          <w:bCs/>
          <w:sz w:val="24"/>
          <w:szCs w:val="24"/>
        </w:rPr>
      </w:pPr>
    </w:p>
    <w:tbl>
      <w:tblPr>
        <w:tblW w:w="0" w:type="auto"/>
        <w:jc w:val="left"/>
        <w:tblInd w:w="536" w:type="dxa"/>
        <w:tblLayout w:type="fixed"/>
        <w:tblCellMar>
          <w:top w:w="0" w:type="dxa"/>
          <w:left w:w="0" w:type="dxa"/>
          <w:bottom w:w="0" w:type="dxa"/>
          <w:right w:w="0" w:type="dxa"/>
        </w:tblCellMar>
        <w:tblLook w:val="01E0"/>
      </w:tblPr>
      <w:tblGrid>
        <w:gridCol w:w="1742"/>
        <w:gridCol w:w="1166"/>
        <w:gridCol w:w="720"/>
        <w:gridCol w:w="960"/>
        <w:gridCol w:w="720"/>
        <w:gridCol w:w="1154"/>
        <w:gridCol w:w="720"/>
        <w:gridCol w:w="989"/>
        <w:gridCol w:w="720"/>
      </w:tblGrid>
      <w:tr>
        <w:trPr>
          <w:trHeight w:val="380" w:hRule="exact"/>
        </w:trPr>
        <w:tc>
          <w:tcPr>
            <w:tcW w:w="174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356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1742" w:type="dxa"/>
            <w:vMerge/>
            <w:tcBorders>
              <w:left w:val="nil" w:sz="6" w:space="0" w:color="auto"/>
              <w:right w:val="single" w:sz="4" w:space="0" w:color="000000"/>
            </w:tcBorders>
          </w:tcPr>
          <w:p>
            <w:pPr/>
          </w:p>
        </w:tc>
        <w:tc>
          <w:tcPr>
            <w:tcW w:w="1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left="4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1742" w:type="dxa"/>
            <w:vMerge/>
            <w:tcBorders>
              <w:left w:val="nil" w:sz="6" w:space="0" w:color="auto"/>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6"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合后该组合的风险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较大的其他应收款</w:t>
            </w:r>
          </w:p>
        </w:tc>
        <w:tc>
          <w:tcPr>
            <w:tcW w:w="11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其他不重大的应收</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6,716,041.47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61.04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43,335.90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0.65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3,473,796.01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43,192.89</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1.24</w:t>
            </w:r>
          </w:p>
        </w:tc>
      </w:tr>
      <w:tr>
        <w:trPr>
          <w:trHeight w:val="37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6,770,009.42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8" w:right="0"/>
              <w:jc w:val="center"/>
              <w:rPr>
                <w:rFonts w:ascii="Times New Roman" w:hAnsi="Times New Roman" w:cs="Times New Roman" w:eastAsia="Times New Roman" w:hint="default"/>
                <w:sz w:val="18"/>
                <w:szCs w:val="18"/>
              </w:rPr>
            </w:pPr>
            <w:r>
              <w:rPr>
                <w:rFonts w:ascii="Times New Roman"/>
                <w:sz w:val="18"/>
              </w:rPr>
              <w:t>61.53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center"/>
              <w:rPr>
                <w:rFonts w:ascii="Times New Roman" w:hAnsi="Times New Roman" w:cs="Times New Roman" w:eastAsia="Times New Roman" w:hint="default"/>
                <w:sz w:val="18"/>
                <w:szCs w:val="18"/>
              </w:rPr>
            </w:pPr>
            <w:r>
              <w:rPr>
                <w:rFonts w:ascii="Times New Roman"/>
                <w:sz w:val="18"/>
              </w:rPr>
              <w:t>78,761.05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1.16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3,517,264.70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59.52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75,568.26</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z w:val="18"/>
              </w:rPr>
              <w:t>2.15</w:t>
            </w:r>
          </w:p>
        </w:tc>
      </w:tr>
      <w:tr>
        <w:trPr>
          <w:trHeight w:val="71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w:t>
            </w:r>
          </w:p>
          <w:p>
            <w:pPr>
              <w:pStyle w:val="TableParagraph"/>
              <w:spacing w:line="240" w:lineRule="auto"/>
              <w:ind w:left="122" w:right="101"/>
              <w:jc w:val="left"/>
              <w:rPr>
                <w:rFonts w:ascii="宋体" w:hAnsi="宋体" w:cs="宋体" w:eastAsia="宋体" w:hint="default"/>
                <w:sz w:val="18"/>
                <w:szCs w:val="18"/>
              </w:rPr>
            </w:pPr>
            <w:r>
              <w:rPr>
                <w:rFonts w:ascii="宋体" w:hAnsi="宋体" w:cs="宋体" w:eastAsia="宋体" w:hint="default"/>
                <w:spacing w:val="8"/>
                <w:sz w:val="18"/>
                <w:szCs w:val="18"/>
              </w:rPr>
              <w:t>但单项计提坏账准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1.62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65"/>
              <w:jc w:val="center"/>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178,004.00</w:t>
            </w:r>
          </w:p>
        </w:tc>
        <w:tc>
          <w:tcPr>
            <w:tcW w:w="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r>
      <w:tr>
        <w:trPr>
          <w:trHeight w:val="380" w:hRule="exact"/>
        </w:trPr>
        <w:tc>
          <w:tcPr>
            <w:tcW w:w="17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7"/>
              <w:ind w:left="1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11,002,335.49</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left="8" w:right="0"/>
              <w:jc w:val="center"/>
              <w:rPr>
                <w:rFonts w:ascii="Times New Roman" w:hAnsi="Times New Roman" w:cs="Times New Roman" w:eastAsia="Times New Roman" w:hint="default"/>
                <w:sz w:val="18"/>
                <w:szCs w:val="18"/>
              </w:rPr>
            </w:pPr>
            <w:r>
              <w:rPr>
                <w:rFonts w:ascii="Times New Roman"/>
                <w:sz w:val="18"/>
              </w:rPr>
              <w:t>100.00</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65"/>
              <w:jc w:val="center"/>
              <w:rPr>
                <w:rFonts w:ascii="Times New Roman" w:hAnsi="Times New Roman" w:cs="Times New Roman" w:eastAsia="Times New Roman" w:hint="default"/>
                <w:sz w:val="18"/>
                <w:szCs w:val="18"/>
              </w:rPr>
            </w:pPr>
            <w:r>
              <w:rPr>
                <w:rFonts w:ascii="Times New Roman"/>
                <w:sz w:val="18"/>
              </w:rPr>
              <w:t>277,036.66</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2.52</w:t>
            </w: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5,909,285.89</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100.00</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262,743.20</w:t>
            </w:r>
          </w:p>
        </w:tc>
        <w:tc>
          <w:tcPr>
            <w:tcW w:w="7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8"/>
              <w:ind w:right="106"/>
              <w:jc w:val="right"/>
              <w:rPr>
                <w:rFonts w:ascii="Times New Roman" w:hAnsi="Times New Roman" w:cs="Times New Roman" w:eastAsia="Times New Roman" w:hint="default"/>
                <w:sz w:val="18"/>
                <w:szCs w:val="18"/>
              </w:rPr>
            </w:pPr>
            <w:r>
              <w:rPr>
                <w:rFonts w:ascii="Times New Roman"/>
                <w:sz w:val="18"/>
              </w:rPr>
              <w:t>4.45</w:t>
            </w:r>
          </w:p>
        </w:tc>
      </w:tr>
    </w:tbl>
    <w:p>
      <w:pPr>
        <w:spacing w:line="240" w:lineRule="auto" w:before="8"/>
        <w:rPr>
          <w:rFonts w:ascii="宋体" w:hAnsi="宋体" w:cs="宋体" w:eastAsia="宋体" w:hint="default"/>
          <w:b/>
          <w:bCs/>
          <w:sz w:val="6"/>
          <w:szCs w:val="6"/>
        </w:rPr>
      </w:pPr>
    </w:p>
    <w:p>
      <w:pPr>
        <w:pStyle w:val="BodyText"/>
        <w:spacing w:line="357" w:lineRule="auto" w:before="35"/>
        <w:ind w:left="677" w:right="4057" w:firstLine="2"/>
        <w:jc w:val="left"/>
      </w:pPr>
      <w:r>
        <w:rPr>
          <w:spacing w:val="-10"/>
        </w:rPr>
        <w:t>其他应收款种类的说明：详见本附注二、（十）。</w:t>
      </w:r>
      <w:r>
        <w:rPr>
          <w:spacing w:val="-98"/>
        </w:rPr>
        <w:t> </w:t>
      </w:r>
      <w:r>
        <w:rPr>
          <w:spacing w:val="-98"/>
        </w:rPr>
      </w:r>
      <w:r>
        <w:rPr/>
        <w:t>期末单项金额重大并单项计提坏账准备的其他应收款</w:t>
      </w:r>
    </w:p>
    <w:p>
      <w:pPr>
        <w:spacing w:line="240" w:lineRule="auto" w:before="12"/>
        <w:rPr>
          <w:rFonts w:ascii="宋体" w:hAnsi="宋体" w:cs="宋体" w:eastAsia="宋体" w:hint="default"/>
          <w:sz w:val="4"/>
          <w:szCs w:val="4"/>
        </w:rPr>
      </w:pPr>
    </w:p>
    <w:tbl>
      <w:tblPr>
        <w:tblW w:w="0" w:type="auto"/>
        <w:jc w:val="left"/>
        <w:tblInd w:w="720" w:type="dxa"/>
        <w:tblLayout w:type="fixed"/>
        <w:tblCellMar>
          <w:top w:w="0" w:type="dxa"/>
          <w:left w:w="0" w:type="dxa"/>
          <w:bottom w:w="0" w:type="dxa"/>
          <w:right w:w="0" w:type="dxa"/>
        </w:tblCellMar>
        <w:tblLook w:val="01E0"/>
      </w:tblPr>
      <w:tblGrid>
        <w:gridCol w:w="1894"/>
        <w:gridCol w:w="1645"/>
        <w:gridCol w:w="1598"/>
        <w:gridCol w:w="1288"/>
        <w:gridCol w:w="1800"/>
      </w:tblGrid>
      <w:tr>
        <w:trPr>
          <w:trHeight w:val="380" w:hRule="exact"/>
        </w:trPr>
        <w:tc>
          <w:tcPr>
            <w:tcW w:w="18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18"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6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18"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梁琳（测试钞）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1,429,086.62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7,145.43</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彭强（测试钞）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1,044,943.82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5,224.72</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武育智（测试钞）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617,867.91</w:t>
            </w:r>
            <w:r>
              <w:rPr>
                <w:rFonts w:ascii="Times New Roman"/>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3,089.34</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0"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李子丹（测试钞）</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526,351.50</w:t>
            </w:r>
            <w:r>
              <w:rPr>
                <w:rFonts w:ascii="Times New Roman"/>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2,631.76</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71" w:hRule="exact"/>
        </w:trPr>
        <w:tc>
          <w:tcPr>
            <w:tcW w:w="1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张向东（保证金）</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436,072.22</w:t>
            </w:r>
            <w:r>
              <w:rPr>
                <w:rFonts w:ascii="Times New Roman"/>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2,180.36</w:t>
            </w:r>
            <w:r>
              <w:rPr>
                <w:rFonts w:ascii="Times New Roman"/>
                <w:sz w:val="21"/>
              </w:rPr>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按账龄计提</w:t>
            </w:r>
          </w:p>
        </w:tc>
      </w:tr>
      <w:tr>
        <w:trPr>
          <w:trHeight w:val="380" w:hRule="exact"/>
        </w:trPr>
        <w:tc>
          <w:tcPr>
            <w:tcW w:w="1894" w:type="dxa"/>
            <w:tcBorders>
              <w:top w:val="single" w:sz="4" w:space="0" w:color="000000"/>
              <w:left w:val="nil" w:sz="6" w:space="0" w:color="auto"/>
              <w:bottom w:val="single" w:sz="12" w:space="0" w:color="000000"/>
              <w:right w:val="single" w:sz="4" w:space="0" w:color="000000"/>
            </w:tcBorders>
          </w:tcPr>
          <w:p>
            <w:pPr>
              <w:pStyle w:val="TableParagraph"/>
              <w:tabs>
                <w:tab w:pos="1059" w:val="left" w:leader="none"/>
              </w:tabs>
              <w:spacing w:line="240" w:lineRule="auto" w:before="53"/>
              <w:ind w:left="63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4,054,322.07</w:t>
            </w:r>
          </w:p>
        </w:tc>
        <w:tc>
          <w:tcPr>
            <w:tcW w:w="1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20,271.61</w:t>
            </w:r>
          </w:p>
        </w:tc>
        <w:tc>
          <w:tcPr>
            <w:tcW w:w="1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0.50%</w:t>
            </w:r>
          </w:p>
        </w:tc>
        <w:tc>
          <w:tcPr>
            <w:tcW w:w="180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35"/>
        <w:ind w:left="857" w:right="0"/>
        <w:jc w:val="left"/>
      </w:pPr>
      <w:r>
        <w:rPr/>
        <w:t>组合中，采用账龄分析法计提坏账准备的其他应收款：</w:t>
      </w:r>
    </w:p>
    <w:p>
      <w:pPr>
        <w:spacing w:line="240" w:lineRule="auto" w:before="10"/>
        <w:rPr>
          <w:rFonts w:ascii="宋体" w:hAnsi="宋体" w:cs="宋体" w:eastAsia="宋体" w:hint="default"/>
          <w:sz w:val="12"/>
          <w:szCs w:val="12"/>
        </w:rPr>
      </w:pPr>
    </w:p>
    <w:tbl>
      <w:tblPr>
        <w:tblW w:w="0" w:type="auto"/>
        <w:jc w:val="left"/>
        <w:tblInd w:w="720" w:type="dxa"/>
        <w:tblLayout w:type="fixed"/>
        <w:tblCellMar>
          <w:top w:w="0" w:type="dxa"/>
          <w:left w:w="0" w:type="dxa"/>
          <w:bottom w:w="0" w:type="dxa"/>
          <w:right w:w="0" w:type="dxa"/>
        </w:tblCellMar>
        <w:tblLook w:val="01E0"/>
      </w:tblPr>
      <w:tblGrid>
        <w:gridCol w:w="1385"/>
        <w:gridCol w:w="1440"/>
        <w:gridCol w:w="964"/>
        <w:gridCol w:w="1253"/>
        <w:gridCol w:w="1440"/>
        <w:gridCol w:w="965"/>
        <w:gridCol w:w="1177"/>
      </w:tblGrid>
      <w:tr>
        <w:trPr>
          <w:trHeight w:val="380" w:hRule="exact"/>
        </w:trPr>
        <w:tc>
          <w:tcPr>
            <w:tcW w:w="138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5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1385" w:type="dxa"/>
            <w:vMerge/>
            <w:tcBorders>
              <w:left w:val="nil" w:sz="6" w:space="0" w:color="auto"/>
              <w:right w:val="single" w:sz="4" w:space="0" w:color="000000"/>
            </w:tcBorders>
          </w:tcPr>
          <w:p>
            <w:pPr/>
          </w:p>
        </w:tc>
        <w:tc>
          <w:tcPr>
            <w:tcW w:w="2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7"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385" w:type="dxa"/>
            <w:vMerge/>
            <w:tcBorders>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7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53"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77" w:type="dxa"/>
            <w:vMerge/>
            <w:tcBorders>
              <w:left w:val="single" w:sz="4" w:space="0" w:color="000000"/>
              <w:bottom w:val="single" w:sz="4" w:space="0" w:color="000000"/>
              <w:right w:val="nil" w:sz="6" w:space="0" w:color="auto"/>
            </w:tcBorders>
          </w:tcPr>
          <w:p>
            <w:pP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5,611,486.55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95.64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28,057.43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2"/>
                <w:sz w:val="21"/>
              </w:rPr>
              <w:t>2,528,114.16</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80.58</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14,539.71</w:t>
            </w:r>
          </w:p>
        </w:tc>
      </w:tr>
      <w:tr>
        <w:trPr>
          <w:trHeight w:val="371"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98,560.00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1.68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4,928.00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558,643.51</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17.81</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27,932.18</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103,504.69</w:t>
            </w:r>
            <w:r>
              <w:rPr>
                <w:rFonts w:ascii="Times New Roman"/>
                <w:sz w:val="21"/>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10,350.47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7,210.00</w:t>
            </w:r>
            <w:r>
              <w:rPr>
                <w:rFonts w:ascii="Times New Roman"/>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0.23</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721.00</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19,346.86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5,804.06</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15,847.60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0.51</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4,754.28</w:t>
            </w:r>
            <w:r>
              <w:rPr>
                <w:rFonts w:ascii="Times New Roman"/>
                <w:sz w:val="21"/>
              </w:rPr>
            </w:r>
          </w:p>
        </w:tc>
      </w:tr>
      <w:tr>
        <w:trPr>
          <w:trHeight w:val="371"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10,000.00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0.17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24,621.09</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24,621.09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27,621.09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0.87</w:t>
            </w:r>
          </w:p>
        </w:tc>
        <w:tc>
          <w:tcPr>
            <w:tcW w:w="1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27,621.09</w:t>
            </w:r>
          </w:p>
        </w:tc>
      </w:tr>
      <w:tr>
        <w:trPr>
          <w:trHeight w:val="380" w:hRule="exact"/>
        </w:trPr>
        <w:tc>
          <w:tcPr>
            <w:tcW w:w="1385" w:type="dxa"/>
            <w:tcBorders>
              <w:top w:val="single" w:sz="4" w:space="0" w:color="000000"/>
              <w:left w:val="nil" w:sz="6" w:space="0" w:color="auto"/>
              <w:bottom w:val="single" w:sz="12" w:space="0" w:color="000000"/>
              <w:right w:val="single" w:sz="4" w:space="0" w:color="000000"/>
            </w:tcBorders>
          </w:tcPr>
          <w:p>
            <w:pPr>
              <w:pStyle w:val="TableParagraph"/>
              <w:tabs>
                <w:tab w:pos="805" w:val="left" w:leader="none"/>
              </w:tabs>
              <w:spacing w:line="240" w:lineRule="auto" w:before="53"/>
              <w:ind w:left="38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5,867,519.19</w:t>
            </w:r>
          </w:p>
        </w:tc>
        <w:tc>
          <w:tcPr>
            <w:tcW w:w="9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78,761.05</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3,137,436.36</w:t>
            </w:r>
          </w:p>
        </w:tc>
        <w:tc>
          <w:tcPr>
            <w:tcW w:w="9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75,568.26</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6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680" w:right="0"/>
        <w:jc w:val="left"/>
      </w:pPr>
      <w:r>
        <w:rPr/>
        <w:t>期末单项金额虽不重大但单项计提坏账准备的其他应收款</w:t>
      </w:r>
    </w:p>
    <w:p>
      <w:pPr>
        <w:spacing w:line="240" w:lineRule="auto" w:before="10"/>
        <w:rPr>
          <w:rFonts w:ascii="宋体" w:hAnsi="宋体" w:cs="宋体" w:eastAsia="宋体" w:hint="default"/>
          <w:sz w:val="12"/>
          <w:szCs w:val="12"/>
        </w:rPr>
      </w:pPr>
    </w:p>
    <w:tbl>
      <w:tblPr>
        <w:tblW w:w="0" w:type="auto"/>
        <w:jc w:val="left"/>
        <w:tblInd w:w="720" w:type="dxa"/>
        <w:tblLayout w:type="fixed"/>
        <w:tblCellMar>
          <w:top w:w="0" w:type="dxa"/>
          <w:left w:w="0" w:type="dxa"/>
          <w:bottom w:w="0" w:type="dxa"/>
          <w:right w:w="0" w:type="dxa"/>
        </w:tblCellMar>
        <w:tblLook w:val="01E0"/>
      </w:tblPr>
      <w:tblGrid>
        <w:gridCol w:w="1939"/>
        <w:gridCol w:w="1787"/>
        <w:gridCol w:w="1619"/>
        <w:gridCol w:w="1181"/>
        <w:gridCol w:w="1720"/>
      </w:tblGrid>
      <w:tr>
        <w:trPr>
          <w:trHeight w:val="380" w:hRule="exact"/>
        </w:trPr>
        <w:tc>
          <w:tcPr>
            <w:tcW w:w="19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241"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6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71"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垫付款项</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r>
      <w:tr>
        <w:trPr>
          <w:trHeight w:val="380" w:hRule="exact"/>
        </w:trPr>
        <w:tc>
          <w:tcPr>
            <w:tcW w:w="1939" w:type="dxa"/>
            <w:tcBorders>
              <w:top w:val="single" w:sz="4" w:space="0" w:color="000000"/>
              <w:left w:val="nil" w:sz="6" w:space="0" w:color="auto"/>
              <w:bottom w:val="single" w:sz="12" w:space="0" w:color="000000"/>
              <w:right w:val="single" w:sz="4" w:space="0" w:color="000000"/>
            </w:tcBorders>
          </w:tcPr>
          <w:p>
            <w:pPr>
              <w:pStyle w:val="TableParagraph"/>
              <w:tabs>
                <w:tab w:pos="1081" w:val="left" w:leader="none"/>
              </w:tabs>
              <w:spacing w:line="240" w:lineRule="auto" w:before="53"/>
              <w:ind w:left="65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6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178,004.00</w:t>
            </w:r>
            <w:r>
              <w:rPr>
                <w:rFonts w:ascii="Times New Roman"/>
                <w:sz w:val="21"/>
              </w:rPr>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1720"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35"/>
        <w:ind w:left="680" w:right="0"/>
        <w:jc w:val="left"/>
        <w:rPr>
          <w:rFonts w:ascii="Times New Roman" w:hAnsi="Times New Roman" w:cs="Times New Roman" w:eastAsia="Times New Roman" w:hint="default"/>
        </w:rPr>
      </w:pPr>
      <w:r>
        <w:rPr/>
        <w:t>注</w:t>
      </w:r>
      <w:r>
        <w:rPr>
          <w:spacing w:val="-72"/>
        </w:rPr>
        <w:t> </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19"/>
        </w:rPr>
        <w:t> </w:t>
      </w:r>
      <w:r>
        <w:rPr/>
        <w:t>年，银行储户发现系统出错时在自助终端上多次取款，造成银行损失</w:t>
      </w:r>
      <w:r>
        <w:rPr>
          <w:spacing w:val="-72"/>
        </w:rPr>
        <w:t> </w:t>
      </w:r>
      <w:r>
        <w:rPr>
          <w:rFonts w:ascii="Times New Roman" w:hAnsi="Times New Roman" w:cs="Times New Roman" w:eastAsia="Times New Roman" w:hint="default"/>
        </w:rPr>
        <w:t>178,004.00</w:t>
      </w:r>
    </w:p>
    <w:p>
      <w:pPr>
        <w:pStyle w:val="BodyText"/>
        <w:spacing w:line="240" w:lineRule="auto" w:before="118"/>
        <w:ind w:left="139" w:right="0"/>
        <w:jc w:val="left"/>
      </w:pPr>
      <w:r>
        <w:rPr/>
        <w:t>元，本公司已先行垫付，本公司本着谨慎性原则，对该垫付款项全额计提了坏账准备。</w:t>
      </w:r>
    </w:p>
    <w:p>
      <w:pPr>
        <w:pStyle w:val="Heading4"/>
        <w:spacing w:line="240" w:lineRule="auto" w:before="133"/>
        <w:ind w:left="679" w:right="4777"/>
        <w:jc w:val="left"/>
        <w:rPr>
          <w:b w:val="0"/>
          <w:bCs w:val="0"/>
        </w:rPr>
      </w:pPr>
      <w:r>
        <w:rPr>
          <w:rFonts w:ascii="Times New Roman" w:hAnsi="Times New Roman" w:cs="Times New Roman" w:eastAsia="Times New Roman" w:hint="default"/>
        </w:rPr>
        <w:t>2</w:t>
      </w:r>
      <w:r>
        <w:rPr/>
        <w:t>、本期没有转回或收回其他应收款情况。</w:t>
      </w:r>
      <w:r>
        <w:rPr>
          <w:b w:val="0"/>
          <w:bCs w:val="0"/>
        </w:rPr>
      </w:r>
    </w:p>
    <w:p>
      <w:pPr>
        <w:spacing w:before="117"/>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、本报告期没有实际核销的其他应收款情况。</w:t>
      </w:r>
      <w:r>
        <w:rPr>
          <w:rFonts w:ascii="宋体" w:hAnsi="宋体" w:cs="宋体" w:eastAsia="宋体" w:hint="default"/>
          <w:sz w:val="21"/>
          <w:szCs w:val="21"/>
        </w:rPr>
      </w:r>
    </w:p>
    <w:p>
      <w:pPr>
        <w:spacing w:before="118"/>
        <w:ind w:left="68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、期末其他应收款中持本公司</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％）表决权股份的股东单位欠款：</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2825"/>
        <w:gridCol w:w="1350"/>
        <w:gridCol w:w="1530"/>
        <w:gridCol w:w="1350"/>
        <w:gridCol w:w="1530"/>
      </w:tblGrid>
      <w:tr>
        <w:trPr>
          <w:trHeight w:val="380" w:hRule="exact"/>
        </w:trPr>
        <w:tc>
          <w:tcPr>
            <w:tcW w:w="282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8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1" w:hRule="exact"/>
        </w:trPr>
        <w:tc>
          <w:tcPr>
            <w:tcW w:w="2825" w:type="dxa"/>
            <w:vMerge/>
            <w:tcBorders>
              <w:left w:val="nil" w:sz="6" w:space="0" w:color="auto"/>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计提坏账金额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33"/>
              <w:jc w:val="righ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380" w:hRule="exact"/>
        </w:trPr>
        <w:tc>
          <w:tcPr>
            <w:tcW w:w="28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501" w:right="0"/>
              <w:jc w:val="left"/>
              <w:rPr>
                <w:rFonts w:ascii="Times New Roman" w:hAnsi="Times New Roman" w:cs="Times New Roman" w:eastAsia="Times New Roman" w:hint="default"/>
                <w:sz w:val="21"/>
                <w:szCs w:val="21"/>
              </w:rPr>
            </w:pPr>
            <w:r>
              <w:rPr>
                <w:rFonts w:ascii="Times New Roman"/>
                <w:sz w:val="21"/>
              </w:rPr>
              <w:t>2,820.00</w:t>
            </w:r>
          </w:p>
        </w:tc>
        <w:tc>
          <w:tcPr>
            <w:tcW w:w="15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14.10</w:t>
            </w:r>
          </w:p>
        </w:tc>
        <w:tc>
          <w:tcPr>
            <w:tcW w:w="13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501" w:right="0"/>
              <w:jc w:val="left"/>
              <w:rPr>
                <w:rFonts w:ascii="Times New Roman" w:hAnsi="Times New Roman" w:cs="Times New Roman" w:eastAsia="Times New Roman" w:hint="default"/>
                <w:sz w:val="21"/>
                <w:szCs w:val="21"/>
              </w:rPr>
            </w:pPr>
            <w:r>
              <w:rPr>
                <w:rFonts w:ascii="Times New Roman"/>
                <w:sz w:val="21"/>
              </w:rPr>
              <w:t>4,860.00</w:t>
            </w:r>
          </w:p>
        </w:tc>
        <w:tc>
          <w:tcPr>
            <w:tcW w:w="15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401.25</w:t>
            </w:r>
          </w:p>
        </w:tc>
      </w:tr>
    </w:tbl>
    <w:p>
      <w:pPr>
        <w:spacing w:line="240" w:lineRule="auto" w:before="8"/>
        <w:rPr>
          <w:rFonts w:ascii="宋体" w:hAnsi="宋体" w:cs="宋体" w:eastAsia="宋体" w:hint="default"/>
          <w:b/>
          <w:bCs/>
          <w:sz w:val="6"/>
          <w:szCs w:val="6"/>
        </w:rPr>
      </w:pPr>
    </w:p>
    <w:p>
      <w:pPr>
        <w:spacing w:before="35"/>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532"/>
        <w:gridCol w:w="1260"/>
        <w:gridCol w:w="1440"/>
        <w:gridCol w:w="1135"/>
        <w:gridCol w:w="1692"/>
        <w:gridCol w:w="1289"/>
      </w:tblGrid>
      <w:tr>
        <w:trPr>
          <w:trHeight w:val="740" w:hRule="exact"/>
        </w:trPr>
        <w:tc>
          <w:tcPr>
            <w:tcW w:w="1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53"/>
              <w:ind w:left="415" w:right="203"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692" w:type="dxa"/>
            <w:tcBorders>
              <w:top w:val="single" w:sz="12" w:space="0" w:color="000000"/>
              <w:left w:val="single" w:sz="4" w:space="0" w:color="000000"/>
              <w:bottom w:val="single" w:sz="4" w:space="0" w:color="000000"/>
              <w:right w:val="single" w:sz="4" w:space="0" w:color="000000"/>
            </w:tcBorders>
          </w:tcPr>
          <w:p>
            <w:pPr>
              <w:pStyle w:val="TableParagraph"/>
              <w:spacing w:line="360" w:lineRule="exact" w:before="11"/>
              <w:ind w:left="158" w:right="157"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c>
          <w:tcPr>
            <w:tcW w:w="128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71"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梁琳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公司职工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1,429,086.62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0.14</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19"/>
              <w:jc w:val="righ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0"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彭强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公司职工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1,044,943.82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0.10</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0"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武育智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公司职工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617,867.91</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0.06</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71" w:hRule="exact"/>
        </w:trPr>
        <w:tc>
          <w:tcPr>
            <w:tcW w:w="1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李子丹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公司职工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526,351.50</w:t>
            </w:r>
            <w:r>
              <w:rPr>
                <w:rFonts w:ascii="Times New Roman"/>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8"/>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0.05</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测试钞借款</w:t>
            </w:r>
          </w:p>
        </w:tc>
      </w:tr>
      <w:tr>
        <w:trPr>
          <w:trHeight w:val="380" w:hRule="exact"/>
        </w:trPr>
        <w:tc>
          <w:tcPr>
            <w:tcW w:w="1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张向东</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公司职工</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436,072.22</w:t>
            </w:r>
            <w:r>
              <w:rPr>
                <w:rFonts w:ascii="Times New Roman"/>
                <w:sz w:val="21"/>
              </w:rPr>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28"/>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0.04</w:t>
            </w:r>
          </w:p>
        </w:tc>
        <w:tc>
          <w:tcPr>
            <w:tcW w:w="128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128"/>
              <w:jc w:val="right"/>
              <w:rPr>
                <w:rFonts w:ascii="宋体" w:hAnsi="宋体" w:cs="宋体" w:eastAsia="宋体" w:hint="default"/>
                <w:sz w:val="21"/>
                <w:szCs w:val="21"/>
              </w:rPr>
            </w:pPr>
            <w:r>
              <w:rPr>
                <w:rFonts w:ascii="宋体" w:hAnsi="宋体" w:cs="宋体" w:eastAsia="宋体" w:hint="default"/>
                <w:sz w:val="21"/>
                <w:szCs w:val="21"/>
              </w:rPr>
              <w:t>借支保证金</w:t>
            </w:r>
          </w:p>
        </w:tc>
      </w:tr>
    </w:tbl>
    <w:p>
      <w:pPr>
        <w:spacing w:line="240" w:lineRule="auto" w:before="8"/>
        <w:rPr>
          <w:rFonts w:ascii="宋体" w:hAnsi="宋体" w:cs="宋体" w:eastAsia="宋体" w:hint="default"/>
          <w:b/>
          <w:bCs/>
          <w:sz w:val="6"/>
          <w:szCs w:val="6"/>
        </w:rPr>
      </w:pPr>
    </w:p>
    <w:p>
      <w:pPr>
        <w:spacing w:before="35"/>
        <w:ind w:left="682" w:right="4777" w:firstLine="0"/>
        <w:jc w:val="left"/>
        <w:rPr>
          <w:rFonts w:ascii="宋体" w:hAnsi="宋体" w:cs="宋体" w:eastAsia="宋体" w:hint="default"/>
          <w:sz w:val="21"/>
          <w:szCs w:val="21"/>
        </w:rPr>
      </w:pPr>
      <w:r>
        <w:rPr>
          <w:rFonts w:ascii="宋体" w:hAnsi="宋体" w:cs="宋体" w:eastAsia="宋体" w:hint="default"/>
          <w:b/>
          <w:bCs/>
          <w:sz w:val="21"/>
          <w:szCs w:val="21"/>
        </w:rPr>
        <w:t>6、应收关联方账款情况：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720" w:type="dxa"/>
        <w:tblLayout w:type="fixed"/>
        <w:tblCellMar>
          <w:top w:w="0" w:type="dxa"/>
          <w:left w:w="0" w:type="dxa"/>
          <w:bottom w:w="0" w:type="dxa"/>
          <w:right w:w="0" w:type="dxa"/>
        </w:tblCellMar>
        <w:tblLook w:val="01E0"/>
      </w:tblPr>
      <w:tblGrid>
        <w:gridCol w:w="2807"/>
        <w:gridCol w:w="1620"/>
        <w:gridCol w:w="2018"/>
        <w:gridCol w:w="2122"/>
      </w:tblGrid>
      <w:tr>
        <w:trPr>
          <w:trHeight w:val="740" w:hRule="exact"/>
        </w:trPr>
        <w:tc>
          <w:tcPr>
            <w:tcW w:w="280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5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2" w:type="dxa"/>
            <w:tcBorders>
              <w:top w:val="single" w:sz="12" w:space="0" w:color="000000"/>
              <w:left w:val="single" w:sz="4" w:space="0" w:color="000000"/>
              <w:bottom w:val="single" w:sz="4" w:space="0" w:color="000000"/>
              <w:right w:val="nil" w:sz="6" w:space="0" w:color="auto"/>
            </w:tcBorders>
          </w:tcPr>
          <w:p>
            <w:pPr>
              <w:pStyle w:val="TableParagraph"/>
              <w:spacing w:line="360" w:lineRule="exact" w:before="11"/>
              <w:ind w:left="373" w:right="377"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 总额的比例</w:t>
            </w:r>
            <w:r>
              <w:rPr>
                <w:rFonts w:ascii="Times New Roman" w:hAnsi="Times New Roman" w:cs="Times New Roman" w:eastAsia="Times New Roman" w:hint="default"/>
                <w:sz w:val="21"/>
                <w:szCs w:val="21"/>
              </w:rPr>
              <w:t>(%)</w:t>
            </w:r>
          </w:p>
        </w:tc>
      </w:tr>
      <w:tr>
        <w:trPr>
          <w:trHeight w:val="371" w:hRule="exact"/>
        </w:trPr>
        <w:tc>
          <w:tcPr>
            <w:tcW w:w="2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广州穗通金融服务有限公司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2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870" w:right="0"/>
              <w:jc w:val="left"/>
              <w:rPr>
                <w:rFonts w:ascii="Times New Roman" w:hAnsi="Times New Roman" w:cs="Times New Roman" w:eastAsia="Times New Roman" w:hint="default"/>
                <w:sz w:val="21"/>
                <w:szCs w:val="21"/>
              </w:rPr>
            </w:pPr>
            <w:r>
              <w:rPr>
                <w:rFonts w:ascii="Times New Roman"/>
                <w:sz w:val="21"/>
              </w:rPr>
              <w:t>1.82</w:t>
            </w:r>
          </w:p>
        </w:tc>
      </w:tr>
      <w:tr>
        <w:trPr>
          <w:trHeight w:val="370" w:hRule="exact"/>
        </w:trPr>
        <w:tc>
          <w:tcPr>
            <w:tcW w:w="28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广州无线电集团有限公司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母公司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2,820.00</w:t>
            </w:r>
            <w:r>
              <w:rPr>
                <w:rFonts w:ascii="Times New Roman"/>
                <w:sz w:val="21"/>
              </w:rPr>
            </w:r>
          </w:p>
        </w:tc>
        <w:tc>
          <w:tcPr>
            <w:tcW w:w="2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870" w:right="0"/>
              <w:jc w:val="left"/>
              <w:rPr>
                <w:rFonts w:ascii="Times New Roman" w:hAnsi="Times New Roman" w:cs="Times New Roman" w:eastAsia="Times New Roman" w:hint="default"/>
                <w:sz w:val="21"/>
                <w:szCs w:val="21"/>
              </w:rPr>
            </w:pPr>
            <w:r>
              <w:rPr>
                <w:rFonts w:ascii="Times New Roman"/>
                <w:sz w:val="21"/>
              </w:rPr>
              <w:t>0.03</w:t>
            </w:r>
          </w:p>
        </w:tc>
      </w:tr>
      <w:tr>
        <w:trPr>
          <w:trHeight w:val="380" w:hRule="exact"/>
        </w:trPr>
        <w:tc>
          <w:tcPr>
            <w:tcW w:w="2807" w:type="dxa"/>
            <w:tcBorders>
              <w:top w:val="single" w:sz="4" w:space="0" w:color="000000"/>
              <w:left w:val="nil" w:sz="6" w:space="0" w:color="auto"/>
              <w:bottom w:val="single" w:sz="12" w:space="0" w:color="000000"/>
              <w:right w:val="single" w:sz="4" w:space="0" w:color="000000"/>
            </w:tcBorders>
          </w:tcPr>
          <w:p>
            <w:pPr>
              <w:pStyle w:val="TableParagraph"/>
              <w:tabs>
                <w:tab w:pos="439"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12" w:space="0" w:color="000000"/>
              <w:right w:val="single" w:sz="4" w:space="0" w:color="000000"/>
            </w:tcBorders>
          </w:tcPr>
          <w:p>
            <w:pPr/>
          </w:p>
        </w:tc>
        <w:tc>
          <w:tcPr>
            <w:tcW w:w="2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202,820.00</w:t>
            </w:r>
            <w:r>
              <w:rPr>
                <w:rFonts w:ascii="Times New Roman"/>
                <w:sz w:val="21"/>
              </w:rPr>
            </w:r>
          </w:p>
        </w:tc>
        <w:tc>
          <w:tcPr>
            <w:tcW w:w="21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left="870" w:right="0"/>
              <w:jc w:val="left"/>
              <w:rPr>
                <w:rFonts w:ascii="Times New Roman" w:hAnsi="Times New Roman" w:cs="Times New Roman" w:eastAsia="Times New Roman" w:hint="default"/>
                <w:sz w:val="21"/>
                <w:szCs w:val="21"/>
              </w:rPr>
            </w:pPr>
            <w:r>
              <w:rPr>
                <w:rFonts w:ascii="Times New Roman"/>
                <w:sz w:val="21"/>
              </w:rPr>
              <w:t>1.85</w:t>
            </w:r>
          </w:p>
        </w:tc>
      </w:tr>
    </w:tbl>
    <w:p>
      <w:pPr>
        <w:spacing w:line="240" w:lineRule="auto" w:before="8"/>
        <w:rPr>
          <w:rFonts w:ascii="宋体" w:hAnsi="宋体" w:cs="宋体" w:eastAsia="宋体" w:hint="default"/>
          <w:b/>
          <w:bCs/>
          <w:sz w:val="6"/>
          <w:szCs w:val="6"/>
        </w:rPr>
      </w:pPr>
    </w:p>
    <w:p>
      <w:pPr>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、本报告期没有终止确认的其他应收款情况。</w:t>
      </w:r>
      <w:r>
        <w:rPr>
          <w:rFonts w:ascii="宋体" w:hAnsi="宋体" w:cs="宋体" w:eastAsia="宋体" w:hint="default"/>
          <w:sz w:val="21"/>
          <w:szCs w:val="21"/>
        </w:rPr>
      </w:r>
    </w:p>
    <w:p>
      <w:pPr>
        <w:spacing w:before="118"/>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、本报告期没有以其他应收款为标的进行证券化的情况。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1660" w:right="780"/>
        </w:sectPr>
      </w:pPr>
    </w:p>
    <w:p>
      <w:pPr>
        <w:spacing w:line="240" w:lineRule="auto" w:before="0"/>
        <w:rPr>
          <w:rFonts w:ascii="宋体" w:hAnsi="宋体" w:cs="宋体" w:eastAsia="宋体" w:hint="default"/>
          <w:b/>
          <w:bCs/>
          <w:sz w:val="20"/>
          <w:szCs w:val="20"/>
        </w:rPr>
      </w:pPr>
    </w:p>
    <w:p>
      <w:pPr>
        <w:tabs>
          <w:tab w:pos="1939" w:val="left" w:leader="none"/>
        </w:tabs>
        <w:spacing w:before="180"/>
        <w:ind w:left="1218"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17"/>
        <w:ind w:left="0" w:right="1199"/>
        <w:jc w:val="right"/>
      </w:pPr>
      <w:r>
        <w:rPr/>
        <w:t>单位：人民币元</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40"/>
        <w:gridCol w:w="595"/>
        <w:gridCol w:w="1207"/>
        <w:gridCol w:w="1189"/>
        <w:gridCol w:w="528"/>
        <w:gridCol w:w="1231"/>
        <w:gridCol w:w="617"/>
        <w:gridCol w:w="629"/>
        <w:gridCol w:w="778"/>
        <w:gridCol w:w="514"/>
        <w:gridCol w:w="462"/>
        <w:gridCol w:w="1120"/>
      </w:tblGrid>
      <w:tr>
        <w:trPr>
          <w:trHeight w:val="1460" w:hRule="exact"/>
        </w:trPr>
        <w:tc>
          <w:tcPr>
            <w:tcW w:w="1340"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94" w:right="12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2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3" w:right="92" w:hanging="4"/>
              <w:jc w:val="left"/>
              <w:rPr>
                <w:rFonts w:ascii="宋体" w:hAnsi="宋体" w:cs="宋体" w:eastAsia="宋体" w:hint="default"/>
                <w:sz w:val="18"/>
                <w:szCs w:val="18"/>
              </w:rPr>
            </w:pPr>
            <w:r>
              <w:rPr>
                <w:rFonts w:ascii="宋体" w:hAnsi="宋体" w:cs="宋体" w:eastAsia="宋体" w:hint="default"/>
                <w:sz w:val="18"/>
                <w:szCs w:val="18"/>
              </w:rPr>
              <w:t>增减 变动</w:t>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8" w:right="49"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629"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97"/>
              <w:ind w:left="15" w:right="55" w:firstLine="6"/>
              <w:jc w:val="center"/>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52"/>
              <w:ind w:right="47"/>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12" w:space="0" w:color="000000"/>
              <w:left w:val="single" w:sz="4" w:space="0" w:color="000000"/>
              <w:bottom w:val="single" w:sz="4" w:space="0" w:color="000000"/>
              <w:right w:val="single" w:sz="4" w:space="0" w:color="000000"/>
            </w:tcBorders>
          </w:tcPr>
          <w:p>
            <w:pPr>
              <w:pStyle w:val="TableParagraph"/>
              <w:spacing w:line="212" w:lineRule="exact"/>
              <w:ind w:right="41"/>
              <w:jc w:val="center"/>
              <w:rPr>
                <w:rFonts w:ascii="宋体" w:hAnsi="宋体" w:cs="宋体" w:eastAsia="宋体" w:hint="default"/>
                <w:sz w:val="18"/>
                <w:szCs w:val="18"/>
              </w:rPr>
            </w:pPr>
            <w:r>
              <w:rPr>
                <w:rFonts w:ascii="宋体" w:hAnsi="宋体" w:cs="宋体" w:eastAsia="宋体" w:hint="default"/>
                <w:sz w:val="18"/>
                <w:szCs w:val="18"/>
              </w:rPr>
              <w:t>在被投资</w:t>
            </w:r>
          </w:p>
          <w:p>
            <w:pPr>
              <w:pStyle w:val="TableParagraph"/>
              <w:spacing w:line="244" w:lineRule="auto" w:before="4"/>
              <w:ind w:right="47"/>
              <w:jc w:val="center"/>
              <w:rPr>
                <w:rFonts w:ascii="宋体" w:hAnsi="宋体" w:cs="宋体" w:eastAsia="宋体" w:hint="default"/>
                <w:sz w:val="18"/>
                <w:szCs w:val="18"/>
              </w:rPr>
            </w:pPr>
            <w:r>
              <w:rPr>
                <w:rFonts w:ascii="宋体" w:hAnsi="宋体" w:cs="宋体" w:eastAsia="宋体" w:hint="default"/>
                <w:sz w:val="18"/>
                <w:szCs w:val="18"/>
              </w:rPr>
              <w:t>单位持股 比例与表 决权比例 不一致的 说明</w:t>
            </w:r>
          </w:p>
        </w:tc>
        <w:tc>
          <w:tcPr>
            <w:tcW w:w="5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6" w:right="89" w:firstLine="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4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4" w:lineRule="auto"/>
              <w:ind w:left="21" w:right="61" w:firstLine="7"/>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12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57" w:right="215"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0"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9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深圳广电银通</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4" w:lineRule="auto" w:before="4"/>
              <w:ind w:left="122" w:right="15"/>
              <w:jc w:val="left"/>
              <w:rPr>
                <w:rFonts w:ascii="宋体" w:hAnsi="宋体" w:cs="宋体" w:eastAsia="宋体" w:hint="default"/>
                <w:sz w:val="18"/>
                <w:szCs w:val="18"/>
              </w:rPr>
            </w:pPr>
            <w:r>
              <w:rPr>
                <w:rFonts w:ascii="宋体" w:hAnsi="宋体" w:cs="宋体" w:eastAsia="宋体" w:hint="default"/>
                <w:spacing w:val="15"/>
                <w:sz w:val="18"/>
                <w:szCs w:val="18"/>
              </w:rPr>
              <w:t>金融电子科技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96,479,295.26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95,532,442.74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95,532,442.74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0.00</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90"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广州穗通金融</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3"/>
              <w:jc w:val="right"/>
              <w:rPr>
                <w:rFonts w:ascii="Times New Roman" w:hAnsi="Times New Roman" w:cs="Times New Roman" w:eastAsia="Times New Roman" w:hint="default"/>
                <w:sz w:val="18"/>
                <w:szCs w:val="18"/>
              </w:rPr>
            </w:pPr>
            <w:r>
              <w:rPr>
                <w:rFonts w:ascii="Times New Roman"/>
                <w:spacing w:val="-1"/>
                <w:sz w:val="18"/>
              </w:rPr>
              <w:t>15,300,000.00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2"/>
              <w:jc w:val="right"/>
              <w:rPr>
                <w:rFonts w:ascii="Times New Roman" w:hAnsi="Times New Roman" w:cs="Times New Roman" w:eastAsia="Times New Roman" w:hint="default"/>
                <w:sz w:val="18"/>
                <w:szCs w:val="18"/>
              </w:rPr>
            </w:pPr>
            <w:r>
              <w:rPr>
                <w:rFonts w:ascii="Times New Roman"/>
                <w:spacing w:val="-1"/>
                <w:sz w:val="18"/>
              </w:rPr>
              <w:t>15,300,000.00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5"/>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3" w:right="0"/>
              <w:jc w:val="center"/>
              <w:rPr>
                <w:rFonts w:ascii="Times New Roman" w:hAnsi="Times New Roman" w:cs="Times New Roman" w:eastAsia="Times New Roman" w:hint="default"/>
                <w:sz w:val="18"/>
                <w:szCs w:val="18"/>
              </w:rPr>
            </w:pPr>
            <w:r>
              <w:rPr>
                <w:rFonts w:ascii="Times New Roman"/>
                <w:sz w:val="18"/>
              </w:rPr>
              <w:t>15,300,000.00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5"/>
              <w:jc w:val="right"/>
              <w:rPr>
                <w:rFonts w:ascii="Times New Roman" w:hAnsi="Times New Roman" w:cs="Times New Roman" w:eastAsia="Times New Roman" w:hint="default"/>
                <w:sz w:val="18"/>
                <w:szCs w:val="18"/>
              </w:rPr>
            </w:pPr>
            <w:r>
              <w:rPr>
                <w:rFonts w:ascii="Times New Roman"/>
                <w:sz w:val="18"/>
              </w:rPr>
              <w:t>51.00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4"/>
              <w:jc w:val="right"/>
              <w:rPr>
                <w:rFonts w:ascii="Times New Roman" w:hAnsi="Times New Roman" w:cs="Times New Roman" w:eastAsia="Times New Roman" w:hint="default"/>
                <w:sz w:val="18"/>
                <w:szCs w:val="18"/>
              </w:rPr>
            </w:pPr>
            <w:r>
              <w:rPr>
                <w:rFonts w:ascii="Times New Roman"/>
                <w:sz w:val="18"/>
              </w:rPr>
              <w:t>51.00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5"/>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5"/>
              <w:jc w:val="right"/>
              <w:rPr>
                <w:rFonts w:ascii="Times New Roman" w:hAnsi="Times New Roman" w:cs="Times New Roman" w:eastAsia="Times New Roman" w:hint="default"/>
                <w:sz w:val="18"/>
                <w:szCs w:val="18"/>
              </w:rPr>
            </w:pPr>
            <w:r>
              <w:rPr>
                <w:rFonts w:ascii="Times New Roman"/>
                <w:sz w:val="18"/>
              </w:rPr>
              <w:t>0.00</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4"/>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39"/>
              <w:jc w:val="right"/>
              <w:rPr>
                <w:rFonts w:ascii="Times New Roman" w:hAnsi="Times New Roman" w:cs="Times New Roman" w:eastAsia="Times New Roman" w:hint="default"/>
                <w:sz w:val="18"/>
                <w:szCs w:val="18"/>
              </w:rPr>
            </w:pPr>
            <w:r>
              <w:rPr>
                <w:rFonts w:ascii="Times New Roman"/>
                <w:sz w:val="18"/>
              </w:rPr>
              <w:t>0.00</w:t>
            </w:r>
          </w:p>
        </w:tc>
      </w:tr>
      <w:tr>
        <w:trPr>
          <w:trHeight w:val="731" w:hRule="exact"/>
        </w:trPr>
        <w:tc>
          <w:tcPr>
            <w:tcW w:w="1340"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28"/>
              <w:ind w:left="122" w:right="111"/>
              <w:jc w:val="both"/>
              <w:rPr>
                <w:rFonts w:ascii="Times New Roman" w:hAnsi="Times New Roman" w:cs="Times New Roman" w:eastAsia="Times New Roman" w:hint="default"/>
                <w:sz w:val="18"/>
                <w:szCs w:val="18"/>
              </w:rPr>
            </w:pPr>
            <w:r>
              <w:rPr>
                <w:rFonts w:ascii="Times New Roman"/>
                <w:sz w:val="18"/>
              </w:rPr>
              <w:t>GRGBankingE</w:t>
            </w:r>
            <w:r>
              <w:rPr>
                <w:rFonts w:ascii="Times New Roman"/>
                <w:w w:val="99"/>
                <w:sz w:val="18"/>
              </w:rPr>
              <w:t> </w:t>
            </w:r>
            <w:r>
              <w:rPr>
                <w:rFonts w:ascii="Times New Roman"/>
                <w:sz w:val="18"/>
              </w:rPr>
              <w:t>quipment(HK)</w:t>
            </w:r>
            <w:r>
              <w:rPr>
                <w:rFonts w:ascii="Times New Roman"/>
                <w:spacing w:val="-1"/>
                <w:w w:val="99"/>
                <w:sz w:val="18"/>
              </w:rPr>
              <w:t> </w:t>
            </w:r>
            <w:r>
              <w:rPr>
                <w:rFonts w:ascii="Times New Roman"/>
                <w:sz w:val="18"/>
              </w:rPr>
              <w:t>Co.,Limited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12,376,980.00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12,376,980.00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12,376,980.00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100.00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不存在</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0.00</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z w:val="18"/>
              </w:rPr>
              <w:t>0.00</w:t>
            </w:r>
          </w:p>
        </w:tc>
      </w:tr>
      <w:tr>
        <w:trPr>
          <w:trHeight w:val="359" w:hRule="exact"/>
        </w:trPr>
        <w:tc>
          <w:tcPr>
            <w:tcW w:w="13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44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595" w:type="dxa"/>
            <w:tcBorders>
              <w:top w:val="single" w:sz="4" w:space="0" w:color="000000"/>
              <w:left w:val="single" w:sz="4" w:space="0" w:color="000000"/>
              <w:bottom w:val="single" w:sz="12" w:space="0" w:color="000000"/>
              <w:right w:val="single" w:sz="4" w:space="0" w:color="000000"/>
            </w:tcBorders>
          </w:tcPr>
          <w:p>
            <w:pP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2"/>
              <w:jc w:val="right"/>
              <w:rPr>
                <w:rFonts w:ascii="Times New Roman" w:hAnsi="Times New Roman" w:cs="Times New Roman" w:eastAsia="Times New Roman" w:hint="default"/>
                <w:sz w:val="18"/>
                <w:szCs w:val="18"/>
              </w:rPr>
            </w:pPr>
            <w:r>
              <w:rPr>
                <w:rFonts w:ascii="Times New Roman"/>
                <w:spacing w:val="-1"/>
                <w:sz w:val="18"/>
              </w:rPr>
              <w:t>124,156,275.26</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2"/>
              <w:jc w:val="right"/>
              <w:rPr>
                <w:rFonts w:ascii="Times New Roman" w:hAnsi="Times New Roman" w:cs="Times New Roman" w:eastAsia="Times New Roman" w:hint="default"/>
                <w:sz w:val="18"/>
                <w:szCs w:val="18"/>
              </w:rPr>
            </w:pPr>
            <w:r>
              <w:rPr>
                <w:rFonts w:ascii="Times New Roman"/>
                <w:spacing w:val="-1"/>
                <w:sz w:val="18"/>
              </w:rPr>
              <w:t>123,209,422.74</w:t>
            </w:r>
          </w:p>
        </w:tc>
        <w:tc>
          <w:tcPr>
            <w:tcW w:w="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5"/>
              <w:jc w:val="righ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25" w:right="0"/>
              <w:jc w:val="center"/>
              <w:rPr>
                <w:rFonts w:ascii="Times New Roman" w:hAnsi="Times New Roman" w:cs="Times New Roman" w:eastAsia="Times New Roman" w:hint="default"/>
                <w:sz w:val="18"/>
                <w:szCs w:val="18"/>
              </w:rPr>
            </w:pPr>
            <w:r>
              <w:rPr>
                <w:rFonts w:ascii="Times New Roman"/>
                <w:sz w:val="18"/>
              </w:rPr>
              <w:t>123,209,422.74</w:t>
            </w:r>
          </w:p>
        </w:tc>
        <w:tc>
          <w:tcPr>
            <w:tcW w:w="6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2"/>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4"/>
              <w:jc w:val="right"/>
              <w:rPr>
                <w:rFonts w:ascii="Times New Roman" w:hAnsi="Times New Roman" w:cs="Times New Roman" w:eastAsia="Times New Roman" w:hint="default"/>
                <w:sz w:val="18"/>
                <w:szCs w:val="18"/>
              </w:rPr>
            </w:pPr>
            <w:r>
              <w:rPr>
                <w:rFonts w:ascii="Times New Roman"/>
                <w:sz w:val="18"/>
              </w:rPr>
              <w:t>0.00</w:t>
            </w:r>
          </w:p>
        </w:tc>
        <w:tc>
          <w:tcPr>
            <w:tcW w:w="4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9"/>
              <w:ind w:right="38"/>
              <w:jc w:val="right"/>
              <w:rPr>
                <w:rFonts w:ascii="Times New Roman" w:hAnsi="Times New Roman" w:cs="Times New Roman" w:eastAsia="Times New Roman" w:hint="default"/>
                <w:sz w:val="18"/>
                <w:szCs w:val="18"/>
              </w:rPr>
            </w:pPr>
            <w:r>
              <w:rPr>
                <w:rFonts w:ascii="Times New Roman"/>
                <w:spacing w:val="-1"/>
                <w:sz w:val="18"/>
              </w:rPr>
              <w:t>27,000,000.00</w:t>
            </w:r>
          </w:p>
        </w:tc>
      </w:tr>
    </w:tbl>
    <w:p>
      <w:pPr>
        <w:spacing w:line="240" w:lineRule="auto" w:before="8"/>
        <w:rPr>
          <w:rFonts w:ascii="宋体" w:hAnsi="宋体" w:cs="宋体" w:eastAsia="宋体" w:hint="default"/>
          <w:sz w:val="6"/>
          <w:szCs w:val="6"/>
        </w:rPr>
      </w:pPr>
    </w:p>
    <w:p>
      <w:pPr>
        <w:pStyle w:val="BodyText"/>
        <w:spacing w:line="240" w:lineRule="auto" w:before="35"/>
        <w:ind w:left="1087" w:right="964"/>
        <w:jc w:val="center"/>
      </w:pPr>
      <w:r>
        <w:rPr/>
        <w:t>注</w:t>
      </w:r>
      <w:r>
        <w:rPr>
          <w:spacing w:val="43"/>
        </w:rPr>
        <w:t> </w:t>
      </w:r>
      <w:r>
        <w:rPr>
          <w:rFonts w:ascii="Times New Roman" w:hAnsi="Times New Roman" w:cs="Times New Roman" w:eastAsia="Times New Roman" w:hint="default"/>
          <w:spacing w:val="16"/>
        </w:rPr>
        <w:t>1</w:t>
      </w:r>
      <w:r>
        <w:rPr>
          <w:spacing w:val="16"/>
        </w:rPr>
        <w:t>：深圳广电银通电子科技有限公司，经深圳市对外贸易经济合作局深外经贸资复</w:t>
      </w:r>
      <w:r>
        <w:rPr/>
      </w:r>
    </w:p>
    <w:p>
      <w:pPr>
        <w:pStyle w:val="BodyText"/>
        <w:spacing w:line="240" w:lineRule="auto" w:before="118"/>
        <w:ind w:left="680" w:right="0"/>
        <w:jc w:val="both"/>
      </w:pPr>
      <w:r>
        <w:rPr>
          <w:rFonts w:ascii="Times New Roman" w:hAnsi="Times New Roman" w:cs="Times New Roman" w:eastAsia="Times New Roman" w:hint="default"/>
        </w:rPr>
        <w:t>[2004]0128 </w:t>
      </w:r>
      <w:r>
        <w:rPr/>
        <w:t>号文批准，由</w:t>
      </w:r>
      <w:r>
        <w:rPr>
          <w:spacing w:val="-18"/>
        </w:rPr>
        <w:t> </w:t>
      </w:r>
      <w:r>
        <w:rPr>
          <w:rFonts w:ascii="Times New Roman" w:hAnsi="Times New Roman" w:cs="Times New Roman" w:eastAsia="Times New Roman" w:hint="default"/>
        </w:rPr>
        <w:t>TECHELITEHOLDINGSLIMITED</w:t>
      </w:r>
      <w:r>
        <w:rPr/>
        <w:t>、广州无线电集团有限公司、本公司</w:t>
      </w:r>
    </w:p>
    <w:p>
      <w:pPr>
        <w:pStyle w:val="BodyText"/>
        <w:spacing w:line="240" w:lineRule="auto" w:before="117"/>
        <w:ind w:left="680" w:right="0"/>
        <w:jc w:val="both"/>
        <w:rPr>
          <w:rFonts w:ascii="Times New Roman" w:hAnsi="Times New Roman" w:cs="Times New Roman" w:eastAsia="Times New Roman" w:hint="default"/>
        </w:rPr>
      </w:pPr>
      <w:r>
        <w:rPr/>
        <w:t>共同投资成立，注册资本</w:t>
      </w:r>
      <w:r>
        <w:rPr>
          <w:spacing w:val="-4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万美元，出资比例分别为，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24%</w:t>
      </w:r>
      <w:r>
        <w:rPr/>
        <w:t>，于</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27</w:t>
      </w:r>
    </w:p>
    <w:p>
      <w:pPr>
        <w:pStyle w:val="BodyText"/>
        <w:spacing w:line="338" w:lineRule="auto" w:before="117"/>
        <w:ind w:left="680" w:right="885"/>
        <w:jc w:val="both"/>
      </w:pPr>
      <w:r>
        <w:rPr/>
        <w:t>日成立，并取得深圳市工商行政管理局企合粤深总字第</w:t>
      </w:r>
      <w:r>
        <w:rPr>
          <w:spacing w:val="-56"/>
        </w:rPr>
        <w:t> </w:t>
      </w:r>
      <w:r>
        <w:rPr>
          <w:rFonts w:ascii="Times New Roman" w:hAnsi="Times New Roman" w:cs="Times New Roman" w:eastAsia="Times New Roman" w:hint="default"/>
        </w:rPr>
        <w:t>110562</w:t>
      </w:r>
      <w:r>
        <w:rPr>
          <w:rFonts w:ascii="Times New Roman" w:hAnsi="Times New Roman" w:cs="Times New Roman" w:eastAsia="Times New Roman" w:hint="default"/>
          <w:spacing w:val="-3"/>
        </w:rPr>
        <w:t> </w:t>
      </w:r>
      <w:r>
        <w:rPr/>
        <w:t>号企业法人营业执照。</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w:t>
      </w:r>
      <w:r>
        <w:rPr>
          <w:spacing w:val="-45"/>
        </w:rPr>
        <w:t> </w:t>
      </w:r>
      <w:r>
        <w:rPr>
          <w:rFonts w:ascii="Times New Roman" w:hAnsi="Times New Roman" w:cs="Times New Roman" w:eastAsia="Times New Roman" w:hint="default"/>
        </w:rPr>
        <w:t>TECHELITEHOLDINGSLIMITED</w:t>
      </w:r>
      <w:r>
        <w:rPr>
          <w:rFonts w:ascii="Times New Roman" w:hAnsi="Times New Roman" w:cs="Times New Roman" w:eastAsia="Times New Roman" w:hint="default"/>
          <w:spacing w:val="7"/>
        </w:rPr>
        <w:t> </w:t>
      </w:r>
      <w:r>
        <w:rPr/>
        <w:t>持有的</w:t>
      </w:r>
      <w:r>
        <w:rPr>
          <w:spacing w:val="-45"/>
        </w:rPr>
        <w:t> </w:t>
      </w:r>
      <w:r>
        <w:rPr>
          <w:rFonts w:ascii="Times New Roman" w:hAnsi="Times New Roman" w:cs="Times New Roman" w:eastAsia="Times New Roman" w:hint="default"/>
        </w:rPr>
        <w:t>51%</w:t>
      </w:r>
      <w:r>
        <w:rPr/>
        <w:t>股权全部转让给本公司，企业性质由合资 </w:t>
      </w:r>
      <w:r>
        <w:rPr>
          <w:spacing w:val="-4"/>
        </w:rPr>
        <w:t>企业变更为内资企业，取得了深圳市工商行政管理局核发的</w:t>
      </w:r>
      <w:r>
        <w:rPr>
          <w:spacing w:val="-43"/>
        </w:rPr>
        <w:t> </w:t>
      </w:r>
      <w:r>
        <w:rPr>
          <w:rFonts w:ascii="Times New Roman" w:hAnsi="Times New Roman" w:cs="Times New Roman" w:eastAsia="Times New Roman" w:hint="default"/>
          <w:spacing w:val="-2"/>
        </w:rPr>
        <w:t>4403011199600</w:t>
      </w:r>
      <w:r>
        <w:rPr>
          <w:rFonts w:ascii="Times New Roman" w:hAnsi="Times New Roman" w:cs="Times New Roman" w:eastAsia="Times New Roman" w:hint="default"/>
          <w:spacing w:val="10"/>
        </w:rPr>
        <w:t> </w:t>
      </w:r>
      <w:r>
        <w:rPr>
          <w:spacing w:val="-1"/>
        </w:rPr>
        <w:t>号企业法人营业执照，</w:t>
      </w:r>
    </w:p>
    <w:p>
      <w:pPr>
        <w:pStyle w:val="BodyText"/>
        <w:spacing w:line="338" w:lineRule="auto" w:before="23"/>
        <w:ind w:left="680" w:right="989"/>
        <w:jc w:val="both"/>
      </w:pPr>
      <w:r>
        <w:rPr/>
        <w:t>注册资本为</w:t>
      </w:r>
      <w:r>
        <w:rPr>
          <w:spacing w:val="-4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万人民币。</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月公司注册资本由</w:t>
      </w:r>
      <w:r>
        <w:rPr>
          <w:spacing w:val="-49"/>
        </w:rPr>
        <w:t> </w:t>
      </w:r>
      <w:r>
        <w:rPr>
          <w:rFonts w:ascii="Times New Roman" w:hAnsi="Times New Roman" w:cs="Times New Roman" w:eastAsia="Times New Roman" w:hint="default"/>
        </w:rPr>
        <w:t>8000</w:t>
      </w:r>
      <w:r>
        <w:rPr>
          <w:rFonts w:ascii="Times New Roman" w:hAnsi="Times New Roman" w:cs="Times New Roman" w:eastAsia="Times New Roman" w:hint="default"/>
          <w:spacing w:val="3"/>
        </w:rPr>
        <w:t> </w:t>
      </w:r>
      <w:r>
        <w:rPr/>
        <w:t>万元人民币减少至</w:t>
      </w:r>
      <w:r>
        <w:rPr>
          <w:spacing w:val="-49"/>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万元人民 </w:t>
      </w:r>
      <w:r>
        <w:rPr>
          <w:spacing w:val="-7"/>
        </w:rPr>
        <w:t>币。</w:t>
      </w:r>
      <w:r>
        <w:rPr>
          <w:rFonts w:ascii="Times New Roman" w:hAnsi="Times New Roman" w:cs="Times New Roman" w:eastAsia="Times New Roman" w:hint="default"/>
          <w:spacing w:val="-7"/>
        </w:rPr>
        <w:t>2006 </w:t>
      </w:r>
      <w:r>
        <w:rPr/>
        <w:t>年 </w:t>
      </w:r>
      <w:r>
        <w:rPr>
          <w:rFonts w:ascii="Times New Roman" w:hAnsi="Times New Roman" w:cs="Times New Roman" w:eastAsia="Times New Roman" w:hint="default"/>
        </w:rPr>
        <w:t>5 </w:t>
      </w:r>
      <w:r>
        <w:rPr/>
        <w:t>月广州无线电集团有限公司将所持有的</w:t>
      </w:r>
      <w:r>
        <w:rPr>
          <w:spacing w:val="-85"/>
        </w:rPr>
        <w:t> </w:t>
      </w:r>
      <w:r>
        <w:rPr>
          <w:rFonts w:ascii="Times New Roman" w:hAnsi="Times New Roman" w:cs="Times New Roman" w:eastAsia="Times New Roman" w:hint="default"/>
          <w:spacing w:val="-3"/>
        </w:rPr>
        <w:t>25%</w:t>
      </w:r>
      <w:r>
        <w:rPr>
          <w:spacing w:val="-3"/>
        </w:rPr>
        <w:t>的股权转让给本公司，股权转让后本公</w:t>
      </w:r>
      <w:r>
        <w:rPr/>
        <w:t> 司持有该公司</w:t>
      </w:r>
      <w:r>
        <w:rPr>
          <w:spacing w:val="-51"/>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月本公司增资</w:t>
      </w:r>
      <w:r>
        <w:rPr>
          <w:spacing w:val="-51"/>
        </w:rPr>
        <w:t> </w:t>
      </w:r>
      <w:r>
        <w:rPr>
          <w:rFonts w:ascii="Times New Roman" w:hAnsi="Times New Roman" w:cs="Times New Roman" w:eastAsia="Times New Roman" w:hint="default"/>
        </w:rPr>
        <w:t>5,527.14</w:t>
      </w:r>
      <w:r>
        <w:rPr>
          <w:rFonts w:ascii="Times New Roman" w:hAnsi="Times New Roman" w:cs="Times New Roman" w:eastAsia="Times New Roman" w:hint="default"/>
          <w:spacing w:val="1"/>
        </w:rPr>
        <w:t> </w:t>
      </w:r>
      <w:r>
        <w:rPr/>
        <w:t>万元，其中</w:t>
      </w:r>
      <w:r>
        <w:rPr>
          <w:spacing w:val="-51"/>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2"/>
        </w:rPr>
        <w:t> </w:t>
      </w:r>
      <w:r>
        <w:rPr/>
        <w:t>万元用于增加实</w:t>
      </w:r>
    </w:p>
    <w:p>
      <w:pPr>
        <w:pStyle w:val="BodyText"/>
        <w:spacing w:line="350" w:lineRule="auto" w:before="22"/>
        <w:ind w:left="680" w:right="988"/>
        <w:jc w:val="both"/>
      </w:pPr>
      <w:r>
        <w:rPr>
          <w:spacing w:val="-21"/>
        </w:rPr>
        <w:t>收资本，于</w:t>
      </w:r>
      <w:r>
        <w:rPr>
          <w:spacing w:val="-59"/>
        </w:rPr>
        <w:t> </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6"/>
        </w:rPr>
        <w:t> </w:t>
      </w:r>
      <w:r>
        <w:rPr>
          <w:spacing w:val="-5"/>
        </w:rPr>
        <w:t>日办理了工商变更登记，取得深圳市工商行政管理局</w:t>
      </w:r>
      <w:r>
        <w:rPr>
          <w:spacing w:val="-59"/>
        </w:rPr>
        <w:t> </w:t>
      </w:r>
      <w:r>
        <w:rPr>
          <w:rFonts w:ascii="Times New Roman" w:hAnsi="Times New Roman" w:cs="Times New Roman" w:eastAsia="Times New Roman" w:hint="default"/>
          <w:spacing w:val="-1"/>
        </w:rPr>
        <w:t>440301102895058</w:t>
      </w:r>
      <w:r>
        <w:rPr>
          <w:rFonts w:ascii="Times New Roman" w:hAnsi="Times New Roman" w:cs="Times New Roman" w:eastAsia="Times New Roman" w:hint="default"/>
        </w:rPr>
        <w:t> </w:t>
      </w:r>
      <w:r>
        <w:rPr>
          <w:spacing w:val="-1"/>
        </w:rPr>
        <w:t>号企业法人营业执照。经营范围：研发、生产经营金融电子设备；计算机软件开发，计算机系统</w:t>
      </w:r>
      <w:r>
        <w:rPr>
          <w:spacing w:val="-73"/>
        </w:rPr>
        <w:t> </w:t>
      </w:r>
      <w:r>
        <w:rPr>
          <w:spacing w:val="-73"/>
        </w:rPr>
      </w:r>
      <w:r>
        <w:rPr>
          <w:spacing w:val="-1"/>
        </w:rPr>
        <w:t>集成，计算机设备、金融电子设备、办公设备、税控设备的技术开发、技术咨询、技术服务及租</w:t>
      </w:r>
      <w:r>
        <w:rPr>
          <w:spacing w:val="-75"/>
        </w:rPr>
        <w:t> </w:t>
      </w:r>
      <w:r>
        <w:rPr>
          <w:spacing w:val="-75"/>
        </w:rPr>
      </w:r>
      <w:r>
        <w:rPr/>
        <w:t>赁；货物及技术进出口；接受合法委托对现金及有价证券提供清分处理服务。</w:t>
      </w:r>
    </w:p>
    <w:p>
      <w:pPr>
        <w:pStyle w:val="BodyText"/>
        <w:spacing w:line="240" w:lineRule="auto" w:before="38"/>
        <w:ind w:left="1073" w:right="966"/>
        <w:jc w:val="center"/>
      </w:pPr>
      <w:r>
        <w:rPr/>
        <w:t>注</w:t>
      </w:r>
      <w:r>
        <w:rPr>
          <w:spacing w:val="-55"/>
        </w:rPr>
        <w:t> </w:t>
      </w:r>
      <w:r>
        <w:rPr>
          <w:rFonts w:ascii="Times New Roman" w:hAnsi="Times New Roman" w:cs="Times New Roman" w:eastAsia="Times New Roman" w:hint="default"/>
        </w:rPr>
        <w:t>2</w:t>
      </w:r>
      <w:r>
        <w:rPr/>
        <w:t>：广州穗通金融服务有限公司于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日成立，注册资本为</w:t>
      </w:r>
      <w:r>
        <w:rPr>
          <w:spacing w:val="-5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万元，其中</w:t>
      </w:r>
    </w:p>
    <w:p>
      <w:pPr>
        <w:pStyle w:val="BodyText"/>
        <w:spacing w:line="338" w:lineRule="auto" w:before="117"/>
        <w:ind w:left="679" w:right="987"/>
        <w:jc w:val="both"/>
      </w:pPr>
      <w:r>
        <w:rPr/>
        <w:t>本公司出资</w:t>
      </w:r>
      <w:r>
        <w:rPr>
          <w:spacing w:val="-56"/>
        </w:rPr>
        <w:t> </w:t>
      </w:r>
      <w:r>
        <w:rPr>
          <w:rFonts w:ascii="Times New Roman" w:hAnsi="Times New Roman" w:cs="Times New Roman" w:eastAsia="Times New Roman" w:hint="default"/>
        </w:rPr>
        <w:t>1,530</w:t>
      </w:r>
      <w:r>
        <w:rPr>
          <w:rFonts w:ascii="Times New Roman" w:hAnsi="Times New Roman" w:cs="Times New Roman" w:eastAsia="Times New Roman" w:hint="default"/>
          <w:spacing w:val="-3"/>
        </w:rPr>
        <w:t> </w:t>
      </w:r>
      <w:r>
        <w:rPr/>
        <w:t>万元，占</w:t>
      </w:r>
      <w:r>
        <w:rPr>
          <w:spacing w:val="-56"/>
        </w:rPr>
        <w:t> </w:t>
      </w:r>
      <w:r>
        <w:rPr>
          <w:rFonts w:ascii="Times New Roman" w:hAnsi="Times New Roman" w:cs="Times New Roman" w:eastAsia="Times New Roman" w:hint="default"/>
        </w:rPr>
        <w:t>51</w:t>
      </w:r>
      <w:r>
        <w:rPr/>
        <w:t>％股权；广州汇卓出资</w:t>
      </w:r>
      <w:r>
        <w:rPr>
          <w:spacing w:val="-56"/>
        </w:rPr>
        <w:t> </w:t>
      </w:r>
      <w:r>
        <w:rPr>
          <w:rFonts w:ascii="Times New Roman" w:hAnsi="Times New Roman" w:cs="Times New Roman" w:eastAsia="Times New Roman" w:hint="default"/>
        </w:rPr>
        <w:t>870</w:t>
      </w:r>
      <w:r>
        <w:rPr>
          <w:rFonts w:ascii="Times New Roman" w:hAnsi="Times New Roman" w:cs="Times New Roman" w:eastAsia="Times New Roman" w:hint="default"/>
          <w:spacing w:val="-3"/>
        </w:rPr>
        <w:t> </w:t>
      </w:r>
      <w:r>
        <w:rPr/>
        <w:t>万元，占</w:t>
      </w:r>
      <w:r>
        <w:rPr>
          <w:spacing w:val="-56"/>
        </w:rPr>
        <w:t> </w:t>
      </w:r>
      <w:r>
        <w:rPr>
          <w:rFonts w:ascii="Times New Roman" w:hAnsi="Times New Roman" w:cs="Times New Roman" w:eastAsia="Times New Roman" w:hint="default"/>
        </w:rPr>
        <w:t>29</w:t>
      </w:r>
      <w:r>
        <w:rPr/>
        <w:t>％股权；广州东亚出资</w:t>
      </w:r>
      <w:r>
        <w:rPr>
          <w:spacing w:val="-56"/>
        </w:rPr>
        <w:t> </w:t>
      </w:r>
      <w:r>
        <w:rPr>
          <w:rFonts w:ascii="Times New Roman" w:hAnsi="Times New Roman" w:cs="Times New Roman" w:eastAsia="Times New Roman" w:hint="default"/>
        </w:rPr>
        <w:t>360 </w:t>
      </w:r>
      <w:r>
        <w:rPr/>
        <w:t>万元，占</w:t>
      </w:r>
      <w:r>
        <w:rPr>
          <w:spacing w:val="-57"/>
        </w:rPr>
        <w:t> </w:t>
      </w:r>
      <w:r>
        <w:rPr>
          <w:rFonts w:ascii="Times New Roman" w:hAnsi="Times New Roman" w:cs="Times New Roman" w:eastAsia="Times New Roman" w:hint="default"/>
        </w:rPr>
        <w:t>12</w:t>
      </w:r>
      <w:r>
        <w:rPr/>
        <w:t>％股权；广州穗保出资</w:t>
      </w:r>
      <w:r>
        <w:rPr>
          <w:spacing w:val="-57"/>
        </w:rPr>
        <w:t> </w:t>
      </w:r>
      <w:r>
        <w:rPr>
          <w:rFonts w:ascii="Times New Roman" w:hAnsi="Times New Roman" w:cs="Times New Roman" w:eastAsia="Times New Roman" w:hint="default"/>
        </w:rPr>
        <w:t>240</w:t>
      </w:r>
      <w:r>
        <w:rPr>
          <w:rFonts w:ascii="Times New Roman" w:hAnsi="Times New Roman" w:cs="Times New Roman" w:eastAsia="Times New Roman" w:hint="default"/>
          <w:spacing w:val="-4"/>
        </w:rPr>
        <w:t> </w:t>
      </w:r>
      <w:r>
        <w:rPr/>
        <w:t>万元，占</w:t>
      </w:r>
      <w:r>
        <w:rPr>
          <w:spacing w:val="-58"/>
        </w:rPr>
        <w:t> </w:t>
      </w:r>
      <w:r>
        <w:rPr>
          <w:rFonts w:ascii="Times New Roman" w:hAnsi="Times New Roman" w:cs="Times New Roman" w:eastAsia="Times New Roman" w:hint="default"/>
        </w:rPr>
        <w:t>8</w:t>
      </w:r>
      <w:r>
        <w:rPr/>
        <w:t>％股权。注册地址为广州市天河区黄埔大道西 平云路</w:t>
      </w:r>
      <w:r>
        <w:rPr>
          <w:spacing w:val="-58"/>
        </w:rPr>
        <w:t> </w:t>
      </w:r>
      <w:r>
        <w:rPr>
          <w:rFonts w:ascii="Times New Roman" w:hAnsi="Times New Roman" w:cs="Times New Roman" w:eastAsia="Times New Roman" w:hint="default"/>
        </w:rPr>
        <w:t>163</w:t>
      </w:r>
      <w:r>
        <w:rPr>
          <w:rFonts w:ascii="Times New Roman" w:hAnsi="Times New Roman" w:cs="Times New Roman" w:eastAsia="Times New Roman" w:hint="default"/>
          <w:spacing w:val="-6"/>
        </w:rPr>
        <w:t> </w:t>
      </w:r>
      <w:r>
        <w:rPr/>
        <w:t>号通讯车间大楼七楼东面，法定代表人为赵友永，取得广州市工商行政管理局核发注</w:t>
      </w:r>
    </w:p>
    <w:p>
      <w:pPr>
        <w:pStyle w:val="BodyText"/>
        <w:spacing w:line="338" w:lineRule="auto" w:before="22"/>
        <w:ind w:left="680" w:right="989"/>
        <w:jc w:val="both"/>
      </w:pPr>
      <w:r>
        <w:rPr/>
        <w:t>册号为 </w:t>
      </w:r>
      <w:r>
        <w:rPr>
          <w:rFonts w:ascii="Times New Roman" w:hAnsi="Times New Roman" w:cs="Times New Roman" w:eastAsia="Times New Roman" w:hint="default"/>
          <w:spacing w:val="-3"/>
        </w:rPr>
        <w:t>4401011112159</w:t>
      </w:r>
      <w:r>
        <w:rPr>
          <w:rFonts w:ascii="Times New Roman" w:hAnsi="Times New Roman" w:cs="Times New Roman" w:eastAsia="Times New Roman" w:hint="default"/>
          <w:spacing w:val="-28"/>
        </w:rPr>
        <w:t> </w:t>
      </w:r>
      <w:r>
        <w:rPr/>
        <w:t>的企业法人营业执照，经营范围为：受银行委托对自动柜员机进行维护及 管理，对现金及有价证券提供清分处理服务。</w:t>
      </w:r>
    </w:p>
    <w:p>
      <w:pPr>
        <w:pStyle w:val="BodyText"/>
        <w:spacing w:line="240" w:lineRule="auto" w:before="47"/>
        <w:ind w:left="1087" w:right="859"/>
        <w:jc w:val="center"/>
      </w:pPr>
      <w:r>
        <w:rPr/>
        <w:t>注</w:t>
      </w:r>
      <w:r>
        <w:rPr>
          <w:spacing w:val="-54"/>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GRGBankingEquipment(HK)Co.,Limited</w:t>
      </w:r>
      <w:r>
        <w:rPr>
          <w:rFonts w:ascii="Times New Roman" w:hAnsi="Times New Roman" w:cs="Times New Roman" w:eastAsia="Times New Roman" w:hint="default"/>
          <w:spacing w:val="-3"/>
        </w:rPr>
        <w:t> </w:t>
      </w:r>
      <w:r>
        <w:rPr/>
        <w:t>成立于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日，注册资本为美元</w:t>
      </w:r>
    </w:p>
    <w:p>
      <w:pPr>
        <w:pStyle w:val="BodyText"/>
        <w:spacing w:line="240" w:lineRule="auto" w:before="118"/>
        <w:ind w:left="679" w:right="0"/>
        <w:jc w:val="both"/>
      </w:pPr>
      <w:r>
        <w:rPr>
          <w:rFonts w:ascii="Times New Roman" w:hAnsi="Times New Roman" w:cs="Times New Roman" w:eastAsia="Times New Roman" w:hint="default"/>
        </w:rPr>
        <w:t>180.00</w:t>
      </w:r>
      <w:r>
        <w:rPr>
          <w:rFonts w:ascii="Times New Roman" w:hAnsi="Times New Roman" w:cs="Times New Roman" w:eastAsia="Times New Roman" w:hint="default"/>
          <w:spacing w:val="-6"/>
        </w:rPr>
        <w:t> </w:t>
      </w:r>
      <w:r>
        <w:rPr/>
        <w:t>万元，投资总额美元</w:t>
      </w:r>
      <w:r>
        <w:rPr>
          <w:spacing w:val="-59"/>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7"/>
        </w:rPr>
        <w:t> </w:t>
      </w:r>
      <w:r>
        <w:rPr/>
        <w:t>万元。其中本公司出资美元</w:t>
      </w:r>
      <w:r>
        <w:rPr>
          <w:spacing w:val="-59"/>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7"/>
        </w:rPr>
        <w:t> </w:t>
      </w:r>
      <w:r>
        <w:rPr/>
        <w:t>万元，占</w:t>
      </w:r>
      <w:r>
        <w:rPr>
          <w:spacing w:val="-59"/>
        </w:rPr>
        <w:t> </w:t>
      </w:r>
      <w:r>
        <w:rPr>
          <w:rFonts w:ascii="Times New Roman" w:hAnsi="Times New Roman" w:cs="Times New Roman" w:eastAsia="Times New Roman" w:hint="default"/>
        </w:rPr>
        <w:t>100%</w:t>
      </w:r>
      <w:r>
        <w:rPr/>
        <w:t>股权，截至</w:t>
      </w:r>
    </w:p>
    <w:p>
      <w:pPr>
        <w:spacing w:after="0" w:line="240" w:lineRule="auto"/>
        <w:jc w:val="both"/>
        <w:sectPr>
          <w:pgSz w:w="11910" w:h="16840"/>
          <w:pgMar w:header="0" w:footer="982" w:top="1100" w:bottom="1180" w:left="1120" w:right="300"/>
        </w:sectPr>
      </w:pPr>
    </w:p>
    <w:p>
      <w:pPr>
        <w:spacing w:line="240" w:lineRule="auto" w:before="2"/>
        <w:rPr>
          <w:rFonts w:ascii="宋体" w:hAnsi="宋体" w:cs="宋体" w:eastAsia="宋体" w:hint="default"/>
          <w:sz w:val="19"/>
          <w:szCs w:val="19"/>
        </w:rPr>
      </w:pPr>
    </w:p>
    <w:p>
      <w:pPr>
        <w:pStyle w:val="BodyText"/>
        <w:spacing w:line="240" w:lineRule="auto" w:before="35"/>
        <w:ind w:right="0"/>
        <w:jc w:val="left"/>
        <w:rPr>
          <w:rFonts w:ascii="Times New Roman" w:hAnsi="Times New Roman" w:cs="Times New Roman" w:eastAsia="Times New Roman" w:hint="default"/>
        </w:rPr>
      </w:pPr>
      <w:r>
        <w:rPr/>
        <w:t>报表日止，已投资美元</w:t>
      </w:r>
      <w:r>
        <w:rPr>
          <w:spacing w:val="-48"/>
        </w:rPr>
        <w:t> </w:t>
      </w:r>
      <w:r>
        <w:rPr>
          <w:rFonts w:ascii="Times New Roman" w:hAnsi="Times New Roman" w:cs="Times New Roman" w:eastAsia="Times New Roman" w:hint="default"/>
        </w:rPr>
        <w:t>180</w:t>
      </w:r>
      <w:r>
        <w:rPr>
          <w:rFonts w:ascii="Times New Roman" w:hAnsi="Times New Roman" w:cs="Times New Roman" w:eastAsia="Times New Roman" w:hint="default"/>
          <w:spacing w:val="5"/>
        </w:rPr>
        <w:t> </w:t>
      </w:r>
      <w:r>
        <w:rPr/>
        <w:t>万元。注册地址为香港上环德辅道中</w:t>
      </w:r>
      <w:r>
        <w:rPr>
          <w:spacing w:val="-48"/>
        </w:rPr>
        <w:t> </w:t>
      </w:r>
      <w:r>
        <w:rPr>
          <w:rFonts w:ascii="Times New Roman" w:hAnsi="Times New Roman" w:cs="Times New Roman" w:eastAsia="Times New Roman" w:hint="default"/>
        </w:rPr>
        <w:t>248</w:t>
      </w:r>
      <w:r>
        <w:rPr>
          <w:rFonts w:ascii="Times New Roman" w:hAnsi="Times New Roman" w:cs="Times New Roman" w:eastAsia="Times New Roman" w:hint="default"/>
          <w:spacing w:val="5"/>
        </w:rPr>
        <w:t> </w:t>
      </w:r>
      <w:r>
        <w:rPr/>
        <w:t>号东协商业大厦</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楼</w:t>
      </w:r>
      <w:r>
        <w:rPr>
          <w:spacing w:val="-48"/>
        </w:rPr>
        <w:t> </w:t>
      </w:r>
      <w:r>
        <w:rPr>
          <w:rFonts w:ascii="Times New Roman" w:hAnsi="Times New Roman" w:cs="Times New Roman" w:eastAsia="Times New Roman" w:hint="default"/>
        </w:rPr>
        <w:t>1702</w:t>
      </w:r>
    </w:p>
    <w:p>
      <w:pPr>
        <w:pStyle w:val="BodyText"/>
        <w:spacing w:line="338" w:lineRule="auto" w:before="117"/>
        <w:ind w:right="501"/>
        <w:jc w:val="left"/>
      </w:pPr>
      <w:r>
        <w:rPr/>
        <w:t>室，取得香港公司注册处签发注册号为</w:t>
      </w:r>
      <w:r>
        <w:rPr>
          <w:spacing w:val="-43"/>
        </w:rPr>
        <w:t> </w:t>
      </w:r>
      <w:r>
        <w:rPr>
          <w:rFonts w:ascii="Times New Roman" w:hAnsi="Times New Roman" w:cs="Times New Roman" w:eastAsia="Times New Roman" w:hint="default"/>
        </w:rPr>
        <w:t>39935822-000-10-08-4</w:t>
      </w:r>
      <w:r>
        <w:rPr>
          <w:rFonts w:ascii="Times New Roman" w:hAnsi="Times New Roman" w:cs="Times New Roman" w:eastAsia="Times New Roman" w:hint="default"/>
          <w:spacing w:val="9"/>
        </w:rPr>
        <w:t> </w:t>
      </w:r>
      <w:r>
        <w:rPr/>
        <w:t>的公司注册证书，经营范围为：投 资和贸易。</w:t>
      </w:r>
    </w:p>
    <w:p>
      <w:pPr>
        <w:spacing w:line="240" w:lineRule="auto" w:before="7"/>
        <w:rPr>
          <w:rFonts w:ascii="宋体" w:hAnsi="宋体" w:cs="宋体" w:eastAsia="宋体" w:hint="default"/>
          <w:sz w:val="15"/>
          <w:szCs w:val="15"/>
        </w:rPr>
      </w:pPr>
    </w:p>
    <w:p>
      <w:pPr>
        <w:pStyle w:val="Heading4"/>
        <w:tabs>
          <w:tab w:pos="1399" w:val="left" w:leader="none"/>
        </w:tabs>
        <w:spacing w:line="240" w:lineRule="auto" w:before="0"/>
        <w:ind w:right="4777"/>
        <w:jc w:val="left"/>
        <w:rPr>
          <w:b w:val="0"/>
          <w:bCs w:val="0"/>
        </w:rPr>
      </w:pPr>
      <w:r>
        <w:rPr>
          <w:rFonts w:ascii="Times New Roman" w:hAnsi="Times New Roman" w:cs="Times New Roman" w:eastAsia="Times New Roman" w:hint="default"/>
          <w:w w:val="95"/>
        </w:rPr>
        <w:t>(</w:t>
      </w:r>
      <w:r>
        <w:rPr>
          <w:w w:val="95"/>
        </w:rPr>
        <w:t>四</w:t>
      </w:r>
      <w:r>
        <w:rPr>
          <w:rFonts w:ascii="Times New Roman" w:hAnsi="Times New Roman" w:cs="Times New Roman" w:eastAsia="Times New Roman" w:hint="default"/>
          <w:w w:val="95"/>
        </w:rPr>
        <w:t>)</w:t>
        <w:tab/>
      </w:r>
      <w:r>
        <w:rPr/>
        <w:t>营业收入和营业成本</w:t>
      </w:r>
      <w:r>
        <w:rPr>
          <w:b w:val="0"/>
          <w:bCs w:val="0"/>
        </w:rPr>
      </w:r>
    </w:p>
    <w:p>
      <w:pPr>
        <w:spacing w:before="118"/>
        <w:ind w:left="675"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3185"/>
        <w:gridCol w:w="2520"/>
        <w:gridCol w:w="2520"/>
      </w:tblGrid>
      <w:tr>
        <w:trPr>
          <w:trHeight w:val="380" w:hRule="exact"/>
        </w:trPr>
        <w:tc>
          <w:tcPr>
            <w:tcW w:w="3185"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83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83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3"/>
              <w:jc w:val="right"/>
              <w:rPr>
                <w:rFonts w:ascii="Times New Roman" w:hAnsi="Times New Roman" w:cs="Times New Roman" w:eastAsia="Times New Roman" w:hint="default"/>
                <w:sz w:val="21"/>
                <w:szCs w:val="21"/>
              </w:rPr>
            </w:pPr>
            <w:r>
              <w:rPr>
                <w:rFonts w:ascii="Times New Roman"/>
                <w:spacing w:val="-1"/>
                <w:sz w:val="21"/>
              </w:rPr>
              <w:t>1,628,050,268.18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1,404,528,606.36</w:t>
            </w:r>
          </w:p>
        </w:tc>
      </w:tr>
      <w:tr>
        <w:trPr>
          <w:trHeight w:val="371" w:hRule="exact"/>
        </w:trPr>
        <w:tc>
          <w:tcPr>
            <w:tcW w:w="31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31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829,811,777.02</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816,665,201.89</w:t>
            </w:r>
          </w:p>
        </w:tc>
      </w:tr>
    </w:tbl>
    <w:p>
      <w:pPr>
        <w:spacing w:line="240" w:lineRule="auto" w:before="8"/>
        <w:rPr>
          <w:rFonts w:ascii="宋体" w:hAnsi="宋体" w:cs="宋体" w:eastAsia="宋体" w:hint="default"/>
          <w:b/>
          <w:bCs/>
          <w:sz w:val="6"/>
          <w:szCs w:val="6"/>
        </w:rPr>
      </w:pPr>
    </w:p>
    <w:p>
      <w:pPr>
        <w:spacing w:before="35"/>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745"/>
        <w:gridCol w:w="1800"/>
        <w:gridCol w:w="1576"/>
        <w:gridCol w:w="1811"/>
        <w:gridCol w:w="1574"/>
      </w:tblGrid>
      <w:tr>
        <w:trPr>
          <w:trHeight w:val="380" w:hRule="exact"/>
        </w:trPr>
        <w:tc>
          <w:tcPr>
            <w:tcW w:w="174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37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1745" w:type="dxa"/>
            <w:vMerge/>
            <w:tcBorders>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）制造业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1,563,133,256.31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791,625,763.00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1,369,176,365.52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796,683,796.53</w:t>
            </w:r>
          </w:p>
        </w:tc>
      </w:tr>
      <w:tr>
        <w:trPr>
          <w:trHeight w:val="371"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）材料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61,221,518.73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38,186,014.02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34,014,342.94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19,981,405.36</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）营运收入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）服务费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3,695,493.14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1,337,897.90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1" w:hRule="exact"/>
        </w:trPr>
        <w:tc>
          <w:tcPr>
            <w:tcW w:w="1745" w:type="dxa"/>
            <w:tcBorders>
              <w:top w:val="single" w:sz="4" w:space="0" w:color="000000"/>
              <w:left w:val="nil" w:sz="6" w:space="0" w:color="auto"/>
              <w:bottom w:val="single" w:sz="12" w:space="0" w:color="000000"/>
              <w:right w:val="single" w:sz="4" w:space="0" w:color="000000"/>
            </w:tcBorders>
          </w:tcPr>
          <w:p>
            <w:pPr>
              <w:pStyle w:val="TableParagraph"/>
              <w:tabs>
                <w:tab w:pos="985" w:val="left" w:leader="none"/>
              </w:tabs>
              <w:spacing w:line="240" w:lineRule="auto" w:before="53"/>
              <w:ind w:left="5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1,628,050,268.18</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829,811,777.02</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1,404,528,606.36</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816,665,201.89</w:t>
            </w:r>
          </w:p>
        </w:tc>
      </w:tr>
    </w:tbl>
    <w:p>
      <w:pPr>
        <w:spacing w:line="240" w:lineRule="auto" w:before="8"/>
        <w:rPr>
          <w:rFonts w:ascii="宋体" w:hAnsi="宋体" w:cs="宋体" w:eastAsia="宋体" w:hint="default"/>
          <w:b/>
          <w:bCs/>
          <w:sz w:val="6"/>
          <w:szCs w:val="6"/>
        </w:rPr>
      </w:pPr>
    </w:p>
    <w:p>
      <w:pPr>
        <w:spacing w:before="35"/>
        <w:ind w:left="682"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745"/>
        <w:gridCol w:w="1811"/>
        <w:gridCol w:w="1576"/>
        <w:gridCol w:w="1811"/>
        <w:gridCol w:w="1574"/>
      </w:tblGrid>
      <w:tr>
        <w:trPr>
          <w:trHeight w:val="380" w:hRule="exact"/>
        </w:trPr>
        <w:tc>
          <w:tcPr>
            <w:tcW w:w="174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1745" w:type="dxa"/>
            <w:vMerge/>
            <w:tcBorders>
              <w:left w:val="nil" w:sz="6" w:space="0" w:color="auto"/>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1"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1,499,108,413.27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749,700,192.32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1,322,880,876.56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766,723,952.08</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AFC</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64,024,843.04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41,925,570.68</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46,295,488.96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29,959,844.45</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）材料</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61,221,518.73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38,186,014.02</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34,014,342.94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19,981,405.36</w:t>
            </w:r>
          </w:p>
        </w:tc>
      </w:tr>
      <w:tr>
        <w:trPr>
          <w:trHeight w:val="371"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）营运收入</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ATM</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服务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3,695,493.14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0.00</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1,337,897.90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0" w:hRule="exact"/>
        </w:trPr>
        <w:tc>
          <w:tcPr>
            <w:tcW w:w="1745" w:type="dxa"/>
            <w:tcBorders>
              <w:top w:val="single" w:sz="4" w:space="0" w:color="000000"/>
              <w:left w:val="nil" w:sz="6" w:space="0" w:color="auto"/>
              <w:bottom w:val="single" w:sz="12" w:space="0" w:color="000000"/>
              <w:right w:val="single" w:sz="4" w:space="0" w:color="000000"/>
            </w:tcBorders>
          </w:tcPr>
          <w:p>
            <w:pPr>
              <w:pStyle w:val="TableParagraph"/>
              <w:tabs>
                <w:tab w:pos="985" w:val="left" w:leader="none"/>
              </w:tabs>
              <w:spacing w:line="240" w:lineRule="auto" w:before="53"/>
              <w:ind w:left="5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1,628,050,268.18</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829,811,777.02</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1,404,528,606.36</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816,665,201.89</w:t>
            </w:r>
          </w:p>
        </w:tc>
      </w:tr>
    </w:tbl>
    <w:p>
      <w:pPr>
        <w:spacing w:line="240" w:lineRule="auto" w:before="8"/>
        <w:rPr>
          <w:rFonts w:ascii="宋体" w:hAnsi="宋体" w:cs="宋体" w:eastAsia="宋体" w:hint="default"/>
          <w:b/>
          <w:bCs/>
          <w:sz w:val="6"/>
          <w:szCs w:val="6"/>
        </w:rPr>
      </w:pPr>
    </w:p>
    <w:p>
      <w:pPr>
        <w:spacing w:before="35"/>
        <w:ind w:left="677" w:right="47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720" w:type="dxa"/>
        <w:tblLayout w:type="fixed"/>
        <w:tblCellMar>
          <w:top w:w="0" w:type="dxa"/>
          <w:left w:w="0" w:type="dxa"/>
          <w:bottom w:w="0" w:type="dxa"/>
          <w:right w:w="0" w:type="dxa"/>
        </w:tblCellMar>
        <w:tblLook w:val="01E0"/>
      </w:tblPr>
      <w:tblGrid>
        <w:gridCol w:w="1745"/>
        <w:gridCol w:w="1811"/>
        <w:gridCol w:w="1576"/>
        <w:gridCol w:w="1811"/>
        <w:gridCol w:w="1643"/>
      </w:tblGrid>
      <w:tr>
        <w:trPr>
          <w:trHeight w:val="380" w:hRule="exact"/>
        </w:trPr>
        <w:tc>
          <w:tcPr>
            <w:tcW w:w="1745"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45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45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1745" w:type="dxa"/>
            <w:vMerge/>
            <w:tcBorders>
              <w:left w:val="nil" w:sz="6" w:space="0" w:color="auto"/>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96"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0"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国内地区</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1,517,481,516.23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750,318,783.63</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1,298,969,512.04</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727,569,095.76</w:t>
            </w:r>
          </w:p>
        </w:tc>
      </w:tr>
      <w:tr>
        <w:trPr>
          <w:trHeight w:val="371" w:hRule="exact"/>
        </w:trPr>
        <w:tc>
          <w:tcPr>
            <w:tcW w:w="1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国外地区</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110,568,751.95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79,492,993.39</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105,559,094.32</w:t>
            </w:r>
          </w:p>
        </w:tc>
        <w:tc>
          <w:tcPr>
            <w:tcW w:w="1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89,096,106.13</w:t>
            </w:r>
          </w:p>
        </w:tc>
      </w:tr>
      <w:tr>
        <w:trPr>
          <w:trHeight w:val="380" w:hRule="exact"/>
        </w:trPr>
        <w:tc>
          <w:tcPr>
            <w:tcW w:w="1745" w:type="dxa"/>
            <w:tcBorders>
              <w:top w:val="single" w:sz="4" w:space="0" w:color="000000"/>
              <w:left w:val="nil" w:sz="6" w:space="0" w:color="auto"/>
              <w:bottom w:val="single" w:sz="12" w:space="0" w:color="000000"/>
              <w:right w:val="single" w:sz="4" w:space="0" w:color="000000"/>
            </w:tcBorders>
          </w:tcPr>
          <w:p>
            <w:pPr>
              <w:pStyle w:val="TableParagraph"/>
              <w:tabs>
                <w:tab w:pos="985" w:val="left" w:leader="none"/>
              </w:tabs>
              <w:spacing w:line="240" w:lineRule="auto" w:before="53"/>
              <w:ind w:left="56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1,628,050,268.18</w:t>
            </w:r>
          </w:p>
        </w:tc>
        <w:tc>
          <w:tcPr>
            <w:tcW w:w="1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829,811,777.02</w:t>
            </w:r>
          </w:p>
        </w:tc>
        <w:tc>
          <w:tcPr>
            <w:tcW w:w="1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1,404,528,606.36</w:t>
            </w:r>
          </w:p>
        </w:tc>
        <w:tc>
          <w:tcPr>
            <w:tcW w:w="16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816,665,201.89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1660" w:right="780"/>
        </w:sectPr>
      </w:pPr>
    </w:p>
    <w:p>
      <w:pPr>
        <w:spacing w:line="240" w:lineRule="auto" w:before="0"/>
        <w:rPr>
          <w:rFonts w:ascii="宋体" w:hAnsi="宋体" w:cs="宋体" w:eastAsia="宋体" w:hint="default"/>
          <w:b/>
          <w:bCs/>
          <w:sz w:val="20"/>
          <w:szCs w:val="20"/>
        </w:rPr>
      </w:pPr>
    </w:p>
    <w:p>
      <w:pPr>
        <w:spacing w:before="180"/>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570" w:type="dxa"/>
        <w:tblLayout w:type="fixed"/>
        <w:tblCellMar>
          <w:top w:w="0" w:type="dxa"/>
          <w:left w:w="0" w:type="dxa"/>
          <w:bottom w:w="0" w:type="dxa"/>
          <w:right w:w="0" w:type="dxa"/>
        </w:tblCellMar>
        <w:tblLook w:val="01E0"/>
      </w:tblPr>
      <w:tblGrid>
        <w:gridCol w:w="3941"/>
        <w:gridCol w:w="1700"/>
        <w:gridCol w:w="3077"/>
      </w:tblGrid>
      <w:tr>
        <w:trPr>
          <w:trHeight w:val="380" w:hRule="exact"/>
        </w:trPr>
        <w:tc>
          <w:tcPr>
            <w:tcW w:w="394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1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0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371" w:hRule="exact"/>
        </w:trPr>
        <w:tc>
          <w:tcPr>
            <w:tcW w:w="3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542,833,880.97</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3"/>
              <w:jc w:val="center"/>
              <w:rPr>
                <w:rFonts w:ascii="Times New Roman" w:hAnsi="Times New Roman" w:cs="Times New Roman" w:eastAsia="Times New Roman" w:hint="default"/>
                <w:sz w:val="21"/>
                <w:szCs w:val="21"/>
              </w:rPr>
            </w:pPr>
            <w:r>
              <w:rPr>
                <w:rFonts w:ascii="Times New Roman"/>
                <w:sz w:val="21"/>
              </w:rPr>
              <w:t>33.34</w:t>
            </w:r>
          </w:p>
        </w:tc>
      </w:tr>
      <w:tr>
        <w:trPr>
          <w:trHeight w:val="370" w:hRule="exact"/>
        </w:trPr>
        <w:tc>
          <w:tcPr>
            <w:tcW w:w="3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194,123,514.40</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5"/>
              <w:jc w:val="center"/>
              <w:rPr>
                <w:rFonts w:ascii="Times New Roman" w:hAnsi="Times New Roman" w:cs="Times New Roman" w:eastAsia="Times New Roman" w:hint="default"/>
                <w:sz w:val="21"/>
                <w:szCs w:val="21"/>
              </w:rPr>
            </w:pPr>
            <w:r>
              <w:rPr>
                <w:rFonts w:ascii="Times New Roman"/>
                <w:sz w:val="21"/>
              </w:rPr>
              <w:t>11.92</w:t>
            </w:r>
          </w:p>
        </w:tc>
      </w:tr>
      <w:tr>
        <w:trPr>
          <w:trHeight w:val="370" w:hRule="exact"/>
        </w:trPr>
        <w:tc>
          <w:tcPr>
            <w:tcW w:w="3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交通银行股份有限公司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122,381,265.09</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21"/>
                <w:szCs w:val="21"/>
              </w:rPr>
            </w:pPr>
            <w:r>
              <w:rPr>
                <w:rFonts w:ascii="Times New Roman"/>
                <w:sz w:val="21"/>
              </w:rPr>
              <w:t>7.52</w:t>
            </w:r>
          </w:p>
        </w:tc>
      </w:tr>
      <w:tr>
        <w:trPr>
          <w:trHeight w:val="371" w:hRule="exact"/>
        </w:trPr>
        <w:tc>
          <w:tcPr>
            <w:tcW w:w="39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Times New Roman" w:hAnsi="Times New Roman" w:cs="Times New Roman" w:eastAsia="Times New Roman" w:hint="default"/>
                <w:sz w:val="21"/>
                <w:szCs w:val="21"/>
              </w:rPr>
            </w:pPr>
            <w:r>
              <w:rPr>
                <w:rFonts w:ascii="Times New Roman"/>
                <w:sz w:val="21"/>
              </w:rPr>
              <w:t>GRG Banking Equipment(HK)</w:t>
            </w:r>
            <w:r>
              <w:rPr>
                <w:rFonts w:ascii="Times New Roman"/>
                <w:spacing w:val="-16"/>
                <w:sz w:val="21"/>
              </w:rPr>
              <w:t> </w:t>
            </w:r>
            <w:r>
              <w:rPr>
                <w:rFonts w:ascii="Times New Roman"/>
                <w:sz w:val="21"/>
              </w:rPr>
              <w:t>Co.,Limited</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pacing w:val="-1"/>
                <w:sz w:val="21"/>
              </w:rPr>
              <w:t>70,735,801.38</w:t>
            </w:r>
          </w:p>
        </w:tc>
        <w:tc>
          <w:tcPr>
            <w:tcW w:w="30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1"/>
                <w:szCs w:val="21"/>
              </w:rPr>
            </w:pPr>
            <w:r>
              <w:rPr>
                <w:rFonts w:ascii="Times New Roman"/>
                <w:sz w:val="21"/>
              </w:rPr>
              <w:t>4.34</w:t>
            </w:r>
          </w:p>
        </w:tc>
      </w:tr>
      <w:tr>
        <w:trPr>
          <w:trHeight w:val="380" w:hRule="exact"/>
        </w:trPr>
        <w:tc>
          <w:tcPr>
            <w:tcW w:w="394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中国邮政储蓄银行</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53,866,640.86</w:t>
            </w:r>
          </w:p>
        </w:tc>
        <w:tc>
          <w:tcPr>
            <w:tcW w:w="30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4"/>
              <w:jc w:val="center"/>
              <w:rPr>
                <w:rFonts w:ascii="Times New Roman" w:hAnsi="Times New Roman" w:cs="Times New Roman" w:eastAsia="Times New Roman" w:hint="default"/>
                <w:sz w:val="21"/>
                <w:szCs w:val="21"/>
              </w:rPr>
            </w:pPr>
            <w:r>
              <w:rPr>
                <w:rFonts w:ascii="Times New Roman"/>
                <w:sz w:val="21"/>
              </w:rPr>
              <w:t>3.31</w:t>
            </w:r>
          </w:p>
        </w:tc>
      </w:tr>
    </w:tbl>
    <w:p>
      <w:pPr>
        <w:spacing w:line="240" w:lineRule="auto" w:before="8"/>
        <w:rPr>
          <w:rFonts w:ascii="宋体" w:hAnsi="宋体" w:cs="宋体" w:eastAsia="宋体" w:hint="default"/>
          <w:b/>
          <w:bCs/>
          <w:sz w:val="6"/>
          <w:szCs w:val="6"/>
        </w:rPr>
      </w:pPr>
    </w:p>
    <w:p>
      <w:pPr>
        <w:tabs>
          <w:tab w:pos="1499" w:val="left" w:leader="none"/>
        </w:tabs>
        <w:spacing w:line="338" w:lineRule="auto" w:before="35"/>
        <w:ind w:left="777" w:right="7082" w:firstLine="4"/>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五</w:t>
      </w:r>
      <w:r>
        <w:rPr>
          <w:rFonts w:ascii="Times New Roman" w:hAnsi="Times New Roman" w:cs="Times New Roman" w:eastAsia="Times New Roman" w:hint="default"/>
          <w:b/>
          <w:bCs/>
          <w:w w:val="95"/>
          <w:sz w:val="21"/>
          <w:szCs w:val="21"/>
        </w:rPr>
        <w:t>)</w:t>
        <w:tab/>
      </w:r>
      <w:r>
        <w:rPr>
          <w:rFonts w:ascii="宋体" w:hAnsi="宋体" w:cs="宋体" w:eastAsia="宋体" w:hint="default"/>
          <w:b/>
          <w:bCs/>
          <w:spacing w:val="1"/>
          <w:sz w:val="21"/>
          <w:szCs w:val="21"/>
        </w:rPr>
        <w:t>投资收益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1、投资收益明细</w:t>
      </w:r>
      <w:r>
        <w:rPr>
          <w:rFonts w:ascii="宋体" w:hAnsi="宋体" w:cs="宋体" w:eastAsia="宋体" w:hint="default"/>
          <w:sz w:val="21"/>
          <w:szCs w:val="21"/>
        </w:rPr>
      </w:r>
    </w:p>
    <w:p>
      <w:pPr>
        <w:spacing w:line="240" w:lineRule="auto" w:before="3"/>
        <w:rPr>
          <w:rFonts w:ascii="宋体" w:hAnsi="宋体" w:cs="宋体" w:eastAsia="宋体" w:hint="default"/>
          <w:b/>
          <w:bCs/>
          <w:sz w:val="6"/>
          <w:szCs w:val="6"/>
        </w:rPr>
      </w:pPr>
    </w:p>
    <w:tbl>
      <w:tblPr>
        <w:tblW w:w="0" w:type="auto"/>
        <w:jc w:val="left"/>
        <w:tblInd w:w="390" w:type="dxa"/>
        <w:tblLayout w:type="fixed"/>
        <w:tblCellMar>
          <w:top w:w="0" w:type="dxa"/>
          <w:left w:w="0" w:type="dxa"/>
          <w:bottom w:w="0" w:type="dxa"/>
          <w:right w:w="0" w:type="dxa"/>
        </w:tblCellMar>
        <w:tblLook w:val="01E0"/>
      </w:tblPr>
      <w:tblGrid>
        <w:gridCol w:w="4154"/>
        <w:gridCol w:w="1620"/>
        <w:gridCol w:w="1890"/>
      </w:tblGrid>
      <w:tr>
        <w:trPr>
          <w:trHeight w:val="380" w:hRule="exact"/>
        </w:trPr>
        <w:tc>
          <w:tcPr>
            <w:tcW w:w="4154" w:type="dxa"/>
            <w:tcBorders>
              <w:top w:val="single" w:sz="12" w:space="0" w:color="000000"/>
              <w:left w:val="nil" w:sz="6" w:space="0" w:color="auto"/>
              <w:bottom w:val="single" w:sz="4"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38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51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4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27,000,000.00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1" w:hRule="exact"/>
        </w:trPr>
        <w:tc>
          <w:tcPr>
            <w:tcW w:w="4154" w:type="dxa"/>
            <w:tcBorders>
              <w:top w:val="single" w:sz="4" w:space="0" w:color="000000"/>
              <w:left w:val="nil" w:sz="6" w:space="0" w:color="auto"/>
              <w:bottom w:val="single" w:sz="12" w:space="0" w:color="000000"/>
              <w:right w:val="single" w:sz="4" w:space="0" w:color="000000"/>
            </w:tcBorders>
          </w:tcPr>
          <w:p>
            <w:pPr>
              <w:pStyle w:val="TableParagraph"/>
              <w:tabs>
                <w:tab w:pos="649"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27,000,000.00</w:t>
            </w:r>
          </w:p>
        </w:tc>
        <w:tc>
          <w:tcPr>
            <w:tcW w:w="18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8"/>
        <w:rPr>
          <w:rFonts w:ascii="宋体" w:hAnsi="宋体" w:cs="宋体" w:eastAsia="宋体" w:hint="default"/>
          <w:b/>
          <w:bCs/>
          <w:sz w:val="6"/>
          <w:szCs w:val="6"/>
        </w:rPr>
      </w:pPr>
    </w:p>
    <w:p>
      <w:pPr>
        <w:spacing w:before="35"/>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352" w:type="dxa"/>
        <w:tblLayout w:type="fixed"/>
        <w:tblCellMar>
          <w:top w:w="0" w:type="dxa"/>
          <w:left w:w="0" w:type="dxa"/>
          <w:bottom w:w="0" w:type="dxa"/>
          <w:right w:w="0" w:type="dxa"/>
        </w:tblCellMar>
        <w:tblLook w:val="01E0"/>
      </w:tblPr>
      <w:tblGrid>
        <w:gridCol w:w="3559"/>
        <w:gridCol w:w="1484"/>
        <w:gridCol w:w="1134"/>
        <w:gridCol w:w="2767"/>
      </w:tblGrid>
      <w:tr>
        <w:trPr>
          <w:trHeight w:val="380" w:hRule="exact"/>
        </w:trPr>
        <w:tc>
          <w:tcPr>
            <w:tcW w:w="35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18"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1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40"/>
              <w:jc w:val="right"/>
              <w:rPr>
                <w:rFonts w:ascii="宋体" w:hAnsi="宋体" w:cs="宋体" w:eastAsia="宋体" w:hint="default"/>
                <w:sz w:val="21"/>
                <w:szCs w:val="21"/>
              </w:rPr>
            </w:pPr>
            <w:r>
              <w:rPr>
                <w:rFonts w:ascii="宋体" w:hAnsi="宋体" w:cs="宋体" w:eastAsia="宋体" w:hint="default"/>
                <w:sz w:val="21"/>
                <w:szCs w:val="21"/>
              </w:rPr>
              <w:t>上期金额</w:t>
            </w:r>
          </w:p>
        </w:tc>
        <w:tc>
          <w:tcPr>
            <w:tcW w:w="27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80" w:hRule="exact"/>
        </w:trPr>
        <w:tc>
          <w:tcPr>
            <w:tcW w:w="35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50" w:right="0"/>
              <w:jc w:val="center"/>
              <w:rPr>
                <w:rFonts w:ascii="宋体" w:hAnsi="宋体" w:cs="宋体" w:eastAsia="宋体" w:hint="default"/>
                <w:sz w:val="21"/>
                <w:szCs w:val="21"/>
              </w:rPr>
            </w:pPr>
            <w:r>
              <w:rPr>
                <w:rFonts w:ascii="宋体" w:hAnsi="宋体" w:cs="宋体" w:eastAsia="宋体" w:hint="default"/>
                <w:sz w:val="21"/>
                <w:szCs w:val="21"/>
              </w:rPr>
              <w:t>深圳广电银通金融电子科技有限公司</w:t>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left="61" w:right="0"/>
              <w:jc w:val="center"/>
              <w:rPr>
                <w:rFonts w:ascii="Times New Roman" w:hAnsi="Times New Roman" w:cs="Times New Roman" w:eastAsia="Times New Roman" w:hint="default"/>
                <w:sz w:val="21"/>
                <w:szCs w:val="21"/>
              </w:rPr>
            </w:pPr>
            <w:r>
              <w:rPr>
                <w:rFonts w:ascii="Times New Roman"/>
                <w:sz w:val="21"/>
              </w:rPr>
              <w:t>27,000,000.00</w:t>
            </w:r>
          </w:p>
        </w:tc>
        <w:tc>
          <w:tcPr>
            <w:tcW w:w="11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27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子公司本期分配利润</w:t>
            </w:r>
          </w:p>
        </w:tc>
      </w:tr>
    </w:tbl>
    <w:p>
      <w:pPr>
        <w:spacing w:line="240" w:lineRule="auto" w:before="8"/>
        <w:rPr>
          <w:rFonts w:ascii="宋体" w:hAnsi="宋体" w:cs="宋体" w:eastAsia="宋体" w:hint="default"/>
          <w:b/>
          <w:bCs/>
          <w:sz w:val="6"/>
          <w:szCs w:val="6"/>
        </w:rPr>
      </w:pPr>
    </w:p>
    <w:p>
      <w:pPr>
        <w:tabs>
          <w:tab w:pos="1499" w:val="left" w:leader="none"/>
        </w:tabs>
        <w:spacing w:before="35"/>
        <w:ind w:left="78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六</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5284"/>
        <w:gridCol w:w="1829"/>
        <w:gridCol w:w="1830"/>
      </w:tblGrid>
      <w:tr>
        <w:trPr>
          <w:trHeight w:val="380" w:hRule="exact"/>
        </w:trPr>
        <w:tc>
          <w:tcPr>
            <w:tcW w:w="5284"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8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481,076,006.72</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362,438,300.42</w:t>
            </w: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pacing w:val="-1"/>
                <w:sz w:val="21"/>
              </w:rPr>
              <w:t>6,975,468.53</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4,574,546.83</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10,560,356.29</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4"/>
              <w:jc w:val="right"/>
              <w:rPr>
                <w:rFonts w:ascii="Times New Roman" w:hAnsi="Times New Roman" w:cs="Times New Roman" w:eastAsia="Times New Roman" w:hint="default"/>
                <w:sz w:val="21"/>
                <w:szCs w:val="21"/>
              </w:rPr>
            </w:pPr>
            <w:r>
              <w:rPr>
                <w:rFonts w:ascii="Times New Roman"/>
                <w:spacing w:val="-1"/>
                <w:sz w:val="21"/>
              </w:rPr>
              <w:t>7,043,404.86</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733,558.96</w:t>
            </w:r>
            <w:r>
              <w:rPr>
                <w:rFonts w:ascii="Times New Roman"/>
                <w:sz w:val="21"/>
              </w:rPr>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581,947.20</w:t>
            </w:r>
            <w:r>
              <w:rPr>
                <w:rFonts w:ascii="Times New Roman"/>
                <w:sz w:val="21"/>
              </w:rPr>
            </w: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691,187.16</w:t>
            </w:r>
            <w:r>
              <w:rPr>
                <w:rFonts w:ascii="Times New Roman"/>
                <w:sz w:val="21"/>
              </w:rPr>
            </w:r>
          </w:p>
        </w:tc>
      </w:tr>
      <w:tr>
        <w:trPr>
          <w:trHeight w:val="554"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w:t>
            </w:r>
          </w:p>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-101,801.63</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6"/>
              <w:jc w:val="right"/>
              <w:rPr>
                <w:rFonts w:ascii="Times New Roman" w:hAnsi="Times New Roman" w:cs="Times New Roman" w:eastAsia="Times New Roman" w:hint="default"/>
                <w:sz w:val="21"/>
                <w:szCs w:val="21"/>
              </w:rPr>
            </w:pPr>
            <w:r>
              <w:rPr>
                <w:rFonts w:ascii="Times New Roman"/>
                <w:spacing w:val="-1"/>
                <w:sz w:val="21"/>
              </w:rPr>
              <w:t>108,203.51</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4,258,625.55</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719,216.80</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-27,000,000.00</w:t>
            </w:r>
            <w:r>
              <w:rPr>
                <w:rFonts w:ascii="Times New Roman"/>
                <w:sz w:val="21"/>
              </w:rPr>
            </w: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-6,069,740.85</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-1,495,905.39</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22,108,831.01</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90,606,980.06</w:t>
            </w: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-606,925,459.07</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-60,071,162.57</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207,273,043.42</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21"/>
                <w:szCs w:val="21"/>
              </w:rPr>
            </w:pPr>
            <w:r>
              <w:rPr>
                <w:rFonts w:ascii="Times New Roman"/>
                <w:spacing w:val="-1"/>
                <w:sz w:val="21"/>
              </w:rPr>
              <w:t>-145,991,116.71</w:t>
            </w:r>
          </w:p>
        </w:tc>
      </w:tr>
      <w:tr>
        <w:trPr>
          <w:trHeight w:val="380" w:hRule="exact"/>
        </w:trPr>
        <w:tc>
          <w:tcPr>
            <w:tcW w:w="52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29" w:type="dxa"/>
            <w:tcBorders>
              <w:top w:val="single" w:sz="4" w:space="0" w:color="000000"/>
              <w:left w:val="single" w:sz="4" w:space="0" w:color="000000"/>
              <w:bottom w:val="single" w:sz="12" w:space="0" w:color="000000"/>
              <w:right w:val="single" w:sz="4" w:space="0" w:color="000000"/>
            </w:tcBorders>
          </w:tcPr>
          <w:p>
            <w:pPr/>
          </w:p>
        </w:tc>
        <w:tc>
          <w:tcPr>
            <w:tcW w:w="183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82" w:top="1100" w:bottom="1180" w:left="1560" w:right="900"/>
        </w:sectPr>
      </w:pPr>
    </w:p>
    <w:p>
      <w:pPr>
        <w:spacing w:line="240" w:lineRule="auto" w:before="6"/>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5284"/>
        <w:gridCol w:w="1829"/>
        <w:gridCol w:w="1830"/>
      </w:tblGrid>
      <w:tr>
        <w:trPr>
          <w:trHeight w:val="380" w:hRule="exact"/>
        </w:trPr>
        <w:tc>
          <w:tcPr>
            <w:tcW w:w="5284" w:type="dxa"/>
            <w:tcBorders>
              <w:top w:val="single" w:sz="12" w:space="0" w:color="000000"/>
              <w:left w:val="nil" w:sz="6" w:space="0" w:color="auto"/>
              <w:bottom w:val="single" w:sz="4" w:space="0" w:color="000000"/>
              <w:right w:val="single" w:sz="4" w:space="0" w:color="000000"/>
            </w:tcBorders>
          </w:tcPr>
          <w:p>
            <w:pPr>
              <w:pStyle w:val="TableParagraph"/>
              <w:tabs>
                <w:tab w:pos="647" w:val="left" w:leader="none"/>
              </w:tabs>
              <w:spacing w:line="240" w:lineRule="auto" w:before="5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48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92,888,888.93</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259,205,602.17</w:t>
            </w: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21"/>
                <w:szCs w:val="21"/>
              </w:rPr>
            </w:pPr>
            <w:r>
              <w:rPr>
                <w:rFonts w:ascii="Times New Roman"/>
                <w:spacing w:val="-1"/>
                <w:sz w:val="21"/>
              </w:rPr>
              <w:t>896,508,639.42</w:t>
            </w:r>
            <w:r>
              <w:rPr>
                <w:rFonts w:ascii="Times New Roman"/>
                <w:sz w:val="21"/>
              </w:rPr>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Times New Roman" w:hAnsi="Times New Roman" w:cs="Times New Roman" w:eastAsia="Times New Roman" w:hint="default"/>
                <w:sz w:val="21"/>
                <w:szCs w:val="21"/>
              </w:rPr>
            </w:pPr>
            <w:r>
              <w:rPr>
                <w:rFonts w:ascii="Times New Roman"/>
                <w:spacing w:val="-1"/>
                <w:sz w:val="21"/>
              </w:rPr>
              <w:t>1,006,649,354.65</w:t>
            </w:r>
          </w:p>
        </w:tc>
      </w:tr>
      <w:tr>
        <w:trPr>
          <w:trHeight w:val="371"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pacing w:val="-1"/>
                <w:sz w:val="21"/>
              </w:rPr>
              <w:t>1,006,649,354.65</w:t>
            </w:r>
          </w:p>
        </w:tc>
        <w:tc>
          <w:tcPr>
            <w:tcW w:w="1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893,504,579.18</w:t>
            </w: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2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nil" w:sz="6" w:space="0" w:color="auto"/>
            </w:tcBorders>
          </w:tcPr>
          <w:p>
            <w:pPr/>
          </w:p>
        </w:tc>
      </w:tr>
      <w:tr>
        <w:trPr>
          <w:trHeight w:val="381" w:hRule="exact"/>
        </w:trPr>
        <w:tc>
          <w:tcPr>
            <w:tcW w:w="528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-110,140,715.23</w:t>
            </w:r>
          </w:p>
        </w:tc>
        <w:tc>
          <w:tcPr>
            <w:tcW w:w="18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21"/>
                <w:szCs w:val="21"/>
              </w:rPr>
            </w:pPr>
            <w:r>
              <w:rPr>
                <w:rFonts w:ascii="Times New Roman"/>
                <w:spacing w:val="-1"/>
                <w:sz w:val="21"/>
              </w:rPr>
              <w:t>113,144,775.47</w:t>
            </w:r>
          </w:p>
        </w:tc>
      </w:tr>
    </w:tbl>
    <w:p>
      <w:pPr>
        <w:spacing w:line="240" w:lineRule="auto" w:before="9"/>
        <w:rPr>
          <w:rFonts w:ascii="宋体" w:hAnsi="宋体" w:cs="宋体" w:eastAsia="宋体" w:hint="default"/>
          <w:b/>
          <w:bCs/>
          <w:sz w:val="26"/>
          <w:szCs w:val="26"/>
        </w:rPr>
      </w:pPr>
    </w:p>
    <w:p>
      <w:pPr>
        <w:tabs>
          <w:tab w:pos="1919" w:val="left" w:leader="none"/>
        </w:tabs>
        <w:spacing w:before="26"/>
        <w:ind w:left="782" w:right="0" w:firstLine="0"/>
        <w:jc w:val="left"/>
        <w:rPr>
          <w:rFonts w:ascii="宋体" w:hAnsi="宋体" w:cs="宋体" w:eastAsia="宋体" w:hint="default"/>
          <w:sz w:val="24"/>
          <w:szCs w:val="24"/>
        </w:rPr>
      </w:pPr>
      <w:r>
        <w:rPr>
          <w:rFonts w:ascii="宋体" w:hAnsi="宋体" w:cs="宋体" w:eastAsia="宋体" w:hint="default"/>
          <w:b/>
          <w:bCs/>
          <w:w w:val="95"/>
          <w:sz w:val="24"/>
          <w:szCs w:val="24"/>
        </w:rPr>
        <w:t>十三、</w:t>
        <w:tab/>
      </w:r>
      <w:r>
        <w:rPr>
          <w:rFonts w:ascii="宋体" w:hAnsi="宋体" w:cs="宋体" w:eastAsia="宋体" w:hint="default"/>
          <w:b/>
          <w:bCs/>
          <w:sz w:val="24"/>
          <w:szCs w:val="24"/>
        </w:rPr>
        <w:t>补充资料</w:t>
      </w:r>
      <w:r>
        <w:rPr>
          <w:rFonts w:ascii="宋体" w:hAnsi="宋体" w:cs="宋体" w:eastAsia="宋体" w:hint="default"/>
          <w:sz w:val="24"/>
          <w:szCs w:val="24"/>
        </w:rPr>
      </w:r>
    </w:p>
    <w:p>
      <w:pPr>
        <w:spacing w:before="157"/>
        <w:ind w:left="7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210" w:type="dxa"/>
        <w:tblLayout w:type="fixed"/>
        <w:tblCellMar>
          <w:top w:w="0" w:type="dxa"/>
          <w:left w:w="0" w:type="dxa"/>
          <w:bottom w:w="0" w:type="dxa"/>
          <w:right w:w="0" w:type="dxa"/>
        </w:tblCellMar>
        <w:tblLook w:val="01E0"/>
      </w:tblPr>
      <w:tblGrid>
        <w:gridCol w:w="5038"/>
        <w:gridCol w:w="2002"/>
        <w:gridCol w:w="1903"/>
      </w:tblGrid>
      <w:tr>
        <w:trPr>
          <w:trHeight w:val="380" w:hRule="exact"/>
        </w:trPr>
        <w:tc>
          <w:tcPr>
            <w:tcW w:w="5038" w:type="dxa"/>
            <w:tcBorders>
              <w:top w:val="single" w:sz="12"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53"/>
              <w:ind w:left="1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1,442,842.10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11,095,535.06</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828"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w:t>
            </w:r>
          </w:p>
          <w:p>
            <w:pPr>
              <w:pStyle w:val="TableParagraph"/>
              <w:spacing w:line="272" w:lineRule="exact" w:before="26"/>
              <w:ind w:left="122" w:right="94"/>
              <w:jc w:val="left"/>
              <w:rPr>
                <w:rFonts w:ascii="宋体" w:hAnsi="宋体" w:cs="宋体" w:eastAsia="宋体" w:hint="default"/>
                <w:sz w:val="21"/>
                <w:szCs w:val="21"/>
              </w:rPr>
            </w:pPr>
            <w:r>
              <w:rPr>
                <w:rFonts w:ascii="宋体" w:hAnsi="宋体" w:cs="宋体" w:eastAsia="宋体" w:hint="default"/>
                <w:spacing w:val="8"/>
                <w:sz w:val="21"/>
                <w:szCs w:val="21"/>
              </w:rPr>
              <w:t>于取得投资时应享有被投资单位可辨认净资产公允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价值产生的收益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交易价格显失公允的交易产生的超过公允价值部分</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同一控制下企业合并产生的子公司期初至合并日的</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1099"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72" w:lineRule="exact" w:before="26"/>
              <w:ind w:left="122" w:right="101"/>
              <w:jc w:val="both"/>
              <w:rPr>
                <w:rFonts w:ascii="宋体" w:hAnsi="宋体" w:cs="宋体" w:eastAsia="宋体" w:hint="default"/>
                <w:sz w:val="21"/>
                <w:szCs w:val="21"/>
              </w:rPr>
            </w:pPr>
            <w:r>
              <w:rPr>
                <w:rFonts w:ascii="宋体" w:hAnsi="宋体" w:cs="宋体" w:eastAsia="宋体" w:hint="default"/>
                <w:spacing w:val="-1"/>
                <w:sz w:val="21"/>
                <w:szCs w:val="21"/>
              </w:rPr>
              <w:t>持有交易性金融资产、交易性金融负债产生的公允价</w:t>
            </w:r>
            <w:r>
              <w:rPr>
                <w:rFonts w:ascii="宋体" w:hAnsi="宋体" w:cs="宋体" w:eastAsia="宋体" w:hint="default"/>
                <w:sz w:val="21"/>
                <w:szCs w:val="21"/>
              </w:rPr>
              <w:t> </w:t>
            </w:r>
            <w:r>
              <w:rPr>
                <w:rFonts w:ascii="宋体" w:hAnsi="宋体" w:cs="宋体" w:eastAsia="宋体" w:hint="default"/>
                <w:spacing w:val="-2"/>
                <w:sz w:val="21"/>
                <w:szCs w:val="21"/>
              </w:rPr>
              <w:t>值变动损益，以及处置交易性金融资产、交易性金融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负债和可供出售金融资产取得的投资收益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50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82" w:top="1100" w:bottom="1180" w:left="1560" w:right="1040"/>
        </w:sectPr>
      </w:pPr>
    </w:p>
    <w:p>
      <w:pPr>
        <w:spacing w:line="240" w:lineRule="auto" w:before="6"/>
        <w:rPr>
          <w:rFonts w:ascii="宋体" w:hAnsi="宋体" w:cs="宋体" w:eastAsia="宋体" w:hint="default"/>
          <w:b/>
          <w:bCs/>
          <w:sz w:val="24"/>
          <w:szCs w:val="24"/>
        </w:rPr>
      </w:pPr>
    </w:p>
    <w:tbl>
      <w:tblPr>
        <w:tblW w:w="0" w:type="auto"/>
        <w:jc w:val="left"/>
        <w:tblInd w:w="110" w:type="dxa"/>
        <w:tblLayout w:type="fixed"/>
        <w:tblCellMar>
          <w:top w:w="0" w:type="dxa"/>
          <w:left w:w="0" w:type="dxa"/>
          <w:bottom w:w="0" w:type="dxa"/>
          <w:right w:w="0" w:type="dxa"/>
        </w:tblCellMar>
        <w:tblLook w:val="01E0"/>
      </w:tblPr>
      <w:tblGrid>
        <w:gridCol w:w="5038"/>
        <w:gridCol w:w="2002"/>
        <w:gridCol w:w="1903"/>
      </w:tblGrid>
      <w:tr>
        <w:trPr>
          <w:trHeight w:val="380" w:hRule="exact"/>
        </w:trPr>
        <w:tc>
          <w:tcPr>
            <w:tcW w:w="5038" w:type="dxa"/>
            <w:tcBorders>
              <w:top w:val="single" w:sz="12"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53"/>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7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采用公允价值模式进行后续计量的投资性房地产公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1"/>
                <w:szCs w:val="21"/>
              </w:rPr>
            </w:pPr>
            <w:r>
              <w:rPr>
                <w:rFonts w:ascii="Times New Roman"/>
                <w:spacing w:val="-1"/>
                <w:sz w:val="21"/>
              </w:rPr>
              <w:t>540,781.18</w:t>
            </w:r>
            <w:r>
              <w:rPr>
                <w:rFonts w:ascii="Times New Roman"/>
                <w:sz w:val="21"/>
              </w:rPr>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-1,817,257.36</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50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-4,411.91</w:t>
            </w:r>
          </w:p>
        </w:tc>
        <w:tc>
          <w:tcPr>
            <w:tcW w:w="1903" w:type="dxa"/>
            <w:tcBorders>
              <w:top w:val="single" w:sz="4" w:space="0" w:color="000000"/>
              <w:left w:val="single" w:sz="4" w:space="0" w:color="000000"/>
              <w:bottom w:val="single" w:sz="4" w:space="0" w:color="000000"/>
              <w:right w:val="nil" w:sz="6" w:space="0" w:color="auto"/>
            </w:tcBorders>
          </w:tcPr>
          <w:p>
            <w:pPr/>
          </w:p>
        </w:tc>
      </w:tr>
      <w:tr>
        <w:trPr>
          <w:trHeight w:val="381" w:hRule="exact"/>
        </w:trPr>
        <w:tc>
          <w:tcPr>
            <w:tcW w:w="5038" w:type="dxa"/>
            <w:tcBorders>
              <w:top w:val="single" w:sz="4" w:space="0" w:color="000000"/>
              <w:left w:val="nil" w:sz="6" w:space="0" w:color="auto"/>
              <w:bottom w:val="single" w:sz="12" w:space="0" w:color="000000"/>
              <w:right w:val="single" w:sz="4" w:space="0" w:color="000000"/>
            </w:tcBorders>
          </w:tcPr>
          <w:p>
            <w:pPr>
              <w:pStyle w:val="TableParagraph"/>
              <w:tabs>
                <w:tab w:pos="440" w:val="left" w:leader="none"/>
              </w:tabs>
              <w:spacing w:line="240" w:lineRule="auto" w:before="53"/>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11,257,489.07</w:t>
            </w:r>
          </w:p>
        </w:tc>
        <w:tc>
          <w:tcPr>
            <w:tcW w:w="190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tabs>
          <w:tab w:pos="1399" w:val="left" w:leader="none"/>
        </w:tabs>
        <w:spacing w:before="35"/>
        <w:ind w:left="682" w:right="4777"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3182"/>
        <w:gridCol w:w="1800"/>
        <w:gridCol w:w="1710"/>
        <w:gridCol w:w="1710"/>
      </w:tblGrid>
      <w:tr>
        <w:trPr>
          <w:trHeight w:val="380" w:hRule="exact"/>
        </w:trPr>
        <w:tc>
          <w:tcPr>
            <w:tcW w:w="318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72"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00" w:type="dxa"/>
            <w:vMerge w:val="restart"/>
            <w:tcBorders>
              <w:top w:val="single" w:sz="12" w:space="0" w:color="000000"/>
              <w:left w:val="single" w:sz="4" w:space="0" w:color="000000"/>
              <w:right w:val="single" w:sz="4" w:space="0" w:color="000000"/>
            </w:tcBorders>
          </w:tcPr>
          <w:p>
            <w:pPr>
              <w:pStyle w:val="TableParagraph"/>
              <w:spacing w:line="314" w:lineRule="auto" w:before="53"/>
              <w:ind w:left="282" w:right="158" w:hanging="123"/>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42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1" w:hRule="exact"/>
        </w:trPr>
        <w:tc>
          <w:tcPr>
            <w:tcW w:w="3182" w:type="dxa"/>
            <w:vMerge/>
            <w:tcBorders>
              <w:left w:val="nil" w:sz="6" w:space="0" w:color="auto"/>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22"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57" w:right="0"/>
              <w:jc w:val="left"/>
              <w:rPr>
                <w:rFonts w:ascii="Times New Roman" w:hAnsi="Times New Roman" w:cs="Times New Roman" w:eastAsia="Times New Roman" w:hint="default"/>
                <w:sz w:val="21"/>
                <w:szCs w:val="21"/>
              </w:rPr>
            </w:pPr>
            <w:r>
              <w:rPr>
                <w:rFonts w:ascii="Times New Roman"/>
                <w:sz w:val="21"/>
              </w:rPr>
              <w:t>26.13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1.39</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1.39</w:t>
            </w:r>
          </w:p>
        </w:tc>
      </w:tr>
      <w:tr>
        <w:trPr>
          <w:trHeight w:val="644" w:hRule="exact"/>
        </w:trPr>
        <w:tc>
          <w:tcPr>
            <w:tcW w:w="3182"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25.51</w:t>
            </w: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w:t>
            </w:r>
          </w:p>
        </w:tc>
        <w:tc>
          <w:tcPr>
            <w:tcW w:w="17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1.36</w:t>
            </w:r>
          </w:p>
        </w:tc>
      </w:tr>
    </w:tbl>
    <w:p>
      <w:pPr>
        <w:spacing w:line="240" w:lineRule="auto" w:before="8"/>
        <w:rPr>
          <w:rFonts w:ascii="宋体" w:hAnsi="宋体" w:cs="宋体" w:eastAsia="宋体" w:hint="default"/>
          <w:b/>
          <w:bCs/>
          <w:sz w:val="6"/>
          <w:szCs w:val="6"/>
        </w:rPr>
      </w:pPr>
    </w:p>
    <w:p>
      <w:pPr>
        <w:tabs>
          <w:tab w:pos="1399" w:val="left" w:leader="none"/>
        </w:tabs>
        <w:spacing w:before="35"/>
        <w:ind w:left="682"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w:t>
      </w:r>
      <w:r>
        <w:rPr>
          <w:rFonts w:ascii="宋体" w:hAnsi="宋体" w:cs="宋体" w:eastAsia="宋体" w:hint="default"/>
          <w:b/>
          <w:bCs/>
          <w:w w:val="95"/>
          <w:sz w:val="21"/>
          <w:szCs w:val="21"/>
        </w:rPr>
        <w:t>三</w:t>
      </w:r>
      <w:r>
        <w:rPr>
          <w:rFonts w:ascii="Times New Roman" w:hAnsi="Times New Roman" w:cs="Times New Roman" w:eastAsia="Times New Roman" w:hint="default"/>
          <w:b/>
          <w:bCs/>
          <w:w w:val="95"/>
          <w:sz w:val="21"/>
          <w:szCs w:val="21"/>
        </w:rPr>
        <w:t>)</w:t>
        <w:tab/>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9"/>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1910"/>
        <w:gridCol w:w="1694"/>
        <w:gridCol w:w="1688"/>
        <w:gridCol w:w="956"/>
        <w:gridCol w:w="2946"/>
      </w:tblGrid>
      <w:tr>
        <w:trPr>
          <w:trHeight w:val="565" w:hRule="exact"/>
        </w:trPr>
        <w:tc>
          <w:tcPr>
            <w:tcW w:w="19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542"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（或本期金额）</w:t>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（或上期金额）</w:t>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变动比率</w:t>
            </w:r>
          </w:p>
        </w:tc>
        <w:tc>
          <w:tcPr>
            <w:tcW w:w="29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right="4"/>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998,997,804.01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1,086,045,644.56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0" w:right="0"/>
              <w:jc w:val="left"/>
              <w:rPr>
                <w:rFonts w:ascii="Times New Roman" w:hAnsi="Times New Roman" w:cs="Times New Roman" w:eastAsia="Times New Roman" w:hint="default"/>
                <w:sz w:val="21"/>
                <w:szCs w:val="21"/>
              </w:rPr>
            </w:pPr>
            <w:r>
              <w:rPr>
                <w:rFonts w:ascii="Times New Roman"/>
                <w:sz w:val="21"/>
              </w:rPr>
              <w:t>-8.02%</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分红支付现金</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678,300.00</w:t>
            </w:r>
            <w:r>
              <w:rPr>
                <w:rFonts w:ascii="Times New Roman"/>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0" w:right="0"/>
              <w:jc w:val="left"/>
              <w:rPr>
                <w:rFonts w:ascii="Times New Roman" w:hAnsi="Times New Roman" w:cs="Times New Roman" w:eastAsia="Times New Roman" w:hint="default"/>
                <w:sz w:val="21"/>
                <w:szCs w:val="21"/>
              </w:rPr>
            </w:pPr>
            <w:r>
              <w:rPr>
                <w:rFonts w:ascii="Times New Roman"/>
                <w:sz w:val="21"/>
              </w:rPr>
              <w:t>-100.00%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票据承兑</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979,491,643.96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409,280,151.25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9" w:right="0"/>
              <w:jc w:val="left"/>
              <w:rPr>
                <w:rFonts w:ascii="Times New Roman" w:hAnsi="Times New Roman" w:cs="Times New Roman" w:eastAsia="Times New Roman" w:hint="default"/>
                <w:sz w:val="21"/>
                <w:szCs w:val="21"/>
              </w:rPr>
            </w:pPr>
            <w:r>
              <w:rPr>
                <w:rFonts w:ascii="Times New Roman"/>
                <w:sz w:val="21"/>
              </w:rPr>
              <w:t>139.32%</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销售增加</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23,279,458.94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12,467,615.84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86.72%</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预付采购款增加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20,197,216.45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11,735,424.22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72.10%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测试钞及押金的增加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15,823,315.12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0" w:right="0"/>
              <w:jc w:val="left"/>
              <w:rPr>
                <w:rFonts w:ascii="Times New Roman" w:hAnsi="Times New Roman" w:cs="Times New Roman" w:eastAsia="Times New Roman" w:hint="default"/>
                <w:sz w:val="21"/>
                <w:szCs w:val="21"/>
              </w:rPr>
            </w:pPr>
            <w:r>
              <w:rPr>
                <w:rFonts w:ascii="Times New Roman"/>
                <w:sz w:val="21"/>
              </w:rPr>
              <w:t>100.00%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投资产生</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301,493,115.70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214,233,495.24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40.73%</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科学城生产基地二期完工转入</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591,453.00</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38,168,109.68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4" w:right="0"/>
              <w:jc w:val="left"/>
              <w:rPr>
                <w:rFonts w:ascii="Times New Roman" w:hAnsi="Times New Roman" w:cs="Times New Roman" w:eastAsia="Times New Roman" w:hint="default"/>
                <w:sz w:val="21"/>
                <w:szCs w:val="21"/>
              </w:rPr>
            </w:pPr>
            <w:r>
              <w:rPr>
                <w:rFonts w:ascii="Times New Roman"/>
                <w:sz w:val="21"/>
              </w:rPr>
              <w:t>-98.45%</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科学城生产基地二期完工</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348,663.56</w:t>
            </w:r>
            <w:r>
              <w:rPr>
                <w:rFonts w:ascii="Times New Roman"/>
                <w:sz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215,145.74</w:t>
            </w:r>
            <w:r>
              <w:rPr>
                <w:rFonts w:ascii="Times New Roman"/>
                <w:sz w:val="21"/>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62.06%</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保险费</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19,004,959.17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9,882,807.02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92.30%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239,169,544.54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127,093,760.36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88.18%</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应付采购款增加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60,627,457.69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34,831,989.25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74.06%</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应付工资增加</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106,190,057.43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52,230,387.74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0" w:right="0"/>
              <w:jc w:val="left"/>
              <w:rPr>
                <w:rFonts w:ascii="Times New Roman" w:hAnsi="Times New Roman" w:cs="Times New Roman" w:eastAsia="Times New Roman" w:hint="default"/>
                <w:sz w:val="21"/>
                <w:szCs w:val="21"/>
              </w:rPr>
            </w:pPr>
            <w:r>
              <w:rPr>
                <w:rFonts w:ascii="Times New Roman"/>
                <w:sz w:val="21"/>
              </w:rPr>
              <w:t>103.31%</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应付增值税和企业所得税增加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35,009,075.23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22,609,461.98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54.84%</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应付技术服务费增加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16,579,442.22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10,354,622.01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60.12%</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收到政府补助的项目研发经费</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152,095,250.24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103,987,649.57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46.26%</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1,146,443,640.28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856,254,785.41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33.89%</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本期留存利润增加</w:t>
            </w:r>
          </w:p>
        </w:tc>
      </w:tr>
      <w:tr>
        <w:trPr>
          <w:trHeight w:val="361" w:hRule="exact"/>
        </w:trPr>
        <w:tc>
          <w:tcPr>
            <w:tcW w:w="1910"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-626,888.12</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-129,082.64</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20" w:right="0"/>
              <w:jc w:val="left"/>
              <w:rPr>
                <w:rFonts w:ascii="Times New Roman" w:hAnsi="Times New Roman" w:cs="Times New Roman" w:eastAsia="Times New Roman" w:hint="default"/>
                <w:sz w:val="21"/>
                <w:szCs w:val="21"/>
              </w:rPr>
            </w:pPr>
            <w:r>
              <w:rPr>
                <w:rFonts w:ascii="Times New Roman"/>
                <w:sz w:val="21"/>
              </w:rPr>
              <w:t>-385.65%</w:t>
            </w:r>
          </w:p>
        </w:tc>
        <w:tc>
          <w:tcPr>
            <w:tcW w:w="2946"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人民币汇率升值</w:t>
            </w:r>
          </w:p>
        </w:tc>
      </w:tr>
    </w:tbl>
    <w:p>
      <w:pPr>
        <w:spacing w:after="0" w:line="274" w:lineRule="exact"/>
        <w:jc w:val="left"/>
        <w:rPr>
          <w:rFonts w:ascii="宋体" w:hAnsi="宋体" w:cs="宋体" w:eastAsia="宋体" w:hint="default"/>
          <w:sz w:val="21"/>
          <w:szCs w:val="21"/>
        </w:rPr>
        <w:sectPr>
          <w:pgSz w:w="11910" w:h="16840"/>
          <w:pgMar w:header="0" w:footer="982" w:top="1100" w:bottom="1180" w:left="1660" w:right="780"/>
        </w:sectPr>
      </w:pPr>
    </w:p>
    <w:p>
      <w:pPr>
        <w:spacing w:line="240" w:lineRule="auto" w:before="6"/>
        <w:rPr>
          <w:rFonts w:ascii="宋体" w:hAnsi="宋体" w:cs="宋体" w:eastAsia="宋体" w:hint="default"/>
          <w:b/>
          <w:bCs/>
          <w:sz w:val="24"/>
          <w:szCs w:val="24"/>
        </w:rPr>
      </w:pPr>
    </w:p>
    <w:tbl>
      <w:tblPr>
        <w:tblW w:w="0" w:type="auto"/>
        <w:jc w:val="left"/>
        <w:tblInd w:w="110" w:type="dxa"/>
        <w:tblLayout w:type="fixed"/>
        <w:tblCellMar>
          <w:top w:w="0" w:type="dxa"/>
          <w:left w:w="0" w:type="dxa"/>
          <w:bottom w:w="0" w:type="dxa"/>
          <w:right w:w="0" w:type="dxa"/>
        </w:tblCellMar>
        <w:tblLook w:val="01E0"/>
      </w:tblPr>
      <w:tblGrid>
        <w:gridCol w:w="1910"/>
        <w:gridCol w:w="1694"/>
        <w:gridCol w:w="1688"/>
        <w:gridCol w:w="956"/>
        <w:gridCol w:w="2946"/>
      </w:tblGrid>
      <w:tr>
        <w:trPr>
          <w:trHeight w:val="565" w:hRule="exact"/>
        </w:trPr>
        <w:tc>
          <w:tcPr>
            <w:tcW w:w="19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0"/>
              <w:ind w:left="542"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94"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（或本期金额）</w:t>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（或上期金额）</w:t>
            </w:r>
          </w:p>
        </w:tc>
        <w:tc>
          <w:tcPr>
            <w:tcW w:w="9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94" w:right="0"/>
              <w:jc w:val="left"/>
              <w:rPr>
                <w:rFonts w:ascii="宋体" w:hAnsi="宋体" w:cs="宋体" w:eastAsia="宋体" w:hint="default"/>
                <w:sz w:val="21"/>
                <w:szCs w:val="21"/>
              </w:rPr>
            </w:pPr>
            <w:r>
              <w:rPr>
                <w:rFonts w:ascii="宋体" w:hAnsi="宋体" w:cs="宋体" w:eastAsia="宋体" w:hint="default"/>
                <w:sz w:val="21"/>
                <w:szCs w:val="21"/>
              </w:rPr>
              <w:t>变动比率</w:t>
            </w:r>
          </w:p>
        </w:tc>
        <w:tc>
          <w:tcPr>
            <w:tcW w:w="294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0"/>
              <w:ind w:right="5"/>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18,330,736.13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14,037,710.76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30.58%</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投资增加</w:t>
            </w:r>
          </w:p>
        </w:tc>
      </w:tr>
      <w:tr>
        <w:trPr>
          <w:trHeight w:val="349"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1,724,211,269.52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1"/>
                <w:szCs w:val="21"/>
              </w:rPr>
            </w:pPr>
            <w:r>
              <w:rPr>
                <w:rFonts w:ascii="Times New Roman"/>
                <w:spacing w:val="-1"/>
                <w:sz w:val="21"/>
              </w:rPr>
              <w:t>1,488,739,930.16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15.82%</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ATM</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销量增加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23,318,202.50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16,004,398.04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45.70%</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增值税附加税增加</w:t>
            </w:r>
          </w:p>
        </w:tc>
      </w:tr>
      <w:tr>
        <w:trPr>
          <w:trHeight w:val="35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212,427,778.48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163,831,289.01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5" w:right="0"/>
              <w:jc w:val="left"/>
              <w:rPr>
                <w:rFonts w:ascii="Times New Roman" w:hAnsi="Times New Roman" w:cs="Times New Roman" w:eastAsia="Times New Roman" w:hint="default"/>
                <w:sz w:val="21"/>
                <w:szCs w:val="21"/>
              </w:rPr>
            </w:pPr>
            <w:r>
              <w:rPr>
                <w:rFonts w:ascii="Times New Roman"/>
                <w:sz w:val="21"/>
              </w:rPr>
              <w:t>29.66%</w:t>
            </w:r>
          </w:p>
        </w:tc>
        <w:tc>
          <w:tcPr>
            <w:tcW w:w="2946"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工资费用及技术服务费增加</w:t>
            </w:r>
          </w:p>
        </w:tc>
      </w:tr>
      <w:tr>
        <w:trPr>
          <w:trHeight w:val="359" w:hRule="exact"/>
        </w:trPr>
        <w:tc>
          <w:tcPr>
            <w:tcW w:w="1910"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-2,001,712.70</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21"/>
                <w:szCs w:val="21"/>
              </w:rPr>
            </w:pPr>
            <w:r>
              <w:rPr>
                <w:rFonts w:ascii="Times New Roman"/>
                <w:spacing w:val="-1"/>
                <w:sz w:val="21"/>
              </w:rPr>
              <w:t>-8,697,707.70</w:t>
            </w:r>
          </w:p>
        </w:tc>
        <w:tc>
          <w:tcPr>
            <w:tcW w:w="9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124" w:right="0"/>
              <w:jc w:val="left"/>
              <w:rPr>
                <w:rFonts w:ascii="Times New Roman" w:hAnsi="Times New Roman" w:cs="Times New Roman" w:eastAsia="Times New Roman" w:hint="default"/>
                <w:sz w:val="21"/>
                <w:szCs w:val="21"/>
              </w:rPr>
            </w:pPr>
            <w:r>
              <w:rPr>
                <w:rFonts w:ascii="Times New Roman"/>
                <w:sz w:val="21"/>
              </w:rPr>
              <w:t>-76.99%</w:t>
            </w:r>
          </w:p>
        </w:tc>
        <w:tc>
          <w:tcPr>
            <w:tcW w:w="2946"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汇率变动</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819" w:val="left" w:leader="none"/>
        </w:tabs>
        <w:spacing w:before="163"/>
        <w:ind w:left="754" w:right="4777" w:firstLine="0"/>
        <w:jc w:val="left"/>
        <w:rPr>
          <w:rFonts w:ascii="宋体" w:hAnsi="宋体" w:cs="宋体" w:eastAsia="宋体" w:hint="default"/>
          <w:sz w:val="24"/>
          <w:szCs w:val="24"/>
        </w:rPr>
      </w:pPr>
      <w:r>
        <w:rPr>
          <w:rFonts w:ascii="宋体" w:hAnsi="宋体" w:cs="宋体" w:eastAsia="宋体" w:hint="default"/>
          <w:b/>
          <w:bCs/>
          <w:w w:val="95"/>
          <w:sz w:val="24"/>
          <w:szCs w:val="24"/>
        </w:rPr>
        <w:t>十四、</w:t>
        <w:tab/>
      </w:r>
      <w:r>
        <w:rPr>
          <w:rFonts w:ascii="宋体" w:hAnsi="宋体" w:cs="宋体" w:eastAsia="宋体" w:hint="default"/>
          <w:b/>
          <w:bCs/>
          <w:sz w:val="24"/>
          <w:szCs w:val="24"/>
        </w:rPr>
        <w:t>财务报表的批准报出</w:t>
      </w:r>
      <w:r>
        <w:rPr>
          <w:rFonts w:ascii="宋体" w:hAnsi="宋体" w:cs="宋体" w:eastAsia="宋体" w:hint="default"/>
          <w:sz w:val="24"/>
          <w:szCs w:val="24"/>
        </w:rPr>
      </w:r>
    </w:p>
    <w:p>
      <w:pPr>
        <w:pStyle w:val="BodyText"/>
        <w:spacing w:line="240" w:lineRule="auto" w:before="157"/>
        <w:ind w:left="675" w:right="0"/>
        <w:jc w:val="left"/>
      </w:pPr>
      <w:r>
        <w:rPr/>
        <w:t>本财务报表业经公司全体董事于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9"/>
          <w:szCs w:val="19"/>
        </w:rPr>
      </w:pPr>
    </w:p>
    <w:p>
      <w:pPr>
        <w:pStyle w:val="Heading1"/>
        <w:spacing w:line="240" w:lineRule="auto" w:before="0"/>
        <w:ind w:left="2859"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BodyText"/>
        <w:spacing w:line="333" w:lineRule="auto" w:before="258"/>
        <w:ind w:left="561" w:right="503"/>
        <w:jc w:val="left"/>
      </w:pPr>
      <w:r>
        <w:rPr/>
        <w:t>一、载有董事长签名的</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年年度报告全文； 二、载有法定代表人、主管会计工作负责人、会计机构负责人签名并盖章的财务报表； 三、载有会计师事务所盖章、注册会计师签名并盖章的审计报告原件； </w:t>
      </w:r>
      <w:r>
        <w:rPr>
          <w:spacing w:val="-1"/>
        </w:rPr>
        <w:t>四、报告期内，公司在《证券时报》和巨潮资讯网（</w:t>
      </w:r>
      <w:hyperlink r:id="rId10">
        <w:r>
          <w:rPr>
            <w:rFonts w:ascii="Times New Roman" w:hAnsi="Times New Roman" w:cs="Times New Roman" w:eastAsia="Times New Roman" w:hint="default"/>
            <w:spacing w:val="-1"/>
          </w:rPr>
          <w:t>www.cninfo.com.cn</w:t>
        </w:r>
      </w:hyperlink>
      <w:r>
        <w:rPr>
          <w:spacing w:val="-1"/>
        </w:rPr>
        <w:t>）上公开披露过的所</w:t>
      </w:r>
    </w:p>
    <w:p>
      <w:pPr>
        <w:pStyle w:val="BodyText"/>
        <w:spacing w:line="340" w:lineRule="auto" w:before="8"/>
        <w:ind w:left="560" w:right="5734" w:hanging="420"/>
        <w:jc w:val="left"/>
      </w:pPr>
      <w:r>
        <w:rPr/>
        <w:t>有公司文件的正本及公告的原稿。 上述文件备置于公司证券部备查。</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408" w:lineRule="auto"/>
        <w:ind w:left="5388" w:right="1432" w:hanging="736"/>
        <w:jc w:val="left"/>
      </w:pPr>
      <w:r>
        <w:rPr/>
        <w:t>广州广电运通金融电子股份有限公司 董事长：赵友永</w:t>
      </w:r>
    </w:p>
    <w:p>
      <w:pPr>
        <w:pStyle w:val="BodyText"/>
        <w:spacing w:line="240" w:lineRule="auto" w:before="46"/>
        <w:ind w:left="5466" w:right="0"/>
        <w:jc w:val="left"/>
      </w:pPr>
      <w:r>
        <w:rPr/>
        <w:t>二</w:t>
      </w:r>
      <w:r>
        <w:rPr>
          <w:spacing w:val="-53"/>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一一年三月二十三日</w:t>
      </w:r>
    </w:p>
    <w:sectPr>
      <w:pgSz w:w="11910" w:h="16840"/>
      <w:pgMar w:header="0" w:footer="982" w:top="1100" w:bottom="1180" w:left="16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34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35.297913pt;width:13pt;height:11pt;mso-position-horizontal-relative:page;mso-position-vertical-relative:page;z-index:-73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81.897522pt;width:13pt;height:11pt;mso-position-horizontal-relative:page;mso-position-vertical-relative:page;z-index:-734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60010pt;margin-top:781.897522pt;width:13pt;height:11pt;mso-position-horizontal-relative:page;mso-position-vertical-relative:page;z-index:-734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480286pt;margin-top:781.897522pt;width:15.5pt;height:11pt;mso-position-horizontal-relative:page;mso-position-vertical-relative:page;z-index:-7343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480286pt;margin-top:781.897522pt;width:17.6pt;height:11pt;mso-position-horizontal-relative:page;mso-position-vertical-relative:page;z-index:-73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20306pt;margin-top:781.897522pt;width:17.150pt;height:11pt;mso-position-horizontal-relative:page;mso-position-vertical-relative:page;z-index:-734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720306pt;margin-top:781.897522pt;width:17.150pt;height:11pt;mso-position-horizontal-relative:page;mso-position-vertical-relative:page;z-index:-73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3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40314pt;margin-top:781.897522pt;width:17.5pt;height:11pt;mso-position-horizontal-relative:page;mso-position-vertical-relative:page;z-index:-734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3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734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734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806pt;margin-top:535.297913pt;width:13pt;height:11pt;mso-position-horizontal-relative:page;mso-position-vertical-relative:page;z-index:-734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299988pt;margin-top:781.897522pt;width:13pt;height:11pt;mso-position-horizontal-relative:page;mso-position-vertical-relative:page;z-index:-734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79656pt;width:80.622536pt;height:31.98pt;mso-position-horizontal-relative:page;mso-position-vertical-relative:page;z-index:-734968" type="#_x0000_t75" stroked="false">
          <v:imagedata r:id="rId1" o:title=""/>
        </v:shape>
      </w:pict>
    </w:r>
    <w:r>
      <w:rPr/>
      <w:pict>
        <v:group style="position:absolute;margin-left:88.5pt;margin-top:55.619984pt;width:418.35pt;height:.1pt;mso-position-horizontal-relative:page;mso-position-vertical-relative:page;z-index:-734944" coordorigin="1770,1112" coordsize="8367,2">
          <v:shape style="position:absolute;left:1770;top:1112;width:8367;height:2" coordorigin="1770,1112" coordsize="8367,0" path="m1770,1112l10136,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92.820007pt;margin-top:42.865326pt;width:213.5pt;height:11.5pt;mso-position-horizontal-relative:page;mso-position-vertical-relative:page;z-index:-734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990543pt;margin-top:19.979994pt;width:80.403099pt;height:31.979998pt;mso-position-horizontal-relative:page;mso-position-vertical-relative:page;z-index:-734776" type="#_x0000_t75" stroked="false">
          <v:imagedata r:id="rId1" o:title=""/>
        </v:shape>
      </w:pict>
    </w:r>
    <w:r>
      <w:rPr/>
      <w:pict>
        <v:shape style="position:absolute;margin-left:586.810486pt;margin-top:42.865623pt;width:213.5pt;height:11.5pt;mso-position-horizontal-relative:page;mso-position-vertical-relative:page;z-index:-734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79656pt;width:80.622536pt;height:31.98pt;mso-position-horizontal-relative:page;mso-position-vertical-relative:page;z-index:-734704" type="#_x0000_t75" stroked="false">
          <v:imagedata r:id="rId1" o:title=""/>
        </v:shape>
      </w:pict>
    </w:r>
    <w:r>
      <w:rPr/>
      <w:pict>
        <v:group style="position:absolute;margin-left:88.5pt;margin-top:55.619984pt;width:444.6pt;height:.1pt;mso-position-horizontal-relative:page;mso-position-vertical-relative:page;z-index:-734680" coordorigin="1770,1112" coordsize="8892,2">
          <v:shape style="position:absolute;left:1770;top:1112;width:8892;height:2" coordorigin="1770,1112" coordsize="8892,0" path="m1770,1112l10662,1112e" filled="false" stroked="true" strokeweight=".72003pt" strokecolor="#000000">
            <v:path arrowok="t"/>
          </v:shape>
          <w10:wrap type="none"/>
        </v:group>
      </w:pict>
    </w:r>
    <w:r>
      <w:rPr/>
      <w:pict>
        <v:shape style="position:absolute;margin-left:319.100006pt;margin-top:42.865326pt;width:213.5pt;height:11.5pt;mso-position-horizontal-relative:page;mso-position-vertical-relative:page;z-index:-7346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450546pt;margin-top:19.979994pt;width:80.403099pt;height:31.979998pt;mso-position-horizontal-relative:page;mso-position-vertical-relative:page;z-index:-734608" type="#_x0000_t75" stroked="false">
          <v:imagedata r:id="rId1" o:title=""/>
        </v:shape>
      </w:pict>
    </w:r>
    <w:r>
      <w:rPr/>
      <w:pict>
        <v:group style="position:absolute;margin-left:70.490997pt;margin-top:55.619999pt;width:700.95pt;height:.1pt;mso-position-horizontal-relative:page;mso-position-vertical-relative:page;z-index:-734584"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557.410522pt;margin-top:42.865623pt;width:213.5pt;height:11.5pt;mso-position-horizontal-relative:page;mso-position-vertical-relative:page;z-index:-734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459999pt;margin-top:19.979656pt;width:80.622536pt;height:31.98pt;mso-position-horizontal-relative:page;mso-position-vertical-relative:page;z-index:-734512" type="#_x0000_t75" stroked="false">
          <v:imagedata r:id="rId1" o:title=""/>
        </v:shape>
      </w:pict>
    </w:r>
    <w:r>
      <w:rPr/>
      <w:pict>
        <v:group style="position:absolute;margin-left:88.5pt;margin-top:55.619984pt;width:443.6pt;height:.1pt;mso-position-horizontal-relative:page;mso-position-vertical-relative:page;z-index:-734488" coordorigin="1770,1112" coordsize="8872,2">
          <v:shape style="position:absolute;left:1770;top:1112;width:8872;height:2" coordorigin="1770,1112" coordsize="8872,0" path="m1770,1112l10642,1112e" filled="false" stroked="true" strokeweight=".72003pt" strokecolor="#000000">
            <v:path arrowok="t"/>
          </v:shape>
          <w10:wrap type="none"/>
        </v:group>
      </w:pict>
    </w:r>
    <w:r>
      <w:rPr/>
      <w:pict>
        <v:shape style="position:absolute;margin-left:318.079987pt;margin-top:42.865326pt;width:213.5pt;height:11.5pt;mso-position-horizontal-relative:page;mso-position-vertical-relative:page;z-index:-734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63"/>
      <w:ind w:left="140"/>
    </w:pPr>
    <w:rPr>
      <w:rFonts w:ascii="宋体" w:hAnsi="宋体" w:eastAsia="宋体"/>
      <w:sz w:val="21"/>
      <w:szCs w:val="21"/>
    </w:rPr>
  </w:style>
  <w:style w:styleId="TOC2" w:type="paragraph">
    <w:name w:val="TOC 2"/>
    <w:basedOn w:val="Normal"/>
    <w:uiPriority w:val="1"/>
    <w:qFormat/>
    <w:pPr>
      <w:spacing w:before="263"/>
      <w:ind w:left="140"/>
    </w:pPr>
    <w:rPr>
      <w:rFonts w:ascii="宋体" w:hAnsi="宋体" w:eastAsia="宋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ind w:left="140"/>
      <w:outlineLvl w:val="3"/>
    </w:pPr>
    <w:rPr>
      <w:rFonts w:ascii="宋体" w:hAnsi="宋体" w:eastAsia="宋体"/>
      <w:b/>
      <w:bCs/>
      <w:sz w:val="24"/>
      <w:szCs w:val="24"/>
    </w:rPr>
  </w:style>
  <w:style w:styleId="Heading4" w:type="paragraph">
    <w:name w:val="Heading 4"/>
    <w:basedOn w:val="Normal"/>
    <w:uiPriority w:val="1"/>
    <w:qFormat/>
    <w:pPr>
      <w:spacing w:before="35"/>
      <w:ind w:left="68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mailto:securities@grgbanking.com" TargetMode="External"/><Relationship Id="rId9" Type="http://schemas.openxmlformats.org/officeDocument/2006/relationships/hyperlink" Target="http://www.grgbanking.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4.jpeg"/><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4.xml"/><Relationship Id="rId22" Type="http://schemas.openxmlformats.org/officeDocument/2006/relationships/footer" Target="footer8.xml"/><Relationship Id="rId23" Type="http://schemas.openxmlformats.org/officeDocument/2006/relationships/header" Target="header5.xml"/><Relationship Id="rId24" Type="http://schemas.openxmlformats.org/officeDocument/2006/relationships/footer" Target="footer9.xml"/><Relationship Id="rId25" Type="http://schemas.openxmlformats.org/officeDocument/2006/relationships/header" Target="header6.xml"/><Relationship Id="rId26" Type="http://schemas.openxmlformats.org/officeDocument/2006/relationships/footer" Target="footer10.xml"/><Relationship Id="rId27" Type="http://schemas.openxmlformats.org/officeDocument/2006/relationships/header" Target="header7.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9.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0.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xmlin</dc:creator>
  <dc:title>&lt;4D6963726F736F667420576F7264202D20B9E3B5E7D4CBCDA832303130C4EAC4EAB6C8B1A8B8E6&gt;</dc:title>
  <dcterms:created xsi:type="dcterms:W3CDTF">2020-04-29T01:48:41Z</dcterms:created>
  <dcterms:modified xsi:type="dcterms:W3CDTF">2020-04-29T01:48:41Z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PScript5.dll Version 5.2</vt:lpwstr>
  </property>
  <property fmtid="{D5CDD505-2E9C-101B-9397-08002B2CF9AE}" pid="4" name="LastSaved">
    <vt:filetime>2020-04-28T00:00:00Z</vt:filetime>
  </property>
</Properties>
</file>